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jc w:val="center"/>
        <w:spacing w:after="0" w:line="212"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73025</wp:posOffset>
            </wp:positionV>
            <wp:extent cx="13633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92710</wp:posOffset>
            </wp:positionV>
            <wp:extent cx="13633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220" w:lineRule="exact"/>
        <w:rPr>
          <w:sz w:val="24"/>
          <w:szCs w:val="24"/>
          <w:color w:val="auto"/>
        </w:rPr>
      </w:pPr>
    </w:p>
    <w:p>
      <w:pPr>
        <w:ind w:left="1920" w:hanging="317"/>
        <w:spacing w:after="0"/>
        <w:tabs>
          <w:tab w:leader="none" w:pos="1920" w:val="left"/>
        </w:tabs>
        <w:numPr>
          <w:ilvl w:val="0"/>
          <w:numId w:val="1"/>
        </w:numPr>
        <w:rPr>
          <w:rFonts w:ascii="Arial" w:cs="Arial" w:eastAsia="Arial" w:hAnsi="Arial"/>
          <w:sz w:val="19"/>
          <w:szCs w:val="19"/>
          <w:color w:val="auto"/>
        </w:rPr>
      </w:pPr>
      <w:r>
        <w:rPr>
          <w:rFonts w:ascii="Arial" w:cs="Arial" w:eastAsia="Arial" w:hAnsi="Arial"/>
          <w:sz w:val="19"/>
          <w:szCs w:val="19"/>
          <w:b w:val="1"/>
          <w:bCs w:val="1"/>
          <w:color w:val="auto"/>
        </w:rPr>
        <w:t>Annual Report Pursuant to Section 13 or 15(d) of the Securities Exchange Act of 1934</w:t>
      </w:r>
    </w:p>
    <w:p>
      <w:pPr>
        <w:jc w:val="center"/>
        <w:spacing w:after="0" w:line="234" w:lineRule="auto"/>
        <w:rPr>
          <w:sz w:val="20"/>
          <w:szCs w:val="20"/>
          <w:color w:val="auto"/>
        </w:rPr>
      </w:pPr>
      <w:r>
        <w:rPr>
          <w:rFonts w:ascii="Arial" w:cs="Arial" w:eastAsia="Arial" w:hAnsi="Arial"/>
          <w:sz w:val="18"/>
          <w:szCs w:val="18"/>
          <w:b w:val="1"/>
          <w:bCs w:val="1"/>
          <w:color w:val="auto"/>
        </w:rPr>
        <w:t>For the fiscal year ended December 31, 2016</w:t>
      </w:r>
    </w:p>
    <w:p>
      <w:pPr>
        <w:jc w:val="center"/>
        <w:spacing w:after="0" w:line="188" w:lineRule="auto"/>
        <w:rPr>
          <w:sz w:val="20"/>
          <w:szCs w:val="20"/>
          <w:color w:val="auto"/>
        </w:rPr>
      </w:pPr>
      <w:r>
        <w:rPr>
          <w:rFonts w:ascii="Arial" w:cs="Arial" w:eastAsia="Arial" w:hAnsi="Arial"/>
          <w:sz w:val="18"/>
          <w:szCs w:val="18"/>
          <w:b w:val="1"/>
          <w:bCs w:val="1"/>
          <w:color w:val="auto"/>
        </w:rPr>
        <w:t>OR</w:t>
      </w:r>
    </w:p>
    <w:p>
      <w:pPr>
        <w:spacing w:after="0" w:line="1" w:lineRule="exact"/>
        <w:rPr>
          <w:sz w:val="24"/>
          <w:szCs w:val="24"/>
          <w:color w:val="auto"/>
        </w:rPr>
      </w:pPr>
    </w:p>
    <w:p>
      <w:pPr>
        <w:ind w:left="1840" w:hanging="414"/>
        <w:spacing w:after="0"/>
        <w:tabs>
          <w:tab w:leader="none" w:pos="1840"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Transition Report Pursuant to Section 13 or 15(d) of the Securities Exchange Act of 1934</w:t>
      </w:r>
    </w:p>
    <w:p>
      <w:pPr>
        <w:ind w:left="4460"/>
        <w:spacing w:after="0" w:line="215" w:lineRule="auto"/>
        <w:rPr>
          <w:sz w:val="20"/>
          <w:szCs w:val="20"/>
          <w:color w:val="auto"/>
        </w:rPr>
      </w:pPr>
      <w:r>
        <w:rPr>
          <w:rFonts w:ascii="Arial" w:cs="Arial" w:eastAsia="Arial" w:hAnsi="Arial"/>
          <w:sz w:val="18"/>
          <w:szCs w:val="18"/>
          <w:b w:val="1"/>
          <w:bCs w:val="1"/>
          <w:color w:val="auto"/>
        </w:rPr>
        <w:t>For the transition period from to</w:t>
      </w:r>
    </w:p>
    <w:p>
      <w:pPr>
        <w:spacing w:after="0" w:line="1"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Commission File Number 1-183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73025</wp:posOffset>
            </wp:positionV>
            <wp:extent cx="13633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15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HERSHEY COMPANY</w:t>
      </w:r>
    </w:p>
    <w:p>
      <w:pPr>
        <w:jc w:val="center"/>
        <w:ind w:right="-239"/>
        <w:spacing w:after="0"/>
        <w:rPr>
          <w:sz w:val="20"/>
          <w:szCs w:val="20"/>
          <w:color w:val="auto"/>
        </w:rPr>
      </w:pPr>
      <w:r>
        <w:rPr>
          <w:rFonts w:ascii="Arial" w:cs="Arial" w:eastAsia="Arial" w:hAnsi="Arial"/>
          <w:sz w:val="18"/>
          <w:szCs w:val="18"/>
          <w:color w:val="auto"/>
        </w:rPr>
        <w:t>(Exact name of registrant as specified in its charter)</w:t>
      </w:r>
    </w:p>
    <w:p>
      <w:pPr>
        <w:spacing w:after="0" w:line="304" w:lineRule="exact"/>
        <w:rPr>
          <w:sz w:val="24"/>
          <w:szCs w:val="24"/>
          <w:color w:val="auto"/>
        </w:rPr>
      </w:pPr>
    </w:p>
    <w:tbl>
      <w:tblPr>
        <w:tblLayout w:type="fixed"/>
        <w:tblInd w:w="1960" w:type="dxa"/>
        <w:tblCellMar>
          <w:top w:w="0" w:type="dxa"/>
          <w:left w:w="0" w:type="dxa"/>
          <w:bottom w:w="0" w:type="dxa"/>
          <w:right w:w="0" w:type="dxa"/>
        </w:tblCellMar>
      </w:tblPr>
      <w:tr>
        <w:trPr>
          <w:trHeight w:val="230"/>
        </w:trPr>
        <w:tc>
          <w:tcPr>
            <w:tcW w:w="3820" w:type="dxa"/>
            <w:vAlign w:val="bottom"/>
          </w:tcPr>
          <w:p>
            <w:pPr>
              <w:jc w:val="center"/>
              <w:ind w:right="630"/>
              <w:spacing w:after="0"/>
              <w:rPr>
                <w:sz w:val="20"/>
                <w:szCs w:val="20"/>
                <w:color w:val="auto"/>
              </w:rPr>
            </w:pPr>
            <w:r>
              <w:rPr>
                <w:rFonts w:ascii="Arial" w:cs="Arial" w:eastAsia="Arial" w:hAnsi="Arial"/>
                <w:sz w:val="18"/>
                <w:szCs w:val="18"/>
                <w:color w:val="auto"/>
                <w:w w:val="92"/>
              </w:rPr>
              <w:t>Delaware</w:t>
            </w:r>
          </w:p>
        </w:tc>
        <w:tc>
          <w:tcPr>
            <w:tcW w:w="3580" w:type="dxa"/>
            <w:vAlign w:val="bottom"/>
          </w:tcPr>
          <w:p>
            <w:pPr>
              <w:jc w:val="right"/>
              <w:ind w:right="770"/>
              <w:spacing w:after="0"/>
              <w:rPr>
                <w:sz w:val="20"/>
                <w:szCs w:val="20"/>
                <w:color w:val="auto"/>
              </w:rPr>
            </w:pPr>
            <w:r>
              <w:rPr>
                <w:rFonts w:ascii="Arial" w:cs="Arial" w:eastAsia="Arial" w:hAnsi="Arial"/>
                <w:sz w:val="18"/>
                <w:szCs w:val="18"/>
                <w:color w:val="auto"/>
              </w:rPr>
              <w:t>23-0691590</w:t>
            </w:r>
          </w:p>
        </w:tc>
      </w:tr>
      <w:tr>
        <w:trPr>
          <w:trHeight w:val="256"/>
        </w:trPr>
        <w:tc>
          <w:tcPr>
            <w:tcW w:w="3820" w:type="dxa"/>
            <w:vAlign w:val="bottom"/>
          </w:tcPr>
          <w:p>
            <w:pPr>
              <w:ind w:left="480"/>
              <w:spacing w:after="0"/>
              <w:rPr>
                <w:sz w:val="20"/>
                <w:szCs w:val="20"/>
                <w:color w:val="auto"/>
              </w:rPr>
            </w:pPr>
            <w:r>
              <w:rPr>
                <w:rFonts w:ascii="Arial" w:cs="Arial" w:eastAsia="Arial" w:hAnsi="Arial"/>
                <w:sz w:val="18"/>
                <w:szCs w:val="18"/>
                <w:color w:val="auto"/>
              </w:rPr>
              <w:t>(State or other jurisdiction of</w:t>
            </w:r>
          </w:p>
        </w:tc>
        <w:tc>
          <w:tcPr>
            <w:tcW w:w="3580" w:type="dxa"/>
            <w:vAlign w:val="bottom"/>
          </w:tcPr>
          <w:p>
            <w:pPr>
              <w:jc w:val="center"/>
              <w:ind w:left="87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820" w:type="dxa"/>
            <w:vAlign w:val="bottom"/>
          </w:tcPr>
          <w:p>
            <w:pPr>
              <w:jc w:val="center"/>
              <w:ind w:right="650"/>
              <w:spacing w:after="0"/>
              <w:rPr>
                <w:sz w:val="20"/>
                <w:szCs w:val="20"/>
                <w:color w:val="auto"/>
              </w:rPr>
            </w:pPr>
            <w:r>
              <w:rPr>
                <w:rFonts w:ascii="Arial" w:cs="Arial" w:eastAsia="Arial" w:hAnsi="Arial"/>
                <w:sz w:val="18"/>
                <w:szCs w:val="18"/>
                <w:color w:val="auto"/>
                <w:w w:val="92"/>
              </w:rPr>
              <w:t>incorporation or organization)</w:t>
            </w:r>
          </w:p>
        </w:tc>
        <w:tc>
          <w:tcPr>
            <w:tcW w:w="3580" w:type="dxa"/>
            <w:vAlign w:val="bottom"/>
          </w:tcPr>
          <w:p>
            <w:pPr>
              <w:spacing w:after="0"/>
              <w:rPr>
                <w:sz w:val="20"/>
                <w:szCs w:val="20"/>
                <w:color w:val="auto"/>
              </w:rPr>
            </w:pPr>
          </w:p>
        </w:tc>
      </w:tr>
      <w:tr>
        <w:trPr>
          <w:trHeight w:val="446"/>
        </w:trPr>
        <w:tc>
          <w:tcPr>
            <w:tcW w:w="3820" w:type="dxa"/>
            <w:vAlign w:val="bottom"/>
          </w:tcPr>
          <w:p>
            <w:pPr>
              <w:ind w:left="260"/>
              <w:spacing w:after="0"/>
              <w:rPr>
                <w:sz w:val="20"/>
                <w:szCs w:val="20"/>
                <w:color w:val="auto"/>
              </w:rPr>
            </w:pPr>
            <w:r>
              <w:rPr>
                <w:rFonts w:ascii="Arial" w:cs="Arial" w:eastAsia="Arial" w:hAnsi="Arial"/>
                <w:sz w:val="18"/>
                <w:szCs w:val="18"/>
                <w:color w:val="auto"/>
              </w:rPr>
              <w:t>100 Crystal A Drive, Hershey, PA</w:t>
            </w:r>
          </w:p>
        </w:tc>
        <w:tc>
          <w:tcPr>
            <w:tcW w:w="3580" w:type="dxa"/>
            <w:vAlign w:val="bottom"/>
          </w:tcPr>
          <w:p>
            <w:pPr>
              <w:jc w:val="right"/>
              <w:ind w:right="1110"/>
              <w:spacing w:after="0"/>
              <w:rPr>
                <w:sz w:val="20"/>
                <w:szCs w:val="20"/>
                <w:color w:val="auto"/>
              </w:rPr>
            </w:pPr>
            <w:r>
              <w:rPr>
                <w:rFonts w:ascii="Arial" w:cs="Arial" w:eastAsia="Arial" w:hAnsi="Arial"/>
                <w:sz w:val="18"/>
                <w:szCs w:val="18"/>
                <w:color w:val="auto"/>
              </w:rPr>
              <w:t>17033</w:t>
            </w:r>
          </w:p>
        </w:tc>
      </w:tr>
      <w:tr>
        <w:trPr>
          <w:trHeight w:val="324"/>
        </w:trPr>
        <w:tc>
          <w:tcPr>
            <w:tcW w:w="3820" w:type="dxa"/>
            <w:vAlign w:val="bottom"/>
          </w:tcPr>
          <w:p>
            <w:pPr>
              <w:spacing w:after="0"/>
              <w:rPr>
                <w:sz w:val="20"/>
                <w:szCs w:val="20"/>
                <w:color w:val="auto"/>
              </w:rPr>
            </w:pPr>
            <w:r>
              <w:rPr>
                <w:rFonts w:ascii="Arial" w:cs="Arial" w:eastAsia="Arial" w:hAnsi="Arial"/>
                <w:sz w:val="18"/>
                <w:szCs w:val="18"/>
                <w:color w:val="auto"/>
              </w:rPr>
              <w:t>(Address of principal executive offices)</w:t>
            </w:r>
          </w:p>
        </w:tc>
        <w:tc>
          <w:tcPr>
            <w:tcW w:w="3580" w:type="dxa"/>
            <w:vAlign w:val="bottom"/>
          </w:tcPr>
          <w:p>
            <w:pPr>
              <w:jc w:val="center"/>
              <w:ind w:left="650"/>
              <w:spacing w:after="0"/>
              <w:rPr>
                <w:sz w:val="20"/>
                <w:szCs w:val="20"/>
                <w:color w:val="auto"/>
              </w:rPr>
            </w:pPr>
            <w:r>
              <w:rPr>
                <w:rFonts w:ascii="Arial" w:cs="Arial" w:eastAsia="Arial" w:hAnsi="Arial"/>
                <w:sz w:val="18"/>
                <w:szCs w:val="18"/>
                <w:color w:val="auto"/>
                <w:w w:val="94"/>
              </w:rPr>
              <w:t>(Zip Code)</w:t>
            </w:r>
          </w:p>
        </w:tc>
      </w:tr>
    </w:tbl>
    <w:p>
      <w:pPr>
        <w:spacing w:after="0" w:line="161"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Registrant’s telephone number, including area code: (717) 534-4200</w:t>
      </w:r>
    </w:p>
    <w:p>
      <w:pPr>
        <w:spacing w:after="0" w:line="239" w:lineRule="exact"/>
        <w:rPr>
          <w:sz w:val="24"/>
          <w:szCs w:val="24"/>
          <w:color w:val="auto"/>
        </w:rPr>
      </w:pPr>
    </w:p>
    <w:p>
      <w:pPr>
        <w:jc w:val="center"/>
        <w:ind w:right="220"/>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420"/>
          </w:cols>
          <w:pgMar w:left="240" w:top="887" w:right="239" w:bottom="1440" w:gutter="0" w:footer="0" w:header="0"/>
        </w:sectPr>
      </w:pPr>
    </w:p>
    <w:p>
      <w:pPr>
        <w:spacing w:after="0" w:line="117" w:lineRule="exact"/>
        <w:rPr>
          <w:sz w:val="24"/>
          <w:szCs w:val="24"/>
          <w:color w:val="auto"/>
        </w:rPr>
      </w:pPr>
    </w:p>
    <w:p>
      <w:pPr>
        <w:jc w:val="center"/>
        <w:ind w:left="92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140" w:lineRule="exact"/>
        <w:rPr>
          <w:sz w:val="24"/>
          <w:szCs w:val="24"/>
          <w:color w:val="auto"/>
        </w:rPr>
      </w:pPr>
    </w:p>
    <w:p>
      <w:pPr>
        <w:sectPr>
          <w:pgSz w:w="11900" w:h="16838" w:orient="portrait"/>
          <w:cols w:equalWidth="0" w:num="2">
            <w:col w:w="5620" w:space="720"/>
            <w:col w:w="5080"/>
          </w:cols>
          <w:pgMar w:left="240" w:top="887" w:right="239" w:bottom="1440" w:gutter="0" w:footer="0" w:header="0"/>
          <w:type w:val="continuous"/>
        </w:sectPr>
      </w:pPr>
    </w:p>
    <w:p>
      <w:pPr>
        <w:ind w:left="1960"/>
        <w:spacing w:after="0"/>
        <w:rPr>
          <w:sz w:val="20"/>
          <w:szCs w:val="20"/>
          <w:color w:val="auto"/>
        </w:rPr>
      </w:pPr>
      <w:r>
        <w:rPr>
          <w:rFonts w:ascii="Arial" w:cs="Arial" w:eastAsia="Arial" w:hAnsi="Arial"/>
          <w:sz w:val="16"/>
          <w:szCs w:val="16"/>
          <w:color w:val="auto"/>
        </w:rPr>
        <w:t>Common Stock, one dollar par value</w:t>
      </w:r>
    </w:p>
    <w:p>
      <w:pPr>
        <w:spacing w:after="0" w:line="20" w:lineRule="exact"/>
        <w:rPr>
          <w:sz w:val="24"/>
          <w:szCs w:val="24"/>
          <w:color w:val="auto"/>
        </w:rPr>
      </w:pPr>
      <w:r>
        <w:rPr>
          <w:sz w:val="24"/>
          <w:szCs w:val="24"/>
          <w:color w:val="auto"/>
        </w:rPr>
        <w:br w:type="column"/>
      </w:r>
    </w:p>
    <w:p>
      <w:pPr>
        <w:jc w:val="center"/>
        <w:ind w:right="2500"/>
        <w:spacing w:after="0"/>
        <w:rPr>
          <w:sz w:val="20"/>
          <w:szCs w:val="20"/>
          <w:color w:val="auto"/>
        </w:rPr>
      </w:pPr>
      <w:r>
        <w:rPr>
          <w:rFonts w:ascii="Arial" w:cs="Arial" w:eastAsia="Arial" w:hAnsi="Arial"/>
          <w:sz w:val="16"/>
          <w:szCs w:val="16"/>
          <w:color w:val="auto"/>
        </w:rPr>
        <w:t>New York Stock Exchange</w:t>
      </w:r>
    </w:p>
    <w:p>
      <w:pPr>
        <w:spacing w:after="0" w:line="140" w:lineRule="exact"/>
        <w:rPr>
          <w:sz w:val="24"/>
          <w:szCs w:val="24"/>
          <w:color w:val="auto"/>
        </w:rPr>
      </w:pPr>
    </w:p>
    <w:p>
      <w:pPr>
        <w:sectPr>
          <w:pgSz w:w="11900" w:h="16838" w:orient="portrait"/>
          <w:cols w:equalWidth="0" w:num="2">
            <w:col w:w="6240" w:space="720"/>
            <w:col w:w="4460"/>
          </w:cols>
          <w:pgMar w:left="240" w:top="887" w:right="239" w:bottom="1440" w:gutter="0" w:footer="0" w:header="0"/>
          <w:type w:val="continuous"/>
        </w:sectPr>
      </w:pPr>
    </w:p>
    <w:p>
      <w:pPr>
        <w:jc w:val="center"/>
        <w:ind w:right="220"/>
        <w:spacing w:after="0"/>
        <w:rPr>
          <w:sz w:val="20"/>
          <w:szCs w:val="20"/>
          <w:color w:val="auto"/>
        </w:rPr>
      </w:pPr>
      <w:r>
        <w:rPr>
          <w:rFonts w:ascii="Arial" w:cs="Arial" w:eastAsia="Arial" w:hAnsi="Arial"/>
          <w:sz w:val="18"/>
          <w:szCs w:val="18"/>
          <w:color w:val="auto"/>
        </w:rPr>
        <w:t>Securities registered pursuant to Section 12(g) of the Act:</w:t>
      </w:r>
    </w:p>
    <w:p>
      <w:pPr>
        <w:spacing w:after="0" w:line="117" w:lineRule="exact"/>
        <w:rPr>
          <w:sz w:val="24"/>
          <w:szCs w:val="24"/>
          <w:color w:val="auto"/>
        </w:rPr>
      </w:pPr>
    </w:p>
    <w:p>
      <w:pPr>
        <w:jc w:val="center"/>
        <w:ind w:right="220"/>
        <w:spacing w:after="0"/>
        <w:rPr>
          <w:sz w:val="20"/>
          <w:szCs w:val="20"/>
          <w:color w:val="auto"/>
        </w:rPr>
      </w:pPr>
      <w:r>
        <w:rPr>
          <w:rFonts w:ascii="Arial" w:cs="Arial" w:eastAsia="Arial" w:hAnsi="Arial"/>
          <w:sz w:val="18"/>
          <w:szCs w:val="18"/>
          <w:color w:val="auto"/>
        </w:rPr>
        <w:t>Title of class</w:t>
      </w:r>
    </w:p>
    <w:p>
      <w:pPr>
        <w:spacing w:after="0" w:line="117" w:lineRule="exact"/>
        <w:rPr>
          <w:sz w:val="24"/>
          <w:szCs w:val="24"/>
          <w:color w:val="auto"/>
        </w:rPr>
      </w:pPr>
    </w:p>
    <w:p>
      <w:pPr>
        <w:jc w:val="center"/>
        <w:ind w:right="220"/>
        <w:spacing w:after="0"/>
        <w:rPr>
          <w:sz w:val="20"/>
          <w:szCs w:val="20"/>
          <w:color w:val="auto"/>
        </w:rPr>
      </w:pPr>
      <w:r>
        <w:rPr>
          <w:rFonts w:ascii="Arial" w:cs="Arial" w:eastAsia="Arial" w:hAnsi="Arial"/>
          <w:sz w:val="18"/>
          <w:szCs w:val="18"/>
          <w:color w:val="auto"/>
        </w:rPr>
        <w:t>Class B Common Stock, one dollar par value</w:t>
      </w:r>
    </w:p>
    <w:p>
      <w:pPr>
        <w:spacing w:after="0" w:line="7"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69" w:lineRule="exact"/>
        <w:rPr>
          <w:sz w:val="20"/>
          <w:szCs w:val="20"/>
          <w:color w:val="auto"/>
        </w:rPr>
      </w:pPr>
      <w:r>
        <w:rPr>
          <w:rFonts w:ascii="Arial" w:cs="Arial" w:eastAsia="Arial" w:hAnsi="Arial"/>
          <w:sz w:val="18"/>
          <w:szCs w:val="18"/>
          <w:color w:val="auto"/>
        </w:rPr>
        <w:t xml:space="preserve">Yes x  No </w:t>
      </w:r>
      <w:r>
        <w:rPr>
          <w:rFonts w:ascii="MS PGothic" w:cs="MS PGothic" w:eastAsia="MS PGothic" w:hAnsi="MS PGothic"/>
          <w:sz w:val="18"/>
          <w:szCs w:val="18"/>
          <w:color w:val="auto"/>
        </w:rPr>
        <w:t>☐</w:t>
      </w:r>
    </w:p>
    <w:p>
      <w:pPr>
        <w:ind w:left="340"/>
        <w:spacing w:after="0" w:line="183" w:lineRule="exact"/>
        <w:tabs>
          <w:tab w:leader="none" w:pos="9660" w:val="left"/>
        </w:tabs>
        <w:rPr>
          <w:sz w:val="20"/>
          <w:szCs w:val="20"/>
          <w:color w:val="auto"/>
        </w:rPr>
      </w:pPr>
      <w:r>
        <w:rPr>
          <w:rFonts w:ascii="Arial" w:cs="Arial" w:eastAsia="Arial" w:hAnsi="Arial"/>
          <w:sz w:val="17"/>
          <w:szCs w:val="17"/>
          <w:color w:val="auto"/>
        </w:rPr>
        <w:t xml:space="preserve">Indicate by check mark if the registrant is not required to file reports pursuant to Section 13 or Section 15(d) of the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8"/>
          <w:szCs w:val="18"/>
          <w:color w:val="auto"/>
        </w:rPr>
        <w:t>No x</w:t>
      </w:r>
    </w:p>
    <w:p>
      <w:pPr>
        <w:ind w:right="140" w:firstLine="324"/>
        <w:spacing w:after="0" w:line="176"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 w:lineRule="exact"/>
        <w:rPr>
          <w:sz w:val="24"/>
          <w:szCs w:val="24"/>
          <w:color w:val="auto"/>
        </w:rPr>
      </w:pPr>
    </w:p>
    <w:p>
      <w:pPr>
        <w:ind w:right="260" w:firstLine="324"/>
        <w:spacing w:after="0" w:line="176"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 w:lineRule="exact"/>
        <w:rPr>
          <w:sz w:val="24"/>
          <w:szCs w:val="24"/>
          <w:color w:val="auto"/>
        </w:rPr>
      </w:pPr>
    </w:p>
    <w:p>
      <w:pPr>
        <w:ind w:firstLine="324"/>
        <w:spacing w:after="0" w:line="176"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 w:lineRule="exact"/>
        <w:rPr>
          <w:sz w:val="24"/>
          <w:szCs w:val="24"/>
          <w:color w:val="auto"/>
        </w:rPr>
      </w:pPr>
    </w:p>
    <w:p>
      <w:pPr>
        <w:ind w:right="80" w:firstLine="324"/>
        <w:spacing w:after="0" w:line="22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 w:lineRule="exact"/>
        <w:rPr>
          <w:sz w:val="24"/>
          <w:szCs w:val="24"/>
          <w:color w:val="auto"/>
        </w:rPr>
      </w:pPr>
    </w:p>
    <w:p>
      <w:pPr>
        <w:ind w:left="360" w:right="3400"/>
        <w:spacing w:after="0" w:line="186" w:lineRule="exact"/>
        <w:rPr>
          <w:sz w:val="20"/>
          <w:szCs w:val="20"/>
          <w:color w:val="auto"/>
        </w:rPr>
      </w:pPr>
      <w:r>
        <w:rPr>
          <w:rFonts w:ascii="Arial" w:cs="Arial" w:eastAsia="Arial" w:hAnsi="Arial"/>
          <w:sz w:val="18"/>
          <w:szCs w:val="18"/>
          <w:color w:val="auto"/>
        </w:rPr>
        <w:t xml:space="preserve">Large accelerated filer x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p>
    <w:p>
      <w:pPr>
        <w:ind w:left="340"/>
        <w:spacing w:after="0" w:line="204" w:lineRule="auto"/>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07" w:lineRule="exact"/>
        <w:tabs>
          <w:tab w:leader="none" w:pos="6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 x</w:t>
      </w:r>
    </w:p>
    <w:p>
      <w:pPr>
        <w:spacing w:after="0" w:line="74" w:lineRule="exact"/>
        <w:rPr>
          <w:sz w:val="24"/>
          <w:szCs w:val="24"/>
          <w:color w:val="auto"/>
        </w:rPr>
      </w:pPr>
    </w:p>
    <w:p>
      <w:pPr>
        <w:ind w:right="160" w:firstLine="324"/>
        <w:spacing w:after="0" w:line="244" w:lineRule="auto"/>
        <w:rPr>
          <w:sz w:val="20"/>
          <w:szCs w:val="20"/>
          <w:color w:val="auto"/>
        </w:rPr>
      </w:pPr>
      <w:r>
        <w:rPr>
          <w:rFonts w:ascii="Arial" w:cs="Arial" w:eastAsia="Arial" w:hAnsi="Arial"/>
          <w:sz w:val="16"/>
          <w:szCs w:val="16"/>
          <w:color w:val="auto"/>
        </w:rPr>
        <w:t>As of July 1, 2016 (the last business day of the registrant’s most recently completed second fiscal quarter), the aggregate market value of the voting and non-voting common equity held by non-affiliates was $15,563,409,682. Class B Common Stock is not listed for public trading on any exchange or market system. However, Class B shares are convertible into shares of Common Stock at any time on a share-for-share basis. Determination of aggregate market value assumes all outstanding shares of Class B Common Stock were converted to Common Stock as of July 1, 2016. The market value indicated is calculated based on the closing price of the Common Stock on the New York Stock Exchange on July 1, 2016 ($111.95 per share).</w:t>
      </w:r>
    </w:p>
    <w:p>
      <w:pPr>
        <w:spacing w:after="0" w:line="49"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w:t>
      </w:r>
    </w:p>
    <w:p>
      <w:pPr>
        <w:ind w:left="500"/>
        <w:spacing w:after="0" w:line="203" w:lineRule="auto"/>
        <w:rPr>
          <w:sz w:val="20"/>
          <w:szCs w:val="20"/>
          <w:color w:val="auto"/>
        </w:rPr>
      </w:pPr>
      <w:r>
        <w:rPr>
          <w:rFonts w:ascii="Arial" w:cs="Arial" w:eastAsia="Arial" w:hAnsi="Arial"/>
          <w:sz w:val="18"/>
          <w:szCs w:val="18"/>
          <w:color w:val="auto"/>
        </w:rPr>
        <w:t>Common Stock, one dollar par value—151,794,895 shares, as of February 10, 2017.</w:t>
      </w:r>
    </w:p>
    <w:p>
      <w:pPr>
        <w:ind w:left="500"/>
        <w:spacing w:after="0"/>
        <w:rPr>
          <w:sz w:val="20"/>
          <w:szCs w:val="20"/>
          <w:color w:val="auto"/>
        </w:rPr>
      </w:pPr>
      <w:r>
        <w:rPr>
          <w:rFonts w:ascii="Arial" w:cs="Arial" w:eastAsia="Arial" w:hAnsi="Arial"/>
          <w:sz w:val="18"/>
          <w:szCs w:val="18"/>
          <w:color w:val="auto"/>
        </w:rPr>
        <w:t>Class B Common Stock, one dollar par value—60,619,777 shares, as of February 10, 2017.</w:t>
      </w:r>
    </w:p>
    <w:p>
      <w:pPr>
        <w:spacing w:after="0" w:line="86"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DOCUMENTS INCORPORATED BY REFERENCE</w:t>
      </w:r>
    </w:p>
    <w:p>
      <w:pPr>
        <w:ind w:left="340"/>
        <w:spacing w:after="0"/>
        <w:rPr>
          <w:sz w:val="20"/>
          <w:szCs w:val="20"/>
          <w:color w:val="auto"/>
        </w:rPr>
      </w:pPr>
      <w:r>
        <w:rPr>
          <w:rFonts w:ascii="Arial" w:cs="Arial" w:eastAsia="Arial" w:hAnsi="Arial"/>
          <w:sz w:val="18"/>
          <w:szCs w:val="18"/>
          <w:color w:val="auto"/>
        </w:rPr>
        <w:t>Portions of the Proxy Statement for the 2017 Annual Meeting of Stockholders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34925</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87" w:right="239" w:bottom="1440" w:gutter="0" w:footer="0" w:header="0"/>
          <w:type w:val="continuous"/>
        </w:sectPr>
      </w:pPr>
    </w:p>
    <w:bookmarkStart w:id="1" w:name="page2"/>
    <w:bookmarkEnd w:id="1"/>
    <w:p>
      <w:pPr>
        <w:ind w:left="4580"/>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Annual Report on Form 10-K</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PART I</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000" w:type="dxa"/>
            <w:vAlign w:val="bottom"/>
            <w:gridSpan w:val="23"/>
          </w:tcPr>
          <w:p>
            <w:pPr>
              <w:ind w:left="340"/>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220" w:type="dxa"/>
            <w:vAlign w:val="bottom"/>
            <w:gridSpan w:val="4"/>
          </w:tcPr>
          <w:p>
            <w:pPr>
              <w:jc w:val="center"/>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00" w:type="dxa"/>
            <w:vAlign w:val="bottom"/>
            <w:gridSpan w:val="7"/>
            <w:shd w:val="clear" w:color="auto" w:fill="CCEEFF"/>
          </w:tcPr>
          <w:p>
            <w:pPr>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Item 1A.</w:t>
              </w:r>
            </w:hyperlink>
          </w:p>
        </w:tc>
        <w:tc>
          <w:tcPr>
            <w:tcW w:w="9000" w:type="dxa"/>
            <w:vAlign w:val="bottom"/>
            <w:gridSpan w:val="23"/>
            <w:shd w:val="clear" w:color="auto" w:fill="CCEEFF"/>
          </w:tcPr>
          <w:p>
            <w:pPr>
              <w:ind w:left="340"/>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Risk Factors</w:t>
              </w:r>
            </w:hyperlink>
          </w:p>
        </w:tc>
        <w:tc>
          <w:tcPr>
            <w:tcW w:w="220" w:type="dxa"/>
            <w:vAlign w:val="bottom"/>
            <w:gridSpan w:val="4"/>
            <w:shd w:val="clear" w:color="auto" w:fill="CCEEFF"/>
          </w:tcPr>
          <w:p>
            <w:pPr>
              <w:jc w:val="center"/>
              <w:spacing w:after="0" w:line="202"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6</w:t>
              </w:r>
            </w:hyperlink>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3"/>
          </w:tcPr>
          <w:p>
            <w:pPr>
              <w:spacing w:after="0" w:line="202" w:lineRule="exact"/>
              <w:rPr>
                <w:rFonts w:ascii="Arial" w:cs="Arial" w:eastAsia="Arial" w:hAnsi="Arial"/>
                <w:sz w:val="18"/>
                <w:szCs w:val="18"/>
                <w:color w:val="0000EE"/>
                <w:w w:val="89"/>
              </w:rPr>
            </w:pPr>
            <w:hyperlink w:anchor="page12">
              <w:r>
                <w:rPr>
                  <w:rFonts w:ascii="Arial" w:cs="Arial" w:eastAsia="Arial" w:hAnsi="Arial"/>
                  <w:sz w:val="18"/>
                  <w:szCs w:val="18"/>
                  <w:color w:val="0000EE"/>
                  <w:w w:val="89"/>
                </w:rPr>
                <w:t>Item 1B.</w:t>
              </w:r>
            </w:hyperlink>
          </w:p>
        </w:tc>
        <w:tc>
          <w:tcPr>
            <w:tcW w:w="1080" w:type="dxa"/>
            <w:vAlign w:val="bottom"/>
            <w:gridSpan w:val="4"/>
          </w:tcPr>
          <w:p>
            <w:pPr>
              <w:spacing w:after="0"/>
              <w:rPr>
                <w:sz w:val="17"/>
                <w:szCs w:val="17"/>
                <w:color w:val="auto"/>
              </w:rPr>
            </w:pPr>
          </w:p>
        </w:tc>
        <w:tc>
          <w:tcPr>
            <w:tcW w:w="340" w:type="dxa"/>
            <w:vAlign w:val="bottom"/>
          </w:tcPr>
          <w:p>
            <w:pPr>
              <w:spacing w:after="0"/>
              <w:rPr>
                <w:sz w:val="17"/>
                <w:szCs w:val="17"/>
                <w:color w:val="auto"/>
              </w:rPr>
            </w:pPr>
          </w:p>
        </w:tc>
        <w:tc>
          <w:tcPr>
            <w:tcW w:w="8660" w:type="dxa"/>
            <w:vAlign w:val="bottom"/>
            <w:gridSpan w:val="22"/>
          </w:tcPr>
          <w:p>
            <w:pPr>
              <w:spacing w:after="0" w:line="202" w:lineRule="exact"/>
              <w:rPr>
                <w:rFonts w:ascii="Arial" w:cs="Arial" w:eastAsia="Arial" w:hAnsi="Arial"/>
                <w:sz w:val="18"/>
                <w:szCs w:val="18"/>
                <w:color w:val="0000EE"/>
              </w:rPr>
            </w:pPr>
            <w:hyperlink w:anchor="page12">
              <w:r>
                <w:rPr>
                  <w:rFonts w:ascii="Arial" w:cs="Arial" w:eastAsia="Arial" w:hAnsi="Arial"/>
                  <w:sz w:val="18"/>
                  <w:szCs w:val="18"/>
                  <w:color w:val="0000EE"/>
                </w:rPr>
                <w:t>Unresolved Staff Comments</w:t>
              </w:r>
            </w:hyperlink>
          </w:p>
        </w:tc>
        <w:tc>
          <w:tcPr>
            <w:tcW w:w="240" w:type="dxa"/>
            <w:vAlign w:val="bottom"/>
            <w:gridSpan w:val="5"/>
          </w:tcPr>
          <w:p>
            <w:pPr>
              <w:jc w:val="center"/>
              <w:spacing w:after="0" w:line="202" w:lineRule="exact"/>
              <w:rPr>
                <w:rFonts w:ascii="Arial" w:cs="Arial" w:eastAsia="Arial" w:hAnsi="Arial"/>
                <w:sz w:val="18"/>
                <w:szCs w:val="18"/>
                <w:color w:val="0000EE"/>
                <w:w w:val="89"/>
              </w:rPr>
            </w:pPr>
            <w:hyperlink w:anchor="page12">
              <w:r>
                <w:rPr>
                  <w:rFonts w:ascii="Arial" w:cs="Arial" w:eastAsia="Arial" w:hAnsi="Arial"/>
                  <w:sz w:val="18"/>
                  <w:szCs w:val="18"/>
                  <w:color w:val="0000EE"/>
                  <w:w w:val="89"/>
                </w:rPr>
                <w:t>10</w:t>
              </w:r>
            </w:hyperlink>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line="202"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Item 2.</w:t>
              </w:r>
            </w:hyperlink>
          </w:p>
        </w:tc>
        <w:tc>
          <w:tcPr>
            <w:tcW w:w="1200" w:type="dxa"/>
            <w:vAlign w:val="bottom"/>
            <w:gridSpan w:val="6"/>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spacing w:after="0" w:line="202"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Properties</w:t>
              </w:r>
            </w:hyperlink>
          </w:p>
        </w:tc>
        <w:tc>
          <w:tcPr>
            <w:tcW w:w="7920" w:type="dxa"/>
            <w:vAlign w:val="bottom"/>
            <w:gridSpan w:val="20"/>
            <w:shd w:val="clear" w:color="auto" w:fill="CCEEFF"/>
          </w:tcPr>
          <w:p>
            <w:pPr>
              <w:spacing w:after="0"/>
              <w:rPr>
                <w:sz w:val="17"/>
                <w:szCs w:val="17"/>
                <w:color w:val="auto"/>
              </w:rPr>
            </w:pPr>
          </w:p>
        </w:tc>
        <w:tc>
          <w:tcPr>
            <w:tcW w:w="240" w:type="dxa"/>
            <w:vAlign w:val="bottom"/>
            <w:gridSpan w:val="5"/>
            <w:shd w:val="clear" w:color="auto" w:fill="CCEEFF"/>
          </w:tcPr>
          <w:p>
            <w:pPr>
              <w:jc w:val="center"/>
              <w:spacing w:after="0" w:line="202" w:lineRule="exact"/>
              <w:rPr>
                <w:rFonts w:ascii="Arial" w:cs="Arial" w:eastAsia="Arial" w:hAnsi="Arial"/>
                <w:sz w:val="18"/>
                <w:szCs w:val="18"/>
                <w:color w:val="0000EE"/>
                <w:w w:val="79"/>
              </w:rPr>
            </w:pPr>
            <w:hyperlink w:anchor="page13">
              <w:r>
                <w:rPr>
                  <w:rFonts w:ascii="Arial" w:cs="Arial" w:eastAsia="Arial" w:hAnsi="Arial"/>
                  <w:sz w:val="18"/>
                  <w:szCs w:val="18"/>
                  <w:color w:val="0000EE"/>
                  <w:w w:val="79"/>
                </w:rPr>
                <w:t>11</w:t>
              </w:r>
            </w:hyperlink>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line="202"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Item 3.</w:t>
              </w:r>
            </w:hyperlink>
          </w:p>
        </w:tc>
        <w:tc>
          <w:tcPr>
            <w:tcW w:w="1200" w:type="dxa"/>
            <w:vAlign w:val="bottom"/>
            <w:gridSpan w:val="6"/>
          </w:tcPr>
          <w:p>
            <w:pPr>
              <w:spacing w:after="0"/>
              <w:rPr>
                <w:sz w:val="17"/>
                <w:szCs w:val="17"/>
                <w:color w:val="auto"/>
              </w:rPr>
            </w:pPr>
          </w:p>
        </w:tc>
        <w:tc>
          <w:tcPr>
            <w:tcW w:w="340" w:type="dxa"/>
            <w:vAlign w:val="bottom"/>
          </w:tcPr>
          <w:p>
            <w:pPr>
              <w:spacing w:after="0"/>
              <w:rPr>
                <w:sz w:val="17"/>
                <w:szCs w:val="17"/>
                <w:color w:val="auto"/>
              </w:rPr>
            </w:pPr>
          </w:p>
        </w:tc>
        <w:tc>
          <w:tcPr>
            <w:tcW w:w="8660" w:type="dxa"/>
            <w:vAlign w:val="bottom"/>
            <w:gridSpan w:val="22"/>
          </w:tcPr>
          <w:p>
            <w:pPr>
              <w:spacing w:after="0" w:line="202" w:lineRule="exact"/>
              <w:rPr>
                <w:rFonts w:ascii="Arial" w:cs="Arial" w:eastAsia="Arial" w:hAnsi="Arial"/>
                <w:sz w:val="18"/>
                <w:szCs w:val="18"/>
                <w:color w:val="0000EE"/>
              </w:rPr>
            </w:pPr>
            <w:hyperlink w:anchor="page13">
              <w:r>
                <w:rPr>
                  <w:rFonts w:ascii="Arial" w:cs="Arial" w:eastAsia="Arial" w:hAnsi="Arial"/>
                  <w:sz w:val="18"/>
                  <w:szCs w:val="18"/>
                  <w:color w:val="0000EE"/>
                </w:rPr>
                <w:t>Legal Proceedings</w:t>
              </w:r>
            </w:hyperlink>
          </w:p>
        </w:tc>
        <w:tc>
          <w:tcPr>
            <w:tcW w:w="240" w:type="dxa"/>
            <w:vAlign w:val="bottom"/>
            <w:gridSpan w:val="5"/>
          </w:tcPr>
          <w:p>
            <w:pPr>
              <w:jc w:val="center"/>
              <w:spacing w:after="0" w:line="202" w:lineRule="exact"/>
              <w:rPr>
                <w:rFonts w:ascii="Arial" w:cs="Arial" w:eastAsia="Arial" w:hAnsi="Arial"/>
                <w:sz w:val="18"/>
                <w:szCs w:val="18"/>
                <w:color w:val="0000EE"/>
                <w:w w:val="79"/>
              </w:rPr>
            </w:pPr>
            <w:hyperlink w:anchor="page13">
              <w:r>
                <w:rPr>
                  <w:rFonts w:ascii="Arial" w:cs="Arial" w:eastAsia="Arial" w:hAnsi="Arial"/>
                  <w:sz w:val="18"/>
                  <w:szCs w:val="18"/>
                  <w:color w:val="0000EE"/>
                  <w:w w:val="79"/>
                </w:rPr>
                <w:t>11</w:t>
              </w:r>
            </w:hyperlink>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line="202"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Item 4.</w:t>
              </w:r>
            </w:hyperlink>
          </w:p>
        </w:tc>
        <w:tc>
          <w:tcPr>
            <w:tcW w:w="1200" w:type="dxa"/>
            <w:vAlign w:val="bottom"/>
            <w:gridSpan w:val="6"/>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780" w:type="dxa"/>
            <w:vAlign w:val="bottom"/>
            <w:gridSpan w:val="8"/>
            <w:shd w:val="clear" w:color="auto" w:fill="CCEEFF"/>
          </w:tcPr>
          <w:p>
            <w:pPr>
              <w:spacing w:after="0" w:line="202" w:lineRule="exact"/>
              <w:rPr>
                <w:rFonts w:ascii="Arial" w:cs="Arial" w:eastAsia="Arial" w:hAnsi="Arial"/>
                <w:sz w:val="18"/>
                <w:szCs w:val="18"/>
                <w:color w:val="0000EE"/>
                <w:w w:val="91"/>
              </w:rPr>
            </w:pPr>
            <w:hyperlink w:anchor="page13">
              <w:r>
                <w:rPr>
                  <w:rFonts w:ascii="Arial" w:cs="Arial" w:eastAsia="Arial" w:hAnsi="Arial"/>
                  <w:sz w:val="18"/>
                  <w:szCs w:val="18"/>
                  <w:color w:val="0000EE"/>
                  <w:w w:val="91"/>
                </w:rPr>
                <w:t>Mine Safety Disclosures</w:t>
              </w:r>
            </w:hyperlink>
          </w:p>
        </w:tc>
        <w:tc>
          <w:tcPr>
            <w:tcW w:w="6880" w:type="dxa"/>
            <w:vAlign w:val="bottom"/>
            <w:gridSpan w:val="14"/>
            <w:shd w:val="clear" w:color="auto" w:fill="CCEEFF"/>
          </w:tcPr>
          <w:p>
            <w:pPr>
              <w:spacing w:after="0"/>
              <w:rPr>
                <w:sz w:val="17"/>
                <w:szCs w:val="17"/>
                <w:color w:val="auto"/>
              </w:rPr>
            </w:pPr>
          </w:p>
        </w:tc>
        <w:tc>
          <w:tcPr>
            <w:tcW w:w="240" w:type="dxa"/>
            <w:vAlign w:val="bottom"/>
            <w:gridSpan w:val="5"/>
            <w:shd w:val="clear" w:color="auto" w:fill="CCEEFF"/>
          </w:tcPr>
          <w:p>
            <w:pPr>
              <w:jc w:val="center"/>
              <w:spacing w:after="0" w:line="202" w:lineRule="exact"/>
              <w:rPr>
                <w:rFonts w:ascii="Arial" w:cs="Arial" w:eastAsia="Arial" w:hAnsi="Arial"/>
                <w:sz w:val="18"/>
                <w:szCs w:val="18"/>
                <w:color w:val="0000EE"/>
                <w:w w:val="79"/>
              </w:rPr>
            </w:pPr>
            <w:hyperlink w:anchor="page13">
              <w:r>
                <w:rPr>
                  <w:rFonts w:ascii="Arial" w:cs="Arial" w:eastAsia="Arial" w:hAnsi="Arial"/>
                  <w:sz w:val="18"/>
                  <w:szCs w:val="18"/>
                  <w:color w:val="0000EE"/>
                  <w:w w:val="79"/>
                </w:rPr>
                <w:t>11</w:t>
              </w:r>
            </w:hyperlink>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7"/>
          </w:tcPr>
          <w:p>
            <w:pPr>
              <w:spacing w:after="0" w:line="202" w:lineRule="exact"/>
              <w:rPr>
                <w:rFonts w:ascii="Arial" w:cs="Arial" w:eastAsia="Arial" w:hAnsi="Arial"/>
                <w:sz w:val="18"/>
                <w:szCs w:val="18"/>
                <w:color w:val="0000EE"/>
              </w:rPr>
            </w:pPr>
            <w:hyperlink w:anchor="page14">
              <w:r>
                <w:rPr>
                  <w:rFonts w:ascii="Arial" w:cs="Arial" w:eastAsia="Arial" w:hAnsi="Arial"/>
                  <w:sz w:val="18"/>
                  <w:szCs w:val="18"/>
                  <w:color w:val="0000EE"/>
                </w:rPr>
                <w:t>Supplemental Item</w:t>
              </w:r>
            </w:hyperlink>
          </w:p>
        </w:tc>
        <w:tc>
          <w:tcPr>
            <w:tcW w:w="9000" w:type="dxa"/>
            <w:vAlign w:val="bottom"/>
            <w:gridSpan w:val="23"/>
          </w:tcPr>
          <w:p>
            <w:pPr>
              <w:ind w:left="340"/>
              <w:spacing w:after="0" w:line="202" w:lineRule="exact"/>
              <w:rPr>
                <w:rFonts w:ascii="Arial" w:cs="Arial" w:eastAsia="Arial" w:hAnsi="Arial"/>
                <w:sz w:val="18"/>
                <w:szCs w:val="18"/>
                <w:color w:val="0000EE"/>
              </w:rPr>
            </w:pPr>
            <w:hyperlink w:anchor="page14">
              <w:r>
                <w:rPr>
                  <w:rFonts w:ascii="Arial" w:cs="Arial" w:eastAsia="Arial" w:hAnsi="Arial"/>
                  <w:sz w:val="18"/>
                  <w:szCs w:val="18"/>
                  <w:color w:val="0000EE"/>
                </w:rPr>
                <w:t>Executive Officers of the Registrants</w:t>
              </w:r>
            </w:hyperlink>
          </w:p>
        </w:tc>
        <w:tc>
          <w:tcPr>
            <w:tcW w:w="240" w:type="dxa"/>
            <w:vAlign w:val="bottom"/>
            <w:gridSpan w:val="5"/>
          </w:tcPr>
          <w:p>
            <w:pPr>
              <w:jc w:val="center"/>
              <w:spacing w:after="0" w:line="202" w:lineRule="exact"/>
              <w:rPr>
                <w:rFonts w:ascii="Arial" w:cs="Arial" w:eastAsia="Arial" w:hAnsi="Arial"/>
                <w:sz w:val="18"/>
                <w:szCs w:val="18"/>
                <w:color w:val="0000EE"/>
                <w:w w:val="89"/>
              </w:rPr>
            </w:pPr>
            <w:hyperlink w:anchor="page14">
              <w:r>
                <w:rPr>
                  <w:rFonts w:ascii="Arial" w:cs="Arial" w:eastAsia="Arial" w:hAnsi="Arial"/>
                  <w:sz w:val="18"/>
                  <w:szCs w:val="18"/>
                  <w:color w:val="0000EE"/>
                  <w:w w:val="89"/>
                </w:rPr>
                <w:t>12</w:t>
              </w:r>
            </w:hyperlink>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250"/>
        </w:trPr>
        <w:tc>
          <w:tcPr>
            <w:tcW w:w="1880" w:type="dxa"/>
            <w:vAlign w:val="bottom"/>
            <w:tcBorders>
              <w:bottom w:val="single" w:sz="8" w:color="CCEEFF"/>
            </w:tcBorders>
            <w:gridSpan w:val="9"/>
            <w:shd w:val="clear" w:color="auto" w:fill="CCEEFF"/>
          </w:tcPr>
          <w:p>
            <w:pPr>
              <w:ind w:left="40"/>
              <w:spacing w:after="0"/>
              <w:rPr>
                <w:sz w:val="20"/>
                <w:szCs w:val="20"/>
                <w:color w:val="auto"/>
              </w:rPr>
            </w:pPr>
            <w:r>
              <w:rPr>
                <w:rFonts w:ascii="Arial" w:cs="Arial" w:eastAsia="Arial" w:hAnsi="Arial"/>
                <w:sz w:val="18"/>
                <w:szCs w:val="18"/>
                <w:b w:val="1"/>
                <w:bCs w:val="1"/>
                <w:color w:val="auto"/>
              </w:rPr>
              <w:t>PART II</w:t>
            </w:r>
          </w:p>
        </w:tc>
        <w:tc>
          <w:tcPr>
            <w:tcW w:w="3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7"/>
          </w:tcPr>
          <w:p>
            <w:pPr>
              <w:spacing w:after="0" w:line="202" w:lineRule="exact"/>
              <w:rPr>
                <w:rFonts w:ascii="Arial" w:cs="Arial" w:eastAsia="Arial" w:hAnsi="Arial"/>
                <w:sz w:val="18"/>
                <w:szCs w:val="18"/>
                <w:color w:val="0000EE"/>
              </w:rPr>
            </w:pPr>
            <w:hyperlink w:anchor="page15">
              <w:r>
                <w:rPr>
                  <w:rFonts w:ascii="Arial" w:cs="Arial" w:eastAsia="Arial" w:hAnsi="Arial"/>
                  <w:sz w:val="18"/>
                  <w:szCs w:val="18"/>
                  <w:color w:val="0000EE"/>
                </w:rPr>
                <w:t>Item 5.</w:t>
              </w:r>
            </w:hyperlink>
          </w:p>
        </w:tc>
        <w:tc>
          <w:tcPr>
            <w:tcW w:w="9000" w:type="dxa"/>
            <w:vAlign w:val="bottom"/>
            <w:gridSpan w:val="23"/>
          </w:tcPr>
          <w:p>
            <w:pPr>
              <w:ind w:left="340"/>
              <w:spacing w:after="0" w:line="202" w:lineRule="exact"/>
              <w:rPr>
                <w:rFonts w:ascii="Arial" w:cs="Arial" w:eastAsia="Arial" w:hAnsi="Arial"/>
                <w:sz w:val="18"/>
                <w:szCs w:val="18"/>
                <w:color w:val="0000EE"/>
                <w:w w:val="97"/>
              </w:rPr>
            </w:pPr>
            <w:hyperlink w:anchor="page15">
              <w:r>
                <w:rPr>
                  <w:rFonts w:ascii="Arial" w:cs="Arial" w:eastAsia="Arial" w:hAnsi="Arial"/>
                  <w:sz w:val="18"/>
                  <w:szCs w:val="18"/>
                  <w:color w:val="0000EE"/>
                  <w:w w:val="97"/>
                </w:rPr>
                <w:t>Market for Registrant's Common Equity, Related Stockholder Matters and Issuer Purchases of Equity Securities</w:t>
              </w:r>
            </w:hyperlink>
          </w:p>
        </w:tc>
        <w:tc>
          <w:tcPr>
            <w:tcW w:w="240" w:type="dxa"/>
            <w:vAlign w:val="bottom"/>
            <w:gridSpan w:val="5"/>
          </w:tcPr>
          <w:p>
            <w:pPr>
              <w:jc w:val="center"/>
              <w:spacing w:after="0" w:line="202" w:lineRule="exact"/>
              <w:rPr>
                <w:rFonts w:ascii="Arial" w:cs="Arial" w:eastAsia="Arial" w:hAnsi="Arial"/>
                <w:sz w:val="18"/>
                <w:szCs w:val="18"/>
                <w:color w:val="0000EE"/>
                <w:w w:val="89"/>
              </w:rPr>
            </w:pPr>
            <w:hyperlink w:anchor="page15">
              <w:r>
                <w:rPr>
                  <w:rFonts w:ascii="Arial" w:cs="Arial" w:eastAsia="Arial" w:hAnsi="Arial"/>
                  <w:sz w:val="18"/>
                  <w:szCs w:val="18"/>
                  <w:color w:val="0000EE"/>
                  <w:w w:val="89"/>
                </w:rPr>
                <w:t>13</w:t>
              </w:r>
            </w:hyperlink>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100" w:type="dxa"/>
            <w:vAlign w:val="bottom"/>
            <w:tcBorders>
              <w:top w:val="single" w:sz="8" w:color="0000EE"/>
            </w:tcBorders>
          </w:tcPr>
          <w:p>
            <w:pPr>
              <w:spacing w:after="0"/>
              <w:rPr>
                <w:sz w:val="4"/>
                <w:szCs w:val="4"/>
                <w:color w:val="auto"/>
              </w:rPr>
            </w:pPr>
          </w:p>
        </w:tc>
        <w:tc>
          <w:tcPr>
            <w:tcW w:w="9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line="202" w:lineRule="exact"/>
              <w:rPr>
                <w:rFonts w:ascii="Arial" w:cs="Arial" w:eastAsia="Arial" w:hAnsi="Arial"/>
                <w:sz w:val="18"/>
                <w:szCs w:val="18"/>
                <w:color w:val="0000EE"/>
                <w:w w:val="87"/>
              </w:rPr>
            </w:pPr>
            <w:hyperlink w:anchor="page17">
              <w:r>
                <w:rPr>
                  <w:rFonts w:ascii="Arial" w:cs="Arial" w:eastAsia="Arial" w:hAnsi="Arial"/>
                  <w:sz w:val="18"/>
                  <w:szCs w:val="18"/>
                  <w:color w:val="0000EE"/>
                  <w:w w:val="87"/>
                </w:rPr>
                <w:t>Item 6.</w:t>
              </w:r>
            </w:hyperlink>
          </w:p>
        </w:tc>
        <w:tc>
          <w:tcPr>
            <w:tcW w:w="1200" w:type="dxa"/>
            <w:vAlign w:val="bottom"/>
            <w:gridSpan w:val="6"/>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720" w:type="dxa"/>
            <w:vAlign w:val="bottom"/>
            <w:gridSpan w:val="7"/>
            <w:shd w:val="clear" w:color="auto" w:fill="CCEEFF"/>
          </w:tcPr>
          <w:p>
            <w:pPr>
              <w:spacing w:after="0" w:line="202"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Selected Financial Data</w:t>
              </w:r>
            </w:hyperlink>
          </w:p>
        </w:tc>
        <w:tc>
          <w:tcPr>
            <w:tcW w:w="6940" w:type="dxa"/>
            <w:vAlign w:val="bottom"/>
            <w:gridSpan w:val="15"/>
            <w:shd w:val="clear" w:color="auto" w:fill="CCEEFF"/>
          </w:tcPr>
          <w:p>
            <w:pPr>
              <w:spacing w:after="0"/>
              <w:rPr>
                <w:sz w:val="17"/>
                <w:szCs w:val="17"/>
                <w:color w:val="auto"/>
              </w:rPr>
            </w:pPr>
          </w:p>
        </w:tc>
        <w:tc>
          <w:tcPr>
            <w:tcW w:w="24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15</w:t>
              </w:r>
            </w:hyperlink>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line="202" w:lineRule="exact"/>
              <w:rPr>
                <w:rFonts w:ascii="Arial" w:cs="Arial" w:eastAsia="Arial" w:hAnsi="Arial"/>
                <w:sz w:val="18"/>
                <w:szCs w:val="18"/>
                <w:color w:val="0000EE"/>
                <w:w w:val="87"/>
              </w:rPr>
            </w:pPr>
            <w:hyperlink w:anchor="page18">
              <w:r>
                <w:rPr>
                  <w:rFonts w:ascii="Arial" w:cs="Arial" w:eastAsia="Arial" w:hAnsi="Arial"/>
                  <w:sz w:val="18"/>
                  <w:szCs w:val="18"/>
                  <w:color w:val="0000EE"/>
                  <w:w w:val="87"/>
                </w:rPr>
                <w:t>Item 7.</w:t>
              </w:r>
            </w:hyperlink>
          </w:p>
        </w:tc>
        <w:tc>
          <w:tcPr>
            <w:tcW w:w="1200" w:type="dxa"/>
            <w:vAlign w:val="bottom"/>
            <w:gridSpan w:val="6"/>
          </w:tcPr>
          <w:p>
            <w:pPr>
              <w:spacing w:after="0"/>
              <w:rPr>
                <w:sz w:val="17"/>
                <w:szCs w:val="17"/>
                <w:color w:val="auto"/>
              </w:rPr>
            </w:pPr>
          </w:p>
        </w:tc>
        <w:tc>
          <w:tcPr>
            <w:tcW w:w="340" w:type="dxa"/>
            <w:vAlign w:val="bottom"/>
          </w:tcPr>
          <w:p>
            <w:pPr>
              <w:spacing w:after="0"/>
              <w:rPr>
                <w:sz w:val="17"/>
                <w:szCs w:val="17"/>
                <w:color w:val="auto"/>
              </w:rPr>
            </w:pPr>
          </w:p>
        </w:tc>
        <w:tc>
          <w:tcPr>
            <w:tcW w:w="8660" w:type="dxa"/>
            <w:vAlign w:val="bottom"/>
            <w:gridSpan w:val="22"/>
          </w:tcPr>
          <w:p>
            <w:pPr>
              <w:spacing w:after="0" w:line="202" w:lineRule="exact"/>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240" w:type="dxa"/>
            <w:vAlign w:val="bottom"/>
            <w:gridSpan w:val="5"/>
          </w:tcPr>
          <w:p>
            <w:pPr>
              <w:jc w:val="center"/>
              <w:spacing w:after="0" w:line="202"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16</w:t>
              </w:r>
            </w:hyperlink>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100" w:type="dxa"/>
            <w:vAlign w:val="bottom"/>
            <w:tcBorders>
              <w:top w:val="single" w:sz="8" w:color="0000EE"/>
            </w:tcBorders>
          </w:tcPr>
          <w:p>
            <w:pPr>
              <w:spacing w:after="0"/>
              <w:rPr>
                <w:sz w:val="4"/>
                <w:szCs w:val="4"/>
                <w:color w:val="auto"/>
              </w:rPr>
            </w:pPr>
          </w:p>
        </w:tc>
        <w:tc>
          <w:tcPr>
            <w:tcW w:w="9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00" w:type="dxa"/>
            <w:vAlign w:val="bottom"/>
            <w:gridSpan w:val="7"/>
            <w:shd w:val="clear" w:color="auto" w:fill="CCEEFF"/>
          </w:tcPr>
          <w:p>
            <w:pPr>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Item 7A.</w:t>
              </w:r>
            </w:hyperlink>
          </w:p>
        </w:tc>
        <w:tc>
          <w:tcPr>
            <w:tcW w:w="9000" w:type="dxa"/>
            <w:vAlign w:val="bottom"/>
            <w:gridSpan w:val="23"/>
            <w:shd w:val="clear" w:color="auto" w:fill="CCEEFF"/>
          </w:tcPr>
          <w:p>
            <w:pPr>
              <w:ind w:left="340"/>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Quantitative and Qualitative Disclosures About Market Risk</w:t>
              </w:r>
            </w:hyperlink>
          </w:p>
        </w:tc>
        <w:tc>
          <w:tcPr>
            <w:tcW w:w="24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41</w:t>
              </w:r>
            </w:hyperlink>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3"/>
          </w:tcPr>
          <w:p>
            <w:pPr>
              <w:spacing w:after="0" w:line="202" w:lineRule="exact"/>
              <w:rPr>
                <w:rFonts w:ascii="Arial" w:cs="Arial" w:eastAsia="Arial" w:hAnsi="Arial"/>
                <w:sz w:val="18"/>
                <w:szCs w:val="18"/>
                <w:color w:val="0000EE"/>
              </w:rPr>
            </w:pPr>
            <w:hyperlink w:anchor="page46">
              <w:r>
                <w:rPr>
                  <w:rFonts w:ascii="Arial" w:cs="Arial" w:eastAsia="Arial" w:hAnsi="Arial"/>
                  <w:sz w:val="18"/>
                  <w:szCs w:val="18"/>
                  <w:color w:val="0000EE"/>
                </w:rPr>
                <w:t>Item 8.</w:t>
              </w:r>
            </w:hyperlink>
          </w:p>
        </w:tc>
        <w:tc>
          <w:tcPr>
            <w:tcW w:w="1080" w:type="dxa"/>
            <w:vAlign w:val="bottom"/>
            <w:gridSpan w:val="4"/>
          </w:tcPr>
          <w:p>
            <w:pPr>
              <w:spacing w:after="0"/>
              <w:rPr>
                <w:sz w:val="17"/>
                <w:szCs w:val="17"/>
                <w:color w:val="auto"/>
              </w:rPr>
            </w:pPr>
          </w:p>
        </w:tc>
        <w:tc>
          <w:tcPr>
            <w:tcW w:w="340" w:type="dxa"/>
            <w:vAlign w:val="bottom"/>
          </w:tcPr>
          <w:p>
            <w:pPr>
              <w:spacing w:after="0"/>
              <w:rPr>
                <w:sz w:val="17"/>
                <w:szCs w:val="17"/>
                <w:color w:val="auto"/>
              </w:rPr>
            </w:pPr>
          </w:p>
        </w:tc>
        <w:tc>
          <w:tcPr>
            <w:tcW w:w="4360" w:type="dxa"/>
            <w:vAlign w:val="bottom"/>
            <w:gridSpan w:val="16"/>
          </w:tcPr>
          <w:p>
            <w:pPr>
              <w:spacing w:after="0" w:line="202" w:lineRule="exact"/>
              <w:rPr>
                <w:rFonts w:ascii="Arial" w:cs="Arial" w:eastAsia="Arial" w:hAnsi="Arial"/>
                <w:sz w:val="18"/>
                <w:szCs w:val="18"/>
                <w:color w:val="0000EE"/>
              </w:rPr>
            </w:pPr>
            <w:hyperlink w:anchor="page46">
              <w:r>
                <w:rPr>
                  <w:rFonts w:ascii="Arial" w:cs="Arial" w:eastAsia="Arial" w:hAnsi="Arial"/>
                  <w:sz w:val="18"/>
                  <w:szCs w:val="18"/>
                  <w:color w:val="0000EE"/>
                </w:rPr>
                <w:t>Financial Statements and Supplementary Data</w:t>
              </w:r>
            </w:hyperlink>
          </w:p>
        </w:tc>
        <w:tc>
          <w:tcPr>
            <w:tcW w:w="4300" w:type="dxa"/>
            <w:vAlign w:val="bottom"/>
            <w:gridSpan w:val="6"/>
          </w:tcPr>
          <w:p>
            <w:pPr>
              <w:spacing w:after="0"/>
              <w:rPr>
                <w:sz w:val="17"/>
                <w:szCs w:val="17"/>
                <w:color w:val="auto"/>
              </w:rPr>
            </w:pPr>
          </w:p>
        </w:tc>
        <w:tc>
          <w:tcPr>
            <w:tcW w:w="240" w:type="dxa"/>
            <w:vAlign w:val="bottom"/>
            <w:gridSpan w:val="5"/>
          </w:tcPr>
          <w:p>
            <w:pPr>
              <w:jc w:val="center"/>
              <w:spacing w:after="0" w:line="202"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44</w:t>
              </w:r>
            </w:hyperlink>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line="202" w:lineRule="exact"/>
              <w:rPr>
                <w:rFonts w:ascii="Arial" w:cs="Arial" w:eastAsia="Arial" w:hAnsi="Arial"/>
                <w:sz w:val="18"/>
                <w:szCs w:val="18"/>
                <w:color w:val="0000EE"/>
                <w:w w:val="87"/>
              </w:rPr>
            </w:pPr>
            <w:hyperlink w:anchor="page95">
              <w:r>
                <w:rPr>
                  <w:rFonts w:ascii="Arial" w:cs="Arial" w:eastAsia="Arial" w:hAnsi="Arial"/>
                  <w:sz w:val="18"/>
                  <w:szCs w:val="18"/>
                  <w:color w:val="0000EE"/>
                  <w:w w:val="87"/>
                </w:rPr>
                <w:t>Item 9.</w:t>
              </w:r>
            </w:hyperlink>
          </w:p>
        </w:tc>
        <w:tc>
          <w:tcPr>
            <w:tcW w:w="1200" w:type="dxa"/>
            <w:vAlign w:val="bottom"/>
            <w:gridSpan w:val="6"/>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60" w:type="dxa"/>
            <w:vAlign w:val="bottom"/>
            <w:gridSpan w:val="22"/>
            <w:shd w:val="clear" w:color="auto" w:fill="CCEEFF"/>
          </w:tcPr>
          <w:p>
            <w:pPr>
              <w:spacing w:after="0" w:line="202" w:lineRule="exact"/>
              <w:rPr>
                <w:rFonts w:ascii="Arial" w:cs="Arial" w:eastAsia="Arial" w:hAnsi="Arial"/>
                <w:sz w:val="18"/>
                <w:szCs w:val="18"/>
                <w:color w:val="0000EE"/>
              </w:rPr>
            </w:pPr>
            <w:hyperlink w:anchor="page95">
              <w:r>
                <w:rPr>
                  <w:rFonts w:ascii="Arial" w:cs="Arial" w:eastAsia="Arial" w:hAnsi="Arial"/>
                  <w:sz w:val="18"/>
                  <w:szCs w:val="18"/>
                  <w:color w:val="0000EE"/>
                </w:rPr>
                <w:t>Changes in and Disagreements with Accountants on Accounting and Financial Disclosure</w:t>
              </w:r>
            </w:hyperlink>
          </w:p>
        </w:tc>
        <w:tc>
          <w:tcPr>
            <w:tcW w:w="24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95">
              <w:r>
                <w:rPr>
                  <w:rFonts w:ascii="Arial" w:cs="Arial" w:eastAsia="Arial" w:hAnsi="Arial"/>
                  <w:sz w:val="18"/>
                  <w:szCs w:val="18"/>
                  <w:color w:val="0000EE"/>
                  <w:w w:val="89"/>
                </w:rPr>
                <w:t>93</w:t>
              </w:r>
            </w:hyperlink>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100" w:type="dxa"/>
            <w:vAlign w:val="bottom"/>
            <w:tcBorders>
              <w:top w:val="single" w:sz="8" w:color="0000EE"/>
            </w:tcBorders>
            <w:shd w:val="clear" w:color="auto" w:fill="CCEEFF"/>
          </w:tcPr>
          <w:p>
            <w:pPr>
              <w:spacing w:after="0"/>
              <w:rPr>
                <w:sz w:val="4"/>
                <w:szCs w:val="4"/>
                <w:color w:val="auto"/>
              </w:rPr>
            </w:pPr>
          </w:p>
        </w:tc>
        <w:tc>
          <w:tcPr>
            <w:tcW w:w="9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7"/>
          </w:tcPr>
          <w:p>
            <w:pPr>
              <w:spacing w:after="0" w:line="202" w:lineRule="exact"/>
              <w:rPr>
                <w:rFonts w:ascii="Arial" w:cs="Arial" w:eastAsia="Arial" w:hAnsi="Arial"/>
                <w:sz w:val="18"/>
                <w:szCs w:val="18"/>
                <w:color w:val="0000EE"/>
              </w:rPr>
            </w:pPr>
            <w:hyperlink w:anchor="page95">
              <w:r>
                <w:rPr>
                  <w:rFonts w:ascii="Arial" w:cs="Arial" w:eastAsia="Arial" w:hAnsi="Arial"/>
                  <w:sz w:val="18"/>
                  <w:szCs w:val="18"/>
                  <w:color w:val="0000EE"/>
                </w:rPr>
                <w:t>Item 9A.</w:t>
              </w:r>
            </w:hyperlink>
          </w:p>
        </w:tc>
        <w:tc>
          <w:tcPr>
            <w:tcW w:w="9000" w:type="dxa"/>
            <w:vAlign w:val="bottom"/>
            <w:gridSpan w:val="23"/>
          </w:tcPr>
          <w:p>
            <w:pPr>
              <w:ind w:left="340"/>
              <w:spacing w:after="0" w:line="202" w:lineRule="exact"/>
              <w:rPr>
                <w:rFonts w:ascii="Arial" w:cs="Arial" w:eastAsia="Arial" w:hAnsi="Arial"/>
                <w:sz w:val="18"/>
                <w:szCs w:val="18"/>
                <w:color w:val="0000EE"/>
              </w:rPr>
            </w:pPr>
            <w:hyperlink w:anchor="page95">
              <w:r>
                <w:rPr>
                  <w:rFonts w:ascii="Arial" w:cs="Arial" w:eastAsia="Arial" w:hAnsi="Arial"/>
                  <w:sz w:val="18"/>
                  <w:szCs w:val="18"/>
                  <w:color w:val="0000EE"/>
                </w:rPr>
                <w:t>Controls and Procedures</w:t>
              </w:r>
            </w:hyperlink>
          </w:p>
        </w:tc>
        <w:tc>
          <w:tcPr>
            <w:tcW w:w="240" w:type="dxa"/>
            <w:vAlign w:val="bottom"/>
            <w:gridSpan w:val="5"/>
          </w:tcPr>
          <w:p>
            <w:pPr>
              <w:jc w:val="center"/>
              <w:spacing w:after="0" w:line="202" w:lineRule="exact"/>
              <w:rPr>
                <w:rFonts w:ascii="Arial" w:cs="Arial" w:eastAsia="Arial" w:hAnsi="Arial"/>
                <w:sz w:val="18"/>
                <w:szCs w:val="18"/>
                <w:color w:val="0000EE"/>
                <w:w w:val="89"/>
              </w:rPr>
            </w:pPr>
            <w:hyperlink w:anchor="page95">
              <w:r>
                <w:rPr>
                  <w:rFonts w:ascii="Arial" w:cs="Arial" w:eastAsia="Arial" w:hAnsi="Arial"/>
                  <w:sz w:val="18"/>
                  <w:szCs w:val="18"/>
                  <w:color w:val="0000EE"/>
                  <w:w w:val="89"/>
                </w:rPr>
                <w:t>93</w:t>
              </w:r>
            </w:hyperlink>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3"/>
            <w:shd w:val="clear" w:color="auto" w:fill="CCEEFF"/>
          </w:tcPr>
          <w:p>
            <w:pPr>
              <w:spacing w:after="0" w:line="202" w:lineRule="exact"/>
              <w:rPr>
                <w:rFonts w:ascii="Arial" w:cs="Arial" w:eastAsia="Arial" w:hAnsi="Arial"/>
                <w:sz w:val="18"/>
                <w:szCs w:val="18"/>
                <w:color w:val="0000EE"/>
                <w:w w:val="89"/>
              </w:rPr>
            </w:pPr>
            <w:hyperlink w:anchor="page97">
              <w:r>
                <w:rPr>
                  <w:rFonts w:ascii="Arial" w:cs="Arial" w:eastAsia="Arial" w:hAnsi="Arial"/>
                  <w:sz w:val="18"/>
                  <w:szCs w:val="18"/>
                  <w:color w:val="0000EE"/>
                  <w:w w:val="89"/>
                </w:rPr>
                <w:t>Item 9B.</w:t>
              </w:r>
            </w:hyperlink>
          </w:p>
        </w:tc>
        <w:tc>
          <w:tcPr>
            <w:tcW w:w="1080" w:type="dxa"/>
            <w:vAlign w:val="bottom"/>
            <w:gridSpan w:val="4"/>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20" w:type="dxa"/>
            <w:vAlign w:val="bottom"/>
            <w:gridSpan w:val="4"/>
            <w:shd w:val="clear" w:color="auto" w:fill="CCEEFF"/>
          </w:tcPr>
          <w:p>
            <w:pPr>
              <w:spacing w:after="0" w:line="202" w:lineRule="exact"/>
              <w:rPr>
                <w:rFonts w:ascii="Arial" w:cs="Arial" w:eastAsia="Arial" w:hAnsi="Arial"/>
                <w:sz w:val="18"/>
                <w:szCs w:val="18"/>
                <w:color w:val="0000EE"/>
                <w:w w:val="92"/>
              </w:rPr>
            </w:pPr>
            <w:hyperlink w:anchor="page97">
              <w:r>
                <w:rPr>
                  <w:rFonts w:ascii="Arial" w:cs="Arial" w:eastAsia="Arial" w:hAnsi="Arial"/>
                  <w:sz w:val="18"/>
                  <w:szCs w:val="18"/>
                  <w:color w:val="0000EE"/>
                  <w:w w:val="92"/>
                </w:rPr>
                <w:t>Other Information</w:t>
              </w:r>
            </w:hyperlink>
          </w:p>
        </w:tc>
        <w:tc>
          <w:tcPr>
            <w:tcW w:w="7340" w:type="dxa"/>
            <w:vAlign w:val="bottom"/>
            <w:gridSpan w:val="18"/>
            <w:shd w:val="clear" w:color="auto" w:fill="CCEEFF"/>
          </w:tcPr>
          <w:p>
            <w:pPr>
              <w:spacing w:after="0"/>
              <w:rPr>
                <w:sz w:val="17"/>
                <w:szCs w:val="17"/>
                <w:color w:val="auto"/>
              </w:rPr>
            </w:pPr>
          </w:p>
        </w:tc>
        <w:tc>
          <w:tcPr>
            <w:tcW w:w="24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97">
              <w:r>
                <w:rPr>
                  <w:rFonts w:ascii="Arial" w:cs="Arial" w:eastAsia="Arial" w:hAnsi="Arial"/>
                  <w:sz w:val="18"/>
                  <w:szCs w:val="18"/>
                  <w:color w:val="0000EE"/>
                  <w:w w:val="89"/>
                </w:rPr>
                <w:t>95</w:t>
              </w:r>
            </w:hyperlink>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r>
        <w:trPr>
          <w:trHeight w:val="243"/>
        </w:trPr>
        <w:tc>
          <w:tcPr>
            <w:tcW w:w="1880" w:type="dxa"/>
            <w:vAlign w:val="bottom"/>
            <w:gridSpan w:val="9"/>
          </w:tcPr>
          <w:p>
            <w:pPr>
              <w:ind w:left="40"/>
              <w:spacing w:after="0"/>
              <w:rPr>
                <w:sz w:val="20"/>
                <w:szCs w:val="20"/>
                <w:color w:val="auto"/>
              </w:rPr>
            </w:pPr>
            <w:r>
              <w:rPr>
                <w:rFonts w:ascii="Arial" w:cs="Arial" w:eastAsia="Arial" w:hAnsi="Arial"/>
                <w:sz w:val="18"/>
                <w:szCs w:val="18"/>
                <w:b w:val="1"/>
                <w:bCs w:val="1"/>
                <w:color w:val="auto"/>
              </w:rPr>
              <w:t>PART III</w:t>
            </w: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03"/>
        </w:trPr>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00" w:type="dxa"/>
            <w:vAlign w:val="bottom"/>
            <w:gridSpan w:val="7"/>
            <w:shd w:val="clear" w:color="auto" w:fill="CCEEFF"/>
          </w:tcPr>
          <w:p>
            <w:pPr>
              <w:spacing w:after="0" w:line="202" w:lineRule="exact"/>
              <w:rPr>
                <w:rFonts w:ascii="Arial" w:cs="Arial" w:eastAsia="Arial" w:hAnsi="Arial"/>
                <w:sz w:val="18"/>
                <w:szCs w:val="18"/>
                <w:color w:val="0000EE"/>
              </w:rPr>
            </w:pPr>
            <w:hyperlink w:anchor="page98">
              <w:r>
                <w:rPr>
                  <w:rFonts w:ascii="Arial" w:cs="Arial" w:eastAsia="Arial" w:hAnsi="Arial"/>
                  <w:sz w:val="18"/>
                  <w:szCs w:val="18"/>
                  <w:color w:val="0000EE"/>
                </w:rPr>
                <w:t>Item 10.</w:t>
              </w:r>
            </w:hyperlink>
          </w:p>
        </w:tc>
        <w:tc>
          <w:tcPr>
            <w:tcW w:w="9000" w:type="dxa"/>
            <w:vAlign w:val="bottom"/>
            <w:gridSpan w:val="23"/>
            <w:shd w:val="clear" w:color="auto" w:fill="CCEEFF"/>
          </w:tcPr>
          <w:p>
            <w:pPr>
              <w:ind w:left="340"/>
              <w:spacing w:after="0" w:line="202" w:lineRule="exact"/>
              <w:rPr>
                <w:rFonts w:ascii="Arial" w:cs="Arial" w:eastAsia="Arial" w:hAnsi="Arial"/>
                <w:sz w:val="18"/>
                <w:szCs w:val="18"/>
                <w:color w:val="0000EE"/>
              </w:rPr>
            </w:pPr>
            <w:hyperlink w:anchor="page98">
              <w:r>
                <w:rPr>
                  <w:rFonts w:ascii="Arial" w:cs="Arial" w:eastAsia="Arial" w:hAnsi="Arial"/>
                  <w:sz w:val="18"/>
                  <w:szCs w:val="18"/>
                  <w:color w:val="0000EE"/>
                </w:rPr>
                <w:t>Directors, Executive Officers and Corporate Governance</w:t>
              </w:r>
            </w:hyperlink>
          </w:p>
        </w:tc>
        <w:tc>
          <w:tcPr>
            <w:tcW w:w="24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98">
              <w:r>
                <w:rPr>
                  <w:rFonts w:ascii="Arial" w:cs="Arial" w:eastAsia="Arial" w:hAnsi="Arial"/>
                  <w:sz w:val="18"/>
                  <w:szCs w:val="18"/>
                  <w:color w:val="0000EE"/>
                  <w:w w:val="89"/>
                </w:rPr>
                <w:t>96</w:t>
              </w:r>
            </w:hyperlink>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7"/>
          </w:tcPr>
          <w:p>
            <w:pPr>
              <w:spacing w:after="0" w:line="202" w:lineRule="exact"/>
              <w:rPr>
                <w:rFonts w:ascii="Arial" w:cs="Arial" w:eastAsia="Arial" w:hAnsi="Arial"/>
                <w:sz w:val="18"/>
                <w:szCs w:val="18"/>
                <w:color w:val="0000EE"/>
              </w:rPr>
            </w:pPr>
            <w:hyperlink w:anchor="page98">
              <w:r>
                <w:rPr>
                  <w:rFonts w:ascii="Arial" w:cs="Arial" w:eastAsia="Arial" w:hAnsi="Arial"/>
                  <w:sz w:val="18"/>
                  <w:szCs w:val="18"/>
                  <w:color w:val="0000EE"/>
                </w:rPr>
                <w:t>Item 11.</w:t>
              </w:r>
            </w:hyperlink>
          </w:p>
        </w:tc>
        <w:tc>
          <w:tcPr>
            <w:tcW w:w="9000" w:type="dxa"/>
            <w:vAlign w:val="bottom"/>
            <w:gridSpan w:val="23"/>
          </w:tcPr>
          <w:p>
            <w:pPr>
              <w:ind w:left="340"/>
              <w:spacing w:after="0" w:line="202" w:lineRule="exact"/>
              <w:rPr>
                <w:rFonts w:ascii="Arial" w:cs="Arial" w:eastAsia="Arial" w:hAnsi="Arial"/>
                <w:sz w:val="18"/>
                <w:szCs w:val="18"/>
                <w:color w:val="0000EE"/>
              </w:rPr>
            </w:pPr>
            <w:hyperlink w:anchor="page98">
              <w:r>
                <w:rPr>
                  <w:rFonts w:ascii="Arial" w:cs="Arial" w:eastAsia="Arial" w:hAnsi="Arial"/>
                  <w:sz w:val="18"/>
                  <w:szCs w:val="18"/>
                  <w:color w:val="0000EE"/>
                </w:rPr>
                <w:t>Executive Compensation</w:t>
              </w:r>
            </w:hyperlink>
          </w:p>
        </w:tc>
        <w:tc>
          <w:tcPr>
            <w:tcW w:w="240" w:type="dxa"/>
            <w:vAlign w:val="bottom"/>
            <w:gridSpan w:val="5"/>
          </w:tcPr>
          <w:p>
            <w:pPr>
              <w:jc w:val="center"/>
              <w:spacing w:after="0" w:line="202" w:lineRule="exact"/>
              <w:rPr>
                <w:rFonts w:ascii="Arial" w:cs="Arial" w:eastAsia="Arial" w:hAnsi="Arial"/>
                <w:sz w:val="18"/>
                <w:szCs w:val="18"/>
                <w:color w:val="0000EE"/>
                <w:w w:val="89"/>
              </w:rPr>
            </w:pPr>
            <w:hyperlink w:anchor="page98">
              <w:r>
                <w:rPr>
                  <w:rFonts w:ascii="Arial" w:cs="Arial" w:eastAsia="Arial" w:hAnsi="Arial"/>
                  <w:sz w:val="18"/>
                  <w:szCs w:val="18"/>
                  <w:color w:val="0000EE"/>
                  <w:w w:val="89"/>
                </w:rPr>
                <w:t>96</w:t>
              </w:r>
            </w:hyperlink>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00" w:type="dxa"/>
            <w:vAlign w:val="bottom"/>
            <w:gridSpan w:val="7"/>
            <w:shd w:val="clear" w:color="auto" w:fill="CCEEFF"/>
          </w:tcPr>
          <w:p>
            <w:pPr>
              <w:spacing w:after="0" w:line="202" w:lineRule="exact"/>
              <w:rPr>
                <w:rFonts w:ascii="Arial" w:cs="Arial" w:eastAsia="Arial" w:hAnsi="Arial"/>
                <w:sz w:val="18"/>
                <w:szCs w:val="18"/>
                <w:color w:val="0000EE"/>
              </w:rPr>
            </w:pPr>
            <w:hyperlink w:anchor="page98">
              <w:r>
                <w:rPr>
                  <w:rFonts w:ascii="Arial" w:cs="Arial" w:eastAsia="Arial" w:hAnsi="Arial"/>
                  <w:sz w:val="18"/>
                  <w:szCs w:val="18"/>
                  <w:color w:val="0000EE"/>
                </w:rPr>
                <w:t>Item 12.</w:t>
              </w:r>
            </w:hyperlink>
          </w:p>
        </w:tc>
        <w:tc>
          <w:tcPr>
            <w:tcW w:w="9000" w:type="dxa"/>
            <w:vAlign w:val="bottom"/>
            <w:gridSpan w:val="23"/>
            <w:shd w:val="clear" w:color="auto" w:fill="CCEEFF"/>
          </w:tcPr>
          <w:p>
            <w:pPr>
              <w:ind w:left="340"/>
              <w:spacing w:after="0" w:line="202" w:lineRule="exact"/>
              <w:rPr>
                <w:rFonts w:ascii="Arial" w:cs="Arial" w:eastAsia="Arial" w:hAnsi="Arial"/>
                <w:sz w:val="18"/>
                <w:szCs w:val="18"/>
                <w:color w:val="0000EE"/>
              </w:rPr>
            </w:pPr>
            <w:hyperlink w:anchor="page98">
              <w:r>
                <w:rPr>
                  <w:rFonts w:ascii="Arial" w:cs="Arial" w:eastAsia="Arial" w:hAnsi="Arial"/>
                  <w:sz w:val="18"/>
                  <w:szCs w:val="18"/>
                  <w:color w:val="0000EE"/>
                </w:rPr>
                <w:t>Security Ownership of Certain Beneficial Owners and Management and Related Stockholder Matters</w:t>
              </w:r>
            </w:hyperlink>
          </w:p>
        </w:tc>
        <w:tc>
          <w:tcPr>
            <w:tcW w:w="24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98">
              <w:r>
                <w:rPr>
                  <w:rFonts w:ascii="Arial" w:cs="Arial" w:eastAsia="Arial" w:hAnsi="Arial"/>
                  <w:sz w:val="18"/>
                  <w:szCs w:val="18"/>
                  <w:color w:val="0000EE"/>
                  <w:w w:val="89"/>
                </w:rPr>
                <w:t>96</w:t>
              </w:r>
            </w:hyperlink>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100" w:type="dxa"/>
            <w:vAlign w:val="bottom"/>
            <w:tcBorders>
              <w:top w:val="single" w:sz="8" w:color="0000EE"/>
            </w:tcBorders>
            <w:shd w:val="clear" w:color="auto" w:fill="CCEEFF"/>
          </w:tcPr>
          <w:p>
            <w:pPr>
              <w:spacing w:after="0"/>
              <w:rPr>
                <w:sz w:val="4"/>
                <w:szCs w:val="4"/>
                <w:color w:val="auto"/>
              </w:rPr>
            </w:pPr>
          </w:p>
        </w:tc>
        <w:tc>
          <w:tcPr>
            <w:tcW w:w="9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7"/>
          </w:tcPr>
          <w:p>
            <w:pPr>
              <w:spacing w:after="0" w:line="202" w:lineRule="exact"/>
              <w:rPr>
                <w:rFonts w:ascii="Arial" w:cs="Arial" w:eastAsia="Arial" w:hAnsi="Arial"/>
                <w:sz w:val="18"/>
                <w:szCs w:val="18"/>
                <w:color w:val="0000EE"/>
              </w:rPr>
            </w:pPr>
            <w:hyperlink w:anchor="page99">
              <w:r>
                <w:rPr>
                  <w:rFonts w:ascii="Arial" w:cs="Arial" w:eastAsia="Arial" w:hAnsi="Arial"/>
                  <w:sz w:val="18"/>
                  <w:szCs w:val="18"/>
                  <w:color w:val="0000EE"/>
                </w:rPr>
                <w:t>Item 13.</w:t>
              </w:r>
            </w:hyperlink>
          </w:p>
        </w:tc>
        <w:tc>
          <w:tcPr>
            <w:tcW w:w="9000" w:type="dxa"/>
            <w:vAlign w:val="bottom"/>
            <w:gridSpan w:val="23"/>
          </w:tcPr>
          <w:p>
            <w:pPr>
              <w:ind w:left="340"/>
              <w:spacing w:after="0" w:line="202" w:lineRule="exact"/>
              <w:rPr>
                <w:rFonts w:ascii="Arial" w:cs="Arial" w:eastAsia="Arial" w:hAnsi="Arial"/>
                <w:sz w:val="18"/>
                <w:szCs w:val="18"/>
                <w:color w:val="0000EE"/>
              </w:rPr>
            </w:pPr>
            <w:hyperlink w:anchor="page99">
              <w:r>
                <w:rPr>
                  <w:rFonts w:ascii="Arial" w:cs="Arial" w:eastAsia="Arial" w:hAnsi="Arial"/>
                  <w:sz w:val="18"/>
                  <w:szCs w:val="18"/>
                  <w:color w:val="0000EE"/>
                </w:rPr>
                <w:t>Certain Relationships and Related Transactions, and Director Independence</w:t>
              </w:r>
            </w:hyperlink>
          </w:p>
        </w:tc>
        <w:tc>
          <w:tcPr>
            <w:tcW w:w="240" w:type="dxa"/>
            <w:vAlign w:val="bottom"/>
            <w:gridSpan w:val="5"/>
          </w:tcPr>
          <w:p>
            <w:pPr>
              <w:jc w:val="center"/>
              <w:spacing w:after="0" w:line="202" w:lineRule="exact"/>
              <w:rPr>
                <w:rFonts w:ascii="Arial" w:cs="Arial" w:eastAsia="Arial" w:hAnsi="Arial"/>
                <w:sz w:val="18"/>
                <w:szCs w:val="18"/>
                <w:color w:val="0000EE"/>
                <w:w w:val="89"/>
              </w:rPr>
            </w:pPr>
            <w:hyperlink w:anchor="page99">
              <w:r>
                <w:rPr>
                  <w:rFonts w:ascii="Arial" w:cs="Arial" w:eastAsia="Arial" w:hAnsi="Arial"/>
                  <w:sz w:val="18"/>
                  <w:szCs w:val="18"/>
                  <w:color w:val="0000EE"/>
                  <w:w w:val="89"/>
                </w:rPr>
                <w:t>97</w:t>
              </w:r>
            </w:hyperlink>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100" w:type="dxa"/>
            <w:vAlign w:val="bottom"/>
            <w:tcBorders>
              <w:top w:val="single" w:sz="8" w:color="0000EE"/>
            </w:tcBorders>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00" w:type="dxa"/>
            <w:vAlign w:val="bottom"/>
            <w:gridSpan w:val="7"/>
            <w:shd w:val="clear" w:color="auto" w:fill="CCEEFF"/>
          </w:tcPr>
          <w:p>
            <w:pPr>
              <w:spacing w:after="0" w:line="202" w:lineRule="exact"/>
              <w:rPr>
                <w:rFonts w:ascii="Arial" w:cs="Arial" w:eastAsia="Arial" w:hAnsi="Arial"/>
                <w:sz w:val="18"/>
                <w:szCs w:val="18"/>
                <w:color w:val="0000EE"/>
              </w:rPr>
            </w:pPr>
            <w:hyperlink w:anchor="page99">
              <w:r>
                <w:rPr>
                  <w:rFonts w:ascii="Arial" w:cs="Arial" w:eastAsia="Arial" w:hAnsi="Arial"/>
                  <w:sz w:val="18"/>
                  <w:szCs w:val="18"/>
                  <w:color w:val="0000EE"/>
                </w:rPr>
                <w:t>Item 14.</w:t>
              </w:r>
            </w:hyperlink>
          </w:p>
        </w:tc>
        <w:tc>
          <w:tcPr>
            <w:tcW w:w="9000" w:type="dxa"/>
            <w:vAlign w:val="bottom"/>
            <w:gridSpan w:val="23"/>
            <w:shd w:val="clear" w:color="auto" w:fill="CCEEFF"/>
          </w:tcPr>
          <w:p>
            <w:pPr>
              <w:ind w:left="340"/>
              <w:spacing w:after="0" w:line="202" w:lineRule="exact"/>
              <w:rPr>
                <w:rFonts w:ascii="Arial" w:cs="Arial" w:eastAsia="Arial" w:hAnsi="Arial"/>
                <w:sz w:val="18"/>
                <w:szCs w:val="18"/>
                <w:color w:val="0000EE"/>
              </w:rPr>
            </w:pPr>
            <w:hyperlink w:anchor="page99">
              <w:r>
                <w:rPr>
                  <w:rFonts w:ascii="Arial" w:cs="Arial" w:eastAsia="Arial" w:hAnsi="Arial"/>
                  <w:sz w:val="18"/>
                  <w:szCs w:val="18"/>
                  <w:color w:val="0000EE"/>
                </w:rPr>
                <w:t>Principal Accountant Fees and Services</w:t>
              </w:r>
            </w:hyperlink>
          </w:p>
        </w:tc>
        <w:tc>
          <w:tcPr>
            <w:tcW w:w="24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99">
              <w:r>
                <w:rPr>
                  <w:rFonts w:ascii="Arial" w:cs="Arial" w:eastAsia="Arial" w:hAnsi="Arial"/>
                  <w:sz w:val="18"/>
                  <w:szCs w:val="18"/>
                  <w:color w:val="0000EE"/>
                  <w:w w:val="89"/>
                </w:rPr>
                <w:t>97</w:t>
              </w:r>
            </w:hyperlink>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r>
        <w:trPr>
          <w:trHeight w:val="243"/>
        </w:trPr>
        <w:tc>
          <w:tcPr>
            <w:tcW w:w="1880" w:type="dxa"/>
            <w:vAlign w:val="bottom"/>
            <w:gridSpan w:val="9"/>
          </w:tcPr>
          <w:p>
            <w:pPr>
              <w:ind w:left="40"/>
              <w:spacing w:after="0"/>
              <w:rPr>
                <w:sz w:val="20"/>
                <w:szCs w:val="20"/>
                <w:color w:val="auto"/>
              </w:rPr>
            </w:pPr>
            <w:r>
              <w:rPr>
                <w:rFonts w:ascii="Arial" w:cs="Arial" w:eastAsia="Arial" w:hAnsi="Arial"/>
                <w:sz w:val="18"/>
                <w:szCs w:val="18"/>
                <w:b w:val="1"/>
                <w:bCs w:val="1"/>
                <w:color w:val="auto"/>
              </w:rPr>
              <w:t>PART IV</w:t>
            </w: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03"/>
        </w:trPr>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00" w:type="dxa"/>
            <w:vAlign w:val="bottom"/>
            <w:gridSpan w:val="7"/>
            <w:shd w:val="clear" w:color="auto" w:fill="CCEEFF"/>
          </w:tcPr>
          <w:p>
            <w:pPr>
              <w:spacing w:after="0" w:line="202" w:lineRule="exact"/>
              <w:rPr>
                <w:rFonts w:ascii="Arial" w:cs="Arial" w:eastAsia="Arial" w:hAnsi="Arial"/>
                <w:sz w:val="18"/>
                <w:szCs w:val="18"/>
                <w:color w:val="0000EE"/>
              </w:rPr>
            </w:pPr>
            <w:hyperlink w:anchor="page100">
              <w:r>
                <w:rPr>
                  <w:rFonts w:ascii="Arial" w:cs="Arial" w:eastAsia="Arial" w:hAnsi="Arial"/>
                  <w:sz w:val="18"/>
                  <w:szCs w:val="18"/>
                  <w:color w:val="0000EE"/>
                </w:rPr>
                <w:t>Item 15.</w:t>
              </w:r>
            </w:hyperlink>
          </w:p>
        </w:tc>
        <w:tc>
          <w:tcPr>
            <w:tcW w:w="9000" w:type="dxa"/>
            <w:vAlign w:val="bottom"/>
            <w:gridSpan w:val="23"/>
            <w:shd w:val="clear" w:color="auto" w:fill="CCEEFF"/>
          </w:tcPr>
          <w:p>
            <w:pPr>
              <w:ind w:left="340"/>
              <w:spacing w:after="0" w:line="202" w:lineRule="exact"/>
              <w:rPr>
                <w:rFonts w:ascii="Arial" w:cs="Arial" w:eastAsia="Arial" w:hAnsi="Arial"/>
                <w:sz w:val="18"/>
                <w:szCs w:val="18"/>
                <w:color w:val="0000EE"/>
              </w:rPr>
            </w:pPr>
            <w:hyperlink w:anchor="page100">
              <w:r>
                <w:rPr>
                  <w:rFonts w:ascii="Arial" w:cs="Arial" w:eastAsia="Arial" w:hAnsi="Arial"/>
                  <w:sz w:val="18"/>
                  <w:szCs w:val="18"/>
                  <w:color w:val="0000EE"/>
                </w:rPr>
                <w:t>Exhibits, Financial Statement Schedules</w:t>
              </w:r>
            </w:hyperlink>
          </w:p>
        </w:tc>
        <w:tc>
          <w:tcPr>
            <w:tcW w:w="24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100">
              <w:r>
                <w:rPr>
                  <w:rFonts w:ascii="Arial" w:cs="Arial" w:eastAsia="Arial" w:hAnsi="Arial"/>
                  <w:sz w:val="18"/>
                  <w:szCs w:val="18"/>
                  <w:color w:val="0000EE"/>
                  <w:w w:val="89"/>
                </w:rPr>
                <w:t>98</w:t>
              </w:r>
            </w:hyperlink>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7"/>
          </w:tcPr>
          <w:p>
            <w:pPr>
              <w:spacing w:after="0" w:line="202" w:lineRule="exact"/>
              <w:rPr>
                <w:rFonts w:ascii="Arial" w:cs="Arial" w:eastAsia="Arial" w:hAnsi="Arial"/>
                <w:sz w:val="18"/>
                <w:szCs w:val="18"/>
                <w:color w:val="0000EE"/>
              </w:rPr>
            </w:pPr>
            <w:hyperlink w:anchor="page100">
              <w:r>
                <w:rPr>
                  <w:rFonts w:ascii="Arial" w:cs="Arial" w:eastAsia="Arial" w:hAnsi="Arial"/>
                  <w:sz w:val="18"/>
                  <w:szCs w:val="18"/>
                  <w:color w:val="0000EE"/>
                </w:rPr>
                <w:t>Item 16.</w:t>
              </w:r>
            </w:hyperlink>
          </w:p>
        </w:tc>
        <w:tc>
          <w:tcPr>
            <w:tcW w:w="9000" w:type="dxa"/>
            <w:vAlign w:val="bottom"/>
            <w:gridSpan w:val="23"/>
          </w:tcPr>
          <w:p>
            <w:pPr>
              <w:ind w:left="340"/>
              <w:spacing w:after="0" w:line="202" w:lineRule="exact"/>
              <w:rPr>
                <w:rFonts w:ascii="Arial" w:cs="Arial" w:eastAsia="Arial" w:hAnsi="Arial"/>
                <w:sz w:val="18"/>
                <w:szCs w:val="18"/>
                <w:color w:val="0000EE"/>
              </w:rPr>
            </w:pPr>
            <w:hyperlink w:anchor="page100">
              <w:r>
                <w:rPr>
                  <w:rFonts w:ascii="Arial" w:cs="Arial" w:eastAsia="Arial" w:hAnsi="Arial"/>
                  <w:sz w:val="18"/>
                  <w:szCs w:val="18"/>
                  <w:color w:val="0000EE"/>
                </w:rPr>
                <w:t>Form 10-K Summary</w:t>
              </w:r>
            </w:hyperlink>
          </w:p>
        </w:tc>
        <w:tc>
          <w:tcPr>
            <w:tcW w:w="240" w:type="dxa"/>
            <w:vAlign w:val="bottom"/>
            <w:gridSpan w:val="5"/>
          </w:tcPr>
          <w:p>
            <w:pPr>
              <w:jc w:val="center"/>
              <w:spacing w:after="0" w:line="202" w:lineRule="exact"/>
              <w:rPr>
                <w:rFonts w:ascii="Arial" w:cs="Arial" w:eastAsia="Arial" w:hAnsi="Arial"/>
                <w:sz w:val="18"/>
                <w:szCs w:val="18"/>
                <w:color w:val="0000EE"/>
                <w:w w:val="89"/>
              </w:rPr>
            </w:pPr>
            <w:hyperlink w:anchor="page100">
              <w:r>
                <w:rPr>
                  <w:rFonts w:ascii="Arial" w:cs="Arial" w:eastAsia="Arial" w:hAnsi="Arial"/>
                  <w:sz w:val="18"/>
                  <w:szCs w:val="18"/>
                  <w:color w:val="0000EE"/>
                  <w:w w:val="89"/>
                </w:rPr>
                <w:t>98</w:t>
              </w:r>
            </w:hyperlink>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203"/>
        </w:trPr>
        <w:tc>
          <w:tcPr>
            <w:tcW w:w="1880" w:type="dxa"/>
            <w:vAlign w:val="bottom"/>
            <w:gridSpan w:val="9"/>
            <w:shd w:val="clear" w:color="auto" w:fill="CCEEFF"/>
          </w:tcPr>
          <w:p>
            <w:pPr>
              <w:ind w:left="40"/>
              <w:spacing w:after="0" w:line="202" w:lineRule="exact"/>
              <w:rPr>
                <w:rFonts w:ascii="Arial" w:cs="Arial" w:eastAsia="Arial" w:hAnsi="Arial"/>
                <w:sz w:val="18"/>
                <w:szCs w:val="18"/>
                <w:color w:val="0000EE"/>
              </w:rPr>
            </w:pPr>
            <w:hyperlink w:anchor="page101">
              <w:r>
                <w:rPr>
                  <w:rFonts w:ascii="Arial" w:cs="Arial" w:eastAsia="Arial" w:hAnsi="Arial"/>
                  <w:sz w:val="18"/>
                  <w:szCs w:val="18"/>
                  <w:color w:val="0000EE"/>
                </w:rPr>
                <w:t>Signatures</w:t>
              </w:r>
            </w:hyperlink>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101">
              <w:r>
                <w:rPr>
                  <w:rFonts w:ascii="Arial" w:cs="Arial" w:eastAsia="Arial" w:hAnsi="Arial"/>
                  <w:sz w:val="18"/>
                  <w:szCs w:val="18"/>
                  <w:color w:val="0000EE"/>
                  <w:w w:val="89"/>
                </w:rPr>
                <w:t>99</w:t>
              </w:r>
            </w:hyperlink>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r>
        <w:trPr>
          <w:trHeight w:val="203"/>
        </w:trPr>
        <w:tc>
          <w:tcPr>
            <w:tcW w:w="1880" w:type="dxa"/>
            <w:vAlign w:val="bottom"/>
            <w:gridSpan w:val="9"/>
          </w:tcPr>
          <w:p>
            <w:pPr>
              <w:ind w:left="40"/>
              <w:spacing w:after="0" w:line="202" w:lineRule="exact"/>
              <w:rPr>
                <w:rFonts w:ascii="Arial" w:cs="Arial" w:eastAsia="Arial" w:hAnsi="Arial"/>
                <w:sz w:val="18"/>
                <w:szCs w:val="18"/>
                <w:color w:val="0000EE"/>
              </w:rPr>
            </w:pPr>
            <w:hyperlink w:anchor="page102">
              <w:r>
                <w:rPr>
                  <w:rFonts w:ascii="Arial" w:cs="Arial" w:eastAsia="Arial" w:hAnsi="Arial"/>
                  <w:sz w:val="18"/>
                  <w:szCs w:val="18"/>
                  <w:color w:val="0000EE"/>
                </w:rPr>
                <w:t>Schedule II</w:t>
              </w:r>
            </w:hyperlink>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gridSpan w:val="7"/>
          </w:tcPr>
          <w:p>
            <w:pPr>
              <w:jc w:val="center"/>
              <w:ind w:right="260"/>
              <w:spacing w:after="0" w:line="202" w:lineRule="exact"/>
              <w:rPr>
                <w:rFonts w:ascii="Arial" w:cs="Arial" w:eastAsia="Arial" w:hAnsi="Arial"/>
                <w:sz w:val="18"/>
                <w:szCs w:val="18"/>
                <w:color w:val="0000EE"/>
                <w:w w:val="93"/>
              </w:rPr>
            </w:pPr>
            <w:hyperlink w:anchor="page102">
              <w:r>
                <w:rPr>
                  <w:rFonts w:ascii="Arial" w:cs="Arial" w:eastAsia="Arial" w:hAnsi="Arial"/>
                  <w:sz w:val="18"/>
                  <w:szCs w:val="18"/>
                  <w:color w:val="0000EE"/>
                  <w:w w:val="93"/>
                </w:rPr>
                <w:t>100</w:t>
              </w:r>
            </w:hyperlink>
          </w:p>
        </w:tc>
      </w:tr>
      <w:tr>
        <w:trPr>
          <w:trHeight w:val="48"/>
        </w:trPr>
        <w:tc>
          <w:tcPr>
            <w:tcW w:w="4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r>
      <w:tr>
        <w:trPr>
          <w:trHeight w:val="203"/>
        </w:trPr>
        <w:tc>
          <w:tcPr>
            <w:tcW w:w="1880" w:type="dxa"/>
            <w:vAlign w:val="bottom"/>
            <w:gridSpan w:val="9"/>
            <w:shd w:val="clear" w:color="auto" w:fill="CCEEFF"/>
          </w:tcPr>
          <w:p>
            <w:pPr>
              <w:ind w:left="40"/>
              <w:spacing w:after="0" w:line="202" w:lineRule="exact"/>
              <w:rPr>
                <w:rFonts w:ascii="Arial" w:cs="Arial" w:eastAsia="Arial" w:hAnsi="Arial"/>
                <w:sz w:val="18"/>
                <w:szCs w:val="18"/>
                <w:color w:val="0000EE"/>
              </w:rPr>
            </w:pPr>
            <w:hyperlink w:anchor="page103">
              <w:r>
                <w:rPr>
                  <w:rFonts w:ascii="Arial" w:cs="Arial" w:eastAsia="Arial" w:hAnsi="Arial"/>
                  <w:sz w:val="18"/>
                  <w:szCs w:val="18"/>
                  <w:color w:val="0000EE"/>
                </w:rPr>
                <w:t>Exhibit Index</w:t>
              </w:r>
            </w:hyperlink>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40" w:type="dxa"/>
            <w:vAlign w:val="bottom"/>
            <w:gridSpan w:val="7"/>
            <w:shd w:val="clear" w:color="auto" w:fill="CCEEFF"/>
          </w:tcPr>
          <w:p>
            <w:pPr>
              <w:jc w:val="center"/>
              <w:ind w:right="260"/>
              <w:spacing w:after="0" w:line="202" w:lineRule="exact"/>
              <w:rPr>
                <w:rFonts w:ascii="Arial" w:cs="Arial" w:eastAsia="Arial" w:hAnsi="Arial"/>
                <w:sz w:val="18"/>
                <w:szCs w:val="18"/>
                <w:color w:val="0000EE"/>
                <w:w w:val="93"/>
              </w:rPr>
            </w:pPr>
            <w:hyperlink w:anchor="page103">
              <w:r>
                <w:rPr>
                  <w:rFonts w:ascii="Arial" w:cs="Arial" w:eastAsia="Arial" w:hAnsi="Arial"/>
                  <w:sz w:val="18"/>
                  <w:szCs w:val="18"/>
                  <w:color w:val="0000EE"/>
                  <w:w w:val="93"/>
                </w:rPr>
                <w:t>101</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jc w:val="center"/>
        <w:ind w:left="340"/>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i w:val="1"/>
          <w:iCs w:val="1"/>
          <w:color w:val="auto"/>
        </w:rPr>
        <w:t>BUSINESS</w:t>
      </w:r>
    </w:p>
    <w:p>
      <w:pPr>
        <w:spacing w:after="0" w:line="94"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Hershey Company was incorporated under the laws of the State of Delaware on October 24, 1927 as a successor to a business founded in 1894 by Milton S. Hershey. In this report, the terms “Hershey,” “Company,” “we,” “us” or “our” mean The Hershey Company and its wholly-owned subsidiaries and entities in which it has a controlling financial interest, unless the context indicates otherwise.</w:t>
      </w:r>
    </w:p>
    <w:p>
      <w:pPr>
        <w:spacing w:after="0" w:line="12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are the largest producer of quality chocolate in North America and a global leader in chocolate and non-chocolate confectionery. We market, sell and distribute our products under more than 80 brand names in approximately 70 countries worldwide.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9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Our organizational structure is designed to ensure continued focus on North America, coupled with an emphasis on profitable growth in our focus international markets. Our business is organized around geographic regions, which enables us to build processes for repeatable success in our global markets. As a result, we have defined our operating segments on a geographic basis, as this aligns with how our Chief Operating Decision Maker (“CODM”) manages our business, including resource allocation and performance assessment. Our North America business, which generates approximately 88% of our consolidated revenue, is our only reportable segment. None of our other operating segments meet the quantitative thresholds to qualify as reportable segments; therefore, these operating segments are combined and disclosed below as International and Other.</w:t>
      </w:r>
    </w:p>
    <w:p>
      <w:pPr>
        <w:spacing w:after="0" w:line="124" w:lineRule="exact"/>
        <w:rPr>
          <w:sz w:val="20"/>
          <w:szCs w:val="20"/>
          <w:color w:val="auto"/>
        </w:rPr>
      </w:pPr>
    </w:p>
    <w:p>
      <w:pPr>
        <w:ind w:left="660" w:right="200" w:hanging="328"/>
        <w:spacing w:after="0" w:line="264" w:lineRule="auto"/>
        <w:tabs>
          <w:tab w:leader="none" w:pos="66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North America </w:t>
      </w:r>
      <w:r>
        <w:rPr>
          <w:rFonts w:ascii="Arial" w:cs="Arial" w:eastAsia="Arial" w:hAnsi="Arial"/>
          <w:sz w:val="18"/>
          <w:szCs w:val="18"/>
          <w:color w:val="auto"/>
        </w:rPr>
        <w:t>- This segment is responsible for our traditional chocolate and non-chocolate confectionery market position, as well as our grocery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growing snacks market positions, in the United States and Canada. This includes developing and growing our business in chocolate and non-chocolate confectionery, pantry, food service and other snacking product lines.</w:t>
      </w:r>
    </w:p>
    <w:p>
      <w:pPr>
        <w:spacing w:after="0" w:line="127" w:lineRule="exact"/>
        <w:rPr>
          <w:rFonts w:ascii="Arial" w:cs="Arial" w:eastAsia="Arial" w:hAnsi="Arial"/>
          <w:sz w:val="18"/>
          <w:szCs w:val="18"/>
          <w:b w:val="1"/>
          <w:bCs w:val="1"/>
          <w:i w:val="1"/>
          <w:iCs w:val="1"/>
          <w:color w:val="auto"/>
        </w:rPr>
      </w:pPr>
    </w:p>
    <w:p>
      <w:pPr>
        <w:ind w:left="660" w:right="40" w:hanging="328"/>
        <w:spacing w:after="0" w:line="293" w:lineRule="auto"/>
        <w:tabs>
          <w:tab w:leader="none" w:pos="660" w:val="left"/>
        </w:tabs>
        <w:numPr>
          <w:ilvl w:val="0"/>
          <w:numId w:val="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International and Other </w:t>
      </w:r>
      <w:r>
        <w:rPr>
          <w:rFonts w:ascii="Arial" w:cs="Arial" w:eastAsia="Arial" w:hAnsi="Arial"/>
          <w:sz w:val="16"/>
          <w:szCs w:val="16"/>
          <w:color w:val="auto"/>
        </w:rPr>
        <w:t>- International and Other is a combination of all other operating segments that are not individually material, including those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geographic regions where we operate outside of North America. We currently have operations and manufacture product in China, Mexico, Brazil, India and Malaysia, primarily for consumers in these regions, and also distribute and sell confectionery products in export markets of Asia, Latin America, Middle East, Europe, Africa and other regions. This segment also includes our global retail operations, including Hershey's Chocolate World stores in Hershey, Pennsylvania, New York City, Las Vegas, Shanghai, Niagara Falls (Ontario), Dubai, and Singapore, as well as operations associated with licensing the use of certain of the Company's trademarks and products to third parties around the world.</w:t>
      </w:r>
    </w:p>
    <w:p>
      <w:pPr>
        <w:spacing w:after="0" w:line="1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Financial and other information regarding our reportable segments is provided in our Management’s Discussion and Analysis and Note 11 to the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Acquisitions and Divestitures</w:t>
      </w:r>
    </w:p>
    <w:p>
      <w:pPr>
        <w:spacing w:after="0" w:line="9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In April 2016, we completed the acquisition of all of the outstanding shares of Ripple Brand Collective, LLC, a privately held company based in Congers, New York that owns the </w:t>
      </w:r>
      <w:r>
        <w:rPr>
          <w:rFonts w:ascii="Arial" w:cs="Arial" w:eastAsia="Arial" w:hAnsi="Arial"/>
          <w:sz w:val="18"/>
          <w:szCs w:val="18"/>
          <w:i w:val="1"/>
          <w:iCs w:val="1"/>
          <w:color w:val="auto"/>
        </w:rPr>
        <w:t>barkTHINS</w:t>
      </w:r>
      <w:r>
        <w:rPr>
          <w:rFonts w:ascii="Arial" w:cs="Arial" w:eastAsia="Arial" w:hAnsi="Arial"/>
          <w:sz w:val="18"/>
          <w:szCs w:val="18"/>
          <w:color w:val="auto"/>
        </w:rPr>
        <w:t xml:space="preserve"> mass premium chocolate snacking brand. The acquisition was undertaken in order to broaden our product offerings in the premium and portable snacking categories.</w:t>
      </w:r>
    </w:p>
    <w:p>
      <w:pPr>
        <w:spacing w:after="0" w:line="127"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 xml:space="preserve">In March 2015, we completed the acquisition of all of the outstanding shares of KRAVE Pure Foods, Inc. (“Krave”), the Sonoma, California based manufacturer of </w:t>
      </w:r>
      <w:r>
        <w:rPr>
          <w:rFonts w:ascii="Arial" w:cs="Arial" w:eastAsia="Arial" w:hAnsi="Arial"/>
          <w:sz w:val="18"/>
          <w:szCs w:val="18"/>
          <w:i w:val="1"/>
          <w:iCs w:val="1"/>
          <w:color w:val="auto"/>
        </w:rPr>
        <w:t>Krave</w:t>
      </w:r>
      <w:r>
        <w:rPr>
          <w:rFonts w:ascii="Arial" w:cs="Arial" w:eastAsia="Arial" w:hAnsi="Arial"/>
          <w:sz w:val="18"/>
          <w:szCs w:val="18"/>
          <w:color w:val="auto"/>
        </w:rPr>
        <w:t>, a leading all-natural brand of premium meat snack products. The transaction was undertaken to enable us to tap into the rapidly growing meat snacks category and further expand into the broader snacks space.</w:t>
      </w:r>
    </w:p>
    <w:p>
      <w:pPr>
        <w:spacing w:after="0" w:line="127"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In September 2014, we completed the acquisition of 80% of the outstanding shares of Shanghai Golden Monkey Food Joint Stock Co., Ltd. (“SGM”), a confectionery company based in Shanghai, China, whose product line is primarily sold through traditional trade channels. The acquisition was undertaken in order to leverage these traditional trade channels, which complement our traditional China chocolate business that is primarily distributed through Tier 1 or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hypermarket channels. We completed the purchase of the remaining 20% of the outstanding shares of SGM on February 3, 2016.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94"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Our principal product offerings include chocolate and non-chocolate confectionery products; gum and mint refreshment products; pantry items, such as baking ingredients, toppings and beverages; and snack items such as spreads, meat snacks, bars and snack bites and mixes.</w:t>
      </w:r>
    </w:p>
    <w:p>
      <w:pPr>
        <w:spacing w:after="0" w:line="93" w:lineRule="exact"/>
        <w:rPr>
          <w:sz w:val="20"/>
          <w:szCs w:val="20"/>
          <w:color w:val="auto"/>
        </w:rPr>
      </w:pPr>
    </w:p>
    <w:p>
      <w:pPr>
        <w:ind w:left="660" w:right="80" w:hanging="328"/>
        <w:spacing w:after="0" w:line="275"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Within our North America markets, our product portfolio includes a wide variety of chocolate offerings marketed and sold under the renowned brands of </w:t>
      </w:r>
      <w:r>
        <w:rPr>
          <w:rFonts w:ascii="Arial" w:cs="Arial" w:eastAsia="Arial" w:hAnsi="Arial"/>
          <w:sz w:val="17"/>
          <w:szCs w:val="17"/>
          <w:i w:val="1"/>
          <w:iCs w:val="1"/>
          <w:color w:val="auto"/>
        </w:rPr>
        <w:t>Hershey’s</w:t>
      </w:r>
      <w:r>
        <w:rPr>
          <w:rFonts w:ascii="Arial" w:cs="Arial" w:eastAsia="Arial" w:hAnsi="Arial"/>
          <w:sz w:val="17"/>
          <w:szCs w:val="17"/>
          <w:color w:val="auto"/>
        </w:rPr>
        <w:t xml:space="preserve">, </w:t>
      </w:r>
      <w:r>
        <w:rPr>
          <w:rFonts w:ascii="Arial" w:cs="Arial" w:eastAsia="Arial" w:hAnsi="Arial"/>
          <w:sz w:val="17"/>
          <w:szCs w:val="17"/>
          <w:i w:val="1"/>
          <w:iCs w:val="1"/>
          <w:color w:val="auto"/>
        </w:rPr>
        <w:t>Reese’s</w:t>
      </w:r>
      <w:r>
        <w:rPr>
          <w:rFonts w:ascii="Arial" w:cs="Arial" w:eastAsia="Arial" w:hAnsi="Arial"/>
          <w:sz w:val="17"/>
          <w:szCs w:val="17"/>
          <w:color w:val="auto"/>
        </w:rPr>
        <w:t xml:space="preserve"> and </w:t>
      </w:r>
      <w:r>
        <w:rPr>
          <w:rFonts w:ascii="Arial" w:cs="Arial" w:eastAsia="Arial" w:hAnsi="Arial"/>
          <w:sz w:val="17"/>
          <w:szCs w:val="17"/>
          <w:i w:val="1"/>
          <w:iCs w:val="1"/>
          <w:color w:val="auto"/>
        </w:rPr>
        <w:t>Kisses</w:t>
      </w:r>
      <w:r>
        <w:rPr>
          <w:rFonts w:ascii="Arial" w:cs="Arial" w:eastAsia="Arial" w:hAnsi="Arial"/>
          <w:sz w:val="17"/>
          <w:szCs w:val="17"/>
          <w:color w:val="auto"/>
        </w:rPr>
        <w:t xml:space="preserve">, along with other popular chocolate and non-chocolate confectionery brands such as </w:t>
      </w:r>
      <w:r>
        <w:rPr>
          <w:rFonts w:ascii="Arial" w:cs="Arial" w:eastAsia="Arial" w:hAnsi="Arial"/>
          <w:sz w:val="17"/>
          <w:szCs w:val="17"/>
          <w:i w:val="1"/>
          <w:iCs w:val="1"/>
          <w:color w:val="auto"/>
        </w:rPr>
        <w:t>Jolly Rancher</w:t>
      </w:r>
      <w:r>
        <w:rPr>
          <w:rFonts w:ascii="Arial" w:cs="Arial" w:eastAsia="Arial" w:hAnsi="Arial"/>
          <w:sz w:val="17"/>
          <w:szCs w:val="17"/>
          <w:color w:val="auto"/>
        </w:rPr>
        <w:t xml:space="preserve">, </w:t>
      </w:r>
      <w:r>
        <w:rPr>
          <w:rFonts w:ascii="Arial" w:cs="Arial" w:eastAsia="Arial" w:hAnsi="Arial"/>
          <w:sz w:val="17"/>
          <w:szCs w:val="17"/>
          <w:i w:val="1"/>
          <w:iCs w:val="1"/>
          <w:color w:val="auto"/>
        </w:rPr>
        <w:t>Almond</w:t>
      </w:r>
      <w:r>
        <w:rPr>
          <w:rFonts w:ascii="Arial" w:cs="Arial" w:eastAsia="Arial" w:hAnsi="Arial"/>
          <w:sz w:val="17"/>
          <w:szCs w:val="17"/>
          <w:color w:val="auto"/>
        </w:rPr>
        <w:t xml:space="preserve"> </w:t>
      </w:r>
      <w:r>
        <w:rPr>
          <w:rFonts w:ascii="Arial" w:cs="Arial" w:eastAsia="Arial" w:hAnsi="Arial"/>
          <w:sz w:val="17"/>
          <w:szCs w:val="17"/>
          <w:i w:val="1"/>
          <w:iCs w:val="1"/>
          <w:color w:val="auto"/>
        </w:rPr>
        <w:t>Joy</w:t>
      </w:r>
      <w:r>
        <w:rPr>
          <w:rFonts w:ascii="Arial" w:cs="Arial" w:eastAsia="Arial" w:hAnsi="Arial"/>
          <w:sz w:val="17"/>
          <w:szCs w:val="17"/>
          <w:color w:val="auto"/>
        </w:rPr>
        <w:t>,</w:t>
      </w:r>
      <w:r>
        <w:rPr>
          <w:rFonts w:ascii="Arial" w:cs="Arial" w:eastAsia="Arial" w:hAnsi="Arial"/>
          <w:sz w:val="17"/>
          <w:szCs w:val="17"/>
          <w:i w:val="1"/>
          <w:iCs w:val="1"/>
          <w:color w:val="auto"/>
        </w:rPr>
        <w:t xml:space="preserve"> Brookside</w:t>
      </w:r>
      <w:r>
        <w:rPr>
          <w:rFonts w:ascii="Arial" w:cs="Arial" w:eastAsia="Arial" w:hAnsi="Arial"/>
          <w:sz w:val="17"/>
          <w:szCs w:val="17"/>
          <w:color w:val="auto"/>
        </w:rPr>
        <w:t>,</w:t>
      </w:r>
      <w:r>
        <w:rPr>
          <w:rFonts w:ascii="Arial" w:cs="Arial" w:eastAsia="Arial" w:hAnsi="Arial"/>
          <w:sz w:val="17"/>
          <w:szCs w:val="17"/>
          <w:i w:val="1"/>
          <w:iCs w:val="1"/>
          <w:color w:val="auto"/>
        </w:rPr>
        <w:t xml:space="preserve"> Cadbury, Good &amp; Plenty</w:t>
      </w:r>
      <w:r>
        <w:rPr>
          <w:rFonts w:ascii="Arial" w:cs="Arial" w:eastAsia="Arial" w:hAnsi="Arial"/>
          <w:sz w:val="17"/>
          <w:szCs w:val="17"/>
          <w:color w:val="auto"/>
        </w:rPr>
        <w:t>,</w:t>
      </w:r>
      <w:r>
        <w:rPr>
          <w:rFonts w:ascii="Arial" w:cs="Arial" w:eastAsia="Arial" w:hAnsi="Arial"/>
          <w:sz w:val="17"/>
          <w:szCs w:val="17"/>
          <w:i w:val="1"/>
          <w:iCs w:val="1"/>
          <w:color w:val="auto"/>
        </w:rPr>
        <w:t xml:space="preserve"> Heath</w:t>
      </w:r>
      <w:r>
        <w:rPr>
          <w:rFonts w:ascii="Arial" w:cs="Arial" w:eastAsia="Arial" w:hAnsi="Arial"/>
          <w:sz w:val="17"/>
          <w:szCs w:val="17"/>
          <w:color w:val="auto"/>
        </w:rPr>
        <w:t>,</w:t>
      </w:r>
      <w:r>
        <w:rPr>
          <w:rFonts w:ascii="Arial" w:cs="Arial" w:eastAsia="Arial" w:hAnsi="Arial"/>
          <w:sz w:val="17"/>
          <w:szCs w:val="17"/>
          <w:i w:val="1"/>
          <w:iCs w:val="1"/>
          <w:color w:val="auto"/>
        </w:rPr>
        <w:t xml:space="preserve"> Kit Kat</w:t>
      </w:r>
      <w:r>
        <w:rPr>
          <w:rFonts w:ascii="Arial" w:cs="Arial" w:eastAsia="Arial" w:hAnsi="Arial"/>
          <w:sz w:val="13"/>
          <w:szCs w:val="13"/>
          <w:i w:val="1"/>
          <w:iCs w:val="1"/>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Lancaster</w:t>
      </w:r>
      <w:r>
        <w:rPr>
          <w:rFonts w:ascii="Arial" w:cs="Arial" w:eastAsia="Arial" w:hAnsi="Arial"/>
          <w:sz w:val="17"/>
          <w:szCs w:val="17"/>
          <w:color w:val="auto"/>
        </w:rPr>
        <w:t>,</w:t>
      </w:r>
      <w:r>
        <w:rPr>
          <w:rFonts w:ascii="Arial" w:cs="Arial" w:eastAsia="Arial" w:hAnsi="Arial"/>
          <w:sz w:val="17"/>
          <w:szCs w:val="17"/>
          <w:i w:val="1"/>
          <w:iCs w:val="1"/>
          <w:color w:val="auto"/>
        </w:rPr>
        <w:t xml:space="preserve"> Payday</w:t>
      </w:r>
      <w:r>
        <w:rPr>
          <w:rFonts w:ascii="Arial" w:cs="Arial" w:eastAsia="Arial" w:hAnsi="Arial"/>
          <w:sz w:val="17"/>
          <w:szCs w:val="17"/>
          <w:color w:val="auto"/>
        </w:rPr>
        <w:t>,</w:t>
      </w:r>
      <w:r>
        <w:rPr>
          <w:rFonts w:ascii="Arial" w:cs="Arial" w:eastAsia="Arial" w:hAnsi="Arial"/>
          <w:sz w:val="17"/>
          <w:szCs w:val="17"/>
          <w:i w:val="1"/>
          <w:iCs w:val="1"/>
          <w:color w:val="auto"/>
        </w:rPr>
        <w:t xml:space="preserve"> Rolo</w:t>
      </w:r>
      <w:r>
        <w:rPr>
          <w:rFonts w:ascii="Arial" w:cs="Arial" w:eastAsia="Arial" w:hAnsi="Arial"/>
          <w:sz w:val="13"/>
          <w:szCs w:val="13"/>
          <w:i w:val="1"/>
          <w:iCs w:val="1"/>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Twizzlers</w:t>
      </w:r>
      <w:r>
        <w:rPr>
          <w:rFonts w:ascii="Arial" w:cs="Arial" w:eastAsia="Arial" w:hAnsi="Arial"/>
          <w:sz w:val="17"/>
          <w:szCs w:val="17"/>
          <w:color w:val="auto"/>
        </w:rPr>
        <w:t>,</w:t>
      </w:r>
      <w:r>
        <w:rPr>
          <w:rFonts w:ascii="Arial" w:cs="Arial" w:eastAsia="Arial" w:hAnsi="Arial"/>
          <w:sz w:val="17"/>
          <w:szCs w:val="17"/>
          <w:i w:val="1"/>
          <w:iCs w:val="1"/>
          <w:color w:val="auto"/>
        </w:rPr>
        <w:t xml:space="preserve"> Whoppers </w:t>
      </w:r>
      <w:r>
        <w:rPr>
          <w:rFonts w:ascii="Arial" w:cs="Arial" w:eastAsia="Arial" w:hAnsi="Arial"/>
          <w:sz w:val="17"/>
          <w:szCs w:val="17"/>
          <w:color w:val="auto"/>
        </w:rPr>
        <w:t>and</w:t>
      </w:r>
      <w:r>
        <w:rPr>
          <w:rFonts w:ascii="Arial" w:cs="Arial" w:eastAsia="Arial" w:hAnsi="Arial"/>
          <w:sz w:val="17"/>
          <w:szCs w:val="17"/>
          <w:i w:val="1"/>
          <w:iCs w:val="1"/>
          <w:color w:val="auto"/>
        </w:rPr>
        <w:t xml:space="preserve"> York</w:t>
      </w:r>
      <w:r>
        <w:rPr>
          <w:rFonts w:ascii="Arial" w:cs="Arial" w:eastAsia="Arial" w:hAnsi="Arial"/>
          <w:sz w:val="17"/>
          <w:szCs w:val="17"/>
          <w:color w:val="auto"/>
        </w:rPr>
        <w:t>. We also offer premium</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chocolate products, primarily in the United States, through the </w:t>
      </w:r>
      <w:r>
        <w:rPr>
          <w:rFonts w:ascii="Arial" w:cs="Arial" w:eastAsia="Arial" w:hAnsi="Arial"/>
          <w:sz w:val="17"/>
          <w:szCs w:val="17"/>
          <w:i w:val="1"/>
          <w:iCs w:val="1"/>
          <w:color w:val="auto"/>
        </w:rPr>
        <w:t>Scharffen Berger</w:t>
      </w:r>
      <w:r>
        <w:rPr>
          <w:rFonts w:ascii="Arial" w:cs="Arial" w:eastAsia="Arial" w:hAnsi="Arial"/>
          <w:sz w:val="17"/>
          <w:szCs w:val="17"/>
          <w:color w:val="auto"/>
        </w:rPr>
        <w:t xml:space="preserve"> and </w:t>
      </w:r>
      <w:r>
        <w:rPr>
          <w:rFonts w:ascii="Arial" w:cs="Arial" w:eastAsia="Arial" w:hAnsi="Arial"/>
          <w:sz w:val="17"/>
          <w:szCs w:val="17"/>
          <w:i w:val="1"/>
          <w:iCs w:val="1"/>
          <w:color w:val="auto"/>
        </w:rPr>
        <w:t>Dagoba</w:t>
      </w:r>
      <w:r>
        <w:rPr>
          <w:rFonts w:ascii="Arial" w:cs="Arial" w:eastAsia="Arial" w:hAnsi="Arial"/>
          <w:sz w:val="17"/>
          <w:szCs w:val="17"/>
          <w:color w:val="auto"/>
        </w:rPr>
        <w:t xml:space="preserve"> brands. Our gum and mint products include </w:t>
      </w:r>
      <w:r>
        <w:rPr>
          <w:rFonts w:ascii="Arial" w:cs="Arial" w:eastAsia="Arial" w:hAnsi="Arial"/>
          <w:sz w:val="17"/>
          <w:szCs w:val="17"/>
          <w:i w:val="1"/>
          <w:iCs w:val="1"/>
          <w:color w:val="auto"/>
        </w:rPr>
        <w:t>Ice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Breakers </w:t>
      </w:r>
      <w:r>
        <w:rPr>
          <w:rFonts w:ascii="Arial" w:cs="Arial" w:eastAsia="Arial" w:hAnsi="Arial"/>
          <w:sz w:val="17"/>
          <w:szCs w:val="17"/>
          <w:color w:val="auto"/>
        </w:rPr>
        <w:t>mints and chewing gum,</w:t>
      </w:r>
      <w:r>
        <w:rPr>
          <w:rFonts w:ascii="Arial" w:cs="Arial" w:eastAsia="Arial" w:hAnsi="Arial"/>
          <w:sz w:val="17"/>
          <w:szCs w:val="17"/>
          <w:i w:val="1"/>
          <w:iCs w:val="1"/>
          <w:color w:val="auto"/>
        </w:rPr>
        <w:t xml:space="preserve"> Breathsavers </w:t>
      </w:r>
      <w:r>
        <w:rPr>
          <w:rFonts w:ascii="Arial" w:cs="Arial" w:eastAsia="Arial" w:hAnsi="Arial"/>
          <w:sz w:val="17"/>
          <w:szCs w:val="17"/>
          <w:color w:val="auto"/>
        </w:rPr>
        <w:t>mints and</w:t>
      </w:r>
      <w:r>
        <w:rPr>
          <w:rFonts w:ascii="Arial" w:cs="Arial" w:eastAsia="Arial" w:hAnsi="Arial"/>
          <w:sz w:val="17"/>
          <w:szCs w:val="17"/>
          <w:i w:val="1"/>
          <w:iCs w:val="1"/>
          <w:color w:val="auto"/>
        </w:rPr>
        <w:t xml:space="preserve"> Bubble Yum </w:t>
      </w:r>
      <w:r>
        <w:rPr>
          <w:rFonts w:ascii="Arial" w:cs="Arial" w:eastAsia="Arial" w:hAnsi="Arial"/>
          <w:sz w:val="17"/>
          <w:szCs w:val="17"/>
          <w:color w:val="auto"/>
        </w:rPr>
        <w:t>bubble gum. Our pantry and snack items that are principally sold in North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America include baking products and toppings and sundae syrups sold under the </w:t>
      </w:r>
      <w:r>
        <w:rPr>
          <w:rFonts w:ascii="Arial" w:cs="Arial" w:eastAsia="Arial" w:hAnsi="Arial"/>
          <w:sz w:val="17"/>
          <w:szCs w:val="17"/>
          <w:i w:val="1"/>
          <w:iCs w:val="1"/>
          <w:color w:val="auto"/>
        </w:rPr>
        <w:t>Hershey’s</w:t>
      </w:r>
      <w:r>
        <w:rPr>
          <w:rFonts w:ascii="Arial" w:cs="Arial" w:eastAsia="Arial" w:hAnsi="Arial"/>
          <w:sz w:val="17"/>
          <w:szCs w:val="17"/>
          <w:color w:val="auto"/>
        </w:rPr>
        <w:t xml:space="preserve">, </w:t>
      </w:r>
      <w:r>
        <w:rPr>
          <w:rFonts w:ascii="Arial" w:cs="Arial" w:eastAsia="Arial" w:hAnsi="Arial"/>
          <w:sz w:val="17"/>
          <w:szCs w:val="17"/>
          <w:i w:val="1"/>
          <w:iCs w:val="1"/>
          <w:color w:val="auto"/>
        </w:rPr>
        <w:t>Reese’s</w:t>
      </w:r>
      <w:r>
        <w:rPr>
          <w:rFonts w:ascii="Arial" w:cs="Arial" w:eastAsia="Arial" w:hAnsi="Arial"/>
          <w:sz w:val="17"/>
          <w:szCs w:val="17"/>
          <w:color w:val="auto"/>
        </w:rPr>
        <w:t xml:space="preserve"> and </w:t>
      </w:r>
      <w:r>
        <w:rPr>
          <w:rFonts w:ascii="Arial" w:cs="Arial" w:eastAsia="Arial" w:hAnsi="Arial"/>
          <w:sz w:val="17"/>
          <w:szCs w:val="17"/>
          <w:i w:val="1"/>
          <w:iCs w:val="1"/>
          <w:color w:val="auto"/>
        </w:rPr>
        <w:t>Heath</w:t>
      </w:r>
      <w:r>
        <w:rPr>
          <w:rFonts w:ascii="Arial" w:cs="Arial" w:eastAsia="Arial" w:hAnsi="Arial"/>
          <w:sz w:val="17"/>
          <w:szCs w:val="17"/>
          <w:color w:val="auto"/>
        </w:rPr>
        <w:t xml:space="preserve"> brands, as well as </w:t>
      </w:r>
      <w:r>
        <w:rPr>
          <w:rFonts w:ascii="Arial" w:cs="Arial" w:eastAsia="Arial" w:hAnsi="Arial"/>
          <w:sz w:val="17"/>
          <w:szCs w:val="17"/>
          <w:i w:val="1"/>
          <w:iCs w:val="1"/>
          <w:color w:val="auto"/>
        </w:rPr>
        <w:t>Hershey’s</w:t>
      </w:r>
      <w:r>
        <w:rPr>
          <w:rFonts w:ascii="Arial" w:cs="Arial" w:eastAsia="Arial" w:hAnsi="Arial"/>
          <w:sz w:val="17"/>
          <w:szCs w:val="17"/>
          <w:color w:val="auto"/>
        </w:rPr>
        <w:t xml:space="preserve"> and </w:t>
      </w:r>
      <w:r>
        <w:rPr>
          <w:rFonts w:ascii="Arial" w:cs="Arial" w:eastAsia="Arial" w:hAnsi="Arial"/>
          <w:sz w:val="17"/>
          <w:szCs w:val="17"/>
          <w:i w:val="1"/>
          <w:iCs w:val="1"/>
          <w:color w:val="auto"/>
        </w:rPr>
        <w:t xml:space="preserve">Reese’s </w:t>
      </w:r>
      <w:r>
        <w:rPr>
          <w:rFonts w:ascii="Arial" w:cs="Arial" w:eastAsia="Arial" w:hAnsi="Arial"/>
          <w:sz w:val="17"/>
          <w:szCs w:val="17"/>
          <w:color w:val="auto"/>
        </w:rPr>
        <w:t>chocolate spreads and snack bites and mixes and</w:t>
      </w:r>
      <w:r>
        <w:rPr>
          <w:rFonts w:ascii="Arial" w:cs="Arial" w:eastAsia="Arial" w:hAnsi="Arial"/>
          <w:sz w:val="17"/>
          <w:szCs w:val="17"/>
          <w:i w:val="1"/>
          <w:iCs w:val="1"/>
          <w:color w:val="auto"/>
        </w:rPr>
        <w:t xml:space="preserve"> Krave </w:t>
      </w:r>
      <w:r>
        <w:rPr>
          <w:rFonts w:ascii="Arial" w:cs="Arial" w:eastAsia="Arial" w:hAnsi="Arial"/>
          <w:sz w:val="17"/>
          <w:szCs w:val="17"/>
          <w:color w:val="auto"/>
        </w:rPr>
        <w:t>meat snack products.</w:t>
      </w:r>
    </w:p>
    <w:p>
      <w:pPr>
        <w:spacing w:after="0" w:line="120" w:lineRule="exact"/>
        <w:rPr>
          <w:rFonts w:ascii="Arial" w:cs="Arial" w:eastAsia="Arial" w:hAnsi="Arial"/>
          <w:sz w:val="17"/>
          <w:szCs w:val="17"/>
          <w:color w:val="auto"/>
        </w:rPr>
      </w:pPr>
    </w:p>
    <w:p>
      <w:pPr>
        <w:ind w:left="660" w:right="160" w:hanging="328"/>
        <w:spacing w:after="0" w:line="31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Within our International and Other markets, we manufacture, market and sell many of these same brands, as well as other brands that are marketed regionally, such as </w:t>
      </w:r>
      <w:r>
        <w:rPr>
          <w:rFonts w:ascii="Arial" w:cs="Arial" w:eastAsia="Arial" w:hAnsi="Arial"/>
          <w:sz w:val="16"/>
          <w:szCs w:val="16"/>
          <w:i w:val="1"/>
          <w:iCs w:val="1"/>
          <w:color w:val="auto"/>
        </w:rPr>
        <w:t>Golden Monkey</w:t>
      </w:r>
      <w:r>
        <w:rPr>
          <w:rFonts w:ascii="Arial" w:cs="Arial" w:eastAsia="Arial" w:hAnsi="Arial"/>
          <w:sz w:val="16"/>
          <w:szCs w:val="16"/>
          <w:color w:val="auto"/>
        </w:rPr>
        <w:t xml:space="preserve"> confectionery and </w:t>
      </w:r>
      <w:r>
        <w:rPr>
          <w:rFonts w:ascii="Arial" w:cs="Arial" w:eastAsia="Arial" w:hAnsi="Arial"/>
          <w:sz w:val="16"/>
          <w:szCs w:val="16"/>
          <w:i w:val="1"/>
          <w:iCs w:val="1"/>
          <w:color w:val="auto"/>
        </w:rPr>
        <w:t>Munching Monkey</w:t>
      </w:r>
      <w:r>
        <w:rPr>
          <w:rFonts w:ascii="Arial" w:cs="Arial" w:eastAsia="Arial" w:hAnsi="Arial"/>
          <w:sz w:val="16"/>
          <w:szCs w:val="16"/>
          <w:color w:val="auto"/>
        </w:rPr>
        <w:t xml:space="preserve"> snack products in China, </w:t>
      </w:r>
      <w:r>
        <w:rPr>
          <w:rFonts w:ascii="Arial" w:cs="Arial" w:eastAsia="Arial" w:hAnsi="Arial"/>
          <w:sz w:val="16"/>
          <w:szCs w:val="16"/>
          <w:i w:val="1"/>
          <w:iCs w:val="1"/>
          <w:color w:val="auto"/>
        </w:rPr>
        <w:t>Pelon Pelo Rico</w:t>
      </w:r>
      <w:r>
        <w:rPr>
          <w:rFonts w:ascii="Arial" w:cs="Arial" w:eastAsia="Arial" w:hAnsi="Arial"/>
          <w:sz w:val="16"/>
          <w:szCs w:val="16"/>
          <w:color w:val="auto"/>
        </w:rPr>
        <w:t xml:space="preserve"> confectionery products in Mexico, </w:t>
      </w:r>
      <w:r>
        <w:rPr>
          <w:rFonts w:ascii="Arial" w:cs="Arial" w:eastAsia="Arial" w:hAnsi="Arial"/>
          <w:sz w:val="16"/>
          <w:szCs w:val="16"/>
          <w:i w:val="1"/>
          <w:iCs w:val="1"/>
          <w:color w:val="auto"/>
        </w:rPr>
        <w:t>IO-IO</w:t>
      </w:r>
      <w:r>
        <w:rPr>
          <w:rFonts w:ascii="Arial" w:cs="Arial" w:eastAsia="Arial" w:hAnsi="Arial"/>
          <w:sz w:val="16"/>
          <w:szCs w:val="16"/>
          <w:color w:val="auto"/>
        </w:rPr>
        <w:t xml:space="preserve"> snack products in Brazil, and </w:t>
      </w:r>
      <w:r>
        <w:rPr>
          <w:rFonts w:ascii="Arial" w:cs="Arial" w:eastAsia="Arial" w:hAnsi="Arial"/>
          <w:sz w:val="16"/>
          <w:szCs w:val="16"/>
          <w:i w:val="1"/>
          <w:iCs w:val="1"/>
          <w:color w:val="auto"/>
        </w:rPr>
        <w:t>Nutrine</w:t>
      </w:r>
      <w:r>
        <w:rPr>
          <w:rFonts w:ascii="Arial" w:cs="Arial" w:eastAsia="Arial" w:hAnsi="Arial"/>
          <w:sz w:val="16"/>
          <w:szCs w:val="16"/>
          <w:color w:val="auto"/>
        </w:rPr>
        <w:t xml:space="preserve"> and </w:t>
      </w:r>
      <w:r>
        <w:rPr>
          <w:rFonts w:ascii="Arial" w:cs="Arial" w:eastAsia="Arial" w:hAnsi="Arial"/>
          <w:sz w:val="16"/>
          <w:szCs w:val="16"/>
          <w:i w:val="1"/>
          <w:iCs w:val="1"/>
          <w:color w:val="auto"/>
        </w:rPr>
        <w:t>Maha Lacto</w:t>
      </w:r>
      <w:r>
        <w:rPr>
          <w:rFonts w:ascii="Arial" w:cs="Arial" w:eastAsia="Arial" w:hAnsi="Arial"/>
          <w:sz w:val="16"/>
          <w:szCs w:val="16"/>
          <w:color w:val="auto"/>
        </w:rPr>
        <w:t xml:space="preserve"> confectionery products and </w:t>
      </w:r>
      <w:r>
        <w:rPr>
          <w:rFonts w:ascii="Arial" w:cs="Arial" w:eastAsia="Arial" w:hAnsi="Arial"/>
          <w:sz w:val="16"/>
          <w:szCs w:val="16"/>
          <w:i w:val="1"/>
          <w:iCs w:val="1"/>
          <w:color w:val="auto"/>
        </w:rPr>
        <w:t>Jumpin</w:t>
      </w:r>
      <w:r>
        <w:rPr>
          <w:rFonts w:ascii="Arial" w:cs="Arial" w:eastAsia="Arial" w:hAnsi="Arial"/>
          <w:sz w:val="16"/>
          <w:szCs w:val="16"/>
          <w:color w:val="auto"/>
        </w:rPr>
        <w:t xml:space="preserve"> and </w:t>
      </w:r>
      <w:r>
        <w:rPr>
          <w:rFonts w:ascii="Arial" w:cs="Arial" w:eastAsia="Arial" w:hAnsi="Arial"/>
          <w:sz w:val="16"/>
          <w:szCs w:val="16"/>
          <w:i w:val="1"/>
          <w:iCs w:val="1"/>
          <w:color w:val="auto"/>
        </w:rPr>
        <w:t>Sofit</w:t>
      </w:r>
      <w:r>
        <w:rPr>
          <w:rFonts w:ascii="Arial" w:cs="Arial" w:eastAsia="Arial" w:hAnsi="Arial"/>
          <w:sz w:val="16"/>
          <w:szCs w:val="16"/>
          <w:color w:val="auto"/>
        </w:rPr>
        <w:t xml:space="preserve"> beverage products in India.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Customers and Marketing Strategy</w:t>
      </w:r>
    </w:p>
    <w:p>
      <w:pPr>
        <w:spacing w:after="0" w:line="9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customers are mainly wholesale distributors, chain grocery stores, mass merchandisers, chain drug stores, vending companies, wholesale clubs, convenience stores, dollar stores, concessionaires and department stores. The majority of our customers, with the exception of wholesale distributors, resell our products to end-consumers in retail outlets in North America and other locations worldwide.</w:t>
      </w:r>
    </w:p>
    <w:p>
      <w:pPr>
        <w:spacing w:after="0" w:line="12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In 2016, approximately 25% of our consolidated net sales were made to McLane Company, Inc., one of the largest wholesale distributors in the United States to convenience stores, drug stores, wholesale clubs and mass merchandisers and the primary distributor of our products to Wal-Mart Stores, Inc.</w:t>
      </w:r>
    </w:p>
    <w:p>
      <w:pPr>
        <w:spacing w:after="0" w:line="7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foundation of our marketing strategy is our strong brand equities, product innovation and the consistently superior quality of our products. We devote considerable resources to the identification, development, testing, manufacturing and marketing of new products. We utilize a variety of promotional programs directed towards our customers, as well as advertising and promotional programs for consumers of our products, to stimulate sales of certain products at various times throughout the year.</w:t>
      </w:r>
    </w:p>
    <w:p>
      <w:pPr>
        <w:spacing w:after="0" w:line="13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conjunction with our sales and marketing efforts, our efficient product distribution network helps us maintain sales growth and provide superior customer service by facilitating the shipment of our products from our manufacturing plants to strategically located distribution centers. We primarily use common carriers to deliver our products from these distribution points to our customers.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 and Pricing</w:t>
      </w:r>
    </w:p>
    <w:p>
      <w:pPr>
        <w:spacing w:after="0" w:line="94"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Cocoa products, including cocoa liquor, cocoa butter and cocoa powder processed from cocoa beans, are the most significant raw materials we use to produce our chocolate products. These cocoa products are purchased directly from third-party suppliers, who source cocoa beans that are grown principally in Far Eastern, West African, Central and South American regions. West Africa accounts for approximately 70% of the world’s supply of cocoa beans.</w:t>
      </w:r>
    </w:p>
    <w:p>
      <w:pPr>
        <w:spacing w:after="0" w:line="93"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Adverse weather, crop disease, political unrest and other problems in cocoa-producing countries have caused price fluctuations in the past, but have never resulted in the total loss of a particular producing country’s cocoa crop and/or exports. In the event that a significant disruption occurs in any given country, we believe cocoa from other producing countries and from current physical cocoa stocks in consuming countries would provide a significant supply buffer.</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746" w:right="279" w:bottom="1440" w:gutter="0" w:footer="0" w:header="0"/>
        </w:sectPr>
      </w:pPr>
    </w:p>
    <w:bookmarkStart w:id="4" w:name="page5"/>
    <w:bookmarkEnd w:id="4"/>
    <w:p>
      <w:pPr>
        <w:ind w:right="120"/>
        <w:spacing w:after="0" w:line="257" w:lineRule="auto"/>
        <w:rPr>
          <w:sz w:val="20"/>
          <w:szCs w:val="20"/>
          <w:color w:val="auto"/>
        </w:rPr>
      </w:pPr>
      <w:r>
        <w:rPr>
          <w:rFonts w:ascii="Arial" w:cs="Arial" w:eastAsia="Arial" w:hAnsi="Arial"/>
          <w:sz w:val="18"/>
          <w:szCs w:val="18"/>
          <w:color w:val="auto"/>
        </w:rPr>
        <w:t>In 2016, we established a trading company in Switzerland that performs all aspects of cocoa procurement, including price risk management, physical supply procurement and sustainable sourcing oversight. The trading company was implemented to optimize the supply chain for our cocoa requirements, with a strategic focus on gaining real time access to cocoa market intelligence. It also provides us with the ability to recruit and retain world class commodities traders and procurement professionals and enables enhanced collaboration with commodities trade groups, the global cocoa community and sustainable sourcing resources.</w:t>
      </w:r>
    </w:p>
    <w:p>
      <w:pPr>
        <w:spacing w:after="0" w:line="13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also use substantial quantities of sugar, Class II and IV dairy products, peanuts, almonds and energy in our production process. Most of these inputs for our domestic and Canadian operations are purchased from suppliers in the United States. For our international operations, inputs not locally available may be imported from other countries.</w:t>
      </w:r>
    </w:p>
    <w:p>
      <w:pPr>
        <w:spacing w:after="0" w:line="127"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We change prices and weights of our products when necessary to accommodate changes in input costs, the competitive environment and profit objectives, while at the same time maintaining consumer value. Price increases and weight changes help to offset increases in our input costs, including raw and packaging materials, fuel, utilities, transportation costs and employee benefits. When we implement price increases, there is usually a time lag between the effective date of the list price increases and the impact of the price increases on net sales, in part because we typically honor previous commitments to planned consumer and customer promotions and merchandising events subsequent to the effective date of the price increases. In addition, promotional allowances may be increased subsequent to the effective date, delaying or partially offsetting the impact of price increases on net sales.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Many of our confectionery brands enjoy wide consumer acceptance and are among the leading brands sold in the marketplace in North America and certain markets in Latin America. We sell our brands in highly competitive markets with many other global multinational, national, regional and local firms. Some of our competitors are large companies with significant resources and substantial international operations. Competition in our product categories is based on product innovation, product quality, price, brand recognition and loyalty, effectiveness of marketing and promotional activity, the ability to identify and satisfy consumer preferences, as well as convenience and service. In recent years, we have also experienced increased competition from other snack items, which has pressured confectionery category growth.</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 Seasonality and Backlog</w:t>
      </w:r>
    </w:p>
    <w:p>
      <w:pPr>
        <w:spacing w:after="0" w:line="9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Our sales are typically higher during the third and fourth quarters of the year, representing seasonal and holiday-related sales patterns. We manufacture primarily for stock and typically fill customer orders within a few days of receipt. Therefore, the backlog of any unfilled orders is not material to our total annual sales. Additional information relating to our cash flows from operations and working capital practices is provided in our Management’s Discussion and Analysis.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Service Marks and License Agreements</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own various registered and unregistered trademarks and service marks. The trademarks covering our key product brands are of material importance to our business. We follow a practice of seeking trademark protection in the United States and other key international markets where our products are sold. We also grant trademark licenses to third parties to produce and sell pantry items, flavored milks and various other products primarily under the </w:t>
      </w:r>
      <w:r>
        <w:rPr>
          <w:rFonts w:ascii="Arial" w:cs="Arial" w:eastAsia="Arial" w:hAnsi="Arial"/>
          <w:sz w:val="18"/>
          <w:szCs w:val="18"/>
          <w:i w:val="1"/>
          <w:iCs w:val="1"/>
          <w:color w:val="auto"/>
        </w:rPr>
        <w:t>Hershey’s</w:t>
      </w:r>
      <w:r>
        <w:rPr>
          <w:rFonts w:ascii="Arial" w:cs="Arial" w:eastAsia="Arial" w:hAnsi="Arial"/>
          <w:sz w:val="18"/>
          <w:szCs w:val="18"/>
          <w:color w:val="auto"/>
        </w:rPr>
        <w:t xml:space="preserve"> and </w:t>
      </w:r>
      <w:r>
        <w:rPr>
          <w:rFonts w:ascii="Arial" w:cs="Arial" w:eastAsia="Arial" w:hAnsi="Arial"/>
          <w:sz w:val="18"/>
          <w:szCs w:val="18"/>
          <w:i w:val="1"/>
          <w:iCs w:val="1"/>
          <w:color w:val="auto"/>
        </w:rPr>
        <w:t>Reese’s</w:t>
      </w:r>
      <w:r>
        <w:rPr>
          <w:rFonts w:ascii="Arial" w:cs="Arial" w:eastAsia="Arial" w:hAnsi="Arial"/>
          <w:sz w:val="18"/>
          <w:szCs w:val="18"/>
          <w:color w:val="auto"/>
        </w:rPr>
        <w:t xml:space="preserve"> brand names.</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746" w:right="279" w:bottom="1440" w:gutter="0" w:footer="0" w:header="0"/>
        </w:sectPr>
      </w:pPr>
    </w:p>
    <w:bookmarkStart w:id="5" w:name="page6"/>
    <w:bookmarkEnd w:id="5"/>
    <w:p>
      <w:pPr>
        <w:ind w:right="240"/>
        <w:spacing w:after="0" w:line="308" w:lineRule="auto"/>
        <w:rPr>
          <w:sz w:val="20"/>
          <w:szCs w:val="20"/>
          <w:color w:val="auto"/>
        </w:rPr>
      </w:pPr>
      <w:r>
        <w:rPr>
          <w:rFonts w:ascii="Arial" w:cs="Arial" w:eastAsia="Arial" w:hAnsi="Arial"/>
          <w:sz w:val="17"/>
          <w:szCs w:val="17"/>
          <w:color w:val="auto"/>
        </w:rPr>
        <w:t>Furthermore, we have rights under license agreements with several companies to manufacture and/or sell and distribute certain products. Our rights under these agreements are extendible on a long-term basis at our option. Our most significant licensing agreements are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80" w:type="dxa"/>
            <w:vAlign w:val="bottom"/>
          </w:tcPr>
          <w:p>
            <w:pPr>
              <w:ind w:left="260"/>
              <w:spacing w:after="0"/>
              <w:rPr>
                <w:sz w:val="20"/>
                <w:szCs w:val="20"/>
                <w:color w:val="auto"/>
              </w:rPr>
            </w:pPr>
            <w:r>
              <w:rPr>
                <w:rFonts w:ascii="Arial" w:cs="Arial" w:eastAsia="Arial" w:hAnsi="Arial"/>
                <w:sz w:val="16"/>
                <w:szCs w:val="16"/>
                <w:b w:val="1"/>
                <w:bCs w:val="1"/>
                <w:color w:val="auto"/>
              </w:rPr>
              <w:t>Company</w:t>
            </w:r>
          </w:p>
        </w:tc>
        <w:tc>
          <w:tcPr>
            <w:tcW w:w="2760" w:type="dxa"/>
            <w:vAlign w:val="bottom"/>
          </w:tcPr>
          <w:p>
            <w:pPr>
              <w:ind w:left="600"/>
              <w:spacing w:after="0"/>
              <w:rPr>
                <w:sz w:val="20"/>
                <w:szCs w:val="20"/>
                <w:color w:val="auto"/>
              </w:rPr>
            </w:pPr>
            <w:r>
              <w:rPr>
                <w:rFonts w:ascii="Arial" w:cs="Arial" w:eastAsia="Arial" w:hAnsi="Arial"/>
                <w:sz w:val="16"/>
                <w:szCs w:val="16"/>
                <w:b w:val="1"/>
                <w:bCs w:val="1"/>
                <w:color w:val="auto"/>
              </w:rPr>
              <w:t>Brand</w:t>
            </w:r>
          </w:p>
        </w:tc>
        <w:tc>
          <w:tcPr>
            <w:tcW w:w="1860" w:type="dxa"/>
            <w:vAlign w:val="bottom"/>
          </w:tcPr>
          <w:p>
            <w:pPr>
              <w:ind w:left="500"/>
              <w:spacing w:after="0"/>
              <w:rPr>
                <w:sz w:val="20"/>
                <w:szCs w:val="20"/>
                <w:color w:val="auto"/>
              </w:rPr>
            </w:pPr>
            <w:r>
              <w:rPr>
                <w:rFonts w:ascii="Arial" w:cs="Arial" w:eastAsia="Arial" w:hAnsi="Arial"/>
                <w:sz w:val="16"/>
                <w:szCs w:val="16"/>
                <w:b w:val="1"/>
                <w:bCs w:val="1"/>
                <w:color w:val="auto"/>
              </w:rPr>
              <w:t>Location</w:t>
            </w:r>
          </w:p>
        </w:tc>
        <w:tc>
          <w:tcPr>
            <w:tcW w:w="2520" w:type="dxa"/>
            <w:vAlign w:val="bottom"/>
          </w:tcPr>
          <w:p>
            <w:pPr>
              <w:ind w:left="460"/>
              <w:spacing w:after="0"/>
              <w:rPr>
                <w:sz w:val="20"/>
                <w:szCs w:val="20"/>
                <w:color w:val="auto"/>
              </w:rPr>
            </w:pPr>
            <w:r>
              <w:rPr>
                <w:rFonts w:ascii="Arial" w:cs="Arial" w:eastAsia="Arial" w:hAnsi="Arial"/>
                <w:sz w:val="16"/>
                <w:szCs w:val="16"/>
                <w:b w:val="1"/>
                <w:bCs w:val="1"/>
                <w:color w:val="auto"/>
              </w:rPr>
              <w:t>Requirements</w:t>
            </w:r>
          </w:p>
        </w:tc>
        <w:tc>
          <w:tcPr>
            <w:tcW w:w="0" w:type="dxa"/>
            <w:vAlign w:val="bottom"/>
          </w:tcPr>
          <w:p>
            <w:pPr>
              <w:spacing w:after="0"/>
              <w:rPr>
                <w:sz w:val="1"/>
                <w:szCs w:val="1"/>
                <w:color w:val="auto"/>
              </w:rPr>
            </w:pPr>
          </w:p>
        </w:tc>
      </w:tr>
      <w:tr>
        <w:trPr>
          <w:trHeight w:val="33"/>
        </w:trPr>
        <w:tc>
          <w:tcPr>
            <w:tcW w:w="418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4"/>
        </w:trPr>
        <w:tc>
          <w:tcPr>
            <w:tcW w:w="4180" w:type="dxa"/>
            <w:vAlign w:val="bottom"/>
          </w:tcPr>
          <w:p>
            <w:pPr>
              <w:spacing w:after="0"/>
              <w:rPr>
                <w:sz w:val="24"/>
                <w:szCs w:val="24"/>
                <w:color w:val="auto"/>
              </w:rPr>
            </w:pPr>
          </w:p>
        </w:tc>
        <w:tc>
          <w:tcPr>
            <w:tcW w:w="2760" w:type="dxa"/>
            <w:vAlign w:val="bottom"/>
          </w:tcPr>
          <w:p>
            <w:pPr>
              <w:ind w:left="600"/>
              <w:spacing w:after="0"/>
              <w:rPr>
                <w:sz w:val="20"/>
                <w:szCs w:val="20"/>
                <w:color w:val="auto"/>
              </w:rPr>
            </w:pPr>
            <w:r>
              <w:rPr>
                <w:rFonts w:ascii="Arial" w:cs="Arial" w:eastAsia="Arial" w:hAnsi="Arial"/>
                <w:sz w:val="18"/>
                <w:szCs w:val="18"/>
                <w:i w:val="1"/>
                <w:iCs w:val="1"/>
                <w:color w:val="auto"/>
              </w:rPr>
              <w:t>York</w:t>
            </w:r>
          </w:p>
        </w:tc>
        <w:tc>
          <w:tcPr>
            <w:tcW w:w="1860" w:type="dxa"/>
            <w:vAlign w:val="bottom"/>
            <w:vMerge w:val="restart"/>
          </w:tcPr>
          <w:p>
            <w:pPr>
              <w:ind w:left="560"/>
              <w:spacing w:after="0"/>
              <w:rPr>
                <w:sz w:val="20"/>
                <w:szCs w:val="20"/>
                <w:color w:val="auto"/>
              </w:rPr>
            </w:pPr>
            <w:r>
              <w:rPr>
                <w:rFonts w:ascii="Arial" w:cs="Arial" w:eastAsia="Arial" w:hAnsi="Arial"/>
                <w:sz w:val="18"/>
                <w:szCs w:val="18"/>
                <w:color w:val="auto"/>
              </w:rPr>
              <w:t>Worldwide</w:t>
            </w:r>
          </w:p>
        </w:tc>
        <w:tc>
          <w:tcPr>
            <w:tcW w:w="2520" w:type="dxa"/>
            <w:vAlign w:val="bottom"/>
            <w:vMerge w:val="restart"/>
          </w:tcPr>
          <w:p>
            <w:pPr>
              <w:ind w:left="38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180" w:type="dxa"/>
            <w:vAlign w:val="bottom"/>
          </w:tcPr>
          <w:p>
            <w:pPr>
              <w:ind w:left="40"/>
              <w:spacing w:after="0"/>
              <w:rPr>
                <w:sz w:val="20"/>
                <w:szCs w:val="20"/>
                <w:color w:val="auto"/>
              </w:rPr>
            </w:pPr>
            <w:r>
              <w:rPr>
                <w:rFonts w:ascii="Arial" w:cs="Arial" w:eastAsia="Arial" w:hAnsi="Arial"/>
                <w:sz w:val="18"/>
                <w:szCs w:val="18"/>
                <w:color w:val="auto"/>
              </w:rPr>
              <w:t>Kraft Foods Ireland Intellectual Property Limited</w:t>
            </w:r>
          </w:p>
        </w:tc>
        <w:tc>
          <w:tcPr>
            <w:tcW w:w="2760" w:type="dxa"/>
            <w:vAlign w:val="bottom"/>
          </w:tcPr>
          <w:p>
            <w:pPr>
              <w:ind w:left="600"/>
              <w:spacing w:after="0"/>
              <w:rPr>
                <w:sz w:val="20"/>
                <w:szCs w:val="20"/>
                <w:color w:val="auto"/>
              </w:rPr>
            </w:pPr>
            <w:r>
              <w:rPr>
                <w:rFonts w:ascii="Arial" w:cs="Arial" w:eastAsia="Arial" w:hAnsi="Arial"/>
                <w:sz w:val="18"/>
                <w:szCs w:val="18"/>
                <w:i w:val="1"/>
                <w:iCs w:val="1"/>
                <w:color w:val="auto"/>
              </w:rPr>
              <w:t>Peter Paul Almond Joy</w:t>
            </w:r>
          </w:p>
        </w:tc>
        <w:tc>
          <w:tcPr>
            <w:tcW w:w="1860" w:type="dxa"/>
            <w:vAlign w:val="bottom"/>
            <w:vMerge w:val="continue"/>
          </w:tcPr>
          <w:p>
            <w:pPr>
              <w:spacing w:after="0"/>
              <w:rPr>
                <w:sz w:val="18"/>
                <w:szCs w:val="18"/>
                <w:color w:val="auto"/>
              </w:rPr>
            </w:pPr>
          </w:p>
        </w:tc>
        <w:tc>
          <w:tcPr>
            <w:tcW w:w="2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p>
        </w:tc>
        <w:tc>
          <w:tcPr>
            <w:tcW w:w="2760" w:type="dxa"/>
            <w:vAlign w:val="bottom"/>
          </w:tcPr>
          <w:p>
            <w:pPr>
              <w:ind w:left="600"/>
              <w:spacing w:after="0"/>
              <w:rPr>
                <w:sz w:val="20"/>
                <w:szCs w:val="20"/>
                <w:color w:val="auto"/>
              </w:rPr>
            </w:pPr>
            <w:r>
              <w:rPr>
                <w:rFonts w:ascii="Arial" w:cs="Arial" w:eastAsia="Arial" w:hAnsi="Arial"/>
                <w:sz w:val="18"/>
                <w:szCs w:val="18"/>
                <w:i w:val="1"/>
                <w:iCs w:val="1"/>
                <w:color w:val="auto"/>
              </w:rPr>
              <w:t>Peter Paul Mounds</w:t>
            </w:r>
          </w:p>
        </w:tc>
        <w:tc>
          <w:tcPr>
            <w:tcW w:w="18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8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180" w:type="dxa"/>
            <w:vAlign w:val="bottom"/>
            <w:vMerge w:val="restart"/>
          </w:tcPr>
          <w:p>
            <w:pPr>
              <w:ind w:left="40"/>
              <w:spacing w:after="0"/>
              <w:rPr>
                <w:sz w:val="20"/>
                <w:szCs w:val="20"/>
                <w:color w:val="auto"/>
              </w:rPr>
            </w:pPr>
            <w:r>
              <w:rPr>
                <w:rFonts w:ascii="Arial" w:cs="Arial" w:eastAsia="Arial" w:hAnsi="Arial"/>
                <w:sz w:val="18"/>
                <w:szCs w:val="18"/>
                <w:color w:val="auto"/>
              </w:rPr>
              <w:t>Cadbury UK Limited</w:t>
            </w:r>
          </w:p>
        </w:tc>
        <w:tc>
          <w:tcPr>
            <w:tcW w:w="2760" w:type="dxa"/>
            <w:vAlign w:val="bottom"/>
          </w:tcPr>
          <w:p>
            <w:pPr>
              <w:ind w:left="600"/>
              <w:spacing w:after="0"/>
              <w:rPr>
                <w:sz w:val="20"/>
                <w:szCs w:val="20"/>
                <w:color w:val="auto"/>
              </w:rPr>
            </w:pPr>
            <w:r>
              <w:rPr>
                <w:rFonts w:ascii="Arial" w:cs="Arial" w:eastAsia="Arial" w:hAnsi="Arial"/>
                <w:sz w:val="18"/>
                <w:szCs w:val="18"/>
                <w:i w:val="1"/>
                <w:iCs w:val="1"/>
                <w:color w:val="auto"/>
              </w:rPr>
              <w:t>Cadbury</w:t>
            </w:r>
          </w:p>
        </w:tc>
        <w:tc>
          <w:tcPr>
            <w:tcW w:w="1860" w:type="dxa"/>
            <w:vAlign w:val="bottom"/>
            <w:vMerge w:val="restart"/>
          </w:tcPr>
          <w:p>
            <w:pPr>
              <w:ind w:left="560"/>
              <w:spacing w:after="0"/>
              <w:rPr>
                <w:sz w:val="20"/>
                <w:szCs w:val="20"/>
                <w:color w:val="auto"/>
              </w:rPr>
            </w:pPr>
            <w:r>
              <w:rPr>
                <w:rFonts w:ascii="Arial" w:cs="Arial" w:eastAsia="Arial" w:hAnsi="Arial"/>
                <w:sz w:val="18"/>
                <w:szCs w:val="18"/>
                <w:color w:val="auto"/>
              </w:rPr>
              <w:t>United States</w:t>
            </w:r>
          </w:p>
        </w:tc>
        <w:tc>
          <w:tcPr>
            <w:tcW w:w="2520" w:type="dxa"/>
            <w:vAlign w:val="bottom"/>
          </w:tcPr>
          <w:p>
            <w:pPr>
              <w:ind w:left="380"/>
              <w:spacing w:after="0"/>
              <w:rPr>
                <w:sz w:val="20"/>
                <w:szCs w:val="20"/>
                <w:color w:val="auto"/>
              </w:rPr>
            </w:pPr>
            <w:r>
              <w:rPr>
                <w:rFonts w:ascii="Arial" w:cs="Arial" w:eastAsia="Arial" w:hAnsi="Arial"/>
                <w:sz w:val="18"/>
                <w:szCs w:val="18"/>
                <w:color w:val="auto"/>
                <w:w w:val="95"/>
              </w:rPr>
              <w:t>Minimum sales requirement</w:t>
            </w:r>
          </w:p>
        </w:tc>
        <w:tc>
          <w:tcPr>
            <w:tcW w:w="0" w:type="dxa"/>
            <w:vAlign w:val="bottom"/>
          </w:tcPr>
          <w:p>
            <w:pPr>
              <w:spacing w:after="0"/>
              <w:rPr>
                <w:sz w:val="1"/>
                <w:szCs w:val="1"/>
                <w:color w:val="auto"/>
              </w:rPr>
            </w:pPr>
          </w:p>
        </w:tc>
      </w:tr>
      <w:tr>
        <w:trPr>
          <w:trHeight w:val="149"/>
        </w:trPr>
        <w:tc>
          <w:tcPr>
            <w:tcW w:w="4180" w:type="dxa"/>
            <w:vAlign w:val="bottom"/>
            <w:vMerge w:val="continue"/>
          </w:tcPr>
          <w:p>
            <w:pPr>
              <w:spacing w:after="0"/>
              <w:rPr>
                <w:sz w:val="12"/>
                <w:szCs w:val="12"/>
                <w:color w:val="auto"/>
              </w:rPr>
            </w:pPr>
          </w:p>
        </w:tc>
        <w:tc>
          <w:tcPr>
            <w:tcW w:w="2760" w:type="dxa"/>
            <w:vAlign w:val="bottom"/>
            <w:vMerge w:val="restart"/>
          </w:tcPr>
          <w:p>
            <w:pPr>
              <w:ind w:left="600"/>
              <w:spacing w:after="0"/>
              <w:rPr>
                <w:sz w:val="20"/>
                <w:szCs w:val="20"/>
                <w:color w:val="auto"/>
              </w:rPr>
            </w:pPr>
            <w:r>
              <w:rPr>
                <w:rFonts w:ascii="Arial" w:cs="Arial" w:eastAsia="Arial" w:hAnsi="Arial"/>
                <w:sz w:val="18"/>
                <w:szCs w:val="18"/>
                <w:i w:val="1"/>
                <w:iCs w:val="1"/>
                <w:color w:val="auto"/>
              </w:rPr>
              <w:t>Caramello</w:t>
            </w:r>
          </w:p>
        </w:tc>
        <w:tc>
          <w:tcPr>
            <w:tcW w:w="1860" w:type="dxa"/>
            <w:vAlign w:val="bottom"/>
            <w:vMerge w:val="continue"/>
          </w:tcPr>
          <w:p>
            <w:pPr>
              <w:spacing w:after="0"/>
              <w:rPr>
                <w:sz w:val="12"/>
                <w:szCs w:val="12"/>
                <w:color w:val="auto"/>
              </w:rPr>
            </w:pPr>
          </w:p>
        </w:tc>
        <w:tc>
          <w:tcPr>
            <w:tcW w:w="2520" w:type="dxa"/>
            <w:vAlign w:val="bottom"/>
            <w:vMerge w:val="restart"/>
          </w:tcPr>
          <w:p>
            <w:pPr>
              <w:ind w:left="380"/>
              <w:spacing w:after="0"/>
              <w:rPr>
                <w:sz w:val="20"/>
                <w:szCs w:val="20"/>
                <w:color w:val="auto"/>
              </w:rPr>
            </w:pPr>
            <w:r>
              <w:rPr>
                <w:rFonts w:ascii="Arial" w:cs="Arial" w:eastAsia="Arial" w:hAnsi="Arial"/>
                <w:sz w:val="18"/>
                <w:szCs w:val="18"/>
                <w:color w:val="auto"/>
              </w:rPr>
              <w:t>exceeded in 2016</w:t>
            </w:r>
          </w:p>
        </w:tc>
        <w:tc>
          <w:tcPr>
            <w:tcW w:w="0" w:type="dxa"/>
            <w:vAlign w:val="bottom"/>
          </w:tcPr>
          <w:p>
            <w:pPr>
              <w:spacing w:after="0"/>
              <w:rPr>
                <w:sz w:val="1"/>
                <w:szCs w:val="1"/>
                <w:color w:val="auto"/>
              </w:rPr>
            </w:pPr>
          </w:p>
        </w:tc>
      </w:tr>
      <w:tr>
        <w:trPr>
          <w:trHeight w:val="135"/>
        </w:trPr>
        <w:tc>
          <w:tcPr>
            <w:tcW w:w="418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860" w:type="dxa"/>
            <w:vAlign w:val="bottom"/>
          </w:tcPr>
          <w:p>
            <w:pPr>
              <w:spacing w:after="0"/>
              <w:rPr>
                <w:sz w:val="11"/>
                <w:szCs w:val="11"/>
                <w:color w:val="auto"/>
              </w:rPr>
            </w:pPr>
          </w:p>
        </w:tc>
        <w:tc>
          <w:tcPr>
            <w:tcW w:w="2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418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4"/>
        </w:trPr>
        <w:tc>
          <w:tcPr>
            <w:tcW w:w="4180" w:type="dxa"/>
            <w:vAlign w:val="bottom"/>
            <w:vMerge w:val="restart"/>
          </w:tcPr>
          <w:p>
            <w:pPr>
              <w:ind w:left="40"/>
              <w:spacing w:after="0"/>
              <w:rPr>
                <w:sz w:val="20"/>
                <w:szCs w:val="20"/>
                <w:color w:val="auto"/>
              </w:rPr>
            </w:pPr>
            <w:r>
              <w:rPr>
                <w:rFonts w:ascii="Arial" w:cs="Arial" w:eastAsia="Arial" w:hAnsi="Arial"/>
                <w:sz w:val="18"/>
                <w:szCs w:val="18"/>
                <w:color w:val="auto"/>
              </w:rPr>
              <w:t>Société des Produits Nestlé SA</w:t>
            </w:r>
          </w:p>
        </w:tc>
        <w:tc>
          <w:tcPr>
            <w:tcW w:w="2760" w:type="dxa"/>
            <w:vAlign w:val="bottom"/>
          </w:tcPr>
          <w:p>
            <w:pPr>
              <w:ind w:left="660"/>
              <w:spacing w:after="0"/>
              <w:rPr>
                <w:sz w:val="20"/>
                <w:szCs w:val="20"/>
                <w:color w:val="auto"/>
              </w:rPr>
            </w:pPr>
            <w:r>
              <w:rPr>
                <w:rFonts w:ascii="Arial" w:cs="Arial" w:eastAsia="Arial" w:hAnsi="Arial"/>
                <w:sz w:val="18"/>
                <w:szCs w:val="18"/>
                <w:i w:val="1"/>
                <w:iCs w:val="1"/>
                <w:color w:val="auto"/>
              </w:rPr>
              <w:t>Kit Kat</w:t>
            </w:r>
            <w:r>
              <w:rPr>
                <w:rFonts w:ascii="Arial" w:cs="Arial" w:eastAsia="Arial" w:hAnsi="Arial"/>
                <w:sz w:val="14"/>
                <w:szCs w:val="14"/>
                <w:i w:val="1"/>
                <w:iCs w:val="1"/>
                <w:color w:val="auto"/>
              </w:rPr>
              <w:t>®</w:t>
            </w:r>
          </w:p>
        </w:tc>
        <w:tc>
          <w:tcPr>
            <w:tcW w:w="1860" w:type="dxa"/>
            <w:vAlign w:val="bottom"/>
            <w:vMerge w:val="restart"/>
          </w:tcPr>
          <w:p>
            <w:pPr>
              <w:ind w:left="560"/>
              <w:spacing w:after="0"/>
              <w:rPr>
                <w:sz w:val="20"/>
                <w:szCs w:val="20"/>
                <w:color w:val="auto"/>
              </w:rPr>
            </w:pPr>
            <w:r>
              <w:rPr>
                <w:rFonts w:ascii="Arial" w:cs="Arial" w:eastAsia="Arial" w:hAnsi="Arial"/>
                <w:sz w:val="18"/>
                <w:szCs w:val="18"/>
                <w:color w:val="auto"/>
              </w:rPr>
              <w:t>United States</w:t>
            </w:r>
          </w:p>
        </w:tc>
        <w:tc>
          <w:tcPr>
            <w:tcW w:w="2520" w:type="dxa"/>
            <w:vAlign w:val="bottom"/>
          </w:tcPr>
          <w:p>
            <w:pPr>
              <w:ind w:left="380"/>
              <w:spacing w:after="0"/>
              <w:rPr>
                <w:sz w:val="20"/>
                <w:szCs w:val="20"/>
                <w:color w:val="auto"/>
              </w:rPr>
            </w:pPr>
            <w:r>
              <w:rPr>
                <w:rFonts w:ascii="Arial" w:cs="Arial" w:eastAsia="Arial" w:hAnsi="Arial"/>
                <w:sz w:val="18"/>
                <w:szCs w:val="18"/>
                <w:color w:val="auto"/>
                <w:w w:val="97"/>
              </w:rPr>
              <w:t>Minimum unit volume sales</w:t>
            </w:r>
          </w:p>
        </w:tc>
        <w:tc>
          <w:tcPr>
            <w:tcW w:w="0" w:type="dxa"/>
            <w:vAlign w:val="bottom"/>
          </w:tcPr>
          <w:p>
            <w:pPr>
              <w:spacing w:after="0"/>
              <w:rPr>
                <w:sz w:val="1"/>
                <w:szCs w:val="1"/>
                <w:color w:val="auto"/>
              </w:rPr>
            </w:pPr>
          </w:p>
        </w:tc>
      </w:tr>
      <w:tr>
        <w:trPr>
          <w:trHeight w:val="109"/>
        </w:trPr>
        <w:tc>
          <w:tcPr>
            <w:tcW w:w="4180" w:type="dxa"/>
            <w:vAlign w:val="bottom"/>
            <w:vMerge w:val="continue"/>
          </w:tcPr>
          <w:p>
            <w:pPr>
              <w:spacing w:after="0"/>
              <w:rPr>
                <w:sz w:val="9"/>
                <w:szCs w:val="9"/>
                <w:color w:val="auto"/>
              </w:rPr>
            </w:pPr>
          </w:p>
        </w:tc>
        <w:tc>
          <w:tcPr>
            <w:tcW w:w="2760" w:type="dxa"/>
            <w:vAlign w:val="bottom"/>
            <w:vMerge w:val="restart"/>
          </w:tcPr>
          <w:p>
            <w:pPr>
              <w:ind w:left="660"/>
              <w:spacing w:after="0"/>
              <w:rPr>
                <w:sz w:val="20"/>
                <w:szCs w:val="20"/>
                <w:color w:val="auto"/>
              </w:rPr>
            </w:pPr>
            <w:r>
              <w:rPr>
                <w:rFonts w:ascii="Arial" w:cs="Arial" w:eastAsia="Arial" w:hAnsi="Arial"/>
                <w:sz w:val="18"/>
                <w:szCs w:val="18"/>
                <w:i w:val="1"/>
                <w:iCs w:val="1"/>
                <w:color w:val="auto"/>
              </w:rPr>
              <w:t>Rolo</w:t>
            </w:r>
            <w:r>
              <w:rPr>
                <w:rFonts w:ascii="Arial" w:cs="Arial" w:eastAsia="Arial" w:hAnsi="Arial"/>
                <w:sz w:val="14"/>
                <w:szCs w:val="14"/>
                <w:i w:val="1"/>
                <w:iCs w:val="1"/>
                <w:color w:val="auto"/>
              </w:rPr>
              <w:t>®</w:t>
            </w:r>
          </w:p>
        </w:tc>
        <w:tc>
          <w:tcPr>
            <w:tcW w:w="1860" w:type="dxa"/>
            <w:vAlign w:val="bottom"/>
            <w:vMerge w:val="continue"/>
          </w:tcPr>
          <w:p>
            <w:pPr>
              <w:spacing w:after="0"/>
              <w:rPr>
                <w:sz w:val="9"/>
                <w:szCs w:val="9"/>
                <w:color w:val="auto"/>
              </w:rPr>
            </w:pPr>
          </w:p>
        </w:tc>
        <w:tc>
          <w:tcPr>
            <w:tcW w:w="2520" w:type="dxa"/>
            <w:vAlign w:val="bottom"/>
            <w:vMerge w:val="restart"/>
          </w:tcPr>
          <w:p>
            <w:pPr>
              <w:ind w:left="380"/>
              <w:spacing w:after="0"/>
              <w:rPr>
                <w:sz w:val="20"/>
                <w:szCs w:val="20"/>
                <w:color w:val="auto"/>
              </w:rPr>
            </w:pPr>
            <w:r>
              <w:rPr>
                <w:rFonts w:ascii="Arial" w:cs="Arial" w:eastAsia="Arial" w:hAnsi="Arial"/>
                <w:sz w:val="18"/>
                <w:szCs w:val="18"/>
                <w:color w:val="auto"/>
              </w:rPr>
              <w:t>exceeded in 2016</w:t>
            </w:r>
          </w:p>
        </w:tc>
        <w:tc>
          <w:tcPr>
            <w:tcW w:w="0" w:type="dxa"/>
            <w:vAlign w:val="bottom"/>
          </w:tcPr>
          <w:p>
            <w:pPr>
              <w:spacing w:after="0"/>
              <w:rPr>
                <w:sz w:val="1"/>
                <w:szCs w:val="1"/>
                <w:color w:val="auto"/>
              </w:rPr>
            </w:pPr>
          </w:p>
        </w:tc>
      </w:tr>
      <w:tr>
        <w:trPr>
          <w:trHeight w:val="135"/>
        </w:trPr>
        <w:tc>
          <w:tcPr>
            <w:tcW w:w="418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860" w:type="dxa"/>
            <w:vAlign w:val="bottom"/>
          </w:tcPr>
          <w:p>
            <w:pPr>
              <w:spacing w:after="0"/>
              <w:rPr>
                <w:sz w:val="11"/>
                <w:szCs w:val="11"/>
                <w:color w:val="auto"/>
              </w:rPr>
            </w:pPr>
          </w:p>
        </w:tc>
        <w:tc>
          <w:tcPr>
            <w:tcW w:w="2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4180" w:type="dxa"/>
            <w:vAlign w:val="bottom"/>
            <w:tcBorders>
              <w:bottom w:val="single" w:sz="8" w:color="auto"/>
            </w:tcBorders>
          </w:tcPr>
          <w:p>
            <w:pPr>
              <w:spacing w:after="0"/>
              <w:rPr>
                <w:sz w:val="5"/>
                <w:szCs w:val="5"/>
                <w:color w:val="auto"/>
              </w:rPr>
            </w:pPr>
          </w:p>
        </w:tc>
        <w:tc>
          <w:tcPr>
            <w:tcW w:w="2760" w:type="dxa"/>
            <w:vAlign w:val="bottom"/>
            <w:tcBorders>
              <w:bottom w:val="single" w:sz="8" w:color="auto"/>
            </w:tcBorders>
          </w:tcPr>
          <w:p>
            <w:pPr>
              <w:spacing w:after="0"/>
              <w:rPr>
                <w:sz w:val="5"/>
                <w:szCs w:val="5"/>
                <w:color w:val="auto"/>
              </w:rPr>
            </w:pPr>
          </w:p>
        </w:tc>
        <w:tc>
          <w:tcPr>
            <w:tcW w:w="1860" w:type="dxa"/>
            <w:vAlign w:val="bottom"/>
            <w:tcBorders>
              <w:bottom w:val="single" w:sz="8" w:color="auto"/>
            </w:tcBorders>
          </w:tcPr>
          <w:p>
            <w:pPr>
              <w:spacing w:after="0"/>
              <w:rPr>
                <w:sz w:val="5"/>
                <w:szCs w:val="5"/>
                <w:color w:val="auto"/>
              </w:rPr>
            </w:pPr>
          </w:p>
        </w:tc>
        <w:tc>
          <w:tcPr>
            <w:tcW w:w="2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84"/>
        </w:trPr>
        <w:tc>
          <w:tcPr>
            <w:tcW w:w="4180" w:type="dxa"/>
            <w:vAlign w:val="bottom"/>
          </w:tcPr>
          <w:p>
            <w:pPr>
              <w:spacing w:after="0"/>
              <w:rPr>
                <w:sz w:val="24"/>
                <w:szCs w:val="24"/>
                <w:color w:val="auto"/>
              </w:rPr>
            </w:pPr>
          </w:p>
        </w:tc>
        <w:tc>
          <w:tcPr>
            <w:tcW w:w="2760" w:type="dxa"/>
            <w:vAlign w:val="bottom"/>
          </w:tcPr>
          <w:p>
            <w:pPr>
              <w:ind w:left="660"/>
              <w:spacing w:after="0"/>
              <w:rPr>
                <w:sz w:val="20"/>
                <w:szCs w:val="20"/>
                <w:color w:val="auto"/>
              </w:rPr>
            </w:pPr>
            <w:r>
              <w:rPr>
                <w:rFonts w:ascii="Arial" w:cs="Arial" w:eastAsia="Arial" w:hAnsi="Arial"/>
                <w:sz w:val="18"/>
                <w:szCs w:val="18"/>
                <w:i w:val="1"/>
                <w:iCs w:val="1"/>
                <w:color w:val="auto"/>
              </w:rPr>
              <w:t>Good &amp; Plenty</w:t>
            </w:r>
          </w:p>
        </w:tc>
        <w:tc>
          <w:tcPr>
            <w:tcW w:w="18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18"/>
                <w:szCs w:val="18"/>
                <w:color w:val="auto"/>
              </w:rPr>
            </w:pPr>
          </w:p>
        </w:tc>
        <w:tc>
          <w:tcPr>
            <w:tcW w:w="2760" w:type="dxa"/>
            <w:vAlign w:val="bottom"/>
          </w:tcPr>
          <w:p>
            <w:pPr>
              <w:ind w:left="660"/>
              <w:spacing w:after="0"/>
              <w:rPr>
                <w:sz w:val="20"/>
                <w:szCs w:val="20"/>
                <w:color w:val="auto"/>
              </w:rPr>
            </w:pPr>
            <w:r>
              <w:rPr>
                <w:rFonts w:ascii="Arial" w:cs="Arial" w:eastAsia="Arial" w:hAnsi="Arial"/>
                <w:sz w:val="18"/>
                <w:szCs w:val="18"/>
                <w:i w:val="1"/>
                <w:iCs w:val="1"/>
                <w:color w:val="auto"/>
              </w:rPr>
              <w:t>Heath</w:t>
            </w:r>
          </w:p>
        </w:tc>
        <w:tc>
          <w:tcPr>
            <w:tcW w:w="18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vMerge w:val="restart"/>
          </w:tcPr>
          <w:p>
            <w:pPr>
              <w:ind w:left="40"/>
              <w:spacing w:after="0"/>
              <w:rPr>
                <w:sz w:val="20"/>
                <w:szCs w:val="20"/>
                <w:color w:val="auto"/>
              </w:rPr>
            </w:pPr>
            <w:r>
              <w:rPr>
                <w:rFonts w:ascii="Arial" w:cs="Arial" w:eastAsia="Arial" w:hAnsi="Arial"/>
                <w:sz w:val="18"/>
                <w:szCs w:val="18"/>
                <w:color w:val="auto"/>
              </w:rPr>
              <w:t>Huhtamäki Oy affiliate</w:t>
            </w:r>
          </w:p>
        </w:tc>
        <w:tc>
          <w:tcPr>
            <w:tcW w:w="2760" w:type="dxa"/>
            <w:vAlign w:val="bottom"/>
          </w:tcPr>
          <w:p>
            <w:pPr>
              <w:ind w:left="660"/>
              <w:spacing w:after="0"/>
              <w:rPr>
                <w:sz w:val="20"/>
                <w:szCs w:val="20"/>
                <w:color w:val="auto"/>
              </w:rPr>
            </w:pPr>
            <w:r>
              <w:rPr>
                <w:rFonts w:ascii="Arial" w:cs="Arial" w:eastAsia="Arial" w:hAnsi="Arial"/>
                <w:sz w:val="18"/>
                <w:szCs w:val="18"/>
                <w:i w:val="1"/>
                <w:iCs w:val="1"/>
                <w:color w:val="auto"/>
              </w:rPr>
              <w:t>Jolly Rancher</w:t>
            </w:r>
          </w:p>
        </w:tc>
        <w:tc>
          <w:tcPr>
            <w:tcW w:w="1860" w:type="dxa"/>
            <w:vAlign w:val="bottom"/>
            <w:vMerge w:val="restart"/>
          </w:tcPr>
          <w:p>
            <w:pPr>
              <w:ind w:left="560"/>
              <w:spacing w:after="0"/>
              <w:rPr>
                <w:sz w:val="20"/>
                <w:szCs w:val="20"/>
                <w:color w:val="auto"/>
              </w:rPr>
            </w:pPr>
            <w:r>
              <w:rPr>
                <w:rFonts w:ascii="Arial" w:cs="Arial" w:eastAsia="Arial" w:hAnsi="Arial"/>
                <w:sz w:val="18"/>
                <w:szCs w:val="18"/>
                <w:color w:val="auto"/>
              </w:rPr>
              <w:t>Worldwide</w:t>
            </w:r>
          </w:p>
        </w:tc>
        <w:tc>
          <w:tcPr>
            <w:tcW w:w="2520" w:type="dxa"/>
            <w:vAlign w:val="bottom"/>
            <w:vMerge w:val="restart"/>
          </w:tcPr>
          <w:p>
            <w:pPr>
              <w:ind w:left="36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122"/>
        </w:trPr>
        <w:tc>
          <w:tcPr>
            <w:tcW w:w="4180" w:type="dxa"/>
            <w:vAlign w:val="bottom"/>
            <w:vMerge w:val="continue"/>
          </w:tcPr>
          <w:p>
            <w:pPr>
              <w:spacing w:after="0"/>
              <w:rPr>
                <w:sz w:val="10"/>
                <w:szCs w:val="10"/>
                <w:color w:val="auto"/>
              </w:rPr>
            </w:pPr>
          </w:p>
        </w:tc>
        <w:tc>
          <w:tcPr>
            <w:tcW w:w="2760" w:type="dxa"/>
            <w:vAlign w:val="bottom"/>
            <w:vMerge w:val="restart"/>
          </w:tcPr>
          <w:p>
            <w:pPr>
              <w:ind w:left="660"/>
              <w:spacing w:after="0"/>
              <w:rPr>
                <w:sz w:val="20"/>
                <w:szCs w:val="20"/>
                <w:color w:val="auto"/>
              </w:rPr>
            </w:pPr>
            <w:r>
              <w:rPr>
                <w:rFonts w:ascii="Arial" w:cs="Arial" w:eastAsia="Arial" w:hAnsi="Arial"/>
                <w:sz w:val="18"/>
                <w:szCs w:val="18"/>
                <w:i w:val="1"/>
                <w:iCs w:val="1"/>
                <w:color w:val="auto"/>
              </w:rPr>
              <w:t>Milk Duds</w:t>
            </w:r>
          </w:p>
        </w:tc>
        <w:tc>
          <w:tcPr>
            <w:tcW w:w="1860" w:type="dxa"/>
            <w:vAlign w:val="bottom"/>
            <w:vMerge w:val="continue"/>
          </w:tcPr>
          <w:p>
            <w:pPr>
              <w:spacing w:after="0"/>
              <w:rPr>
                <w:sz w:val="10"/>
                <w:szCs w:val="10"/>
                <w:color w:val="auto"/>
              </w:rPr>
            </w:pPr>
          </w:p>
        </w:tc>
        <w:tc>
          <w:tcPr>
            <w:tcW w:w="2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180" w:type="dxa"/>
            <w:vAlign w:val="bottom"/>
          </w:tcPr>
          <w:p>
            <w:pPr>
              <w:spacing w:after="0"/>
              <w:rPr>
                <w:sz w:val="8"/>
                <w:szCs w:val="8"/>
                <w:color w:val="auto"/>
              </w:rPr>
            </w:pPr>
          </w:p>
        </w:tc>
        <w:tc>
          <w:tcPr>
            <w:tcW w:w="2760" w:type="dxa"/>
            <w:vAlign w:val="bottom"/>
            <w:vMerge w:val="continue"/>
          </w:tcPr>
          <w:p>
            <w:pPr>
              <w:spacing w:after="0"/>
              <w:rPr>
                <w:sz w:val="8"/>
                <w:szCs w:val="8"/>
                <w:color w:val="auto"/>
              </w:rPr>
            </w:pPr>
          </w:p>
        </w:tc>
        <w:tc>
          <w:tcPr>
            <w:tcW w:w="1860" w:type="dxa"/>
            <w:vAlign w:val="bottom"/>
          </w:tcPr>
          <w:p>
            <w:pPr>
              <w:spacing w:after="0"/>
              <w:rPr>
                <w:sz w:val="8"/>
                <w:szCs w:val="8"/>
                <w:color w:val="auto"/>
              </w:rPr>
            </w:pPr>
          </w:p>
        </w:tc>
        <w:tc>
          <w:tcPr>
            <w:tcW w:w="2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18"/>
                <w:szCs w:val="18"/>
                <w:color w:val="auto"/>
              </w:rPr>
            </w:pPr>
          </w:p>
        </w:tc>
        <w:tc>
          <w:tcPr>
            <w:tcW w:w="2760" w:type="dxa"/>
            <w:vAlign w:val="bottom"/>
          </w:tcPr>
          <w:p>
            <w:pPr>
              <w:ind w:left="660"/>
              <w:spacing w:after="0"/>
              <w:rPr>
                <w:sz w:val="20"/>
                <w:szCs w:val="20"/>
                <w:color w:val="auto"/>
              </w:rPr>
            </w:pPr>
            <w:r>
              <w:rPr>
                <w:rFonts w:ascii="Arial" w:cs="Arial" w:eastAsia="Arial" w:hAnsi="Arial"/>
                <w:sz w:val="18"/>
                <w:szCs w:val="18"/>
                <w:i w:val="1"/>
                <w:iCs w:val="1"/>
                <w:color w:val="auto"/>
              </w:rPr>
              <w:t>Payday</w:t>
            </w:r>
          </w:p>
        </w:tc>
        <w:tc>
          <w:tcPr>
            <w:tcW w:w="18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p>
        </w:tc>
        <w:tc>
          <w:tcPr>
            <w:tcW w:w="2760" w:type="dxa"/>
            <w:vAlign w:val="bottom"/>
          </w:tcPr>
          <w:p>
            <w:pPr>
              <w:ind w:left="660"/>
              <w:spacing w:after="0"/>
              <w:rPr>
                <w:sz w:val="20"/>
                <w:szCs w:val="20"/>
                <w:color w:val="auto"/>
              </w:rPr>
            </w:pPr>
            <w:r>
              <w:rPr>
                <w:rFonts w:ascii="Arial" w:cs="Arial" w:eastAsia="Arial" w:hAnsi="Arial"/>
                <w:sz w:val="18"/>
                <w:szCs w:val="18"/>
                <w:i w:val="1"/>
                <w:iCs w:val="1"/>
                <w:color w:val="auto"/>
              </w:rPr>
              <w:t>Whoppers</w:t>
            </w:r>
          </w:p>
        </w:tc>
        <w:tc>
          <w:tcPr>
            <w:tcW w:w="18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4180" w:type="dxa"/>
            <w:vAlign w:val="bottom"/>
            <w:tcBorders>
              <w:bottom w:val="single" w:sz="8" w:color="auto"/>
            </w:tcBorders>
          </w:tcPr>
          <w:p>
            <w:pPr>
              <w:spacing w:after="0"/>
              <w:rPr>
                <w:sz w:val="3"/>
                <w:szCs w:val="3"/>
                <w:color w:val="auto"/>
              </w:rPr>
            </w:pPr>
          </w:p>
        </w:tc>
        <w:tc>
          <w:tcPr>
            <w:tcW w:w="276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25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engage in a variety of research and development activities in a number of countries, including the United States, Mexico, Brazil, India and China. We develop new products, improve the quality of existing products, improve and modernize production processes, and develop and implement new technologies to enhance the quality and value of both current and proposed product lines. Information concerning our research and development expense is contained in Note 1 to the Consolidated Financial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Food Quality and Safety Regulation</w:t>
      </w:r>
    </w:p>
    <w:p>
      <w:pPr>
        <w:spacing w:after="0" w:line="9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manufacture and sale of consumer food products is highly regulated. In the United States, our activities are subject to regulation by various government agencies, including the Food and Drug Administration, the Department of Agriculture, the Federal Trade Commission, the Department of Commerce and the Environmental Protection Agency, as well as various state and local agencies. Similar agencies also regulate our businesses outside of the United States.</w:t>
      </w:r>
    </w:p>
    <w:p>
      <w:pPr>
        <w:spacing w:after="0" w:line="9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believe our Product Excellence Program provides us with an effective product quality and safety program. This program is integral to our global supply chain platform and is intended to ensure that all products we purchase, manufacture and distribute are safe, are of high quality and comply with applicable laws and regulations.</w:t>
      </w:r>
    </w:p>
    <w:p>
      <w:pPr>
        <w:spacing w:after="0" w:line="12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Through our Product Excellence Program, we evaluate our supply chain including ingredients, packaging, processes, products, distribution and the environment to determine where product quality and safety controls are necessary. We identify risks and establish controls intended to ensure product quality and safety. Various government agencies and third-party firms as well as our quality assurance staff conduct audits of all facilities that manufacture our products to assure effectiveness and compliance with our program and applicable laws and regulations.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Considerations</w:t>
      </w:r>
    </w:p>
    <w:p>
      <w:pPr>
        <w:spacing w:after="0" w:line="9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make routine operating and capital expenditures to comply with environmental laws and regulations. These annual expenditures are not material with respect to our results of operations, capital expenditures or competitive position.</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20"/>
          </w:cols>
          <w:pgMar w:left="240" w:top="66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Employees</w:t>
      </w:r>
    </w:p>
    <w:p>
      <w:pPr>
        <w:spacing w:after="0" w:line="94"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As of December 31, 2016, we employed approximately 16,300 full-time and 1,680 part-time employees worldwide. Collective bargaining agreements covered approximately 5,630 employees. In December 2016, we ratified a new six- year collective bargaining agreement that covers a significant portion of our unionized workforce. During 2017, agreements will be negotiated for certain employees at three facilities outside of the United States, comprising approximately 69% of total employees under collective bargaining agreements. We believe that our employee relations are generally good.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by Geographic Area</w:t>
      </w:r>
    </w:p>
    <w:p>
      <w:pPr>
        <w:spacing w:after="0" w:line="9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principal operations and markets are located in the United States. The percentage of total consolidated net sales for our businesses outside of the United States was 16.7% for 2016, 17.2% for 2015 and 19.2% for 2014. The percentage of total long-lived assets outside of the United States was 29.8% as of December 31, 2016 and 31.8% as of December 31, 2015.</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Social Responsibility</w:t>
      </w:r>
    </w:p>
    <w:p>
      <w:pPr>
        <w:spacing w:after="0" w:line="9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Our founder, Milton S. Hershey, established an enduring model of responsible citizenship while creating a successful business. Driving sustainable business practices, making a difference in our communities and operating with the highest integrity are vital parts of our heritage. We continue this legacy today by providing high quality products while conducting our business in a socially responsible and environmentally sustainable manner. Each year we publish a full corporate social responsibility (“CSR”) report which provides an update on the progress we have made in advancing our CSR priorities such as food safety, responsible sourcing of ingredients, corporate transparency, our focus on improving basic nutrition to help children learn and grow and our continued investment in the communities where we live and work. To learn more about our goals, progress and initiatives, you can access our full CSR report at www.thehersheycompany.com/social-responsibility.aspx.</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website address is www.thehersheycompany.com. We file or furnish annual, quarterly and current reports, proxy statements and other information with the United States Securities and Exchange Commission (“SEC”). You may obtain a copy of any of these reports, free of charge, from the Investors section of our website as soon as reasonably practicable after we electronically file such material with, or furnish it to, the SEC. The SEC maintains an Internet site that also contains these reports at: www.sec.gov. In addition, copies of the Company's annual report will be made available, free of charge, on written request to the Company.</w:t>
      </w:r>
    </w:p>
    <w:p>
      <w:pPr>
        <w:spacing w:after="0" w:line="134"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have a Code of Ethical Business Conduct that applies to our Board of Directors (“Board”) and all Company officers and employees, including, without limitation, our Chief Executive Officer and “senior financial officers” (including the Chief Financial Officer, Chief Accounting Officer and persons performing similar functions). You can obtain a copy of our Code of Ethical Business Conduct, as well as our Corporate Governance Guidelines and charters for each of the Board’s standing committees, from the Investors section of our website. If we change or waive any portion of the Code of Ethical Business Conduct that applies to any of our directors, executive officers or senior financial officers, we will post that information on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823" w:right="319" w:bottom="1440" w:gutter="0" w:footer="0" w:header="0"/>
        </w:sectPr>
      </w:pPr>
    </w:p>
    <w:bookmarkStart w:id="7" w:name="page8"/>
    <w:bookmarkEnd w:id="7"/>
    <w:p>
      <w:pPr>
        <w:spacing w:after="0"/>
        <w:tabs>
          <w:tab w:leader="none" w:pos="8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i w:val="1"/>
          <w:iCs w:val="1"/>
          <w:color w:val="auto"/>
        </w:rPr>
        <w:t>RISK FACTORS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9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Annual Report on Form 10-K, including the exhibits hereto and the information incorporated by reference herein, contains “forward-looking statements” within the meaning of Section 27A of the Securities Act of 1933, as amended, and Section 21E of the Securities Exchange Act of 1934, as amended, which are subject to risks and uncertainties. Other than statements of historical fact, information regarding activities, events and developments that we expect or anticipate will or may occur in the future, including, but not limited to, information relating to our future growth and profitability targets and strategies designed to increase total shareholder value, are forward-looking statements based on management’s estimates, assumptions and projections. Forward-looking statements also include, but are not limited to, statements regarding our future economic and financial condition and results of operations, the plans and objectives of management and our assumptions regarding our performance and such plans and objectives. Many of the forward-looking statements contained in this document may be identified by the use of words such as “intend,” “believe,” “expect,” “anticipate,” “should,” “planned,” “projected,” “estimated” and “potential,” among others. Forward-looking statements contained in this Annual Report on Form 10-K are predictions only and actual results could differ materially from management’s expectations due to a variety of factors, including those described below. All forward-looking statements attributable to us or persons working on our behalf are expressly qualified in their entirety by such risk factors. The forward-looking statements that we make in this Annual Report on Form 10-K are based on management’s current views and assumptions regarding future events and speak only as of their dates. We assume no obligation to update developments of these risk factors or to announce publicly any revisions to any of the forward-looking statements that we make, or to make corrections to reflect future events or developments, except as required by the federal securities laws.</w:t>
      </w:r>
    </w:p>
    <w:p>
      <w:pPr>
        <w:spacing w:after="0" w:line="19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Issues or concerns related to the quality and safety of our products, ingredients or packaging could cause a product recall and/or result in harm to the Company’s reputation, negatively impacting our operating results.</w:t>
      </w:r>
    </w:p>
    <w:p>
      <w:pPr>
        <w:spacing w:after="0" w:line="3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order to sell our iconic, branded products, we need to maintain a good reputation with our customers and consumers. Issues related to the quality and safety of our products, ingredients or packaging could jeopardize our Company’s image and reputation. Negative publicity related to these types of concerns, or related to product contamination or product tampering, whether valid or not, could decrease demand for our products or cause production and delivery disruptions. We may need to recall products if any of our products become unfit for consumption. In addition, we could potentially be subject to litigation or government actions, which could result in payments of fines or damages. Costs associated with these potential actions could negatively affect our operating results.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Increases in raw material and energy costs along with the availability of adequate supplies of raw materials could affect future financial results.</w:t>
      </w:r>
    </w:p>
    <w:p>
      <w:pPr>
        <w:spacing w:after="0" w:line="11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use many different commodities for our business, including cocoa products, sugar, dairy products, peanuts, almonds, corn sweeteners, natural gas and fuel oil.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Commodities are subject to price volatility and changes in supply caused by numerous factors, including:</w:t>
      </w:r>
    </w:p>
    <w:p>
      <w:pPr>
        <w:spacing w:after="0" w:line="176" w:lineRule="exact"/>
        <w:rPr>
          <w:sz w:val="20"/>
          <w:szCs w:val="20"/>
          <w:color w:val="auto"/>
        </w:rPr>
      </w:pPr>
    </w:p>
    <w:p>
      <w:pPr>
        <w:ind w:left="980" w:hanging="382"/>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Commodity market fluctuations;</w:t>
      </w:r>
    </w:p>
    <w:p>
      <w:pPr>
        <w:spacing w:after="0" w:line="44" w:lineRule="exact"/>
        <w:rPr>
          <w:rFonts w:ascii="Arial" w:cs="Arial" w:eastAsia="Arial" w:hAnsi="Arial"/>
          <w:sz w:val="22"/>
          <w:szCs w:val="22"/>
          <w:color w:val="auto"/>
        </w:rPr>
      </w:pPr>
    </w:p>
    <w:p>
      <w:pPr>
        <w:ind w:left="980" w:hanging="382"/>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Currency exchange rates;</w:t>
      </w:r>
    </w:p>
    <w:p>
      <w:pPr>
        <w:spacing w:after="0" w:line="98" w:lineRule="exact"/>
        <w:rPr>
          <w:rFonts w:ascii="Arial" w:cs="Arial" w:eastAsia="Arial" w:hAnsi="Arial"/>
          <w:sz w:val="22"/>
          <w:szCs w:val="22"/>
          <w:color w:val="auto"/>
        </w:rPr>
      </w:pPr>
    </w:p>
    <w:p>
      <w:pPr>
        <w:ind w:left="980" w:hanging="382"/>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Imbalances between supply and demand;</w:t>
      </w:r>
    </w:p>
    <w:p>
      <w:pPr>
        <w:spacing w:after="0" w:line="98" w:lineRule="exact"/>
        <w:rPr>
          <w:rFonts w:ascii="Arial" w:cs="Arial" w:eastAsia="Arial" w:hAnsi="Arial"/>
          <w:sz w:val="22"/>
          <w:szCs w:val="22"/>
          <w:color w:val="auto"/>
        </w:rPr>
      </w:pPr>
    </w:p>
    <w:p>
      <w:pPr>
        <w:ind w:left="980" w:hanging="382"/>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effect of weather on crop yield;</w:t>
      </w:r>
    </w:p>
    <w:p>
      <w:pPr>
        <w:spacing w:after="0" w:line="98" w:lineRule="exact"/>
        <w:rPr>
          <w:rFonts w:ascii="Arial" w:cs="Arial" w:eastAsia="Arial" w:hAnsi="Arial"/>
          <w:sz w:val="22"/>
          <w:szCs w:val="22"/>
          <w:color w:val="auto"/>
        </w:rPr>
      </w:pPr>
    </w:p>
    <w:p>
      <w:pPr>
        <w:ind w:left="980" w:hanging="382"/>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Speculative influences;</w:t>
      </w:r>
    </w:p>
    <w:p>
      <w:pPr>
        <w:spacing w:after="0" w:line="98" w:lineRule="exact"/>
        <w:rPr>
          <w:rFonts w:ascii="Arial" w:cs="Arial" w:eastAsia="Arial" w:hAnsi="Arial"/>
          <w:sz w:val="22"/>
          <w:szCs w:val="22"/>
          <w:color w:val="auto"/>
        </w:rPr>
      </w:pPr>
    </w:p>
    <w:p>
      <w:pPr>
        <w:ind w:left="980" w:hanging="382"/>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Trade agreements among producing and consuming nations;</w:t>
      </w:r>
    </w:p>
    <w:p>
      <w:pPr>
        <w:spacing w:after="0" w:line="98" w:lineRule="exact"/>
        <w:rPr>
          <w:rFonts w:ascii="Arial" w:cs="Arial" w:eastAsia="Arial" w:hAnsi="Arial"/>
          <w:sz w:val="22"/>
          <w:szCs w:val="22"/>
          <w:color w:val="auto"/>
        </w:rPr>
      </w:pPr>
    </w:p>
    <w:p>
      <w:pPr>
        <w:ind w:left="980" w:hanging="382"/>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Supplier compliance with commitments;</w:t>
      </w:r>
    </w:p>
    <w:p>
      <w:pPr>
        <w:spacing w:after="0" w:line="98" w:lineRule="exact"/>
        <w:rPr>
          <w:rFonts w:ascii="Arial" w:cs="Arial" w:eastAsia="Arial" w:hAnsi="Arial"/>
          <w:sz w:val="22"/>
          <w:szCs w:val="22"/>
          <w:color w:val="auto"/>
        </w:rPr>
      </w:pPr>
    </w:p>
    <w:p>
      <w:pPr>
        <w:ind w:left="980" w:hanging="382"/>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Political unrest in producing countries; and</w:t>
      </w:r>
    </w:p>
    <w:p>
      <w:pPr>
        <w:spacing w:after="0" w:line="98" w:lineRule="exact"/>
        <w:rPr>
          <w:rFonts w:ascii="Arial" w:cs="Arial" w:eastAsia="Arial" w:hAnsi="Arial"/>
          <w:sz w:val="22"/>
          <w:szCs w:val="22"/>
          <w:color w:val="auto"/>
        </w:rPr>
      </w:pPr>
    </w:p>
    <w:p>
      <w:pPr>
        <w:ind w:left="980" w:hanging="382"/>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Changes in governmental agricultural programs and energy policies.</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823" w:right="259" w:bottom="1440" w:gutter="0" w:footer="0" w:header="0"/>
        </w:sectPr>
      </w:pPr>
    </w:p>
    <w:bookmarkStart w:id="8" w:name="page9"/>
    <w:bookmarkEnd w:id="8"/>
    <w:p>
      <w:pPr>
        <w:ind w:right="40"/>
        <w:spacing w:after="0" w:line="264" w:lineRule="auto"/>
        <w:rPr>
          <w:sz w:val="20"/>
          <w:szCs w:val="20"/>
          <w:color w:val="auto"/>
        </w:rPr>
      </w:pPr>
      <w:r>
        <w:rPr>
          <w:rFonts w:ascii="Arial" w:cs="Arial" w:eastAsia="Arial" w:hAnsi="Arial"/>
          <w:sz w:val="18"/>
          <w:szCs w:val="18"/>
          <w:color w:val="auto"/>
        </w:rPr>
        <w:t>Although we use forward contracts and commodity futures and options contracts where possible to hedge commodity prices, commodity price increases ultimately result in corresponding increases in our raw material and energy costs. If we are unable to offset cost increases for major raw materials and energy, there could be a negative impact on our financial condition and results of operations.</w:t>
      </w:r>
    </w:p>
    <w:p>
      <w:pPr>
        <w:spacing w:after="0" w:line="20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Price increases may not be sufficient to offset cost increases and maintain profitability or may result in sales volume declines associated with pricing elasticity.</w:t>
      </w:r>
    </w:p>
    <w:p>
      <w:pPr>
        <w:spacing w:after="0" w:line="3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may be able to pass some or all raw material, energy and other input cost increases to customers by increasing the selling prices of our products or decreasing the size of our products; however, higher product prices or decreased product sizes may also result in a reduction in sales volume and/or consumption. If we are not able to increase our selling prices or reduce product sizes sufficiently, or in a timely manner, to offset increased raw material, energy or other input costs, including packaging, direct labor, overhead and employee benefits, or if our sales volume decreases significantly, there could be a negative impact on our financial condition and results of operations.</w:t>
      </w:r>
    </w:p>
    <w:p>
      <w:pPr>
        <w:spacing w:after="0" w:line="21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Market demand for new and existing products could decline.</w:t>
      </w:r>
    </w:p>
    <w:p>
      <w:pPr>
        <w:spacing w:after="0" w:line="9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operate in highly competitive markets and rely on continued demand for our products. To generate revenues and profits, we must sell products that appeal to our customers and to consumers. Our continued success is impacted by many factors, including the following:</w:t>
      </w:r>
    </w:p>
    <w:p>
      <w:pPr>
        <w:spacing w:after="0" w:line="14" w:lineRule="exact"/>
        <w:rPr>
          <w:sz w:val="20"/>
          <w:szCs w:val="20"/>
          <w:color w:val="auto"/>
        </w:rPr>
      </w:pPr>
    </w:p>
    <w:p>
      <w:pPr>
        <w:ind w:left="980" w:hanging="382"/>
        <w:spacing w:after="0"/>
        <w:tabs>
          <w:tab w:leader="none" w:pos="980" w:val="left"/>
        </w:tabs>
        <w:numPr>
          <w:ilvl w:val="0"/>
          <w:numId w:val="6"/>
        </w:numPr>
        <w:rPr>
          <w:rFonts w:ascii="Arial" w:cs="Arial" w:eastAsia="Arial" w:hAnsi="Arial"/>
          <w:sz w:val="43"/>
          <w:szCs w:val="43"/>
          <w:color w:val="auto"/>
          <w:vertAlign w:val="superscript"/>
        </w:rPr>
      </w:pPr>
      <w:r>
        <w:rPr>
          <w:rFonts w:ascii="Arial" w:cs="Arial" w:eastAsia="Arial" w:hAnsi="Arial"/>
          <w:sz w:val="18"/>
          <w:szCs w:val="18"/>
          <w:color w:val="auto"/>
        </w:rPr>
        <w:t>Effective retail execution;</w:t>
      </w:r>
    </w:p>
    <w:p>
      <w:pPr>
        <w:spacing w:after="0" w:line="136" w:lineRule="exact"/>
        <w:rPr>
          <w:rFonts w:ascii="Arial" w:cs="Arial" w:eastAsia="Arial" w:hAnsi="Arial"/>
          <w:sz w:val="43"/>
          <w:szCs w:val="43"/>
          <w:color w:val="auto"/>
          <w:vertAlign w:val="superscript"/>
        </w:rPr>
      </w:pPr>
    </w:p>
    <w:p>
      <w:pPr>
        <w:ind w:left="980" w:hanging="382"/>
        <w:spacing w:after="0" w:line="194" w:lineRule="auto"/>
        <w:tabs>
          <w:tab w:leader="none" w:pos="980" w:val="left"/>
        </w:tabs>
        <w:numPr>
          <w:ilvl w:val="0"/>
          <w:numId w:val="6"/>
        </w:numPr>
        <w:rPr>
          <w:rFonts w:ascii="Arial" w:cs="Arial" w:eastAsia="Arial" w:hAnsi="Arial"/>
          <w:sz w:val="23"/>
          <w:szCs w:val="23"/>
          <w:color w:val="auto"/>
          <w:vertAlign w:val="superscript"/>
        </w:rPr>
      </w:pPr>
      <w:r>
        <w:rPr>
          <w:rFonts w:ascii="Arial" w:cs="Arial" w:eastAsia="Arial" w:hAnsi="Arial"/>
          <w:sz w:val="13"/>
          <w:szCs w:val="13"/>
          <w:color w:val="auto"/>
        </w:rPr>
        <w:t>Appropriate advertising campaigns and marketing programs;</w:t>
      </w:r>
    </w:p>
    <w:p>
      <w:pPr>
        <w:spacing w:after="0" w:line="137" w:lineRule="exact"/>
        <w:rPr>
          <w:rFonts w:ascii="Arial" w:cs="Arial" w:eastAsia="Arial" w:hAnsi="Arial"/>
          <w:sz w:val="23"/>
          <w:szCs w:val="23"/>
          <w:color w:val="auto"/>
          <w:vertAlign w:val="superscript"/>
        </w:rPr>
      </w:pPr>
    </w:p>
    <w:p>
      <w:pPr>
        <w:ind w:left="980" w:hanging="382"/>
        <w:spacing w:after="0" w:line="194" w:lineRule="auto"/>
        <w:tabs>
          <w:tab w:leader="none" w:pos="980" w:val="left"/>
        </w:tabs>
        <w:numPr>
          <w:ilvl w:val="0"/>
          <w:numId w:val="6"/>
        </w:numPr>
        <w:rPr>
          <w:rFonts w:ascii="Arial" w:cs="Arial" w:eastAsia="Arial" w:hAnsi="Arial"/>
          <w:sz w:val="23"/>
          <w:szCs w:val="23"/>
          <w:color w:val="auto"/>
          <w:vertAlign w:val="superscript"/>
        </w:rPr>
      </w:pPr>
      <w:r>
        <w:rPr>
          <w:rFonts w:ascii="Arial" w:cs="Arial" w:eastAsia="Arial" w:hAnsi="Arial"/>
          <w:sz w:val="13"/>
          <w:szCs w:val="13"/>
          <w:color w:val="auto"/>
        </w:rPr>
        <w:t>Our ability to secure adequate shelf space at retail locations;</w:t>
      </w:r>
    </w:p>
    <w:p>
      <w:pPr>
        <w:spacing w:after="0" w:line="137" w:lineRule="exact"/>
        <w:rPr>
          <w:rFonts w:ascii="Arial" w:cs="Arial" w:eastAsia="Arial" w:hAnsi="Arial"/>
          <w:sz w:val="23"/>
          <w:szCs w:val="23"/>
          <w:color w:val="auto"/>
          <w:vertAlign w:val="superscript"/>
        </w:rPr>
      </w:pPr>
    </w:p>
    <w:p>
      <w:pPr>
        <w:ind w:left="980" w:right="860" w:hanging="382"/>
        <w:spacing w:after="0" w:line="183" w:lineRule="auto"/>
        <w:tabs>
          <w:tab w:leader="none" w:pos="980" w:val="left"/>
        </w:tabs>
        <w:numPr>
          <w:ilvl w:val="0"/>
          <w:numId w:val="6"/>
        </w:numPr>
        <w:rPr>
          <w:rFonts w:ascii="Arial" w:cs="Arial" w:eastAsia="Arial" w:hAnsi="Arial"/>
          <w:sz w:val="33"/>
          <w:szCs w:val="33"/>
          <w:color w:val="auto"/>
          <w:vertAlign w:val="superscript"/>
        </w:rPr>
      </w:pPr>
      <w:r>
        <w:rPr>
          <w:rFonts w:ascii="Arial" w:cs="Arial" w:eastAsia="Arial" w:hAnsi="Arial"/>
          <w:sz w:val="16"/>
          <w:szCs w:val="16"/>
          <w:color w:val="auto"/>
        </w:rPr>
        <w:t>Our ability to drive sustainable innovation and maintain a strong pipeline of new products in the confectionery and broader snacking categories;</w:t>
      </w:r>
    </w:p>
    <w:p>
      <w:pPr>
        <w:ind w:left="980" w:hanging="382"/>
        <w:spacing w:after="0" w:line="183" w:lineRule="auto"/>
        <w:tabs>
          <w:tab w:leader="none" w:pos="980" w:val="left"/>
        </w:tabs>
        <w:numPr>
          <w:ilvl w:val="0"/>
          <w:numId w:val="6"/>
        </w:numPr>
        <w:rPr>
          <w:rFonts w:ascii="Arial" w:cs="Arial" w:eastAsia="Arial" w:hAnsi="Arial"/>
          <w:sz w:val="40"/>
          <w:szCs w:val="40"/>
          <w:color w:val="auto"/>
          <w:vertAlign w:val="superscript"/>
        </w:rPr>
      </w:pPr>
      <w:r>
        <w:rPr>
          <w:rFonts w:ascii="Arial" w:cs="Arial" w:eastAsia="Arial" w:hAnsi="Arial"/>
          <w:sz w:val="17"/>
          <w:szCs w:val="17"/>
          <w:color w:val="auto"/>
        </w:rPr>
        <w:t>Changes in product category consumption;</w:t>
      </w:r>
    </w:p>
    <w:p>
      <w:pPr>
        <w:spacing w:after="0" w:line="137" w:lineRule="exact"/>
        <w:rPr>
          <w:rFonts w:ascii="Arial" w:cs="Arial" w:eastAsia="Arial" w:hAnsi="Arial"/>
          <w:sz w:val="40"/>
          <w:szCs w:val="40"/>
          <w:color w:val="auto"/>
          <w:vertAlign w:val="superscript"/>
        </w:rPr>
      </w:pPr>
    </w:p>
    <w:p>
      <w:pPr>
        <w:ind w:left="980" w:right="980" w:hanging="382"/>
        <w:spacing w:after="0" w:line="183" w:lineRule="auto"/>
        <w:tabs>
          <w:tab w:leader="none" w:pos="980" w:val="left"/>
        </w:tabs>
        <w:numPr>
          <w:ilvl w:val="0"/>
          <w:numId w:val="6"/>
        </w:numPr>
        <w:rPr>
          <w:rFonts w:ascii="Arial" w:cs="Arial" w:eastAsia="Arial" w:hAnsi="Arial"/>
          <w:sz w:val="33"/>
          <w:szCs w:val="33"/>
          <w:color w:val="auto"/>
          <w:vertAlign w:val="superscript"/>
        </w:rPr>
      </w:pPr>
      <w:r>
        <w:rPr>
          <w:rFonts w:ascii="Arial" w:cs="Arial" w:eastAsia="Arial" w:hAnsi="Arial"/>
          <w:sz w:val="16"/>
          <w:szCs w:val="16"/>
          <w:color w:val="auto"/>
        </w:rPr>
        <w:t>Our response to consumer demographics and trends, including but not limited to, trends relating to store trips and the impact of the growing e-commerce channel; and</w:t>
      </w:r>
    </w:p>
    <w:p>
      <w:pPr>
        <w:ind w:left="980" w:hanging="382"/>
        <w:spacing w:after="0" w:line="183" w:lineRule="auto"/>
        <w:tabs>
          <w:tab w:leader="none" w:pos="980" w:val="left"/>
        </w:tabs>
        <w:numPr>
          <w:ilvl w:val="0"/>
          <w:numId w:val="6"/>
        </w:numPr>
        <w:rPr>
          <w:rFonts w:ascii="Arial" w:cs="Arial" w:eastAsia="Arial" w:hAnsi="Arial"/>
          <w:sz w:val="40"/>
          <w:szCs w:val="40"/>
          <w:color w:val="auto"/>
          <w:vertAlign w:val="superscript"/>
        </w:rPr>
      </w:pPr>
      <w:r>
        <w:rPr>
          <w:rFonts w:ascii="Arial" w:cs="Arial" w:eastAsia="Arial" w:hAnsi="Arial"/>
          <w:sz w:val="17"/>
          <w:szCs w:val="17"/>
          <w:color w:val="auto"/>
        </w:rPr>
        <w:t>Consumer health concerns, including obesity and the consumption of certain ingredients.</w:t>
      </w:r>
    </w:p>
    <w:p>
      <w:pPr>
        <w:spacing w:after="0" w:line="191"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There continues to be competitive product and pricing pressures in the markets where we operate, as well as challenges in maintaining profit margins. We must maintain mutually beneficial relationships with our key customers, including retailers and distributors, to compete effectively. Our largest customer, McLane Company, Inc., accounted for approximately 25% of our total net sales in 2016. McLane Company, Inc. is one of the largest wholesale distributors in the United States to convenience stores, drug stores, wholesale clubs and mass merchandisers, including Wal-Mart Stores, Inc.</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Increased marketplace competition could hurt our business.</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global confectionery packaged goods industry is intensely competitive and consolidation in this industry continues. Some of our competitors are large companies that have significant resources and substantial international operations. We continue to experience increased levels of in-store activity for other snack items, which has pressured confectionery category growth. In order to protect our existing market share or capture increased market share in this highly competitive retail environment, we may be required to increase expenditures for promotions and advertising, and must continue to introduce and establish new products. Due to inherent risks in the marketplace associated with advertising and new product introductions, including uncertainties about trade and consumer acceptance, increased expenditures may not prove successful in maintaining or enhancing our market share and could result in lower sales and profits. In addition, we may incur increased credit and other business risks because we operate in a highly competitive retail environment.</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746" w:right="279" w:bottom="1440" w:gutter="0" w:footer="0" w:header="0"/>
        </w:sectPr>
      </w:pPr>
    </w:p>
    <w:bookmarkStart w:id="9" w:name="page10"/>
    <w:bookmarkEnd w:id="9"/>
    <w:p>
      <w:pPr>
        <w:ind w:right="480"/>
        <w:spacing w:after="0" w:line="277" w:lineRule="auto"/>
        <w:rPr>
          <w:sz w:val="20"/>
          <w:szCs w:val="20"/>
          <w:color w:val="auto"/>
        </w:rPr>
      </w:pPr>
      <w:r>
        <w:rPr>
          <w:rFonts w:ascii="Arial" w:cs="Arial" w:eastAsia="Arial" w:hAnsi="Arial"/>
          <w:sz w:val="18"/>
          <w:szCs w:val="18"/>
          <w:b w:val="1"/>
          <w:bCs w:val="1"/>
          <w:i w:val="1"/>
          <w:iCs w:val="1"/>
          <w:color w:val="auto"/>
        </w:rPr>
        <w:t>Disruption to our manufacturing operations or supply chain could impair our ability to produce or deliver finished products, resulting in a negative impact on our operating results.</w:t>
      </w:r>
    </w:p>
    <w:p>
      <w:pPr>
        <w:spacing w:after="0" w:line="3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Approximately two-thirds of our manufacturing capacity is located in the United States. Disruption to our global manufacturing operations or our supply chain could result from, among other factors, the following:</w:t>
      </w:r>
    </w:p>
    <w:p>
      <w:pPr>
        <w:spacing w:after="0" w:line="121" w:lineRule="exact"/>
        <w:rPr>
          <w:sz w:val="20"/>
          <w:szCs w:val="20"/>
          <w:color w:val="auto"/>
        </w:rPr>
      </w:pPr>
    </w:p>
    <w:p>
      <w:pPr>
        <w:ind w:left="980" w:hanging="382"/>
        <w:spacing w:after="0"/>
        <w:tabs>
          <w:tab w:leader="none" w:pos="980" w:val="left"/>
        </w:tabs>
        <w:numPr>
          <w:ilvl w:val="0"/>
          <w:numId w:val="7"/>
        </w:numPr>
        <w:rPr>
          <w:rFonts w:ascii="Arial" w:cs="Arial" w:eastAsia="Arial" w:hAnsi="Arial"/>
          <w:sz w:val="22"/>
          <w:szCs w:val="22"/>
          <w:color w:val="auto"/>
        </w:rPr>
      </w:pPr>
      <w:r>
        <w:rPr>
          <w:rFonts w:ascii="Arial" w:cs="Arial" w:eastAsia="Arial" w:hAnsi="Arial"/>
          <w:sz w:val="18"/>
          <w:szCs w:val="18"/>
          <w:color w:val="auto"/>
        </w:rPr>
        <w:t>Natural disaster;</w:t>
      </w:r>
    </w:p>
    <w:p>
      <w:pPr>
        <w:spacing w:after="0" w:line="98" w:lineRule="exact"/>
        <w:rPr>
          <w:rFonts w:ascii="Arial" w:cs="Arial" w:eastAsia="Arial" w:hAnsi="Arial"/>
          <w:sz w:val="22"/>
          <w:szCs w:val="22"/>
          <w:color w:val="auto"/>
        </w:rPr>
      </w:pPr>
    </w:p>
    <w:p>
      <w:pPr>
        <w:ind w:left="980" w:hanging="382"/>
        <w:spacing w:after="0"/>
        <w:tabs>
          <w:tab w:leader="none" w:pos="980" w:val="left"/>
        </w:tabs>
        <w:numPr>
          <w:ilvl w:val="0"/>
          <w:numId w:val="7"/>
        </w:numPr>
        <w:rPr>
          <w:rFonts w:ascii="Arial" w:cs="Arial" w:eastAsia="Arial" w:hAnsi="Arial"/>
          <w:sz w:val="22"/>
          <w:szCs w:val="22"/>
          <w:color w:val="auto"/>
        </w:rPr>
      </w:pPr>
      <w:r>
        <w:rPr>
          <w:rFonts w:ascii="Arial" w:cs="Arial" w:eastAsia="Arial" w:hAnsi="Arial"/>
          <w:sz w:val="18"/>
          <w:szCs w:val="18"/>
          <w:color w:val="auto"/>
        </w:rPr>
        <w:t>Pandemic outbreak of disease;</w:t>
      </w:r>
    </w:p>
    <w:p>
      <w:pPr>
        <w:spacing w:after="0" w:line="98" w:lineRule="exact"/>
        <w:rPr>
          <w:rFonts w:ascii="Arial" w:cs="Arial" w:eastAsia="Arial" w:hAnsi="Arial"/>
          <w:sz w:val="22"/>
          <w:szCs w:val="22"/>
          <w:color w:val="auto"/>
        </w:rPr>
      </w:pPr>
    </w:p>
    <w:p>
      <w:pPr>
        <w:ind w:left="980" w:hanging="382"/>
        <w:spacing w:after="0"/>
        <w:tabs>
          <w:tab w:leader="none" w:pos="980" w:val="left"/>
        </w:tabs>
        <w:numPr>
          <w:ilvl w:val="0"/>
          <w:numId w:val="7"/>
        </w:numPr>
        <w:rPr>
          <w:rFonts w:ascii="Arial" w:cs="Arial" w:eastAsia="Arial" w:hAnsi="Arial"/>
          <w:sz w:val="22"/>
          <w:szCs w:val="22"/>
          <w:color w:val="auto"/>
        </w:rPr>
      </w:pPr>
      <w:r>
        <w:rPr>
          <w:rFonts w:ascii="Arial" w:cs="Arial" w:eastAsia="Arial" w:hAnsi="Arial"/>
          <w:sz w:val="18"/>
          <w:szCs w:val="18"/>
          <w:color w:val="auto"/>
        </w:rPr>
        <w:t>Weather;</w:t>
      </w:r>
    </w:p>
    <w:p>
      <w:pPr>
        <w:spacing w:after="0" w:line="98" w:lineRule="exact"/>
        <w:rPr>
          <w:rFonts w:ascii="Arial" w:cs="Arial" w:eastAsia="Arial" w:hAnsi="Arial"/>
          <w:sz w:val="22"/>
          <w:szCs w:val="22"/>
          <w:color w:val="auto"/>
        </w:rPr>
      </w:pPr>
    </w:p>
    <w:p>
      <w:pPr>
        <w:ind w:left="980" w:hanging="382"/>
        <w:spacing w:after="0"/>
        <w:tabs>
          <w:tab w:leader="none" w:pos="980" w:val="left"/>
        </w:tabs>
        <w:numPr>
          <w:ilvl w:val="0"/>
          <w:numId w:val="7"/>
        </w:numPr>
        <w:rPr>
          <w:rFonts w:ascii="Arial" w:cs="Arial" w:eastAsia="Arial" w:hAnsi="Arial"/>
          <w:sz w:val="22"/>
          <w:szCs w:val="22"/>
          <w:color w:val="auto"/>
        </w:rPr>
      </w:pPr>
      <w:r>
        <w:rPr>
          <w:rFonts w:ascii="Arial" w:cs="Arial" w:eastAsia="Arial" w:hAnsi="Arial"/>
          <w:sz w:val="18"/>
          <w:szCs w:val="18"/>
          <w:color w:val="auto"/>
        </w:rPr>
        <w:t>Fire or explosion;</w:t>
      </w:r>
    </w:p>
    <w:p>
      <w:pPr>
        <w:spacing w:after="0" w:line="98" w:lineRule="exact"/>
        <w:rPr>
          <w:rFonts w:ascii="Arial" w:cs="Arial" w:eastAsia="Arial" w:hAnsi="Arial"/>
          <w:sz w:val="22"/>
          <w:szCs w:val="22"/>
          <w:color w:val="auto"/>
        </w:rPr>
      </w:pPr>
    </w:p>
    <w:p>
      <w:pPr>
        <w:ind w:left="980" w:hanging="382"/>
        <w:spacing w:after="0"/>
        <w:tabs>
          <w:tab w:leader="none" w:pos="980" w:val="left"/>
        </w:tabs>
        <w:numPr>
          <w:ilvl w:val="0"/>
          <w:numId w:val="7"/>
        </w:numPr>
        <w:rPr>
          <w:rFonts w:ascii="Arial" w:cs="Arial" w:eastAsia="Arial" w:hAnsi="Arial"/>
          <w:sz w:val="22"/>
          <w:szCs w:val="22"/>
          <w:color w:val="auto"/>
        </w:rPr>
      </w:pPr>
      <w:r>
        <w:rPr>
          <w:rFonts w:ascii="Arial" w:cs="Arial" w:eastAsia="Arial" w:hAnsi="Arial"/>
          <w:sz w:val="18"/>
          <w:szCs w:val="18"/>
          <w:color w:val="auto"/>
        </w:rPr>
        <w:t>Terrorism or other acts of violence;</w:t>
      </w:r>
    </w:p>
    <w:p>
      <w:pPr>
        <w:spacing w:after="0" w:line="98" w:lineRule="exact"/>
        <w:rPr>
          <w:rFonts w:ascii="Arial" w:cs="Arial" w:eastAsia="Arial" w:hAnsi="Arial"/>
          <w:sz w:val="22"/>
          <w:szCs w:val="22"/>
          <w:color w:val="auto"/>
        </w:rPr>
      </w:pPr>
    </w:p>
    <w:p>
      <w:pPr>
        <w:ind w:left="980" w:hanging="382"/>
        <w:spacing w:after="0"/>
        <w:tabs>
          <w:tab w:leader="none" w:pos="980" w:val="left"/>
        </w:tabs>
        <w:numPr>
          <w:ilvl w:val="0"/>
          <w:numId w:val="7"/>
        </w:numPr>
        <w:rPr>
          <w:rFonts w:ascii="Arial" w:cs="Arial" w:eastAsia="Arial" w:hAnsi="Arial"/>
          <w:sz w:val="22"/>
          <w:szCs w:val="22"/>
          <w:color w:val="auto"/>
        </w:rPr>
      </w:pPr>
      <w:r>
        <w:rPr>
          <w:rFonts w:ascii="Arial" w:cs="Arial" w:eastAsia="Arial" w:hAnsi="Arial"/>
          <w:sz w:val="18"/>
          <w:szCs w:val="18"/>
          <w:color w:val="auto"/>
        </w:rPr>
        <w:t>Labor strikes or other labor activities;</w:t>
      </w:r>
    </w:p>
    <w:p>
      <w:pPr>
        <w:spacing w:after="0" w:line="98" w:lineRule="exact"/>
        <w:rPr>
          <w:rFonts w:ascii="Arial" w:cs="Arial" w:eastAsia="Arial" w:hAnsi="Arial"/>
          <w:sz w:val="22"/>
          <w:szCs w:val="22"/>
          <w:color w:val="auto"/>
        </w:rPr>
      </w:pPr>
    </w:p>
    <w:p>
      <w:pPr>
        <w:ind w:left="980" w:hanging="382"/>
        <w:spacing w:after="0"/>
        <w:tabs>
          <w:tab w:leader="none" w:pos="980" w:val="left"/>
        </w:tabs>
        <w:numPr>
          <w:ilvl w:val="0"/>
          <w:numId w:val="7"/>
        </w:numPr>
        <w:rPr>
          <w:rFonts w:ascii="Arial" w:cs="Arial" w:eastAsia="Arial" w:hAnsi="Arial"/>
          <w:sz w:val="22"/>
          <w:szCs w:val="22"/>
          <w:color w:val="auto"/>
        </w:rPr>
      </w:pPr>
      <w:r>
        <w:rPr>
          <w:rFonts w:ascii="Arial" w:cs="Arial" w:eastAsia="Arial" w:hAnsi="Arial"/>
          <w:sz w:val="18"/>
          <w:szCs w:val="18"/>
          <w:color w:val="auto"/>
        </w:rPr>
        <w:t>Unavailability of raw or packaging materials; and</w:t>
      </w:r>
    </w:p>
    <w:p>
      <w:pPr>
        <w:spacing w:after="0" w:line="98" w:lineRule="exact"/>
        <w:rPr>
          <w:rFonts w:ascii="Arial" w:cs="Arial" w:eastAsia="Arial" w:hAnsi="Arial"/>
          <w:sz w:val="22"/>
          <w:szCs w:val="22"/>
          <w:color w:val="auto"/>
        </w:rPr>
      </w:pPr>
    </w:p>
    <w:p>
      <w:pPr>
        <w:ind w:left="980" w:hanging="382"/>
        <w:spacing w:after="0"/>
        <w:tabs>
          <w:tab w:leader="none" w:pos="980" w:val="left"/>
        </w:tabs>
        <w:numPr>
          <w:ilvl w:val="0"/>
          <w:numId w:val="7"/>
        </w:numPr>
        <w:rPr>
          <w:rFonts w:ascii="Arial" w:cs="Arial" w:eastAsia="Arial" w:hAnsi="Arial"/>
          <w:sz w:val="22"/>
          <w:szCs w:val="22"/>
          <w:color w:val="auto"/>
        </w:rPr>
      </w:pPr>
      <w:r>
        <w:rPr>
          <w:rFonts w:ascii="Arial" w:cs="Arial" w:eastAsia="Arial" w:hAnsi="Arial"/>
          <w:sz w:val="18"/>
          <w:szCs w:val="18"/>
          <w:color w:val="auto"/>
        </w:rPr>
        <w:t>Operational and/or financial instability of key suppliers, and other vendors or service providers.</w:t>
      </w:r>
    </w:p>
    <w:p>
      <w:pPr>
        <w:spacing w:after="0" w:line="9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believe that we take adequate precautions to mitigate the impact of possible disruptions. We have strategies and plans in place to manage disruptive events if they were to occur, including our global supply chain strategies and our principle-based global labor relations strategy. If we are unable, or find that it is not financially feasible, to effectively plan for or mitigate the potential impacts of such disruptive events on our manufacturing operations or supply chain, our financial condition and results of operations could be negatively impacted if such events were to occur.</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financial results may be adversely impacted by the failure to successfully execute or integrate acquisitions, divestitures and joint ventures.</w:t>
      </w:r>
    </w:p>
    <w:p>
      <w:pPr>
        <w:spacing w:after="0" w:line="11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From time to time, we may evaluate potential acquisitions, divestitures or joint ventures that align with our strategic objectives. The success of such activity depends, in part, upon our ability to identify suitable buyers, sellers or business partners; perform effective assessments prior to contract execution; negotiate contract terms; and, if applicable, obtain government approval. These activities may present certain financial, managerial, staffing and talent, and operational risks, including diversion of management’s attention from existing core businesses; difficulties integrating or separating businesses from existing operations; and challenges presented by acquisitions or joint ventures which may not achieve sales levels and profitability that justify the investments made. If the acquisitions, divestitures or joint ventures are not successfully implemented or completed, there could be a negative impact on our financial condition, results of operations and cash flows.</w:t>
      </w:r>
    </w:p>
    <w:p>
      <w:pPr>
        <w:spacing w:after="0" w:line="13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During 2016, we successfully completed the SGM integration. However, additional challenges remain, including challenges associated with the macroeconomic environment in China, which could affect our strategy and could have a negative impact on the results of operations and cash flows of our International and Other reportable segment.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governmental laws and regulations could increase our costs and liabilities or impact demand for our products.</w:t>
      </w:r>
    </w:p>
    <w:p>
      <w:pPr>
        <w:spacing w:after="0" w:line="9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Changes in laws and regulations and the manner in which they are interpreted or applied may alter our business environment. These negative impacts could result from changes in food and drug laws, laws related to advertising and marketing practices, accounting standards, taxation requirements, competition laws, employment laws and environmental laws, among others. It is possible that we could become subject to additional liabilities in the future resulting from changes in laws and regulations that could result in an adverse effect on our financial condition and results of operations.</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Political, economic and/or financial market conditions could negatively impact our financial results.</w:t>
      </w:r>
    </w:p>
    <w:p>
      <w:pPr>
        <w:spacing w:after="0" w:line="9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operations are impacted by consumer spending levels and impulse purchases which are affected by general macroeconomic conditions, consumer confidence, employment levels, the availability of consumer credit and interest rates on that credit, consumer debt levels, energy costs and other factors. Volatility in food and energy costs, sustained global recessions, rising unemployment and declines in personal spending could adversely impact our revenues, profitability and financial condition.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827" w:right="239" w:bottom="1440" w:gutter="0" w:footer="0" w:header="0"/>
        </w:sectPr>
      </w:pPr>
    </w:p>
    <w:bookmarkStart w:id="10" w:name="page11"/>
    <w:bookmarkEnd w:id="10"/>
    <w:p>
      <w:pPr>
        <w:ind w:right="220"/>
        <w:spacing w:after="0" w:line="259" w:lineRule="auto"/>
        <w:rPr>
          <w:sz w:val="20"/>
          <w:szCs w:val="20"/>
          <w:color w:val="auto"/>
        </w:rPr>
      </w:pPr>
      <w:r>
        <w:rPr>
          <w:rFonts w:ascii="Arial" w:cs="Arial" w:eastAsia="Arial" w:hAnsi="Arial"/>
          <w:sz w:val="18"/>
          <w:szCs w:val="18"/>
          <w:color w:val="auto"/>
        </w:rPr>
        <w:t>Changes in financial market conditions may make it difficult to access credit markets on commercially acceptable terms, which may reduce liquidity or increase borrowing costs for our Company, our customers and our suppliers. A significant reduction in liquidity could increase counterparty risk associated with certain suppliers and service providers, resulting in disruption to our supply chain and/or higher costs, and could impact our customers, resulting in a reduction in our revenue, or a possible increase in bad debt expense.</w:t>
      </w: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international operations may not achieve projected growth objectives, which could adversely impact our overall business and results of operations.</w:t>
      </w:r>
    </w:p>
    <w:p>
      <w:pPr>
        <w:spacing w:after="0" w:line="1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2016, we derived approximately 17% of our net sales from customers located outside of the United States, compared to 17% in 2015 and 19% in 2014. Additionally, approximately 30% of our total long-lived assets were located outside of the United States as of December 31, 2016. As part of our strategy, we have made investments outside of the United States, particularly in China, Malaysia, Mexico and Brazil. As a result, we are subject to risks and uncertainties relating to international sales and operations, including:</w:t>
      </w:r>
    </w:p>
    <w:p>
      <w:pPr>
        <w:spacing w:after="0" w:line="133" w:lineRule="exact"/>
        <w:rPr>
          <w:sz w:val="20"/>
          <w:szCs w:val="20"/>
          <w:color w:val="auto"/>
        </w:rPr>
      </w:pPr>
    </w:p>
    <w:p>
      <w:pPr>
        <w:ind w:left="680" w:right="460" w:hanging="331"/>
        <w:spacing w:after="0" w:line="232" w:lineRule="auto"/>
        <w:tabs>
          <w:tab w:leader="none" w:pos="680" w:val="left"/>
        </w:tabs>
        <w:numPr>
          <w:ilvl w:val="0"/>
          <w:numId w:val="8"/>
        </w:numPr>
        <w:rPr>
          <w:rFonts w:ascii="Arial" w:cs="Arial" w:eastAsia="Arial" w:hAnsi="Arial"/>
          <w:sz w:val="22"/>
          <w:szCs w:val="22"/>
          <w:color w:val="auto"/>
        </w:rPr>
      </w:pPr>
      <w:r>
        <w:rPr>
          <w:rFonts w:ascii="Arial" w:cs="Arial" w:eastAsia="Arial" w:hAnsi="Arial"/>
          <w:sz w:val="18"/>
          <w:szCs w:val="18"/>
          <w:color w:val="auto"/>
        </w:rPr>
        <w:t>Unforeseen global economic and environmental changes resulting in business interruption, supply constraints, inflation, deflation or decreased demand;</w:t>
      </w:r>
    </w:p>
    <w:p>
      <w:pPr>
        <w:spacing w:after="0" w:line="1" w:lineRule="exact"/>
        <w:rPr>
          <w:rFonts w:ascii="Arial" w:cs="Arial" w:eastAsia="Arial" w:hAnsi="Arial"/>
          <w:sz w:val="22"/>
          <w:szCs w:val="22"/>
          <w:color w:val="auto"/>
        </w:rPr>
      </w:pPr>
    </w:p>
    <w:p>
      <w:pPr>
        <w:ind w:left="680" w:hanging="331"/>
        <w:spacing w:after="0" w:line="183" w:lineRule="auto"/>
        <w:tabs>
          <w:tab w:leader="none" w:pos="680" w:val="left"/>
        </w:tabs>
        <w:numPr>
          <w:ilvl w:val="0"/>
          <w:numId w:val="8"/>
        </w:numPr>
        <w:rPr>
          <w:rFonts w:ascii="Arial" w:cs="Arial" w:eastAsia="Arial" w:hAnsi="Arial"/>
          <w:sz w:val="40"/>
          <w:szCs w:val="40"/>
          <w:color w:val="auto"/>
          <w:vertAlign w:val="superscript"/>
        </w:rPr>
      </w:pPr>
      <w:r>
        <w:rPr>
          <w:rFonts w:ascii="Arial" w:cs="Arial" w:eastAsia="Arial" w:hAnsi="Arial"/>
          <w:sz w:val="17"/>
          <w:szCs w:val="17"/>
          <w:color w:val="auto"/>
        </w:rPr>
        <w:t>Inability to establish, develop and achieve market acceptance of our global brands in international markets;</w:t>
      </w:r>
    </w:p>
    <w:p>
      <w:pPr>
        <w:spacing w:after="0" w:line="137" w:lineRule="exact"/>
        <w:rPr>
          <w:rFonts w:ascii="Arial" w:cs="Arial" w:eastAsia="Arial" w:hAnsi="Arial"/>
          <w:sz w:val="40"/>
          <w:szCs w:val="40"/>
          <w:color w:val="auto"/>
          <w:vertAlign w:val="superscript"/>
        </w:rPr>
      </w:pPr>
    </w:p>
    <w:p>
      <w:pPr>
        <w:ind w:left="680" w:hanging="331"/>
        <w:spacing w:after="0" w:line="194" w:lineRule="auto"/>
        <w:tabs>
          <w:tab w:leader="none" w:pos="680" w:val="left"/>
        </w:tabs>
        <w:numPr>
          <w:ilvl w:val="0"/>
          <w:numId w:val="8"/>
        </w:numPr>
        <w:rPr>
          <w:rFonts w:ascii="Arial" w:cs="Arial" w:eastAsia="Arial" w:hAnsi="Arial"/>
          <w:sz w:val="23"/>
          <w:szCs w:val="23"/>
          <w:color w:val="auto"/>
          <w:vertAlign w:val="superscript"/>
        </w:rPr>
      </w:pPr>
      <w:r>
        <w:rPr>
          <w:rFonts w:ascii="Arial" w:cs="Arial" w:eastAsia="Arial" w:hAnsi="Arial"/>
          <w:sz w:val="13"/>
          <w:szCs w:val="13"/>
          <w:color w:val="auto"/>
        </w:rPr>
        <w:t>Difficulties and costs associated with compliance and enforcement of remedies under a wide variety of complex laws, treaties and regulations;</w:t>
      </w:r>
    </w:p>
    <w:p>
      <w:pPr>
        <w:spacing w:after="0" w:line="137" w:lineRule="exact"/>
        <w:rPr>
          <w:rFonts w:ascii="Arial" w:cs="Arial" w:eastAsia="Arial" w:hAnsi="Arial"/>
          <w:sz w:val="23"/>
          <w:szCs w:val="23"/>
          <w:color w:val="auto"/>
          <w:vertAlign w:val="superscript"/>
        </w:rPr>
      </w:pPr>
    </w:p>
    <w:p>
      <w:pPr>
        <w:ind w:left="680" w:hanging="331"/>
        <w:spacing w:after="0" w:line="194" w:lineRule="auto"/>
        <w:tabs>
          <w:tab w:leader="none" w:pos="680" w:val="left"/>
        </w:tabs>
        <w:numPr>
          <w:ilvl w:val="0"/>
          <w:numId w:val="8"/>
        </w:numPr>
        <w:rPr>
          <w:rFonts w:ascii="Arial" w:cs="Arial" w:eastAsia="Arial" w:hAnsi="Arial"/>
          <w:sz w:val="23"/>
          <w:szCs w:val="23"/>
          <w:color w:val="auto"/>
          <w:vertAlign w:val="superscript"/>
        </w:rPr>
      </w:pPr>
      <w:r>
        <w:rPr>
          <w:rFonts w:ascii="Arial" w:cs="Arial" w:eastAsia="Arial" w:hAnsi="Arial"/>
          <w:sz w:val="13"/>
          <w:szCs w:val="13"/>
          <w:color w:val="auto"/>
        </w:rPr>
        <w:t>Unexpected changes in regulatory environments;</w:t>
      </w:r>
    </w:p>
    <w:p>
      <w:pPr>
        <w:spacing w:after="0" w:line="137" w:lineRule="exact"/>
        <w:rPr>
          <w:rFonts w:ascii="Arial" w:cs="Arial" w:eastAsia="Arial" w:hAnsi="Arial"/>
          <w:sz w:val="23"/>
          <w:szCs w:val="23"/>
          <w:color w:val="auto"/>
          <w:vertAlign w:val="superscript"/>
        </w:rPr>
      </w:pPr>
    </w:p>
    <w:p>
      <w:pPr>
        <w:ind w:left="680" w:hanging="331"/>
        <w:spacing w:after="0" w:line="194" w:lineRule="auto"/>
        <w:tabs>
          <w:tab w:leader="none" w:pos="680" w:val="left"/>
        </w:tabs>
        <w:numPr>
          <w:ilvl w:val="0"/>
          <w:numId w:val="8"/>
        </w:numPr>
        <w:rPr>
          <w:rFonts w:ascii="Arial" w:cs="Arial" w:eastAsia="Arial" w:hAnsi="Arial"/>
          <w:sz w:val="23"/>
          <w:szCs w:val="23"/>
          <w:color w:val="auto"/>
          <w:vertAlign w:val="superscript"/>
        </w:rPr>
      </w:pPr>
      <w:r>
        <w:rPr>
          <w:rFonts w:ascii="Arial" w:cs="Arial" w:eastAsia="Arial" w:hAnsi="Arial"/>
          <w:sz w:val="13"/>
          <w:szCs w:val="13"/>
          <w:color w:val="auto"/>
        </w:rPr>
        <w:t>Political and economic instability, including the possibility of civil unrest, terrorism, mass violence or armed conflict;</w:t>
      </w:r>
    </w:p>
    <w:p>
      <w:pPr>
        <w:spacing w:after="0" w:line="137" w:lineRule="exact"/>
        <w:rPr>
          <w:rFonts w:ascii="Arial" w:cs="Arial" w:eastAsia="Arial" w:hAnsi="Arial"/>
          <w:sz w:val="23"/>
          <w:szCs w:val="23"/>
          <w:color w:val="auto"/>
          <w:vertAlign w:val="superscript"/>
        </w:rPr>
      </w:pPr>
    </w:p>
    <w:p>
      <w:pPr>
        <w:ind w:left="680" w:hanging="331"/>
        <w:spacing w:after="0" w:line="194" w:lineRule="auto"/>
        <w:tabs>
          <w:tab w:leader="none" w:pos="680" w:val="left"/>
        </w:tabs>
        <w:numPr>
          <w:ilvl w:val="0"/>
          <w:numId w:val="8"/>
        </w:numPr>
        <w:rPr>
          <w:rFonts w:ascii="Arial" w:cs="Arial" w:eastAsia="Arial" w:hAnsi="Arial"/>
          <w:sz w:val="23"/>
          <w:szCs w:val="23"/>
          <w:color w:val="auto"/>
          <w:vertAlign w:val="superscript"/>
        </w:rPr>
      </w:pPr>
      <w:r>
        <w:rPr>
          <w:rFonts w:ascii="Arial" w:cs="Arial" w:eastAsia="Arial" w:hAnsi="Arial"/>
          <w:sz w:val="13"/>
          <w:szCs w:val="13"/>
          <w:color w:val="auto"/>
        </w:rPr>
        <w:t>Nationalization of our properties by foreign governments;</w:t>
      </w:r>
    </w:p>
    <w:p>
      <w:pPr>
        <w:spacing w:after="0" w:line="137" w:lineRule="exact"/>
        <w:rPr>
          <w:rFonts w:ascii="Arial" w:cs="Arial" w:eastAsia="Arial" w:hAnsi="Arial"/>
          <w:sz w:val="23"/>
          <w:szCs w:val="23"/>
          <w:color w:val="auto"/>
          <w:vertAlign w:val="superscript"/>
        </w:rPr>
      </w:pPr>
    </w:p>
    <w:p>
      <w:pPr>
        <w:ind w:left="680" w:right="460" w:hanging="331"/>
        <w:spacing w:after="0" w:line="183" w:lineRule="auto"/>
        <w:tabs>
          <w:tab w:leader="none" w:pos="680" w:val="left"/>
        </w:tabs>
        <w:numPr>
          <w:ilvl w:val="0"/>
          <w:numId w:val="8"/>
        </w:numPr>
        <w:rPr>
          <w:rFonts w:ascii="Arial" w:cs="Arial" w:eastAsia="Arial" w:hAnsi="Arial"/>
          <w:sz w:val="33"/>
          <w:szCs w:val="33"/>
          <w:color w:val="auto"/>
          <w:vertAlign w:val="superscript"/>
        </w:rPr>
      </w:pPr>
      <w:r>
        <w:rPr>
          <w:rFonts w:ascii="Arial" w:cs="Arial" w:eastAsia="Arial" w:hAnsi="Arial"/>
          <w:sz w:val="16"/>
          <w:szCs w:val="16"/>
          <w:color w:val="auto"/>
        </w:rPr>
        <w:t>Tax rates that may exceed those in the United States and earnings that may be subject to withholding requirements and incremental taxes upon repatriation;</w:t>
      </w:r>
    </w:p>
    <w:p>
      <w:pPr>
        <w:ind w:left="680" w:hanging="331"/>
        <w:spacing w:after="0" w:line="183" w:lineRule="auto"/>
        <w:tabs>
          <w:tab w:leader="none" w:pos="680" w:val="left"/>
        </w:tabs>
        <w:numPr>
          <w:ilvl w:val="0"/>
          <w:numId w:val="8"/>
        </w:numPr>
        <w:rPr>
          <w:rFonts w:ascii="Arial" w:cs="Arial" w:eastAsia="Arial" w:hAnsi="Arial"/>
          <w:sz w:val="40"/>
          <w:szCs w:val="40"/>
          <w:color w:val="auto"/>
          <w:vertAlign w:val="superscript"/>
        </w:rPr>
      </w:pPr>
      <w:r>
        <w:rPr>
          <w:rFonts w:ascii="Arial" w:cs="Arial" w:eastAsia="Arial" w:hAnsi="Arial"/>
          <w:sz w:val="17"/>
          <w:szCs w:val="17"/>
          <w:color w:val="auto"/>
        </w:rPr>
        <w:t>Potentially negative consequences from changes in tax laws;</w:t>
      </w:r>
    </w:p>
    <w:p>
      <w:pPr>
        <w:spacing w:after="0" w:line="137" w:lineRule="exact"/>
        <w:rPr>
          <w:rFonts w:ascii="Arial" w:cs="Arial" w:eastAsia="Arial" w:hAnsi="Arial"/>
          <w:sz w:val="40"/>
          <w:szCs w:val="40"/>
          <w:color w:val="auto"/>
          <w:vertAlign w:val="superscript"/>
        </w:rPr>
      </w:pPr>
    </w:p>
    <w:p>
      <w:pPr>
        <w:ind w:left="680" w:hanging="331"/>
        <w:spacing w:after="0" w:line="194" w:lineRule="auto"/>
        <w:tabs>
          <w:tab w:leader="none" w:pos="680" w:val="left"/>
        </w:tabs>
        <w:numPr>
          <w:ilvl w:val="0"/>
          <w:numId w:val="8"/>
        </w:numPr>
        <w:rPr>
          <w:rFonts w:ascii="Arial" w:cs="Arial" w:eastAsia="Arial" w:hAnsi="Arial"/>
          <w:sz w:val="23"/>
          <w:szCs w:val="23"/>
          <w:color w:val="auto"/>
          <w:vertAlign w:val="superscript"/>
        </w:rPr>
      </w:pPr>
      <w:r>
        <w:rPr>
          <w:rFonts w:ascii="Arial" w:cs="Arial" w:eastAsia="Arial" w:hAnsi="Arial"/>
          <w:sz w:val="13"/>
          <w:szCs w:val="13"/>
          <w:color w:val="auto"/>
        </w:rPr>
        <w:t>The imposition of tariffs, quotas, trade barriers, other trade protection measures and import or export licensing requirements;</w:t>
      </w:r>
    </w:p>
    <w:p>
      <w:pPr>
        <w:spacing w:after="0" w:line="137" w:lineRule="exact"/>
        <w:rPr>
          <w:rFonts w:ascii="Arial" w:cs="Arial" w:eastAsia="Arial" w:hAnsi="Arial"/>
          <w:sz w:val="23"/>
          <w:szCs w:val="23"/>
          <w:color w:val="auto"/>
          <w:vertAlign w:val="superscript"/>
        </w:rPr>
      </w:pPr>
    </w:p>
    <w:p>
      <w:pPr>
        <w:ind w:left="680" w:hanging="331"/>
        <w:spacing w:after="0" w:line="194" w:lineRule="auto"/>
        <w:tabs>
          <w:tab w:leader="none" w:pos="680" w:val="left"/>
        </w:tabs>
        <w:numPr>
          <w:ilvl w:val="0"/>
          <w:numId w:val="8"/>
        </w:numPr>
        <w:rPr>
          <w:rFonts w:ascii="Arial" w:cs="Arial" w:eastAsia="Arial" w:hAnsi="Arial"/>
          <w:sz w:val="23"/>
          <w:szCs w:val="23"/>
          <w:color w:val="auto"/>
          <w:vertAlign w:val="superscript"/>
        </w:rPr>
      </w:pPr>
      <w:r>
        <w:rPr>
          <w:rFonts w:ascii="Arial" w:cs="Arial" w:eastAsia="Arial" w:hAnsi="Arial"/>
          <w:sz w:val="13"/>
          <w:szCs w:val="13"/>
          <w:color w:val="auto"/>
        </w:rPr>
        <w:t>Increased costs, disruptions in shipping or reduced availability of freight transportation;</w:t>
      </w:r>
    </w:p>
    <w:p>
      <w:pPr>
        <w:spacing w:after="0" w:line="137" w:lineRule="exact"/>
        <w:rPr>
          <w:rFonts w:ascii="Arial" w:cs="Arial" w:eastAsia="Arial" w:hAnsi="Arial"/>
          <w:sz w:val="23"/>
          <w:szCs w:val="23"/>
          <w:color w:val="auto"/>
          <w:vertAlign w:val="superscript"/>
        </w:rPr>
      </w:pPr>
    </w:p>
    <w:p>
      <w:pPr>
        <w:ind w:left="680" w:hanging="331"/>
        <w:spacing w:after="0" w:line="194" w:lineRule="auto"/>
        <w:tabs>
          <w:tab w:leader="none" w:pos="680" w:val="left"/>
        </w:tabs>
        <w:numPr>
          <w:ilvl w:val="0"/>
          <w:numId w:val="8"/>
        </w:numPr>
        <w:rPr>
          <w:rFonts w:ascii="Arial" w:cs="Arial" w:eastAsia="Arial" w:hAnsi="Arial"/>
          <w:sz w:val="23"/>
          <w:szCs w:val="23"/>
          <w:color w:val="auto"/>
          <w:vertAlign w:val="superscript"/>
        </w:rPr>
      </w:pPr>
      <w:r>
        <w:rPr>
          <w:rFonts w:ascii="Arial" w:cs="Arial" w:eastAsia="Arial" w:hAnsi="Arial"/>
          <w:sz w:val="13"/>
          <w:szCs w:val="13"/>
          <w:color w:val="auto"/>
        </w:rPr>
        <w:t>The impact of currency exchange rate fluctuations between the U.S. dollar and foreign currencies;</w:t>
      </w:r>
    </w:p>
    <w:p>
      <w:pPr>
        <w:spacing w:after="0" w:line="137" w:lineRule="exact"/>
        <w:rPr>
          <w:rFonts w:ascii="Arial" w:cs="Arial" w:eastAsia="Arial" w:hAnsi="Arial"/>
          <w:sz w:val="23"/>
          <w:szCs w:val="23"/>
          <w:color w:val="auto"/>
          <w:vertAlign w:val="superscript"/>
        </w:rPr>
      </w:pPr>
    </w:p>
    <w:p>
      <w:pPr>
        <w:ind w:left="680" w:right="380" w:hanging="331"/>
        <w:spacing w:after="0" w:line="183" w:lineRule="auto"/>
        <w:tabs>
          <w:tab w:leader="none" w:pos="680" w:val="left"/>
        </w:tabs>
        <w:numPr>
          <w:ilvl w:val="0"/>
          <w:numId w:val="8"/>
        </w:numPr>
        <w:rPr>
          <w:rFonts w:ascii="Arial" w:cs="Arial" w:eastAsia="Arial" w:hAnsi="Arial"/>
          <w:sz w:val="33"/>
          <w:szCs w:val="33"/>
          <w:color w:val="auto"/>
          <w:vertAlign w:val="superscript"/>
        </w:rPr>
      </w:pPr>
      <w:r>
        <w:rPr>
          <w:rFonts w:ascii="Arial" w:cs="Arial" w:eastAsia="Arial" w:hAnsi="Arial"/>
          <w:sz w:val="16"/>
          <w:szCs w:val="16"/>
          <w:color w:val="auto"/>
        </w:rPr>
        <w:t>Failure to gain sufficient profitable scale in certain international markets resulting in an inability to cover manufacturing fixed costs or resulting in losses from impairment or sale of assets; and</w:t>
      </w:r>
    </w:p>
    <w:p>
      <w:pPr>
        <w:spacing w:after="0" w:line="18" w:lineRule="exact"/>
        <w:rPr>
          <w:rFonts w:ascii="Arial" w:cs="Arial" w:eastAsia="Arial" w:hAnsi="Arial"/>
          <w:sz w:val="33"/>
          <w:szCs w:val="33"/>
          <w:color w:val="auto"/>
          <w:vertAlign w:val="superscript"/>
        </w:rPr>
      </w:pPr>
    </w:p>
    <w:p>
      <w:pPr>
        <w:ind w:left="680" w:hanging="331"/>
        <w:spacing w:after="0"/>
        <w:tabs>
          <w:tab w:leader="none" w:pos="680" w:val="left"/>
        </w:tabs>
        <w:numPr>
          <w:ilvl w:val="0"/>
          <w:numId w:val="8"/>
        </w:numPr>
        <w:rPr>
          <w:rFonts w:ascii="Arial" w:cs="Arial" w:eastAsia="Arial" w:hAnsi="Arial"/>
          <w:sz w:val="22"/>
          <w:szCs w:val="22"/>
          <w:color w:val="auto"/>
        </w:rPr>
      </w:pPr>
      <w:r>
        <w:rPr>
          <w:rFonts w:ascii="Arial" w:cs="Arial" w:eastAsia="Arial" w:hAnsi="Arial"/>
          <w:sz w:val="18"/>
          <w:szCs w:val="18"/>
          <w:color w:val="auto"/>
        </w:rPr>
        <w:t>Failure to recruit, retain and build a talented and engaged global workforce.</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If we are not able to achieve our projected international growth objectives and mitigate the numerous risks and uncertainties associated with our international operations, there could be a negative impact on our financial condition and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Disruptions, failures or security breaches of our information technology infrastructure could have a negative impact on our operations.</w:t>
      </w:r>
    </w:p>
    <w:p>
      <w:pPr>
        <w:spacing w:after="0" w:line="102" w:lineRule="exact"/>
        <w:rPr>
          <w:sz w:val="20"/>
          <w:szCs w:val="20"/>
          <w:color w:val="auto"/>
        </w:rPr>
      </w:pPr>
    </w:p>
    <w:p>
      <w:pPr>
        <w:jc w:val="both"/>
        <w:ind w:right="700"/>
        <w:spacing w:after="0" w:line="264" w:lineRule="auto"/>
        <w:rPr>
          <w:sz w:val="20"/>
          <w:szCs w:val="20"/>
          <w:color w:val="auto"/>
        </w:rPr>
      </w:pPr>
      <w:r>
        <w:rPr>
          <w:rFonts w:ascii="Arial" w:cs="Arial" w:eastAsia="Arial" w:hAnsi="Arial"/>
          <w:sz w:val="18"/>
          <w:szCs w:val="18"/>
          <w:color w:val="auto"/>
        </w:rPr>
        <w:t>Information technology is critically important to our business operations. We use information technology to manage all business processes including manufacturing, financial, logistics, sales, marketing and administrative functions. These processes collect, interpret and distribute business data and communicate internally and externally with employees, suppliers, customers and others.</w:t>
      </w:r>
    </w:p>
    <w:p>
      <w:pPr>
        <w:spacing w:after="0" w:line="12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invest in industry standard security technology to protect the Company’s data and business processes against risk of data security breach and cyber attack. Our data security management program includes identity, trust, vulnerability and threat management business processes as well as adoption of standard data protection policies. We measure our data security effectiveness through industry accepted methods and remediate significant findings. Additionally, we certify our major technology suppliers and any outsourced services through accepted security certification standards. We maintain and routinely test backup systems and disaster recovery, along with external network security penetration testing by an independent third party as part of our business continuity preparedness. We also have processes in place to prevent disruptions resulting from the implementation of new software and systems of the latest technology.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746" w:right="259" w:bottom="1440" w:gutter="0" w:footer="0" w:header="0"/>
        </w:sectPr>
      </w:pPr>
    </w:p>
    <w:bookmarkStart w:id="11" w:name="page12"/>
    <w:bookmarkEnd w:id="11"/>
    <w:p>
      <w:pPr>
        <w:spacing w:after="0" w:line="302" w:lineRule="auto"/>
        <w:rPr>
          <w:sz w:val="20"/>
          <w:szCs w:val="20"/>
          <w:color w:val="auto"/>
        </w:rPr>
      </w:pPr>
      <w:r>
        <w:rPr>
          <w:rFonts w:ascii="Arial" w:cs="Arial" w:eastAsia="Arial" w:hAnsi="Arial"/>
          <w:sz w:val="16"/>
          <w:szCs w:val="16"/>
          <w:color w:val="auto"/>
        </w:rPr>
        <w:t>While we believe that our security technology and processes provide adequate measures of protection against security breaches and in reducing cybersecurity risks, disruptions in or failures of information technology systems are possible and could have a negative impact on our operations or business reputation. Failure of our systems, including failures due to cyber attacks that would prevent the ability of systems to function as intended, could cause transaction errors, loss of customers and sales, and could have negative consequences to our Company, our employees and those with whom we do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might not be able to hire, engage and retain the talented global workforce we need to drive our growth strategies.</w:t>
      </w:r>
    </w:p>
    <w:p>
      <w:pPr>
        <w:spacing w:after="0" w:line="90"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Our future success depends upon our ability to identify, hire, develop, engage and retain talented personnel across the globe. Competition for global talent is intense, and we might not be able to identify and hire the personnel we need to continue to evolve and grow our business. In particular, if we are unable to hire the right individuals to fill new or existing senior management positions as vacancies arise, our business performance may be impacted.</w:t>
      </w:r>
    </w:p>
    <w:p>
      <w:pPr>
        <w:spacing w:after="0" w:line="93"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Activities related to identifying, recruiting, hiring and integrating qualified individuals require significant time and attention. We may also need to invest significant amounts of cash and equity to attract talented new employees, and we may never realize returns on these investments.</w:t>
      </w:r>
    </w:p>
    <w:p>
      <w:pPr>
        <w:spacing w:after="0" w:line="9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addition to hiring new employees, we must continue to focus on retaining and engaging the talented individuals we need to sustain our core business and lead our developing businesses into new markets, channels and categories. This may require significant investments in training, coaching and other career development and retention activities. If we are not able to effectively retain and grow our talent, our ability to achieve our strategic objectives will be adversely affected, which may impact our financial condition and results of operations.</w:t>
      </w:r>
    </w:p>
    <w:p>
      <w:pPr>
        <w:spacing w:after="0" w:line="21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not fully realize the expected costs savings and/or operating efficiencies associated with our strategic initiatives or restructuring programs, which may have an adverse impact on our business.</w:t>
      </w:r>
    </w:p>
    <w:p>
      <w:pPr>
        <w:spacing w:after="0" w:line="3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depend on our ability to evolve and grow, and as changes in our business environment occur, we may adjust our business plans by introducing new strategic initiatives or restructuring programs to meet these changes. From time to time, we implement business realignment activities to support key strategic initiatives designed to maintain long-term sustainable growth, such as the production and supply chain network optimization program we commenced in the second quarter of 2016. These programs are intended to increase our operating effectiveness and efficiency, to reduce our costs and/or to generate savings that can be reinvested in other areas of our business. We cannot guarantee that we will be able to successfully implement these strategic initiatives and restructuring programs, that we will achieve or sustain the intended benefits under these programs, or that the benefits, even if achieved, will be adequate to meet our long-term growth and profitability expectations, which could in turn adversely affect our business.</w:t>
      </w:r>
    </w:p>
    <w:p>
      <w:pPr>
        <w:spacing w:after="0" w:line="20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i w:val="1"/>
          <w:iCs w:val="1"/>
          <w:color w:val="auto"/>
        </w:rPr>
        <w:t>UNRESOLVED STAFF COMMENTS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746" w:right="25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3440" w:type="dxa"/>
            <w:vAlign w:val="bottom"/>
            <w:gridSpan w:val="3"/>
          </w:tcPr>
          <w:p>
            <w:pPr>
              <w:ind w:left="80"/>
              <w:spacing w:after="0"/>
              <w:rPr>
                <w:sz w:val="20"/>
                <w:szCs w:val="20"/>
                <w:color w:val="auto"/>
              </w:rPr>
            </w:pPr>
            <w:r>
              <w:rPr>
                <w:rFonts w:ascii="Arial" w:cs="Arial" w:eastAsia="Arial" w:hAnsi="Arial"/>
                <w:sz w:val="18"/>
                <w:szCs w:val="18"/>
                <w:b w:val="1"/>
                <w:bCs w:val="1"/>
                <w:i w:val="1"/>
                <w:iCs w:val="1"/>
                <w:color w:val="auto"/>
              </w:rPr>
              <w:t>PROPERTIES</w:t>
            </w:r>
          </w:p>
        </w:tc>
        <w:tc>
          <w:tcPr>
            <w:tcW w:w="1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240" w:type="dxa"/>
            <w:vAlign w:val="bottom"/>
            <w:gridSpan w:val="4"/>
          </w:tcPr>
          <w:p>
            <w:pPr>
              <w:spacing w:after="0"/>
              <w:rPr>
                <w:sz w:val="20"/>
                <w:szCs w:val="20"/>
                <w:color w:val="auto"/>
              </w:rPr>
            </w:pPr>
            <w:r>
              <w:rPr>
                <w:rFonts w:ascii="Arial" w:cs="Arial" w:eastAsia="Arial" w:hAnsi="Arial"/>
                <w:sz w:val="18"/>
                <w:szCs w:val="18"/>
                <w:color w:val="auto"/>
              </w:rPr>
              <w:t>Our principal properties include the following:</w:t>
            </w:r>
          </w:p>
        </w:tc>
        <w:tc>
          <w:tcPr>
            <w:tcW w:w="14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50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Country</w:t>
            </w:r>
          </w:p>
        </w:tc>
        <w:tc>
          <w:tcPr>
            <w:tcW w:w="120" w:type="dxa"/>
            <w:vAlign w:val="bottom"/>
            <w:vMerge w:val="restart"/>
          </w:tcPr>
          <w:p>
            <w:pPr>
              <w:spacing w:after="0"/>
              <w:rPr>
                <w:sz w:val="24"/>
                <w:szCs w:val="24"/>
                <w:color w:val="auto"/>
              </w:rPr>
            </w:pPr>
          </w:p>
        </w:tc>
        <w:tc>
          <w:tcPr>
            <w:tcW w:w="2620" w:type="dxa"/>
            <w:vAlign w:val="bottom"/>
            <w:vMerge w:val="restart"/>
          </w:tcPr>
          <w:p>
            <w:pPr>
              <w:ind w:left="1080"/>
              <w:spacing w:after="0"/>
              <w:rPr>
                <w:sz w:val="20"/>
                <w:szCs w:val="20"/>
                <w:color w:val="auto"/>
              </w:rPr>
            </w:pPr>
            <w:r>
              <w:rPr>
                <w:rFonts w:ascii="Arial" w:cs="Arial" w:eastAsia="Arial" w:hAnsi="Arial"/>
                <w:sz w:val="14"/>
                <w:szCs w:val="14"/>
                <w:b w:val="1"/>
                <w:bCs w:val="1"/>
                <w:color w:val="auto"/>
              </w:rPr>
              <w:t>Location</w:t>
            </w:r>
          </w:p>
        </w:tc>
        <w:tc>
          <w:tcPr>
            <w:tcW w:w="140" w:type="dxa"/>
            <w:vAlign w:val="bottom"/>
          </w:tcPr>
          <w:p>
            <w:pPr>
              <w:spacing w:after="0"/>
              <w:rPr>
                <w:sz w:val="24"/>
                <w:szCs w:val="24"/>
                <w:color w:val="auto"/>
              </w:rPr>
            </w:pPr>
          </w:p>
        </w:tc>
        <w:tc>
          <w:tcPr>
            <w:tcW w:w="5680" w:type="dxa"/>
            <w:vAlign w:val="bottom"/>
            <w:vMerge w:val="restart"/>
          </w:tcPr>
          <w:p>
            <w:pPr>
              <w:ind w:left="2740"/>
              <w:spacing w:after="0"/>
              <w:rPr>
                <w:sz w:val="20"/>
                <w:szCs w:val="20"/>
                <w:color w:val="auto"/>
              </w:rPr>
            </w:pPr>
            <w:r>
              <w:rPr>
                <w:rFonts w:ascii="Arial" w:cs="Arial" w:eastAsia="Arial" w:hAnsi="Arial"/>
                <w:sz w:val="14"/>
                <w:szCs w:val="14"/>
                <w:b w:val="1"/>
                <w:bCs w:val="1"/>
                <w:color w:val="auto"/>
              </w:rPr>
              <w:t>Type</w:t>
            </w:r>
          </w:p>
        </w:tc>
        <w:tc>
          <w:tcPr>
            <w:tcW w:w="120" w:type="dxa"/>
            <w:vAlign w:val="bottom"/>
            <w:vMerge w:val="restart"/>
          </w:tcPr>
          <w:p>
            <w:pPr>
              <w:spacing w:after="0"/>
              <w:rPr>
                <w:sz w:val="24"/>
                <w:szCs w:val="24"/>
                <w:color w:val="auto"/>
              </w:rPr>
            </w:pPr>
          </w:p>
        </w:tc>
        <w:tc>
          <w:tcPr>
            <w:tcW w:w="1240" w:type="dxa"/>
            <w:vAlign w:val="bottom"/>
          </w:tcPr>
          <w:p>
            <w:pPr>
              <w:jc w:val="center"/>
              <w:ind w:left="13"/>
              <w:spacing w:after="0"/>
              <w:rPr>
                <w:sz w:val="20"/>
                <w:szCs w:val="20"/>
                <w:color w:val="auto"/>
              </w:rPr>
            </w:pPr>
            <w:r>
              <w:rPr>
                <w:rFonts w:ascii="Arial" w:cs="Arial" w:eastAsia="Arial" w:hAnsi="Arial"/>
                <w:sz w:val="14"/>
                <w:szCs w:val="14"/>
                <w:b w:val="1"/>
                <w:bCs w:val="1"/>
                <w:color w:val="auto"/>
                <w:w w:val="88"/>
              </w:rPr>
              <w:t>Status</w:t>
            </w:r>
          </w:p>
        </w:tc>
        <w:tc>
          <w:tcPr>
            <w:tcW w:w="0" w:type="dxa"/>
            <w:vAlign w:val="bottom"/>
          </w:tcPr>
          <w:p>
            <w:pPr>
              <w:spacing w:after="0"/>
              <w:rPr>
                <w:sz w:val="1"/>
                <w:szCs w:val="1"/>
                <w:color w:val="auto"/>
              </w:rPr>
            </w:pPr>
          </w:p>
        </w:tc>
      </w:tr>
      <w:tr>
        <w:trPr>
          <w:trHeight w:val="192"/>
        </w:trPr>
        <w:tc>
          <w:tcPr>
            <w:tcW w:w="150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62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56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40" w:type="dxa"/>
            <w:vAlign w:val="bottom"/>
            <w:tcBorders>
              <w:bottom w:val="single" w:sz="8" w:color="auto"/>
            </w:tcBorders>
          </w:tcPr>
          <w:p>
            <w:pPr>
              <w:jc w:val="center"/>
              <w:ind w:left="13"/>
              <w:spacing w:after="0"/>
              <w:rPr>
                <w:sz w:val="20"/>
                <w:szCs w:val="20"/>
                <w:color w:val="auto"/>
              </w:rPr>
            </w:pPr>
            <w:r>
              <w:rPr>
                <w:rFonts w:ascii="Arial" w:cs="Arial" w:eastAsia="Arial" w:hAnsi="Arial"/>
                <w:sz w:val="14"/>
                <w:szCs w:val="14"/>
                <w:b w:val="1"/>
                <w:bCs w:val="1"/>
                <w:color w:val="auto"/>
                <w:w w:val="93"/>
              </w:rPr>
              <w:t>(Own/Lease)</w:t>
            </w:r>
          </w:p>
        </w:tc>
        <w:tc>
          <w:tcPr>
            <w:tcW w:w="0" w:type="dxa"/>
            <w:vAlign w:val="bottom"/>
          </w:tcPr>
          <w:p>
            <w:pPr>
              <w:spacing w:after="0"/>
              <w:rPr>
                <w:sz w:val="1"/>
                <w:szCs w:val="1"/>
                <w:color w:val="auto"/>
              </w:rPr>
            </w:pPr>
          </w:p>
        </w:tc>
      </w:tr>
      <w:tr>
        <w:trPr>
          <w:trHeight w:val="228"/>
        </w:trPr>
        <w:tc>
          <w:tcPr>
            <w:tcW w:w="1620" w:type="dxa"/>
            <w:vAlign w:val="bottom"/>
            <w:gridSpan w:val="3"/>
          </w:tcPr>
          <w:p>
            <w:pPr>
              <w:spacing w:after="0"/>
              <w:rPr>
                <w:sz w:val="20"/>
                <w:szCs w:val="20"/>
                <w:color w:val="auto"/>
              </w:rPr>
            </w:pPr>
            <w:r>
              <w:rPr>
                <w:rFonts w:ascii="Arial" w:cs="Arial" w:eastAsia="Arial" w:hAnsi="Arial"/>
                <w:sz w:val="18"/>
                <w:szCs w:val="18"/>
                <w:color w:val="auto"/>
              </w:rPr>
              <w:t>United States</w:t>
            </w:r>
          </w:p>
        </w:tc>
        <w:tc>
          <w:tcPr>
            <w:tcW w:w="2620" w:type="dxa"/>
            <w:vAlign w:val="bottom"/>
          </w:tcPr>
          <w:p>
            <w:pPr>
              <w:ind w:left="140"/>
              <w:spacing w:after="0"/>
              <w:rPr>
                <w:sz w:val="20"/>
                <w:szCs w:val="20"/>
                <w:color w:val="auto"/>
              </w:rPr>
            </w:pPr>
            <w:r>
              <w:rPr>
                <w:rFonts w:ascii="Arial" w:cs="Arial" w:eastAsia="Arial" w:hAnsi="Arial"/>
                <w:sz w:val="18"/>
                <w:szCs w:val="18"/>
                <w:color w:val="auto"/>
              </w:rPr>
              <w:t>Hershey, Pennsylvania</w:t>
            </w:r>
          </w:p>
        </w:tc>
        <w:tc>
          <w:tcPr>
            <w:tcW w:w="5940" w:type="dxa"/>
            <w:vAlign w:val="bottom"/>
            <w:gridSpan w:val="3"/>
          </w:tcPr>
          <w:p>
            <w:pPr>
              <w:ind w:left="140"/>
              <w:spacing w:after="0"/>
              <w:rPr>
                <w:sz w:val="20"/>
                <w:szCs w:val="20"/>
                <w:color w:val="auto"/>
              </w:rPr>
            </w:pPr>
            <w:r>
              <w:rPr>
                <w:rFonts w:ascii="Arial" w:cs="Arial" w:eastAsia="Arial" w:hAnsi="Arial"/>
                <w:sz w:val="18"/>
                <w:szCs w:val="18"/>
                <w:color w:val="auto"/>
              </w:rPr>
              <w:t>Manufacturing—confectionery products and pantry items</w:t>
            </w:r>
          </w:p>
        </w:tc>
        <w:tc>
          <w:tcPr>
            <w:tcW w:w="1240" w:type="dxa"/>
            <w:vAlign w:val="bottom"/>
          </w:tcPr>
          <w:p>
            <w:pPr>
              <w:jc w:val="center"/>
              <w:ind w:left="13"/>
              <w:spacing w:after="0"/>
              <w:rPr>
                <w:sz w:val="20"/>
                <w:szCs w:val="20"/>
                <w:color w:val="auto"/>
              </w:rPr>
            </w:pPr>
            <w:r>
              <w:rPr>
                <w:rFonts w:ascii="Arial" w:cs="Arial" w:eastAsia="Arial" w:hAnsi="Arial"/>
                <w:sz w:val="18"/>
                <w:szCs w:val="18"/>
                <w:color w:val="auto"/>
                <w:w w:val="91"/>
              </w:rPr>
              <w:t>Own</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tcPr>
          <w:p>
            <w:pPr>
              <w:ind w:left="140"/>
              <w:spacing w:after="0"/>
              <w:rPr>
                <w:sz w:val="20"/>
                <w:szCs w:val="20"/>
                <w:color w:val="auto"/>
              </w:rPr>
            </w:pPr>
            <w:r>
              <w:rPr>
                <w:rFonts w:ascii="Arial" w:cs="Arial" w:eastAsia="Arial" w:hAnsi="Arial"/>
                <w:sz w:val="18"/>
                <w:szCs w:val="18"/>
                <w:color w:val="auto"/>
              </w:rPr>
              <w:t>(2 principal plants)</w:t>
            </w:r>
          </w:p>
        </w:tc>
        <w:tc>
          <w:tcPr>
            <w:tcW w:w="1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20" w:type="dxa"/>
            <w:vAlign w:val="bottom"/>
          </w:tcPr>
          <w:p>
            <w:pPr>
              <w:ind w:left="100"/>
              <w:spacing w:after="0"/>
              <w:rPr>
                <w:sz w:val="20"/>
                <w:szCs w:val="20"/>
                <w:color w:val="auto"/>
              </w:rPr>
            </w:pPr>
            <w:r>
              <w:rPr>
                <w:rFonts w:ascii="Arial" w:cs="Arial" w:eastAsia="Arial" w:hAnsi="Arial"/>
                <w:sz w:val="18"/>
                <w:szCs w:val="18"/>
                <w:color w:val="auto"/>
              </w:rPr>
              <w:t>Lancaster, Pennsylvania</w:t>
            </w:r>
          </w:p>
        </w:tc>
        <w:tc>
          <w:tcPr>
            <w:tcW w:w="5940" w:type="dxa"/>
            <w:vAlign w:val="bottom"/>
            <w:gridSpan w:val="3"/>
          </w:tcPr>
          <w:p>
            <w:pPr>
              <w:ind w:left="140"/>
              <w:spacing w:after="0"/>
              <w:rPr>
                <w:sz w:val="20"/>
                <w:szCs w:val="20"/>
                <w:color w:val="auto"/>
              </w:rPr>
            </w:pPr>
            <w:r>
              <w:rPr>
                <w:rFonts w:ascii="Arial" w:cs="Arial" w:eastAsia="Arial" w:hAnsi="Arial"/>
                <w:sz w:val="18"/>
                <w:szCs w:val="18"/>
                <w:color w:val="auto"/>
              </w:rPr>
              <w:t>Manufacturing—confectionery products</w:t>
            </w:r>
          </w:p>
        </w:tc>
        <w:tc>
          <w:tcPr>
            <w:tcW w:w="1240" w:type="dxa"/>
            <w:vAlign w:val="bottom"/>
          </w:tcPr>
          <w:p>
            <w:pPr>
              <w:jc w:val="center"/>
              <w:ind w:left="13"/>
              <w:spacing w:after="0"/>
              <w:rPr>
                <w:sz w:val="20"/>
                <w:szCs w:val="20"/>
                <w:color w:val="auto"/>
              </w:rPr>
            </w:pPr>
            <w:r>
              <w:rPr>
                <w:rFonts w:ascii="Arial" w:cs="Arial" w:eastAsia="Arial" w:hAnsi="Arial"/>
                <w:sz w:val="18"/>
                <w:szCs w:val="18"/>
                <w:color w:val="auto"/>
                <w:w w:val="91"/>
              </w:rPr>
              <w:t>Own</w:t>
            </w:r>
          </w:p>
        </w:tc>
        <w:tc>
          <w:tcPr>
            <w:tcW w:w="0" w:type="dxa"/>
            <w:vAlign w:val="bottom"/>
          </w:tcPr>
          <w:p>
            <w:pPr>
              <w:spacing w:after="0"/>
              <w:rPr>
                <w:sz w:val="1"/>
                <w:szCs w:val="1"/>
                <w:color w:val="auto"/>
              </w:rPr>
            </w:pPr>
          </w:p>
        </w:tc>
      </w:tr>
      <w:tr>
        <w:trPr>
          <w:trHeight w:val="270"/>
        </w:trPr>
        <w:tc>
          <w:tcPr>
            <w:tcW w:w="8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20" w:type="dxa"/>
            <w:vAlign w:val="bottom"/>
          </w:tcPr>
          <w:p>
            <w:pPr>
              <w:ind w:left="100"/>
              <w:spacing w:after="0"/>
              <w:rPr>
                <w:sz w:val="20"/>
                <w:szCs w:val="20"/>
                <w:color w:val="auto"/>
              </w:rPr>
            </w:pPr>
            <w:r>
              <w:rPr>
                <w:rFonts w:ascii="Arial" w:cs="Arial" w:eastAsia="Arial" w:hAnsi="Arial"/>
                <w:sz w:val="18"/>
                <w:szCs w:val="18"/>
                <w:color w:val="auto"/>
              </w:rPr>
              <w:t>Robinson, Illinois</w:t>
            </w:r>
          </w:p>
        </w:tc>
        <w:tc>
          <w:tcPr>
            <w:tcW w:w="5940" w:type="dxa"/>
            <w:vAlign w:val="bottom"/>
            <w:gridSpan w:val="3"/>
          </w:tcPr>
          <w:p>
            <w:pPr>
              <w:ind w:left="140"/>
              <w:spacing w:after="0"/>
              <w:rPr>
                <w:sz w:val="20"/>
                <w:szCs w:val="20"/>
                <w:color w:val="auto"/>
              </w:rPr>
            </w:pPr>
            <w:r>
              <w:rPr>
                <w:rFonts w:ascii="Arial" w:cs="Arial" w:eastAsia="Arial" w:hAnsi="Arial"/>
                <w:sz w:val="18"/>
                <w:szCs w:val="18"/>
                <w:color w:val="auto"/>
              </w:rPr>
              <w:t>Manufacturing—confectionery products, and pantry items</w:t>
            </w:r>
          </w:p>
        </w:tc>
        <w:tc>
          <w:tcPr>
            <w:tcW w:w="1240" w:type="dxa"/>
            <w:vAlign w:val="bottom"/>
          </w:tcPr>
          <w:p>
            <w:pPr>
              <w:jc w:val="center"/>
              <w:ind w:left="13"/>
              <w:spacing w:after="0"/>
              <w:rPr>
                <w:sz w:val="20"/>
                <w:szCs w:val="20"/>
                <w:color w:val="auto"/>
              </w:rPr>
            </w:pPr>
            <w:r>
              <w:rPr>
                <w:rFonts w:ascii="Arial" w:cs="Arial" w:eastAsia="Arial" w:hAnsi="Arial"/>
                <w:sz w:val="18"/>
                <w:szCs w:val="18"/>
                <w:color w:val="auto"/>
                <w:w w:val="91"/>
              </w:rPr>
              <w:t>Own</w:t>
            </w:r>
          </w:p>
        </w:tc>
        <w:tc>
          <w:tcPr>
            <w:tcW w:w="0" w:type="dxa"/>
            <w:vAlign w:val="bottom"/>
          </w:tcPr>
          <w:p>
            <w:pPr>
              <w:spacing w:after="0"/>
              <w:rPr>
                <w:sz w:val="1"/>
                <w:szCs w:val="1"/>
                <w:color w:val="auto"/>
              </w:rPr>
            </w:pPr>
          </w:p>
        </w:tc>
      </w:tr>
      <w:tr>
        <w:trPr>
          <w:trHeight w:val="270"/>
        </w:trPr>
        <w:tc>
          <w:tcPr>
            <w:tcW w:w="8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20" w:type="dxa"/>
            <w:vAlign w:val="bottom"/>
          </w:tcPr>
          <w:p>
            <w:pPr>
              <w:ind w:left="100"/>
              <w:spacing w:after="0"/>
              <w:rPr>
                <w:sz w:val="20"/>
                <w:szCs w:val="20"/>
                <w:color w:val="auto"/>
              </w:rPr>
            </w:pPr>
            <w:r>
              <w:rPr>
                <w:rFonts w:ascii="Arial" w:cs="Arial" w:eastAsia="Arial" w:hAnsi="Arial"/>
                <w:sz w:val="18"/>
                <w:szCs w:val="18"/>
                <w:color w:val="auto"/>
              </w:rPr>
              <w:t>Stuarts Draft, Virginia</w:t>
            </w:r>
          </w:p>
        </w:tc>
        <w:tc>
          <w:tcPr>
            <w:tcW w:w="5940" w:type="dxa"/>
            <w:vAlign w:val="bottom"/>
            <w:gridSpan w:val="3"/>
          </w:tcPr>
          <w:p>
            <w:pPr>
              <w:ind w:left="140"/>
              <w:spacing w:after="0"/>
              <w:rPr>
                <w:sz w:val="20"/>
                <w:szCs w:val="20"/>
                <w:color w:val="auto"/>
              </w:rPr>
            </w:pPr>
            <w:r>
              <w:rPr>
                <w:rFonts w:ascii="Arial" w:cs="Arial" w:eastAsia="Arial" w:hAnsi="Arial"/>
                <w:sz w:val="18"/>
                <w:szCs w:val="18"/>
                <w:color w:val="auto"/>
              </w:rPr>
              <w:t>Manufacturing—confectionery products and pantry items</w:t>
            </w:r>
          </w:p>
        </w:tc>
        <w:tc>
          <w:tcPr>
            <w:tcW w:w="1240" w:type="dxa"/>
            <w:vAlign w:val="bottom"/>
          </w:tcPr>
          <w:p>
            <w:pPr>
              <w:jc w:val="center"/>
              <w:ind w:left="13"/>
              <w:spacing w:after="0"/>
              <w:rPr>
                <w:sz w:val="20"/>
                <w:szCs w:val="20"/>
                <w:color w:val="auto"/>
              </w:rPr>
            </w:pPr>
            <w:r>
              <w:rPr>
                <w:rFonts w:ascii="Arial" w:cs="Arial" w:eastAsia="Arial" w:hAnsi="Arial"/>
                <w:sz w:val="18"/>
                <w:szCs w:val="18"/>
                <w:color w:val="auto"/>
                <w:w w:val="91"/>
              </w:rPr>
              <w:t>Own</w:t>
            </w:r>
          </w:p>
        </w:tc>
        <w:tc>
          <w:tcPr>
            <w:tcW w:w="0" w:type="dxa"/>
            <w:vAlign w:val="bottom"/>
          </w:tcPr>
          <w:p>
            <w:pPr>
              <w:spacing w:after="0"/>
              <w:rPr>
                <w:sz w:val="1"/>
                <w:szCs w:val="1"/>
                <w:color w:val="auto"/>
              </w:rPr>
            </w:pPr>
          </w:p>
        </w:tc>
      </w:tr>
      <w:tr>
        <w:trPr>
          <w:trHeight w:val="270"/>
        </w:trPr>
        <w:tc>
          <w:tcPr>
            <w:tcW w:w="8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20" w:type="dxa"/>
            <w:vAlign w:val="bottom"/>
          </w:tcPr>
          <w:p>
            <w:pPr>
              <w:ind w:left="100"/>
              <w:spacing w:after="0"/>
              <w:rPr>
                <w:sz w:val="20"/>
                <w:szCs w:val="20"/>
                <w:color w:val="auto"/>
              </w:rPr>
            </w:pPr>
            <w:r>
              <w:rPr>
                <w:rFonts w:ascii="Arial" w:cs="Arial" w:eastAsia="Arial" w:hAnsi="Arial"/>
                <w:sz w:val="18"/>
                <w:szCs w:val="18"/>
                <w:color w:val="auto"/>
              </w:rPr>
              <w:t>Edwardsville, Illinois</w:t>
            </w:r>
          </w:p>
        </w:tc>
        <w:tc>
          <w:tcPr>
            <w:tcW w:w="5940" w:type="dxa"/>
            <w:vAlign w:val="bottom"/>
            <w:gridSpan w:val="3"/>
          </w:tcPr>
          <w:p>
            <w:pPr>
              <w:ind w:left="140"/>
              <w:spacing w:after="0"/>
              <w:rPr>
                <w:sz w:val="20"/>
                <w:szCs w:val="20"/>
                <w:color w:val="auto"/>
              </w:rPr>
            </w:pPr>
            <w:r>
              <w:rPr>
                <w:rFonts w:ascii="Arial" w:cs="Arial" w:eastAsia="Arial" w:hAnsi="Arial"/>
                <w:sz w:val="18"/>
                <w:szCs w:val="18"/>
                <w:color w:val="auto"/>
              </w:rPr>
              <w:t>Distribution</w:t>
            </w:r>
          </w:p>
        </w:tc>
        <w:tc>
          <w:tcPr>
            <w:tcW w:w="1240" w:type="dxa"/>
            <w:vAlign w:val="bottom"/>
          </w:tcPr>
          <w:p>
            <w:pPr>
              <w:jc w:val="center"/>
              <w:ind w:left="13"/>
              <w:spacing w:after="0"/>
              <w:rPr>
                <w:sz w:val="20"/>
                <w:szCs w:val="20"/>
                <w:color w:val="auto"/>
              </w:rPr>
            </w:pPr>
            <w:r>
              <w:rPr>
                <w:rFonts w:ascii="Arial" w:cs="Arial" w:eastAsia="Arial" w:hAnsi="Arial"/>
                <w:sz w:val="18"/>
                <w:szCs w:val="18"/>
                <w:color w:val="auto"/>
                <w:w w:val="91"/>
              </w:rPr>
              <w:t>Own</w:t>
            </w:r>
          </w:p>
        </w:tc>
        <w:tc>
          <w:tcPr>
            <w:tcW w:w="0" w:type="dxa"/>
            <w:vAlign w:val="bottom"/>
          </w:tcPr>
          <w:p>
            <w:pPr>
              <w:spacing w:after="0"/>
              <w:rPr>
                <w:sz w:val="1"/>
                <w:szCs w:val="1"/>
                <w:color w:val="auto"/>
              </w:rPr>
            </w:pPr>
          </w:p>
        </w:tc>
      </w:tr>
      <w:tr>
        <w:trPr>
          <w:trHeight w:val="270"/>
        </w:trPr>
        <w:tc>
          <w:tcPr>
            <w:tcW w:w="8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20" w:type="dxa"/>
            <w:vAlign w:val="bottom"/>
          </w:tcPr>
          <w:p>
            <w:pPr>
              <w:ind w:left="100"/>
              <w:spacing w:after="0"/>
              <w:rPr>
                <w:sz w:val="20"/>
                <w:szCs w:val="20"/>
                <w:color w:val="auto"/>
              </w:rPr>
            </w:pPr>
            <w:r>
              <w:rPr>
                <w:rFonts w:ascii="Arial" w:cs="Arial" w:eastAsia="Arial" w:hAnsi="Arial"/>
                <w:sz w:val="18"/>
                <w:szCs w:val="18"/>
                <w:color w:val="auto"/>
              </w:rPr>
              <w:t>Palmyra, Pennsylvania</w:t>
            </w:r>
          </w:p>
        </w:tc>
        <w:tc>
          <w:tcPr>
            <w:tcW w:w="5940" w:type="dxa"/>
            <w:vAlign w:val="bottom"/>
            <w:gridSpan w:val="3"/>
          </w:tcPr>
          <w:p>
            <w:pPr>
              <w:ind w:left="140"/>
              <w:spacing w:after="0"/>
              <w:rPr>
                <w:sz w:val="20"/>
                <w:szCs w:val="20"/>
                <w:color w:val="auto"/>
              </w:rPr>
            </w:pPr>
            <w:r>
              <w:rPr>
                <w:rFonts w:ascii="Arial" w:cs="Arial" w:eastAsia="Arial" w:hAnsi="Arial"/>
                <w:sz w:val="18"/>
                <w:szCs w:val="18"/>
                <w:color w:val="auto"/>
              </w:rPr>
              <w:t>Distribution</w:t>
            </w:r>
          </w:p>
        </w:tc>
        <w:tc>
          <w:tcPr>
            <w:tcW w:w="1240" w:type="dxa"/>
            <w:vAlign w:val="bottom"/>
          </w:tcPr>
          <w:p>
            <w:pPr>
              <w:jc w:val="center"/>
              <w:ind w:left="13"/>
              <w:spacing w:after="0"/>
              <w:rPr>
                <w:sz w:val="20"/>
                <w:szCs w:val="20"/>
                <w:color w:val="auto"/>
              </w:rPr>
            </w:pPr>
            <w:r>
              <w:rPr>
                <w:rFonts w:ascii="Arial" w:cs="Arial" w:eastAsia="Arial" w:hAnsi="Arial"/>
                <w:sz w:val="18"/>
                <w:szCs w:val="18"/>
                <w:color w:val="auto"/>
                <w:w w:val="91"/>
              </w:rPr>
              <w:t>Own</w:t>
            </w:r>
          </w:p>
        </w:tc>
        <w:tc>
          <w:tcPr>
            <w:tcW w:w="0" w:type="dxa"/>
            <w:vAlign w:val="bottom"/>
          </w:tcPr>
          <w:p>
            <w:pPr>
              <w:spacing w:after="0"/>
              <w:rPr>
                <w:sz w:val="1"/>
                <w:szCs w:val="1"/>
                <w:color w:val="auto"/>
              </w:rPr>
            </w:pPr>
          </w:p>
        </w:tc>
      </w:tr>
      <w:tr>
        <w:trPr>
          <w:trHeight w:val="270"/>
        </w:trPr>
        <w:tc>
          <w:tcPr>
            <w:tcW w:w="8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20" w:type="dxa"/>
            <w:vAlign w:val="bottom"/>
          </w:tcPr>
          <w:p>
            <w:pPr>
              <w:ind w:left="100"/>
              <w:spacing w:after="0"/>
              <w:rPr>
                <w:sz w:val="20"/>
                <w:szCs w:val="20"/>
                <w:color w:val="auto"/>
              </w:rPr>
            </w:pPr>
            <w:r>
              <w:rPr>
                <w:rFonts w:ascii="Arial" w:cs="Arial" w:eastAsia="Arial" w:hAnsi="Arial"/>
                <w:sz w:val="18"/>
                <w:szCs w:val="18"/>
                <w:color w:val="auto"/>
              </w:rPr>
              <w:t>Ogden, Utah</w:t>
            </w:r>
          </w:p>
        </w:tc>
        <w:tc>
          <w:tcPr>
            <w:tcW w:w="5940" w:type="dxa"/>
            <w:vAlign w:val="bottom"/>
            <w:gridSpan w:val="3"/>
          </w:tcPr>
          <w:p>
            <w:pPr>
              <w:ind w:left="140"/>
              <w:spacing w:after="0"/>
              <w:rPr>
                <w:sz w:val="20"/>
                <w:szCs w:val="20"/>
                <w:color w:val="auto"/>
              </w:rPr>
            </w:pPr>
            <w:r>
              <w:rPr>
                <w:rFonts w:ascii="Arial" w:cs="Arial" w:eastAsia="Arial" w:hAnsi="Arial"/>
                <w:sz w:val="18"/>
                <w:szCs w:val="18"/>
                <w:color w:val="auto"/>
              </w:rPr>
              <w:t>Distribution</w:t>
            </w:r>
          </w:p>
        </w:tc>
        <w:tc>
          <w:tcPr>
            <w:tcW w:w="1240" w:type="dxa"/>
            <w:vAlign w:val="bottom"/>
          </w:tcPr>
          <w:p>
            <w:pPr>
              <w:jc w:val="center"/>
              <w:ind w:left="13"/>
              <w:spacing w:after="0"/>
              <w:rPr>
                <w:sz w:val="20"/>
                <w:szCs w:val="20"/>
                <w:color w:val="auto"/>
              </w:rPr>
            </w:pPr>
            <w:r>
              <w:rPr>
                <w:rFonts w:ascii="Arial" w:cs="Arial" w:eastAsia="Arial" w:hAnsi="Arial"/>
                <w:sz w:val="18"/>
                <w:szCs w:val="18"/>
                <w:color w:val="auto"/>
                <w:w w:val="91"/>
              </w:rPr>
              <w:t>Own</w:t>
            </w:r>
          </w:p>
        </w:tc>
        <w:tc>
          <w:tcPr>
            <w:tcW w:w="0" w:type="dxa"/>
            <w:vAlign w:val="bottom"/>
          </w:tcPr>
          <w:p>
            <w:pPr>
              <w:spacing w:after="0"/>
              <w:rPr>
                <w:sz w:val="1"/>
                <w:szCs w:val="1"/>
                <w:color w:val="auto"/>
              </w:rPr>
            </w:pPr>
          </w:p>
        </w:tc>
      </w:tr>
      <w:tr>
        <w:trPr>
          <w:trHeight w:val="310"/>
        </w:trPr>
        <w:tc>
          <w:tcPr>
            <w:tcW w:w="800" w:type="dxa"/>
            <w:vAlign w:val="bottom"/>
          </w:tcPr>
          <w:p>
            <w:pPr>
              <w:spacing w:after="0"/>
              <w:rPr>
                <w:sz w:val="20"/>
                <w:szCs w:val="20"/>
                <w:color w:val="auto"/>
              </w:rPr>
            </w:pPr>
            <w:r>
              <w:rPr>
                <w:rFonts w:ascii="Arial" w:cs="Arial" w:eastAsia="Arial" w:hAnsi="Arial"/>
                <w:sz w:val="18"/>
                <w:szCs w:val="18"/>
                <w:color w:val="auto"/>
              </w:rPr>
              <w:t>Canada</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tcPr>
          <w:p>
            <w:pPr>
              <w:ind w:left="140"/>
              <w:spacing w:after="0"/>
              <w:rPr>
                <w:sz w:val="20"/>
                <w:szCs w:val="20"/>
                <w:color w:val="auto"/>
              </w:rPr>
            </w:pPr>
            <w:r>
              <w:rPr>
                <w:rFonts w:ascii="Arial" w:cs="Arial" w:eastAsia="Arial" w:hAnsi="Arial"/>
                <w:sz w:val="18"/>
                <w:szCs w:val="18"/>
                <w:color w:val="auto"/>
              </w:rPr>
              <w:t>Brantford, Ontario</w:t>
            </w:r>
          </w:p>
        </w:tc>
        <w:tc>
          <w:tcPr>
            <w:tcW w:w="5940" w:type="dxa"/>
            <w:vAlign w:val="bottom"/>
            <w:gridSpan w:val="3"/>
          </w:tcPr>
          <w:p>
            <w:pPr>
              <w:ind w:left="140"/>
              <w:spacing w:after="0"/>
              <w:rPr>
                <w:sz w:val="20"/>
                <w:szCs w:val="20"/>
                <w:color w:val="auto"/>
              </w:rPr>
            </w:pPr>
            <w:r>
              <w:rPr>
                <w:rFonts w:ascii="Arial" w:cs="Arial" w:eastAsia="Arial" w:hAnsi="Arial"/>
                <w:sz w:val="18"/>
                <w:szCs w:val="18"/>
                <w:color w:val="auto"/>
              </w:rPr>
              <w:t>Distribution</w:t>
            </w:r>
          </w:p>
        </w:tc>
        <w:tc>
          <w:tcPr>
            <w:tcW w:w="1240" w:type="dxa"/>
            <w:vAlign w:val="bottom"/>
          </w:tcPr>
          <w:p>
            <w:pPr>
              <w:ind w:left="480"/>
              <w:spacing w:after="0"/>
              <w:rPr>
                <w:sz w:val="20"/>
                <w:szCs w:val="20"/>
                <w:color w:val="auto"/>
              </w:rPr>
            </w:pPr>
            <w:r>
              <w:rPr>
                <w:rFonts w:ascii="Arial" w:cs="Arial" w:eastAsia="Arial" w:hAnsi="Arial"/>
                <w:sz w:val="18"/>
                <w:szCs w:val="18"/>
                <w:color w:val="auto"/>
              </w:rPr>
              <w:t xml:space="preserve">Own </w:t>
            </w:r>
            <w:r>
              <w:rPr>
                <w:rFonts w:ascii="Arial" w:cs="Arial" w:eastAsia="Arial" w:hAnsi="Arial"/>
                <w:sz w:val="25"/>
                <w:szCs w:val="25"/>
                <w:color w:val="auto"/>
                <w:vertAlign w:val="superscript"/>
              </w:rPr>
              <w:t>(1)</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Mexico</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tcPr>
          <w:p>
            <w:pPr>
              <w:ind w:left="100"/>
              <w:spacing w:after="0"/>
              <w:rPr>
                <w:sz w:val="20"/>
                <w:szCs w:val="20"/>
                <w:color w:val="auto"/>
              </w:rPr>
            </w:pPr>
            <w:r>
              <w:rPr>
                <w:rFonts w:ascii="Arial" w:cs="Arial" w:eastAsia="Arial" w:hAnsi="Arial"/>
                <w:sz w:val="18"/>
                <w:szCs w:val="18"/>
                <w:color w:val="auto"/>
              </w:rPr>
              <w:t>Monterrey, Mexico</w:t>
            </w:r>
          </w:p>
        </w:tc>
        <w:tc>
          <w:tcPr>
            <w:tcW w:w="5940" w:type="dxa"/>
            <w:vAlign w:val="bottom"/>
            <w:gridSpan w:val="3"/>
          </w:tcPr>
          <w:p>
            <w:pPr>
              <w:ind w:left="140"/>
              <w:spacing w:after="0"/>
              <w:rPr>
                <w:sz w:val="20"/>
                <w:szCs w:val="20"/>
                <w:color w:val="auto"/>
              </w:rPr>
            </w:pPr>
            <w:r>
              <w:rPr>
                <w:rFonts w:ascii="Arial" w:cs="Arial" w:eastAsia="Arial" w:hAnsi="Arial"/>
                <w:sz w:val="18"/>
                <w:szCs w:val="18"/>
                <w:color w:val="auto"/>
              </w:rPr>
              <w:t>Manufacturing—confectionery products</w:t>
            </w:r>
          </w:p>
        </w:tc>
        <w:tc>
          <w:tcPr>
            <w:tcW w:w="1240" w:type="dxa"/>
            <w:vAlign w:val="bottom"/>
          </w:tcPr>
          <w:p>
            <w:pPr>
              <w:jc w:val="center"/>
              <w:ind w:left="13"/>
              <w:spacing w:after="0"/>
              <w:rPr>
                <w:sz w:val="20"/>
                <w:szCs w:val="20"/>
                <w:color w:val="auto"/>
              </w:rPr>
            </w:pPr>
            <w:r>
              <w:rPr>
                <w:rFonts w:ascii="Arial" w:cs="Arial" w:eastAsia="Arial" w:hAnsi="Arial"/>
                <w:sz w:val="18"/>
                <w:szCs w:val="18"/>
                <w:color w:val="auto"/>
                <w:w w:val="91"/>
              </w:rPr>
              <w:t>Own</w:t>
            </w:r>
          </w:p>
        </w:tc>
        <w:tc>
          <w:tcPr>
            <w:tcW w:w="0" w:type="dxa"/>
            <w:vAlign w:val="bottom"/>
          </w:tcPr>
          <w:p>
            <w:pPr>
              <w:spacing w:after="0"/>
              <w:rPr>
                <w:sz w:val="1"/>
                <w:szCs w:val="1"/>
                <w:color w:val="auto"/>
              </w:rPr>
            </w:pPr>
          </w:p>
        </w:tc>
      </w:tr>
      <w:tr>
        <w:trPr>
          <w:trHeight w:val="270"/>
        </w:trPr>
        <w:tc>
          <w:tcPr>
            <w:tcW w:w="800" w:type="dxa"/>
            <w:vAlign w:val="bottom"/>
          </w:tcPr>
          <w:p>
            <w:pPr>
              <w:ind w:left="40"/>
              <w:spacing w:after="0"/>
              <w:rPr>
                <w:sz w:val="20"/>
                <w:szCs w:val="20"/>
                <w:color w:val="auto"/>
              </w:rPr>
            </w:pPr>
            <w:r>
              <w:rPr>
                <w:rFonts w:ascii="Arial" w:cs="Arial" w:eastAsia="Arial" w:hAnsi="Arial"/>
                <w:sz w:val="18"/>
                <w:szCs w:val="18"/>
                <w:color w:val="auto"/>
              </w:rPr>
              <w:t>China</w:t>
            </w: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20" w:type="dxa"/>
            <w:vAlign w:val="bottom"/>
          </w:tcPr>
          <w:p>
            <w:pPr>
              <w:ind w:left="140"/>
              <w:spacing w:after="0"/>
              <w:rPr>
                <w:sz w:val="20"/>
                <w:szCs w:val="20"/>
                <w:color w:val="auto"/>
              </w:rPr>
            </w:pPr>
            <w:r>
              <w:rPr>
                <w:rFonts w:ascii="Arial" w:cs="Arial" w:eastAsia="Arial" w:hAnsi="Arial"/>
                <w:sz w:val="18"/>
                <w:szCs w:val="18"/>
                <w:color w:val="auto"/>
              </w:rPr>
              <w:t>Shanghai, China</w:t>
            </w:r>
          </w:p>
        </w:tc>
        <w:tc>
          <w:tcPr>
            <w:tcW w:w="140" w:type="dxa"/>
            <w:vAlign w:val="bottom"/>
          </w:tcPr>
          <w:p>
            <w:pPr>
              <w:spacing w:after="0"/>
              <w:rPr>
                <w:sz w:val="23"/>
                <w:szCs w:val="23"/>
                <w:color w:val="auto"/>
              </w:rPr>
            </w:pPr>
          </w:p>
        </w:tc>
        <w:tc>
          <w:tcPr>
            <w:tcW w:w="5800" w:type="dxa"/>
            <w:vAlign w:val="bottom"/>
            <w:gridSpan w:val="2"/>
          </w:tcPr>
          <w:p>
            <w:pPr>
              <w:ind w:left="20"/>
              <w:spacing w:after="0"/>
              <w:rPr>
                <w:sz w:val="20"/>
                <w:szCs w:val="20"/>
                <w:color w:val="auto"/>
              </w:rPr>
            </w:pPr>
            <w:r>
              <w:rPr>
                <w:rFonts w:ascii="Arial" w:cs="Arial" w:eastAsia="Arial" w:hAnsi="Arial"/>
                <w:sz w:val="18"/>
                <w:szCs w:val="18"/>
                <w:color w:val="auto"/>
              </w:rPr>
              <w:t>Manufacturing—confectionery products</w:t>
            </w:r>
          </w:p>
        </w:tc>
        <w:tc>
          <w:tcPr>
            <w:tcW w:w="1240" w:type="dxa"/>
            <w:vAlign w:val="bottom"/>
          </w:tcPr>
          <w:p>
            <w:pPr>
              <w:jc w:val="center"/>
              <w:ind w:left="13"/>
              <w:spacing w:after="0"/>
              <w:rPr>
                <w:sz w:val="20"/>
                <w:szCs w:val="20"/>
                <w:color w:val="auto"/>
              </w:rPr>
            </w:pPr>
            <w:r>
              <w:rPr>
                <w:rFonts w:ascii="Arial" w:cs="Arial" w:eastAsia="Arial" w:hAnsi="Arial"/>
                <w:sz w:val="18"/>
                <w:szCs w:val="18"/>
                <w:color w:val="auto"/>
                <w:w w:val="91"/>
              </w:rPr>
              <w:t>Own</w:t>
            </w:r>
          </w:p>
        </w:tc>
        <w:tc>
          <w:tcPr>
            <w:tcW w:w="0" w:type="dxa"/>
            <w:vAlign w:val="bottom"/>
          </w:tcPr>
          <w:p>
            <w:pPr>
              <w:spacing w:after="0"/>
              <w:rPr>
                <w:sz w:val="1"/>
                <w:szCs w:val="1"/>
                <w:color w:val="auto"/>
              </w:rPr>
            </w:pPr>
          </w:p>
        </w:tc>
      </w:tr>
      <w:tr>
        <w:trPr>
          <w:trHeight w:val="270"/>
        </w:trPr>
        <w:tc>
          <w:tcPr>
            <w:tcW w:w="800" w:type="dxa"/>
            <w:vAlign w:val="bottom"/>
          </w:tcPr>
          <w:p>
            <w:pPr>
              <w:ind w:left="40"/>
              <w:spacing w:after="0"/>
              <w:rPr>
                <w:sz w:val="20"/>
                <w:szCs w:val="20"/>
                <w:color w:val="auto"/>
              </w:rPr>
            </w:pPr>
            <w:r>
              <w:rPr>
                <w:rFonts w:ascii="Arial" w:cs="Arial" w:eastAsia="Arial" w:hAnsi="Arial"/>
                <w:sz w:val="18"/>
                <w:szCs w:val="18"/>
                <w:color w:val="auto"/>
              </w:rPr>
              <w:t>Malaysia</w:t>
            </w: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20" w:type="dxa"/>
            <w:vAlign w:val="bottom"/>
          </w:tcPr>
          <w:p>
            <w:pPr>
              <w:ind w:left="140"/>
              <w:spacing w:after="0"/>
              <w:rPr>
                <w:sz w:val="20"/>
                <w:szCs w:val="20"/>
                <w:color w:val="auto"/>
              </w:rPr>
            </w:pPr>
            <w:r>
              <w:rPr>
                <w:rFonts w:ascii="Arial" w:cs="Arial" w:eastAsia="Arial" w:hAnsi="Arial"/>
                <w:sz w:val="18"/>
                <w:szCs w:val="18"/>
                <w:color w:val="auto"/>
              </w:rPr>
              <w:t>Johor, Malaysia</w:t>
            </w:r>
          </w:p>
        </w:tc>
        <w:tc>
          <w:tcPr>
            <w:tcW w:w="140" w:type="dxa"/>
            <w:vAlign w:val="bottom"/>
          </w:tcPr>
          <w:p>
            <w:pPr>
              <w:spacing w:after="0"/>
              <w:rPr>
                <w:sz w:val="23"/>
                <w:szCs w:val="23"/>
                <w:color w:val="auto"/>
              </w:rPr>
            </w:pPr>
          </w:p>
        </w:tc>
        <w:tc>
          <w:tcPr>
            <w:tcW w:w="5800" w:type="dxa"/>
            <w:vAlign w:val="bottom"/>
            <w:gridSpan w:val="2"/>
          </w:tcPr>
          <w:p>
            <w:pPr>
              <w:ind w:left="20"/>
              <w:spacing w:after="0"/>
              <w:rPr>
                <w:sz w:val="20"/>
                <w:szCs w:val="20"/>
                <w:color w:val="auto"/>
              </w:rPr>
            </w:pPr>
            <w:r>
              <w:rPr>
                <w:rFonts w:ascii="Arial" w:cs="Arial" w:eastAsia="Arial" w:hAnsi="Arial"/>
                <w:sz w:val="18"/>
                <w:szCs w:val="18"/>
                <w:color w:val="auto"/>
              </w:rPr>
              <w:t>Manufacturing—confectionery products</w:t>
            </w:r>
          </w:p>
        </w:tc>
        <w:tc>
          <w:tcPr>
            <w:tcW w:w="1240" w:type="dxa"/>
            <w:vAlign w:val="bottom"/>
          </w:tcPr>
          <w:p>
            <w:pPr>
              <w:jc w:val="center"/>
              <w:ind w:left="13"/>
              <w:spacing w:after="0"/>
              <w:rPr>
                <w:sz w:val="20"/>
                <w:szCs w:val="20"/>
                <w:color w:val="auto"/>
              </w:rPr>
            </w:pPr>
            <w:r>
              <w:rPr>
                <w:rFonts w:ascii="Arial" w:cs="Arial" w:eastAsia="Arial" w:hAnsi="Arial"/>
                <w:sz w:val="18"/>
                <w:szCs w:val="18"/>
                <w:color w:val="auto"/>
                <w:w w:val="91"/>
              </w:rPr>
              <w:t>Own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0" w:lineRule="exact"/>
        <w:rPr>
          <w:sz w:val="20"/>
          <w:szCs w:val="20"/>
          <w:color w:val="auto"/>
        </w:rPr>
      </w:pPr>
    </w:p>
    <w:p>
      <w:pPr>
        <w:ind w:left="340" w:right="100" w:hanging="251"/>
        <w:spacing w:after="0" w:line="275" w:lineRule="auto"/>
        <w:tabs>
          <w:tab w:leader="none" w:pos="326"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have an agreement with the Ferrero Group for the use of a warehouse and distribution facility of which the Company has been deemed to be the owner for accounting purposes.</w:t>
      </w:r>
    </w:p>
    <w:p>
      <w:pPr>
        <w:spacing w:after="0" w:line="114"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In addition to the locations indicated above, we also own or lease several other properties and buildings worldwide which we use for manufacturing, sales, distribution and administrative functions. Our facilities are well maintained and generally have adequate capacity to accommodate seasonal demands, changing product mixes and certain additional growth. We continually improve our facilities to incorporate the latest technologies. The largest facilities are located in Hershey and Lancaster, Pennsylvania; Monterrey, Mexico; and Stuarts Draft, Virginia. The U.S., Canada and Mexico facilities in the table above primarily support our North America segment, while the China and Malaysia facilities primarily serve our International and Other segment. As discussed in Note 11 to the Consolidated Financial Statements, we do not manage our assets on a segment basis given the integration of certain manufacturing, warehousing, distribution and other activities in support of our global operations.</w:t>
      </w:r>
    </w:p>
    <w:p>
      <w:pPr>
        <w:spacing w:after="0" w:line="20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LEGAL PROCEEDINGS</w:t>
      </w:r>
    </w:p>
    <w:p>
      <w:pPr>
        <w:spacing w:after="0" w:line="17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is subject to certain legal proceedings and claims arising out of the ordinary course of our business, which cover a wide range of matters including trade regulation, product liability, advertising, contracts, environmental issues, patent and trademark matters, labor and employment matters and tax. While it is not feasible to predict or determine the outcome of such proceedings and claims with certainty, in our opinion these matters, both individually and in the aggregate, are not expected to have a material effect on our financial condition, results of operations or cash flows.</w:t>
      </w:r>
    </w:p>
    <w:p>
      <w:pPr>
        <w:spacing w:after="0" w:line="19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823"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SUPPLEMENTAL ITEM. EXECUTIVE OFFICERS OF THE REGISTRANT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executive officers of the Company, their positions and, as of February 10, 2017, their ages are set forth below.</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8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tcPr>
          <w:p>
            <w:pPr>
              <w:jc w:val="center"/>
              <w:ind w:left="572"/>
              <w:spacing w:after="0"/>
              <w:rPr>
                <w:sz w:val="20"/>
                <w:szCs w:val="20"/>
                <w:color w:val="auto"/>
              </w:rPr>
            </w:pPr>
            <w:r>
              <w:rPr>
                <w:rFonts w:ascii="Arial" w:cs="Arial" w:eastAsia="Arial" w:hAnsi="Arial"/>
                <w:sz w:val="14"/>
                <w:szCs w:val="14"/>
                <w:b w:val="1"/>
                <w:bCs w:val="1"/>
                <w:color w:val="auto"/>
                <w:w w:val="90"/>
              </w:rPr>
              <w:t>Age</w:t>
            </w:r>
          </w:p>
        </w:tc>
        <w:tc>
          <w:tcPr>
            <w:tcW w:w="7840" w:type="dxa"/>
            <w:vAlign w:val="bottom"/>
          </w:tcPr>
          <w:p>
            <w:pPr>
              <w:ind w:left="2760"/>
              <w:spacing w:after="0"/>
              <w:rPr>
                <w:sz w:val="20"/>
                <w:szCs w:val="20"/>
                <w:color w:val="auto"/>
              </w:rPr>
            </w:pPr>
            <w:r>
              <w:rPr>
                <w:rFonts w:ascii="Arial" w:cs="Arial" w:eastAsia="Arial" w:hAnsi="Arial"/>
                <w:sz w:val="14"/>
                <w:szCs w:val="14"/>
                <w:b w:val="1"/>
                <w:bCs w:val="1"/>
                <w:color w:val="auto"/>
              </w:rPr>
              <w:t>Positions Held During the Last Five Years</w:t>
            </w:r>
          </w:p>
        </w:tc>
        <w:tc>
          <w:tcPr>
            <w:tcW w:w="0" w:type="dxa"/>
            <w:vAlign w:val="bottom"/>
          </w:tcPr>
          <w:p>
            <w:pPr>
              <w:spacing w:after="0"/>
              <w:rPr>
                <w:sz w:val="1"/>
                <w:szCs w:val="1"/>
                <w:color w:val="auto"/>
              </w:rPr>
            </w:pPr>
          </w:p>
        </w:tc>
      </w:tr>
      <w:tr>
        <w:trPr>
          <w:trHeight w:val="241"/>
        </w:trPr>
        <w:tc>
          <w:tcPr>
            <w:tcW w:w="2280" w:type="dxa"/>
            <w:vAlign w:val="bottom"/>
          </w:tcPr>
          <w:p>
            <w:pPr>
              <w:ind w:left="40"/>
              <w:spacing w:after="0" w:line="241" w:lineRule="exact"/>
              <w:rPr>
                <w:sz w:val="20"/>
                <w:szCs w:val="20"/>
                <w:color w:val="auto"/>
              </w:rPr>
            </w:pPr>
            <w:r>
              <w:rPr>
                <w:rFonts w:ascii="Arial" w:cs="Arial" w:eastAsia="Arial" w:hAnsi="Arial"/>
                <w:sz w:val="18"/>
                <w:szCs w:val="18"/>
                <w:color w:val="auto"/>
              </w:rPr>
              <w:t xml:space="preserve">John P. Bilbrey </w:t>
            </w:r>
            <w:r>
              <w:rPr>
                <w:rFonts w:ascii="Arial" w:cs="Arial" w:eastAsia="Arial" w:hAnsi="Arial"/>
                <w:sz w:val="25"/>
                <w:szCs w:val="25"/>
                <w:color w:val="auto"/>
                <w:vertAlign w:val="superscript"/>
              </w:rPr>
              <w:t>(1)</w:t>
            </w:r>
          </w:p>
        </w:tc>
        <w:tc>
          <w:tcPr>
            <w:tcW w:w="1220" w:type="dxa"/>
            <w:vAlign w:val="bottom"/>
          </w:tcPr>
          <w:p>
            <w:pPr>
              <w:jc w:val="center"/>
              <w:ind w:left="552"/>
              <w:spacing w:after="0"/>
              <w:rPr>
                <w:sz w:val="20"/>
                <w:szCs w:val="20"/>
                <w:color w:val="auto"/>
              </w:rPr>
            </w:pPr>
            <w:r>
              <w:rPr>
                <w:rFonts w:ascii="Arial" w:cs="Arial" w:eastAsia="Arial" w:hAnsi="Arial"/>
                <w:sz w:val="18"/>
                <w:szCs w:val="18"/>
                <w:color w:val="auto"/>
                <w:w w:val="89"/>
              </w:rPr>
              <w:t>60</w:t>
            </w:r>
          </w:p>
        </w:tc>
        <w:tc>
          <w:tcPr>
            <w:tcW w:w="7840" w:type="dxa"/>
            <w:vAlign w:val="bottom"/>
          </w:tcPr>
          <w:p>
            <w:pPr>
              <w:ind w:left="200"/>
              <w:spacing w:after="0"/>
              <w:rPr>
                <w:sz w:val="20"/>
                <w:szCs w:val="20"/>
                <w:color w:val="auto"/>
              </w:rPr>
            </w:pPr>
            <w:r>
              <w:rPr>
                <w:rFonts w:ascii="Arial" w:cs="Arial" w:eastAsia="Arial" w:hAnsi="Arial"/>
                <w:sz w:val="18"/>
                <w:szCs w:val="18"/>
                <w:color w:val="auto"/>
              </w:rPr>
              <w:t>Chairman of the Board, President and Chief Executive Officer (April 2015); President and Chief</w:t>
            </w: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Executive Officer (June 2011)</w:t>
            </w:r>
          </w:p>
        </w:tc>
        <w:tc>
          <w:tcPr>
            <w:tcW w:w="0" w:type="dxa"/>
            <w:vAlign w:val="bottom"/>
          </w:tcPr>
          <w:p>
            <w:pPr>
              <w:spacing w:after="0"/>
              <w:rPr>
                <w:sz w:val="1"/>
                <w:szCs w:val="1"/>
                <w:color w:val="auto"/>
              </w:rPr>
            </w:pPr>
          </w:p>
        </w:tc>
      </w:tr>
      <w:tr>
        <w:trPr>
          <w:trHeight w:val="256"/>
        </w:trPr>
        <w:tc>
          <w:tcPr>
            <w:tcW w:w="2280" w:type="dxa"/>
            <w:vAlign w:val="bottom"/>
          </w:tcPr>
          <w:p>
            <w:pPr>
              <w:ind w:left="40"/>
              <w:spacing w:after="0" w:line="256" w:lineRule="exact"/>
              <w:rPr>
                <w:sz w:val="20"/>
                <w:szCs w:val="20"/>
                <w:color w:val="auto"/>
              </w:rPr>
            </w:pPr>
            <w:r>
              <w:rPr>
                <w:rFonts w:ascii="Arial" w:cs="Arial" w:eastAsia="Arial" w:hAnsi="Arial"/>
                <w:sz w:val="18"/>
                <w:szCs w:val="18"/>
                <w:color w:val="auto"/>
              </w:rPr>
              <w:t xml:space="preserve">Michele G. Buck </w:t>
            </w:r>
            <w:r>
              <w:rPr>
                <w:rFonts w:ascii="Arial" w:cs="Arial" w:eastAsia="Arial" w:hAnsi="Arial"/>
                <w:sz w:val="25"/>
                <w:szCs w:val="25"/>
                <w:color w:val="auto"/>
                <w:vertAlign w:val="superscript"/>
              </w:rPr>
              <w:t>(2)</w:t>
            </w:r>
          </w:p>
        </w:tc>
        <w:tc>
          <w:tcPr>
            <w:tcW w:w="1220" w:type="dxa"/>
            <w:vAlign w:val="bottom"/>
          </w:tcPr>
          <w:p>
            <w:pPr>
              <w:jc w:val="center"/>
              <w:ind w:left="552"/>
              <w:spacing w:after="0"/>
              <w:rPr>
                <w:sz w:val="20"/>
                <w:szCs w:val="20"/>
                <w:color w:val="auto"/>
              </w:rPr>
            </w:pPr>
            <w:r>
              <w:rPr>
                <w:rFonts w:ascii="Arial" w:cs="Arial" w:eastAsia="Arial" w:hAnsi="Arial"/>
                <w:sz w:val="18"/>
                <w:szCs w:val="18"/>
                <w:color w:val="auto"/>
                <w:w w:val="89"/>
              </w:rPr>
              <w:t>55</w:t>
            </w:r>
          </w:p>
        </w:tc>
        <w:tc>
          <w:tcPr>
            <w:tcW w:w="7840" w:type="dxa"/>
            <w:vAlign w:val="bottom"/>
          </w:tcPr>
          <w:p>
            <w:pPr>
              <w:ind w:left="200"/>
              <w:spacing w:after="0"/>
              <w:rPr>
                <w:sz w:val="20"/>
                <w:szCs w:val="20"/>
                <w:color w:val="auto"/>
              </w:rPr>
            </w:pPr>
            <w:r>
              <w:rPr>
                <w:rFonts w:ascii="Arial" w:cs="Arial" w:eastAsia="Arial" w:hAnsi="Arial"/>
                <w:sz w:val="18"/>
                <w:szCs w:val="18"/>
                <w:color w:val="auto"/>
                <w:w w:val="94"/>
              </w:rPr>
              <w:t>Executive Vice President, Chief Operating Officer (June 2016); President, North America (May 2013);</w:t>
            </w: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Senior Vice President, Chief Growth Officer (September 2011)</w:t>
            </w:r>
          </w:p>
        </w:tc>
        <w:tc>
          <w:tcPr>
            <w:tcW w:w="0" w:type="dxa"/>
            <w:vAlign w:val="bottom"/>
          </w:tcPr>
          <w:p>
            <w:pPr>
              <w:spacing w:after="0"/>
              <w:rPr>
                <w:sz w:val="1"/>
                <w:szCs w:val="1"/>
                <w:color w:val="auto"/>
              </w:rPr>
            </w:pPr>
          </w:p>
        </w:tc>
      </w:tr>
      <w:tr>
        <w:trPr>
          <w:trHeight w:val="270"/>
        </w:trPr>
        <w:tc>
          <w:tcPr>
            <w:tcW w:w="2280" w:type="dxa"/>
            <w:vAlign w:val="bottom"/>
          </w:tcPr>
          <w:p>
            <w:pPr>
              <w:ind w:left="40"/>
              <w:spacing w:after="0"/>
              <w:rPr>
                <w:sz w:val="20"/>
                <w:szCs w:val="20"/>
                <w:color w:val="auto"/>
              </w:rPr>
            </w:pPr>
            <w:r>
              <w:rPr>
                <w:rFonts w:ascii="Arial" w:cs="Arial" w:eastAsia="Arial" w:hAnsi="Arial"/>
                <w:sz w:val="18"/>
                <w:szCs w:val="18"/>
                <w:color w:val="auto"/>
              </w:rPr>
              <w:t>Javier H. Idrovo</w:t>
            </w:r>
          </w:p>
        </w:tc>
        <w:tc>
          <w:tcPr>
            <w:tcW w:w="1220" w:type="dxa"/>
            <w:vAlign w:val="bottom"/>
          </w:tcPr>
          <w:p>
            <w:pPr>
              <w:jc w:val="center"/>
              <w:ind w:left="552"/>
              <w:spacing w:after="0"/>
              <w:rPr>
                <w:sz w:val="20"/>
                <w:szCs w:val="20"/>
                <w:color w:val="auto"/>
              </w:rPr>
            </w:pPr>
            <w:r>
              <w:rPr>
                <w:rFonts w:ascii="Arial" w:cs="Arial" w:eastAsia="Arial" w:hAnsi="Arial"/>
                <w:sz w:val="18"/>
                <w:szCs w:val="18"/>
                <w:color w:val="auto"/>
                <w:w w:val="89"/>
              </w:rPr>
              <w:t>49</w:t>
            </w:r>
          </w:p>
        </w:tc>
        <w:tc>
          <w:tcPr>
            <w:tcW w:w="7840" w:type="dxa"/>
            <w:vAlign w:val="bottom"/>
          </w:tcPr>
          <w:p>
            <w:pPr>
              <w:ind w:left="200"/>
              <w:spacing w:after="0"/>
              <w:rPr>
                <w:sz w:val="20"/>
                <w:szCs w:val="20"/>
                <w:color w:val="auto"/>
              </w:rPr>
            </w:pPr>
            <w:r>
              <w:rPr>
                <w:rFonts w:ascii="Arial" w:cs="Arial" w:eastAsia="Arial" w:hAnsi="Arial"/>
                <w:sz w:val="18"/>
                <w:szCs w:val="18"/>
                <w:color w:val="auto"/>
                <w:w w:val="91"/>
              </w:rPr>
              <w:t>Chief Accounting Officer (August 2015); Senior Vice President, Finance and Planning (September 2011)</w:t>
            </w:r>
          </w:p>
        </w:tc>
        <w:tc>
          <w:tcPr>
            <w:tcW w:w="0" w:type="dxa"/>
            <w:vAlign w:val="bottom"/>
          </w:tcPr>
          <w:p>
            <w:pPr>
              <w:spacing w:after="0"/>
              <w:rPr>
                <w:sz w:val="1"/>
                <w:szCs w:val="1"/>
                <w:color w:val="auto"/>
              </w:rPr>
            </w:pPr>
          </w:p>
        </w:tc>
      </w:tr>
      <w:tr>
        <w:trPr>
          <w:trHeight w:val="310"/>
        </w:trPr>
        <w:tc>
          <w:tcPr>
            <w:tcW w:w="2280" w:type="dxa"/>
            <w:vAlign w:val="bottom"/>
          </w:tcPr>
          <w:p>
            <w:pPr>
              <w:ind w:left="40"/>
              <w:spacing w:after="0"/>
              <w:rPr>
                <w:sz w:val="20"/>
                <w:szCs w:val="20"/>
                <w:color w:val="auto"/>
              </w:rPr>
            </w:pPr>
            <w:r>
              <w:rPr>
                <w:rFonts w:ascii="Arial" w:cs="Arial" w:eastAsia="Arial" w:hAnsi="Arial"/>
                <w:sz w:val="18"/>
                <w:szCs w:val="18"/>
                <w:color w:val="auto"/>
              </w:rPr>
              <w:t xml:space="preserve">Patricia A. Little </w:t>
            </w:r>
            <w:r>
              <w:rPr>
                <w:rFonts w:ascii="Arial" w:cs="Arial" w:eastAsia="Arial" w:hAnsi="Arial"/>
                <w:sz w:val="25"/>
                <w:szCs w:val="25"/>
                <w:color w:val="auto"/>
                <w:vertAlign w:val="superscript"/>
              </w:rPr>
              <w:t>(3)</w:t>
            </w:r>
          </w:p>
        </w:tc>
        <w:tc>
          <w:tcPr>
            <w:tcW w:w="1220" w:type="dxa"/>
            <w:vAlign w:val="bottom"/>
          </w:tcPr>
          <w:p>
            <w:pPr>
              <w:jc w:val="center"/>
              <w:ind w:left="552"/>
              <w:spacing w:after="0"/>
              <w:rPr>
                <w:sz w:val="20"/>
                <w:szCs w:val="20"/>
                <w:color w:val="auto"/>
              </w:rPr>
            </w:pPr>
            <w:r>
              <w:rPr>
                <w:rFonts w:ascii="Arial" w:cs="Arial" w:eastAsia="Arial" w:hAnsi="Arial"/>
                <w:sz w:val="18"/>
                <w:szCs w:val="18"/>
                <w:color w:val="auto"/>
                <w:w w:val="89"/>
              </w:rPr>
              <w:t>56</w:t>
            </w:r>
          </w:p>
        </w:tc>
        <w:tc>
          <w:tcPr>
            <w:tcW w:w="7840" w:type="dxa"/>
            <w:vAlign w:val="bottom"/>
          </w:tcPr>
          <w:p>
            <w:pPr>
              <w:ind w:left="200"/>
              <w:spacing w:after="0"/>
              <w:rPr>
                <w:sz w:val="20"/>
                <w:szCs w:val="20"/>
                <w:color w:val="auto"/>
              </w:rPr>
            </w:pPr>
            <w:r>
              <w:rPr>
                <w:rFonts w:ascii="Arial" w:cs="Arial" w:eastAsia="Arial" w:hAnsi="Arial"/>
                <w:sz w:val="18"/>
                <w:szCs w:val="18"/>
                <w:color w:val="auto"/>
              </w:rPr>
              <w:t>Senior Vice President, Chief Financial Officer (March 2015)</w:t>
            </w:r>
          </w:p>
        </w:tc>
        <w:tc>
          <w:tcPr>
            <w:tcW w:w="0" w:type="dxa"/>
            <w:vAlign w:val="bottom"/>
          </w:tcPr>
          <w:p>
            <w:pPr>
              <w:spacing w:after="0"/>
              <w:rPr>
                <w:sz w:val="1"/>
                <w:szCs w:val="1"/>
                <w:color w:val="auto"/>
              </w:rPr>
            </w:pPr>
          </w:p>
        </w:tc>
      </w:tr>
      <w:tr>
        <w:trPr>
          <w:trHeight w:val="216"/>
        </w:trPr>
        <w:tc>
          <w:tcPr>
            <w:tcW w:w="2280" w:type="dxa"/>
            <w:vAlign w:val="bottom"/>
          </w:tcPr>
          <w:p>
            <w:pPr>
              <w:ind w:left="40"/>
              <w:spacing w:after="0"/>
              <w:rPr>
                <w:sz w:val="20"/>
                <w:szCs w:val="20"/>
                <w:color w:val="auto"/>
              </w:rPr>
            </w:pPr>
            <w:r>
              <w:rPr>
                <w:rFonts w:ascii="Arial" w:cs="Arial" w:eastAsia="Arial" w:hAnsi="Arial"/>
                <w:sz w:val="18"/>
                <w:szCs w:val="18"/>
                <w:color w:val="auto"/>
              </w:rPr>
              <w:t>Terence L. O’Day</w:t>
            </w:r>
          </w:p>
        </w:tc>
        <w:tc>
          <w:tcPr>
            <w:tcW w:w="1220" w:type="dxa"/>
            <w:vAlign w:val="bottom"/>
          </w:tcPr>
          <w:p>
            <w:pPr>
              <w:jc w:val="center"/>
              <w:ind w:left="552"/>
              <w:spacing w:after="0"/>
              <w:rPr>
                <w:sz w:val="20"/>
                <w:szCs w:val="20"/>
                <w:color w:val="auto"/>
              </w:rPr>
            </w:pPr>
            <w:r>
              <w:rPr>
                <w:rFonts w:ascii="Arial" w:cs="Arial" w:eastAsia="Arial" w:hAnsi="Arial"/>
                <w:sz w:val="18"/>
                <w:szCs w:val="18"/>
                <w:color w:val="auto"/>
                <w:w w:val="89"/>
              </w:rPr>
              <w:t>67</w:t>
            </w:r>
          </w:p>
        </w:tc>
        <w:tc>
          <w:tcPr>
            <w:tcW w:w="7840" w:type="dxa"/>
            <w:vAlign w:val="bottom"/>
          </w:tcPr>
          <w:p>
            <w:pPr>
              <w:ind w:left="160"/>
              <w:spacing w:after="0"/>
              <w:rPr>
                <w:sz w:val="20"/>
                <w:szCs w:val="20"/>
                <w:color w:val="auto"/>
              </w:rPr>
            </w:pPr>
            <w:r>
              <w:rPr>
                <w:rFonts w:ascii="Arial" w:cs="Arial" w:eastAsia="Arial" w:hAnsi="Arial"/>
                <w:sz w:val="18"/>
                <w:szCs w:val="18"/>
                <w:color w:val="auto"/>
                <w:w w:val="92"/>
              </w:rPr>
              <w:t>Senior Vice President, Chief Supply Chain Officer (May 2013); Senior Vice President, Global Operations</w:t>
            </w: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(December 2008)</w:t>
            </w:r>
          </w:p>
        </w:tc>
        <w:tc>
          <w:tcPr>
            <w:tcW w:w="0" w:type="dxa"/>
            <w:vAlign w:val="bottom"/>
          </w:tcPr>
          <w:p>
            <w:pPr>
              <w:spacing w:after="0"/>
              <w:rPr>
                <w:sz w:val="1"/>
                <w:szCs w:val="1"/>
                <w:color w:val="auto"/>
              </w:rPr>
            </w:pPr>
          </w:p>
        </w:tc>
      </w:tr>
      <w:tr>
        <w:trPr>
          <w:trHeight w:val="310"/>
        </w:trPr>
        <w:tc>
          <w:tcPr>
            <w:tcW w:w="2280" w:type="dxa"/>
            <w:vAlign w:val="bottom"/>
          </w:tcPr>
          <w:p>
            <w:pPr>
              <w:ind w:left="40"/>
              <w:spacing w:after="0"/>
              <w:rPr>
                <w:sz w:val="20"/>
                <w:szCs w:val="20"/>
                <w:color w:val="auto"/>
              </w:rPr>
            </w:pPr>
            <w:r>
              <w:rPr>
                <w:rFonts w:ascii="Arial" w:cs="Arial" w:eastAsia="Arial" w:hAnsi="Arial"/>
                <w:sz w:val="18"/>
                <w:szCs w:val="18"/>
                <w:color w:val="auto"/>
              </w:rPr>
              <w:t xml:space="preserve">Leslie M. Turner </w:t>
            </w:r>
            <w:r>
              <w:rPr>
                <w:rFonts w:ascii="Arial" w:cs="Arial" w:eastAsia="Arial" w:hAnsi="Arial"/>
                <w:sz w:val="25"/>
                <w:szCs w:val="25"/>
                <w:color w:val="auto"/>
                <w:vertAlign w:val="superscript"/>
              </w:rPr>
              <w:t>(4)</w:t>
            </w:r>
          </w:p>
        </w:tc>
        <w:tc>
          <w:tcPr>
            <w:tcW w:w="1220" w:type="dxa"/>
            <w:vAlign w:val="bottom"/>
          </w:tcPr>
          <w:p>
            <w:pPr>
              <w:jc w:val="center"/>
              <w:ind w:left="552"/>
              <w:spacing w:after="0"/>
              <w:rPr>
                <w:sz w:val="20"/>
                <w:szCs w:val="20"/>
                <w:color w:val="auto"/>
              </w:rPr>
            </w:pPr>
            <w:r>
              <w:rPr>
                <w:rFonts w:ascii="Arial" w:cs="Arial" w:eastAsia="Arial" w:hAnsi="Arial"/>
                <w:sz w:val="18"/>
                <w:szCs w:val="18"/>
                <w:color w:val="auto"/>
                <w:w w:val="89"/>
              </w:rPr>
              <w:t>59</w:t>
            </w:r>
          </w:p>
        </w:tc>
        <w:tc>
          <w:tcPr>
            <w:tcW w:w="7840" w:type="dxa"/>
            <w:vAlign w:val="bottom"/>
          </w:tcPr>
          <w:p>
            <w:pPr>
              <w:ind w:left="160"/>
              <w:spacing w:after="0"/>
              <w:rPr>
                <w:sz w:val="20"/>
                <w:szCs w:val="20"/>
                <w:color w:val="auto"/>
              </w:rPr>
            </w:pPr>
            <w:r>
              <w:rPr>
                <w:rFonts w:ascii="Arial" w:cs="Arial" w:eastAsia="Arial" w:hAnsi="Arial"/>
                <w:sz w:val="18"/>
                <w:szCs w:val="18"/>
                <w:color w:val="auto"/>
              </w:rPr>
              <w:t>Senior Vice President, General Counsel and Secretary (July 2012)</w:t>
            </w:r>
          </w:p>
        </w:tc>
        <w:tc>
          <w:tcPr>
            <w:tcW w:w="0" w:type="dxa"/>
            <w:vAlign w:val="bottom"/>
          </w:tcPr>
          <w:p>
            <w:pPr>
              <w:spacing w:after="0"/>
              <w:rPr>
                <w:sz w:val="1"/>
                <w:szCs w:val="1"/>
                <w:color w:val="auto"/>
              </w:rPr>
            </w:pPr>
          </w:p>
        </w:tc>
      </w:tr>
      <w:tr>
        <w:trPr>
          <w:trHeight w:val="230"/>
        </w:trPr>
        <w:tc>
          <w:tcPr>
            <w:tcW w:w="2280" w:type="dxa"/>
            <w:vAlign w:val="bottom"/>
            <w:vMerge w:val="restart"/>
          </w:tcPr>
          <w:p>
            <w:pPr>
              <w:ind w:left="40"/>
              <w:spacing w:after="0"/>
              <w:rPr>
                <w:sz w:val="20"/>
                <w:szCs w:val="20"/>
                <w:color w:val="auto"/>
              </w:rPr>
            </w:pPr>
            <w:r>
              <w:rPr>
                <w:rFonts w:ascii="Arial" w:cs="Arial" w:eastAsia="Arial" w:hAnsi="Arial"/>
                <w:sz w:val="18"/>
                <w:szCs w:val="18"/>
                <w:color w:val="auto"/>
              </w:rPr>
              <w:t>Kevin R. Walling</w:t>
            </w:r>
          </w:p>
        </w:tc>
        <w:tc>
          <w:tcPr>
            <w:tcW w:w="1220" w:type="dxa"/>
            <w:vAlign w:val="bottom"/>
          </w:tcPr>
          <w:p>
            <w:pPr>
              <w:jc w:val="center"/>
              <w:ind w:left="552"/>
              <w:spacing w:after="0"/>
              <w:rPr>
                <w:sz w:val="20"/>
                <w:szCs w:val="20"/>
                <w:color w:val="auto"/>
              </w:rPr>
            </w:pPr>
            <w:r>
              <w:rPr>
                <w:rFonts w:ascii="Arial" w:cs="Arial" w:eastAsia="Arial" w:hAnsi="Arial"/>
                <w:sz w:val="18"/>
                <w:szCs w:val="18"/>
                <w:color w:val="auto"/>
                <w:w w:val="89"/>
              </w:rPr>
              <w:t>51</w:t>
            </w:r>
          </w:p>
        </w:tc>
        <w:tc>
          <w:tcPr>
            <w:tcW w:w="7840" w:type="dxa"/>
            <w:vAlign w:val="bottom"/>
          </w:tcPr>
          <w:p>
            <w:pPr>
              <w:ind w:left="200"/>
              <w:spacing w:after="0"/>
              <w:rPr>
                <w:sz w:val="20"/>
                <w:szCs w:val="20"/>
                <w:color w:val="auto"/>
              </w:rPr>
            </w:pPr>
            <w:r>
              <w:rPr>
                <w:rFonts w:ascii="Arial" w:cs="Arial" w:eastAsia="Arial" w:hAnsi="Arial"/>
                <w:sz w:val="18"/>
                <w:szCs w:val="18"/>
                <w:color w:val="auto"/>
              </w:rPr>
              <w:t>Senior Vice President, Chief Human Resources Officer (November 2011);</w:t>
            </w:r>
          </w:p>
        </w:tc>
        <w:tc>
          <w:tcPr>
            <w:tcW w:w="0" w:type="dxa"/>
            <w:vAlign w:val="bottom"/>
          </w:tcPr>
          <w:p>
            <w:pPr>
              <w:spacing w:after="0"/>
              <w:rPr>
                <w:sz w:val="1"/>
                <w:szCs w:val="1"/>
                <w:color w:val="auto"/>
              </w:rPr>
            </w:pPr>
          </w:p>
        </w:tc>
      </w:tr>
      <w:tr>
        <w:trPr>
          <w:trHeight w:val="81"/>
        </w:trPr>
        <w:tc>
          <w:tcPr>
            <w:tcW w:w="22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7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2280" w:type="dxa"/>
            <w:vAlign w:val="bottom"/>
          </w:tcPr>
          <w:p>
            <w:pPr>
              <w:ind w:left="40"/>
              <w:spacing w:after="0"/>
              <w:rPr>
                <w:sz w:val="20"/>
                <w:szCs w:val="20"/>
                <w:color w:val="auto"/>
              </w:rPr>
            </w:pPr>
            <w:r>
              <w:rPr>
                <w:rFonts w:ascii="Arial" w:cs="Arial" w:eastAsia="Arial" w:hAnsi="Arial"/>
                <w:sz w:val="18"/>
                <w:szCs w:val="18"/>
                <w:color w:val="auto"/>
              </w:rPr>
              <w:t>D. Michael Wege</w:t>
            </w:r>
          </w:p>
        </w:tc>
        <w:tc>
          <w:tcPr>
            <w:tcW w:w="1220" w:type="dxa"/>
            <w:vAlign w:val="bottom"/>
          </w:tcPr>
          <w:p>
            <w:pPr>
              <w:jc w:val="center"/>
              <w:ind w:left="552"/>
              <w:spacing w:after="0"/>
              <w:rPr>
                <w:sz w:val="20"/>
                <w:szCs w:val="20"/>
                <w:color w:val="auto"/>
              </w:rPr>
            </w:pPr>
            <w:r>
              <w:rPr>
                <w:rFonts w:ascii="Arial" w:cs="Arial" w:eastAsia="Arial" w:hAnsi="Arial"/>
                <w:sz w:val="18"/>
                <w:szCs w:val="18"/>
                <w:color w:val="auto"/>
                <w:w w:val="89"/>
              </w:rPr>
              <w:t>54</w:t>
            </w:r>
          </w:p>
        </w:tc>
        <w:tc>
          <w:tcPr>
            <w:tcW w:w="7840" w:type="dxa"/>
            <w:vAlign w:val="bottom"/>
          </w:tcPr>
          <w:p>
            <w:pPr>
              <w:ind w:left="200"/>
              <w:spacing w:after="0"/>
              <w:rPr>
                <w:sz w:val="20"/>
                <w:szCs w:val="20"/>
                <w:color w:val="auto"/>
              </w:rPr>
            </w:pPr>
            <w:r>
              <w:rPr>
                <w:rFonts w:ascii="Arial" w:cs="Arial" w:eastAsia="Arial" w:hAnsi="Arial"/>
                <w:sz w:val="18"/>
                <w:szCs w:val="18"/>
                <w:color w:val="auto"/>
                <w:w w:val="91"/>
              </w:rPr>
              <w:t>Senior Vice President, Chief Administrative Officer (July 2015); Senior Vice President, Chief Growth and</w:t>
            </w: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w w:val="98"/>
              </w:rPr>
              <w:t>Marketing Officer (May 2013); Senior Vice President, Chief Commercial Officer (September 2011)</w:t>
            </w:r>
          </w:p>
        </w:tc>
        <w:tc>
          <w:tcPr>
            <w:tcW w:w="0" w:type="dxa"/>
            <w:vAlign w:val="bottom"/>
          </w:tcPr>
          <w:p>
            <w:pPr>
              <w:spacing w:after="0"/>
              <w:rPr>
                <w:sz w:val="1"/>
                <w:szCs w:val="1"/>
                <w:color w:val="auto"/>
              </w:rPr>
            </w:pPr>
          </w:p>
        </w:tc>
      </w:tr>
      <w:tr>
        <w:trPr>
          <w:trHeight w:val="256"/>
        </w:trPr>
        <w:tc>
          <w:tcPr>
            <w:tcW w:w="2280" w:type="dxa"/>
            <w:vAlign w:val="bottom"/>
          </w:tcPr>
          <w:p>
            <w:pPr>
              <w:ind w:left="40"/>
              <w:spacing w:after="0" w:line="256" w:lineRule="exact"/>
              <w:rPr>
                <w:sz w:val="20"/>
                <w:szCs w:val="20"/>
                <w:color w:val="auto"/>
              </w:rPr>
            </w:pPr>
            <w:r>
              <w:rPr>
                <w:rFonts w:ascii="Arial" w:cs="Arial" w:eastAsia="Arial" w:hAnsi="Arial"/>
                <w:sz w:val="18"/>
                <w:szCs w:val="18"/>
                <w:color w:val="auto"/>
              </w:rPr>
              <w:t xml:space="preserve">Waheed Zaman </w:t>
            </w:r>
            <w:r>
              <w:rPr>
                <w:rFonts w:ascii="Arial" w:cs="Arial" w:eastAsia="Arial" w:hAnsi="Arial"/>
                <w:sz w:val="25"/>
                <w:szCs w:val="25"/>
                <w:color w:val="auto"/>
                <w:vertAlign w:val="superscript"/>
              </w:rPr>
              <w:t>(5)</w:t>
            </w:r>
          </w:p>
        </w:tc>
        <w:tc>
          <w:tcPr>
            <w:tcW w:w="1220" w:type="dxa"/>
            <w:vAlign w:val="bottom"/>
          </w:tcPr>
          <w:p>
            <w:pPr>
              <w:jc w:val="center"/>
              <w:ind w:left="552"/>
              <w:spacing w:after="0"/>
              <w:rPr>
                <w:sz w:val="20"/>
                <w:szCs w:val="20"/>
                <w:color w:val="auto"/>
              </w:rPr>
            </w:pPr>
            <w:r>
              <w:rPr>
                <w:rFonts w:ascii="Arial" w:cs="Arial" w:eastAsia="Arial" w:hAnsi="Arial"/>
                <w:sz w:val="18"/>
                <w:szCs w:val="18"/>
                <w:color w:val="auto"/>
                <w:w w:val="89"/>
              </w:rPr>
              <w:t>56</w:t>
            </w:r>
          </w:p>
        </w:tc>
        <w:tc>
          <w:tcPr>
            <w:tcW w:w="7840" w:type="dxa"/>
            <w:vAlign w:val="bottom"/>
          </w:tcPr>
          <w:p>
            <w:pPr>
              <w:ind w:left="200"/>
              <w:spacing w:after="0"/>
              <w:rPr>
                <w:sz w:val="20"/>
                <w:szCs w:val="20"/>
                <w:color w:val="auto"/>
              </w:rPr>
            </w:pPr>
            <w:r>
              <w:rPr>
                <w:rFonts w:ascii="Arial" w:cs="Arial" w:eastAsia="Arial" w:hAnsi="Arial"/>
                <w:sz w:val="18"/>
                <w:szCs w:val="18"/>
                <w:color w:val="auto"/>
                <w:w w:val="93"/>
              </w:rPr>
              <w:t>Senior Vice President, Chief Knowledge and Technology Officer (August 2016); Senior Vice President,</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w w:val="93"/>
              </w:rPr>
              <w:t>Chief Knowledge, Strategy and Technology Officer (July 2015); Senior Vice President, Chief Corporate</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w w:val="94"/>
              </w:rPr>
              <w:t>Strategy and Administrative Officer (August 2013); Senior Vice President, Chief Administrative Officer</w:t>
            </w: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(April 2013)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among any of the above-named officers of our Company.</w:t>
      </w:r>
    </w:p>
    <w:p>
      <w:pPr>
        <w:spacing w:after="0" w:line="225" w:lineRule="exact"/>
        <w:rPr>
          <w:sz w:val="20"/>
          <w:szCs w:val="20"/>
          <w:color w:val="auto"/>
        </w:rPr>
      </w:pPr>
    </w:p>
    <w:p>
      <w:pPr>
        <w:ind w:left="460" w:right="160" w:hanging="438"/>
        <w:spacing w:after="0" w:line="25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Bilbrey will retire as President and Chief Executive Officer effective March 1, 2017. He will continue to serve as Non-Executive Chairman of the Board following his retirement from the Company.</w:t>
      </w:r>
    </w:p>
    <w:p>
      <w:pPr>
        <w:spacing w:after="0" w:line="1" w:lineRule="exact"/>
        <w:rPr>
          <w:rFonts w:ascii="Arial" w:cs="Arial" w:eastAsia="Arial" w:hAnsi="Arial"/>
          <w:sz w:val="18"/>
          <w:szCs w:val="18"/>
          <w:color w:val="auto"/>
        </w:rPr>
      </w:pPr>
    </w:p>
    <w:p>
      <w:pPr>
        <w:ind w:left="460" w:hanging="438"/>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Ms. Buck will become President and Chief Executive Officer effective March 1, 2017.</w:t>
      </w:r>
    </w:p>
    <w:p>
      <w:pPr>
        <w:spacing w:after="0" w:line="9" w:lineRule="exact"/>
        <w:rPr>
          <w:rFonts w:ascii="Arial" w:cs="Arial" w:eastAsia="Arial" w:hAnsi="Arial"/>
          <w:sz w:val="18"/>
          <w:szCs w:val="18"/>
          <w:color w:val="auto"/>
        </w:rPr>
      </w:pPr>
    </w:p>
    <w:p>
      <w:pPr>
        <w:ind w:left="460" w:right="200" w:hanging="438"/>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Ms. Little was elected Senior Vice President, Chief Financial Officer effective March 16, 2015. Prior to joining our company she was Executive Vice President and Chief Financial Officer of Kelly Services, Inc. (July 2008).</w:t>
      </w:r>
    </w:p>
    <w:p>
      <w:pPr>
        <w:ind w:left="460" w:hanging="438"/>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Ms. Turner was elected Senior Vice President, General Counsel and Secretary effective July 9, 2012. Prior to joining our Company she was Chief Legal Officer of Coca-Cola North America (June 2008).</w:t>
      </w:r>
    </w:p>
    <w:p>
      <w:pPr>
        <w:ind w:left="460" w:right="400" w:hanging="438"/>
        <w:spacing w:after="0" w:line="302"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Mr. Zaman was elected Senior Vice President, Chief Corporate Strategy and Administrative Officer effective August 6, 2013. Prior to joining our Company he was President and Chief Executive Officer of W&amp;A Consulting (May 2012); Senior Vice President, Special Assignments of Chiquita Brands International (February 2012); Senior Vice President, Global Product Supply of Chiquita Brands International (October 2007).</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Our Executive Officers are generally elected each year at the organization meeting of the Board in May.</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584" w:right="259" w:bottom="1440" w:gutter="0" w:footer="0" w:header="0"/>
        </w:sectPr>
      </w:pPr>
    </w:p>
    <w:bookmarkStart w:id="14" w:name="page15"/>
    <w:bookmarkEnd w:id="14"/>
    <w:p>
      <w:pPr>
        <w:jc w:val="center"/>
        <w:ind w:left="34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left="880" w:right="340" w:hanging="877"/>
        <w:spacing w:after="0" w:line="277" w:lineRule="auto"/>
        <w:tabs>
          <w:tab w:leader="none" w:pos="8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i w:val="1"/>
          <w:iCs w:val="1"/>
          <w:color w:val="auto"/>
        </w:rPr>
        <w:t>MARKET FOR THE REGISTRANT’S COMMON EQUITY, RELATED STOCKHOLDER MATTERS AND ISSUER PURCHASES OF EQUITY SECURITIES</w:t>
      </w:r>
    </w:p>
    <w:p>
      <w:pPr>
        <w:spacing w:after="0" w:line="12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Common Stock is listed and traded principally on the New York Stock Exchange under the ticker symbol “HSY.” The Class B Common Stock (“Class B Stock”) is not publicly traded.</w:t>
      </w:r>
    </w:p>
    <w:p>
      <w:pPr>
        <w:spacing w:after="0" w:line="11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closing price of our Common Stock on December 31, 2016, was $103.43. There were 29,453 stockholders of record of our Common Stock and 6 stockholders of record of our Class B Stock as of December 31, 2016.</w:t>
      </w:r>
    </w:p>
    <w:p>
      <w:pPr>
        <w:spacing w:after="0" w:line="3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paid $499.5 million in cash dividends on our Common Stock and Class B Stock in 2016 and $476.1 million in 2015. The annual dividend rate on our Common Stock in 2016 was $2.402 per share.</w:t>
      </w:r>
    </w:p>
    <w:p>
      <w:pPr>
        <w:spacing w:after="0" w:line="11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Information regarding dividends paid and the quarterly high and low market prices for our Common Stock and dividends paid for our Class B Stock for the two most recent fiscal years is disclosed in Note 17 to the Consolidated Financial Statements.</w:t>
      </w:r>
    </w:p>
    <w:p>
      <w:pPr>
        <w:spacing w:after="0" w:line="11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February 3, 2017, our Board declared a quarterly dividend of $0.618 per share of Common Stock payable on March 15, 2017, to stockholders of record as of February 24, 2017. It is the Company’s 349th consecutive quarterly Common Stock dividend. A quarterly dividend of $0.562 per share of Class B Stock also was declared.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4"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The following table shows the purchases of shares of Common Stock made by or on behalf of Hershey, or any “affiliated purchaser” (as defined in Rule 10b-18(a)(3) under the Securities Exchange Act of 1934, as amended) of Hershey, for each fiscal month in the three months ended December 31, 2016:</w:t>
      </w:r>
    </w:p>
    <w:p>
      <w:pPr>
        <w:spacing w:after="0" w:line="70" w:lineRule="exact"/>
        <w:rPr>
          <w:sz w:val="20"/>
          <w:szCs w:val="20"/>
          <w:color w:val="auto"/>
        </w:rPr>
      </w:pPr>
    </w:p>
    <w:tbl>
      <w:tblPr>
        <w:tblLayout w:type="fixed"/>
        <w:tblInd w:w="80" w:type="dxa"/>
        <w:tblCellMar>
          <w:top w:w="0" w:type="dxa"/>
          <w:left w:w="0" w:type="dxa"/>
          <w:bottom w:w="0" w:type="dxa"/>
          <w:right w:w="0" w:type="dxa"/>
        </w:tblCellMar>
      </w:tblPr>
      <w:tr>
        <w:trPr>
          <w:trHeight w:val="203"/>
        </w:trPr>
        <w:tc>
          <w:tcPr>
            <w:tcW w:w="2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20" w:type="dxa"/>
            <w:vAlign w:val="bottom"/>
          </w:tcPr>
          <w:p>
            <w:pPr>
              <w:jc w:val="center"/>
              <w:ind w:right="117"/>
              <w:spacing w:after="0"/>
              <w:rPr>
                <w:sz w:val="20"/>
                <w:szCs w:val="20"/>
                <w:color w:val="auto"/>
              </w:rPr>
            </w:pPr>
            <w:r>
              <w:rPr>
                <w:rFonts w:ascii="Arial" w:cs="Arial" w:eastAsia="Arial" w:hAnsi="Arial"/>
                <w:sz w:val="16"/>
                <w:szCs w:val="16"/>
                <w:b w:val="1"/>
                <w:bCs w:val="1"/>
                <w:color w:val="auto"/>
                <w:w w:val="94"/>
              </w:rPr>
              <w:t>Approximate</w:t>
            </w:r>
          </w:p>
        </w:tc>
        <w:tc>
          <w:tcPr>
            <w:tcW w:w="0" w:type="dxa"/>
            <w:vAlign w:val="bottom"/>
          </w:tcPr>
          <w:p>
            <w:pPr>
              <w:spacing w:after="0"/>
              <w:rPr>
                <w:sz w:val="1"/>
                <w:szCs w:val="1"/>
                <w:color w:val="auto"/>
              </w:rPr>
            </w:pPr>
          </w:p>
        </w:tc>
      </w:tr>
      <w:tr>
        <w:trPr>
          <w:trHeight w:val="203"/>
        </w:trPr>
        <w:tc>
          <w:tcPr>
            <w:tcW w:w="2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jc w:val="center"/>
              <w:ind w:left="319"/>
              <w:spacing w:after="0"/>
              <w:rPr>
                <w:sz w:val="20"/>
                <w:szCs w:val="20"/>
                <w:color w:val="auto"/>
              </w:rPr>
            </w:pPr>
            <w:r>
              <w:rPr>
                <w:rFonts w:ascii="Arial" w:cs="Arial" w:eastAsia="Arial" w:hAnsi="Arial"/>
                <w:sz w:val="16"/>
                <w:szCs w:val="16"/>
                <w:b w:val="1"/>
                <w:bCs w:val="1"/>
                <w:color w:val="auto"/>
                <w:w w:val="92"/>
              </w:rPr>
              <w:t>Total Number of</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20" w:type="dxa"/>
            <w:vAlign w:val="bottom"/>
          </w:tcPr>
          <w:p>
            <w:pPr>
              <w:jc w:val="center"/>
              <w:ind w:right="117"/>
              <w:spacing w:after="0"/>
              <w:rPr>
                <w:sz w:val="20"/>
                <w:szCs w:val="20"/>
                <w:color w:val="auto"/>
              </w:rPr>
            </w:pPr>
            <w:r>
              <w:rPr>
                <w:rFonts w:ascii="Arial" w:cs="Arial" w:eastAsia="Arial" w:hAnsi="Arial"/>
                <w:sz w:val="16"/>
                <w:szCs w:val="16"/>
                <w:b w:val="1"/>
                <w:bCs w:val="1"/>
                <w:color w:val="auto"/>
                <w:w w:val="92"/>
              </w:rPr>
              <w:t>Dollar Value of</w:t>
            </w:r>
          </w:p>
        </w:tc>
        <w:tc>
          <w:tcPr>
            <w:tcW w:w="0" w:type="dxa"/>
            <w:vAlign w:val="bottom"/>
          </w:tcPr>
          <w:p>
            <w:pPr>
              <w:spacing w:after="0"/>
              <w:rPr>
                <w:sz w:val="1"/>
                <w:szCs w:val="1"/>
                <w:color w:val="auto"/>
              </w:rPr>
            </w:pPr>
          </w:p>
        </w:tc>
      </w:tr>
      <w:tr>
        <w:trPr>
          <w:trHeight w:val="203"/>
        </w:trPr>
        <w:tc>
          <w:tcPr>
            <w:tcW w:w="2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jc w:val="center"/>
              <w:ind w:left="339"/>
              <w:spacing w:after="0"/>
              <w:rPr>
                <w:sz w:val="20"/>
                <w:szCs w:val="20"/>
                <w:color w:val="auto"/>
              </w:rPr>
            </w:pPr>
            <w:r>
              <w:rPr>
                <w:rFonts w:ascii="Arial" w:cs="Arial" w:eastAsia="Arial" w:hAnsi="Arial"/>
                <w:sz w:val="16"/>
                <w:szCs w:val="16"/>
                <w:b w:val="1"/>
                <w:bCs w:val="1"/>
                <w:color w:val="auto"/>
                <w:w w:val="88"/>
              </w:rPr>
              <w:t>Shares Purchased</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20" w:type="dxa"/>
            <w:vAlign w:val="bottom"/>
          </w:tcPr>
          <w:p>
            <w:pPr>
              <w:jc w:val="center"/>
              <w:ind w:right="137"/>
              <w:spacing w:after="0"/>
              <w:rPr>
                <w:sz w:val="20"/>
                <w:szCs w:val="20"/>
                <w:color w:val="auto"/>
              </w:rPr>
            </w:pPr>
            <w:r>
              <w:rPr>
                <w:rFonts w:ascii="Arial" w:cs="Arial" w:eastAsia="Arial" w:hAnsi="Arial"/>
                <w:sz w:val="16"/>
                <w:szCs w:val="16"/>
                <w:b w:val="1"/>
                <w:bCs w:val="1"/>
                <w:color w:val="auto"/>
                <w:w w:val="92"/>
              </w:rPr>
              <w:t>Shares that May</w:t>
            </w:r>
          </w:p>
        </w:tc>
        <w:tc>
          <w:tcPr>
            <w:tcW w:w="0" w:type="dxa"/>
            <w:vAlign w:val="bottom"/>
          </w:tcPr>
          <w:p>
            <w:pPr>
              <w:spacing w:after="0"/>
              <w:rPr>
                <w:sz w:val="1"/>
                <w:szCs w:val="1"/>
                <w:color w:val="auto"/>
              </w:rPr>
            </w:pPr>
          </w:p>
        </w:tc>
      </w:tr>
      <w:tr>
        <w:trPr>
          <w:trHeight w:val="203"/>
        </w:trPr>
        <w:tc>
          <w:tcPr>
            <w:tcW w:w="2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Arial" w:cs="Arial" w:eastAsia="Arial" w:hAnsi="Arial"/>
                <w:sz w:val="16"/>
                <w:szCs w:val="16"/>
                <w:b w:val="1"/>
                <w:bCs w:val="1"/>
                <w:color w:val="auto"/>
                <w:w w:val="94"/>
              </w:rPr>
              <w:t>Total Number</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jc w:val="center"/>
              <w:ind w:left="79"/>
              <w:spacing w:after="0"/>
              <w:rPr>
                <w:sz w:val="20"/>
                <w:szCs w:val="20"/>
                <w:color w:val="auto"/>
              </w:rPr>
            </w:pPr>
            <w:r>
              <w:rPr>
                <w:rFonts w:ascii="Arial" w:cs="Arial" w:eastAsia="Arial" w:hAnsi="Arial"/>
                <w:sz w:val="16"/>
                <w:szCs w:val="16"/>
                <w:b w:val="1"/>
                <w:bCs w:val="1"/>
                <w:color w:val="auto"/>
                <w:w w:val="89"/>
              </w:rPr>
              <w:t>Average Price</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jc w:val="center"/>
              <w:ind w:left="339"/>
              <w:spacing w:after="0"/>
              <w:rPr>
                <w:sz w:val="20"/>
                <w:szCs w:val="20"/>
                <w:color w:val="auto"/>
              </w:rPr>
            </w:pPr>
            <w:r>
              <w:rPr>
                <w:rFonts w:ascii="Arial" w:cs="Arial" w:eastAsia="Arial" w:hAnsi="Arial"/>
                <w:sz w:val="16"/>
                <w:szCs w:val="16"/>
                <w:b w:val="1"/>
                <w:bCs w:val="1"/>
                <w:color w:val="auto"/>
                <w:w w:val="92"/>
              </w:rPr>
              <w:t>as Part of Publicly</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20" w:type="dxa"/>
            <w:vAlign w:val="bottom"/>
          </w:tcPr>
          <w:p>
            <w:pPr>
              <w:jc w:val="center"/>
              <w:ind w:right="117"/>
              <w:spacing w:after="0"/>
              <w:rPr>
                <w:sz w:val="20"/>
                <w:szCs w:val="20"/>
                <w:color w:val="auto"/>
              </w:rPr>
            </w:pPr>
            <w:r>
              <w:rPr>
                <w:rFonts w:ascii="Arial" w:cs="Arial" w:eastAsia="Arial" w:hAnsi="Arial"/>
                <w:sz w:val="16"/>
                <w:szCs w:val="16"/>
                <w:b w:val="1"/>
                <w:bCs w:val="1"/>
                <w:color w:val="auto"/>
                <w:w w:val="88"/>
              </w:rPr>
              <w:t>Yet Be Purchased</w:t>
            </w:r>
          </w:p>
        </w:tc>
        <w:tc>
          <w:tcPr>
            <w:tcW w:w="0" w:type="dxa"/>
            <w:vAlign w:val="bottom"/>
          </w:tcPr>
          <w:p>
            <w:pPr>
              <w:spacing w:after="0"/>
              <w:rPr>
                <w:sz w:val="1"/>
                <w:szCs w:val="1"/>
                <w:color w:val="auto"/>
              </w:rPr>
            </w:pPr>
          </w:p>
        </w:tc>
      </w:tr>
      <w:tr>
        <w:trPr>
          <w:trHeight w:val="203"/>
        </w:trPr>
        <w:tc>
          <w:tcPr>
            <w:tcW w:w="2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jc w:val="center"/>
              <w:ind w:left="14"/>
              <w:spacing w:after="0"/>
              <w:rPr>
                <w:sz w:val="20"/>
                <w:szCs w:val="20"/>
                <w:color w:val="auto"/>
              </w:rPr>
            </w:pPr>
            <w:r>
              <w:rPr>
                <w:rFonts w:ascii="Arial" w:cs="Arial" w:eastAsia="Arial" w:hAnsi="Arial"/>
                <w:sz w:val="16"/>
                <w:szCs w:val="16"/>
                <w:b w:val="1"/>
                <w:bCs w:val="1"/>
                <w:color w:val="auto"/>
                <w:w w:val="87"/>
              </w:rPr>
              <w:t>of Shares</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jc w:val="center"/>
              <w:ind w:left="79"/>
              <w:spacing w:after="0"/>
              <w:rPr>
                <w:sz w:val="20"/>
                <w:szCs w:val="20"/>
                <w:color w:val="auto"/>
              </w:rPr>
            </w:pPr>
            <w:r>
              <w:rPr>
                <w:rFonts w:ascii="Arial" w:cs="Arial" w:eastAsia="Arial" w:hAnsi="Arial"/>
                <w:sz w:val="16"/>
                <w:szCs w:val="16"/>
                <w:b w:val="1"/>
                <w:bCs w:val="1"/>
                <w:color w:val="auto"/>
                <w:w w:val="94"/>
              </w:rPr>
              <w:t>Paid</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jc w:val="center"/>
              <w:ind w:left="299"/>
              <w:spacing w:after="0"/>
              <w:rPr>
                <w:sz w:val="20"/>
                <w:szCs w:val="20"/>
                <w:color w:val="auto"/>
              </w:rPr>
            </w:pPr>
            <w:r>
              <w:rPr>
                <w:rFonts w:ascii="Arial" w:cs="Arial" w:eastAsia="Arial" w:hAnsi="Arial"/>
                <w:sz w:val="16"/>
                <w:szCs w:val="16"/>
                <w:b w:val="1"/>
                <w:bCs w:val="1"/>
                <w:color w:val="auto"/>
                <w:w w:val="88"/>
              </w:rPr>
              <w:t>Announced Plans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20" w:type="dxa"/>
            <w:vAlign w:val="bottom"/>
          </w:tcPr>
          <w:p>
            <w:pPr>
              <w:jc w:val="center"/>
              <w:ind w:right="117"/>
              <w:spacing w:after="0"/>
              <w:rPr>
                <w:sz w:val="20"/>
                <w:szCs w:val="20"/>
                <w:color w:val="auto"/>
              </w:rPr>
            </w:pPr>
            <w:r>
              <w:rPr>
                <w:rFonts w:ascii="Arial" w:cs="Arial" w:eastAsia="Arial" w:hAnsi="Arial"/>
                <w:sz w:val="16"/>
                <w:szCs w:val="16"/>
                <w:b w:val="1"/>
                <w:bCs w:val="1"/>
                <w:color w:val="auto"/>
                <w:w w:val="92"/>
              </w:rPr>
              <w:t>Under the Plans or</w:t>
            </w:r>
          </w:p>
        </w:tc>
        <w:tc>
          <w:tcPr>
            <w:tcW w:w="0" w:type="dxa"/>
            <w:vAlign w:val="bottom"/>
          </w:tcPr>
          <w:p>
            <w:pPr>
              <w:spacing w:after="0"/>
              <w:rPr>
                <w:sz w:val="1"/>
                <w:szCs w:val="1"/>
                <w:color w:val="auto"/>
              </w:rPr>
            </w:pPr>
          </w:p>
        </w:tc>
      </w:tr>
      <w:tr>
        <w:trPr>
          <w:trHeight w:val="210"/>
        </w:trPr>
        <w:tc>
          <w:tcPr>
            <w:tcW w:w="2720" w:type="dxa"/>
            <w:vAlign w:val="bottom"/>
            <w:gridSpan w:val="2"/>
          </w:tcPr>
          <w:p>
            <w:pPr>
              <w:ind w:left="1060"/>
              <w:spacing w:after="0"/>
              <w:rPr>
                <w:sz w:val="20"/>
                <w:szCs w:val="20"/>
                <w:color w:val="auto"/>
              </w:rPr>
            </w:pPr>
            <w:r>
              <w:rPr>
                <w:rFonts w:ascii="Arial" w:cs="Arial" w:eastAsia="Arial" w:hAnsi="Arial"/>
                <w:sz w:val="16"/>
                <w:szCs w:val="16"/>
                <w:b w:val="1"/>
                <w:bCs w:val="1"/>
                <w:color w:val="auto"/>
              </w:rPr>
              <w:t>Period</w:t>
            </w:r>
          </w:p>
        </w:tc>
        <w:tc>
          <w:tcPr>
            <w:tcW w:w="1740" w:type="dxa"/>
            <w:vAlign w:val="bottom"/>
          </w:tcPr>
          <w:p>
            <w:pPr>
              <w:jc w:val="center"/>
              <w:ind w:left="14"/>
              <w:spacing w:after="0"/>
              <w:rPr>
                <w:sz w:val="20"/>
                <w:szCs w:val="20"/>
                <w:color w:val="auto"/>
              </w:rPr>
            </w:pPr>
            <w:r>
              <w:rPr>
                <w:rFonts w:ascii="Arial" w:cs="Arial" w:eastAsia="Arial" w:hAnsi="Arial"/>
                <w:sz w:val="16"/>
                <w:szCs w:val="16"/>
                <w:b w:val="1"/>
                <w:bCs w:val="1"/>
                <w:color w:val="auto"/>
                <w:w w:val="90"/>
              </w:rPr>
              <w:t>Purchased (1)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jc w:val="center"/>
              <w:ind w:left="79"/>
              <w:spacing w:after="0"/>
              <w:rPr>
                <w:sz w:val="20"/>
                <w:szCs w:val="20"/>
                <w:color w:val="auto"/>
              </w:rPr>
            </w:pPr>
            <w:r>
              <w:rPr>
                <w:rFonts w:ascii="Arial" w:cs="Arial" w:eastAsia="Arial" w:hAnsi="Arial"/>
                <w:sz w:val="16"/>
                <w:szCs w:val="16"/>
                <w:b w:val="1"/>
                <w:bCs w:val="1"/>
                <w:color w:val="auto"/>
                <w:w w:val="92"/>
              </w:rPr>
              <w:t>per Share</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jc w:val="center"/>
              <w:ind w:left="319"/>
              <w:spacing w:after="0"/>
              <w:rPr>
                <w:sz w:val="20"/>
                <w:szCs w:val="20"/>
                <w:color w:val="auto"/>
              </w:rPr>
            </w:pPr>
            <w:r>
              <w:rPr>
                <w:rFonts w:ascii="Arial" w:cs="Arial" w:eastAsia="Arial" w:hAnsi="Arial"/>
                <w:sz w:val="16"/>
                <w:szCs w:val="16"/>
                <w:b w:val="1"/>
                <w:bCs w:val="1"/>
                <w:color w:val="auto"/>
                <w:w w:val="92"/>
              </w:rPr>
              <w:t>or Programs (2)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tcPr>
          <w:p>
            <w:pPr>
              <w:jc w:val="center"/>
              <w:ind w:right="117"/>
              <w:spacing w:after="0"/>
              <w:rPr>
                <w:sz w:val="20"/>
                <w:szCs w:val="20"/>
                <w:color w:val="auto"/>
              </w:rPr>
            </w:pPr>
            <w:r>
              <w:rPr>
                <w:rFonts w:ascii="Arial" w:cs="Arial" w:eastAsia="Arial" w:hAnsi="Arial"/>
                <w:sz w:val="16"/>
                <w:szCs w:val="16"/>
                <w:b w:val="1"/>
                <w:bCs w:val="1"/>
                <w:color w:val="auto"/>
                <w:w w:val="93"/>
              </w:rPr>
              <w:t>Programs (2)</w:t>
            </w:r>
          </w:p>
        </w:tc>
        <w:tc>
          <w:tcPr>
            <w:tcW w:w="0" w:type="dxa"/>
            <w:vAlign w:val="bottom"/>
          </w:tcPr>
          <w:p>
            <w:pPr>
              <w:spacing w:after="0"/>
              <w:rPr>
                <w:sz w:val="1"/>
                <w:szCs w:val="1"/>
                <w:color w:val="auto"/>
              </w:rPr>
            </w:pPr>
          </w:p>
        </w:tc>
      </w:tr>
      <w:tr>
        <w:trPr>
          <w:trHeight w:val="33"/>
        </w:trPr>
        <w:tc>
          <w:tcPr>
            <w:tcW w:w="2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2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920" w:type="dxa"/>
            <w:vAlign w:val="bottom"/>
          </w:tcPr>
          <w:p>
            <w:pPr>
              <w:jc w:val="right"/>
              <w:ind w:right="277"/>
              <w:spacing w:after="0"/>
              <w:rPr>
                <w:sz w:val="20"/>
                <w:szCs w:val="20"/>
                <w:color w:val="auto"/>
              </w:rPr>
            </w:pPr>
            <w:r>
              <w:rPr>
                <w:rFonts w:ascii="Arial" w:cs="Arial" w:eastAsia="Arial" w:hAnsi="Arial"/>
                <w:sz w:val="14"/>
                <w:szCs w:val="14"/>
                <w:b w:val="1"/>
                <w:bCs w:val="1"/>
                <w:color w:val="auto"/>
                <w:w w:val="94"/>
              </w:rPr>
              <w:t>(in thousands of dollars)</w:t>
            </w:r>
          </w:p>
        </w:tc>
        <w:tc>
          <w:tcPr>
            <w:tcW w:w="0" w:type="dxa"/>
            <w:vAlign w:val="bottom"/>
          </w:tcPr>
          <w:p>
            <w:pPr>
              <w:spacing w:after="0"/>
              <w:rPr>
                <w:sz w:val="1"/>
                <w:szCs w:val="1"/>
                <w:color w:val="auto"/>
              </w:rPr>
            </w:pPr>
          </w:p>
        </w:tc>
      </w:tr>
      <w:tr>
        <w:trPr>
          <w:trHeight w:val="270"/>
        </w:trPr>
        <w:tc>
          <w:tcPr>
            <w:tcW w:w="2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October 3 through October 30</w:t>
            </w: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1,466,446</w:t>
            </w:r>
          </w:p>
        </w:tc>
        <w:tc>
          <w:tcPr>
            <w:tcW w:w="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95.45</w:t>
            </w:r>
          </w:p>
        </w:tc>
        <w:tc>
          <w:tcPr>
            <w:tcW w:w="1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57"/>
        </w:trPr>
        <w:tc>
          <w:tcPr>
            <w:tcW w:w="2720" w:type="dxa"/>
            <w:vAlign w:val="bottom"/>
            <w:gridSpan w:val="2"/>
          </w:tcPr>
          <w:p>
            <w:pPr>
              <w:ind w:left="40"/>
              <w:spacing w:after="0"/>
              <w:rPr>
                <w:sz w:val="20"/>
                <w:szCs w:val="20"/>
                <w:color w:val="auto"/>
              </w:rPr>
            </w:pPr>
            <w:r>
              <w:rPr>
                <w:rFonts w:ascii="Arial" w:cs="Arial" w:eastAsia="Arial" w:hAnsi="Arial"/>
                <w:sz w:val="18"/>
                <w:szCs w:val="18"/>
                <w:color w:val="auto"/>
                <w:w w:val="99"/>
              </w:rPr>
              <w:t>October 31 through November 27</w:t>
            </w:r>
          </w:p>
        </w:tc>
        <w:tc>
          <w:tcPr>
            <w:tcW w:w="17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2"/>
                <w:szCs w:val="22"/>
                <w:color w:val="auto"/>
              </w:rPr>
            </w:pPr>
          </w:p>
        </w:tc>
        <w:tc>
          <w:tcPr>
            <w:tcW w:w="2400" w:type="dxa"/>
            <w:vAlign w:val="bottom"/>
            <w:gridSpan w:val="3"/>
          </w:tcPr>
          <w:p>
            <w:pPr>
              <w:jc w:val="right"/>
              <w:ind w:right="1919"/>
              <w:spacing w:after="0"/>
              <w:rPr>
                <w:sz w:val="20"/>
                <w:szCs w:val="20"/>
                <w:color w:val="auto"/>
              </w:rPr>
            </w:pPr>
            <w:r>
              <w:rPr>
                <w:rFonts w:ascii="Arial" w:cs="Arial" w:eastAsia="Arial" w:hAnsi="Arial"/>
                <w:sz w:val="18"/>
                <w:szCs w:val="18"/>
                <w:color w:val="auto"/>
              </w:rPr>
              <w:t>—</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7"/>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November 28 through December</w:t>
            </w:r>
          </w:p>
        </w:tc>
        <w:tc>
          <w:tcPr>
            <w:tcW w:w="1740" w:type="dxa"/>
            <w:vAlign w:val="bottom"/>
            <w:shd w:val="clear" w:color="auto" w:fill="CCEEFF"/>
          </w:tcPr>
          <w:p>
            <w:pPr>
              <w:spacing w:after="0"/>
              <w:rPr>
                <w:sz w:val="19"/>
                <w:szCs w:val="19"/>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9"/>
                <w:szCs w:val="19"/>
                <w:color w:val="auto"/>
              </w:rPr>
            </w:pPr>
          </w:p>
        </w:tc>
        <w:tc>
          <w:tcPr>
            <w:tcW w:w="2400" w:type="dxa"/>
            <w:vAlign w:val="bottom"/>
            <w:gridSpan w:val="3"/>
            <w:vMerge w:val="restart"/>
            <w:shd w:val="clear" w:color="auto" w:fill="CCEEFF"/>
          </w:tcPr>
          <w:p>
            <w:pPr>
              <w:jc w:val="right"/>
              <w:ind w:right="1919"/>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4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920" w:type="dxa"/>
            <w:vAlign w:val="bottom"/>
            <w:vMerge w:val="restart"/>
            <w:shd w:val="clear" w:color="auto" w:fill="CCEEFF"/>
          </w:tcPr>
          <w:p>
            <w:pPr>
              <w:jc w:val="right"/>
              <w:ind w:right="17"/>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57"/>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gridSpan w:val="2"/>
            <w:vMerge w:val="continue"/>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2400" w:type="dxa"/>
            <w:vAlign w:val="bottom"/>
            <w:tcBorders>
              <w:bottom w:val="single" w:sz="8" w:color="CCEEFF"/>
            </w:tcBorders>
            <w:gridSpan w:val="3"/>
            <w:vMerge w:val="continue"/>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2"/>
            <w:vMerge w:val="continue"/>
            <w:shd w:val="clear" w:color="auto" w:fill="CCEEFF"/>
          </w:tcPr>
          <w:p>
            <w:pPr>
              <w:spacing w:after="0"/>
              <w:rPr>
                <w:sz w:val="22"/>
                <w:szCs w:val="22"/>
                <w:color w:val="auto"/>
              </w:rPr>
            </w:pPr>
          </w:p>
        </w:tc>
        <w:tc>
          <w:tcPr>
            <w:tcW w:w="1920" w:type="dxa"/>
            <w:vAlign w:val="bottom"/>
            <w:tcBorders>
              <w:bottom w:val="single" w:sz="8" w:color="CCEEFF"/>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2720" w:type="dxa"/>
            <w:vAlign w:val="bottom"/>
            <w:gridSpan w:val="2"/>
          </w:tcPr>
          <w:p>
            <w:pPr>
              <w:ind w:left="80"/>
              <w:spacing w:after="0"/>
              <w:rPr>
                <w:sz w:val="20"/>
                <w:szCs w:val="20"/>
                <w:color w:val="auto"/>
              </w:rPr>
            </w:pPr>
            <w:r>
              <w:rPr>
                <w:rFonts w:ascii="Arial" w:cs="Arial" w:eastAsia="Arial" w:hAnsi="Arial"/>
                <w:sz w:val="18"/>
                <w:szCs w:val="18"/>
                <w:color w:val="auto"/>
              </w:rPr>
              <w:t>Total</w:t>
            </w:r>
          </w:p>
        </w:tc>
        <w:tc>
          <w:tcPr>
            <w:tcW w:w="17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1,466,446</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3"/>
                <w:szCs w:val="23"/>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95.45</w:t>
            </w:r>
          </w:p>
        </w:tc>
        <w:tc>
          <w:tcPr>
            <w:tcW w:w="100" w:type="dxa"/>
            <w:vAlign w:val="bottom"/>
          </w:tcPr>
          <w:p>
            <w:pPr>
              <w:spacing w:after="0"/>
              <w:rPr>
                <w:sz w:val="23"/>
                <w:szCs w:val="23"/>
                <w:color w:val="auto"/>
              </w:rPr>
            </w:pPr>
          </w:p>
        </w:tc>
        <w:tc>
          <w:tcPr>
            <w:tcW w:w="1780" w:type="dxa"/>
            <w:vAlign w:val="bottom"/>
            <w:tcBorders>
              <w:top w:val="single" w:sz="8" w:color="auto"/>
              <w:bottom w:val="single" w:sz="8" w:color="auto"/>
            </w:tcBorders>
          </w:tcPr>
          <w:p>
            <w:pPr>
              <w:spacing w:after="0"/>
              <w:rPr>
                <w:sz w:val="23"/>
                <w:szCs w:val="23"/>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500" w:right="340" w:hanging="330"/>
        <w:spacing w:after="0" w:line="264"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of the shares of Common Stock purchased during the three months ended December 31, 2016 were purchased in open market transactions. We purchased 1,466,446 shares of Common Stock during the three months ended December 31, 2016 in connection with our practice of buying back shares sufficient to offset those issued under incentive compensation plans.</w:t>
      </w:r>
    </w:p>
    <w:p>
      <w:pPr>
        <w:spacing w:after="0" w:line="19" w:lineRule="exact"/>
        <w:rPr>
          <w:rFonts w:ascii="Arial" w:cs="Arial" w:eastAsia="Arial" w:hAnsi="Arial"/>
          <w:sz w:val="18"/>
          <w:szCs w:val="18"/>
          <w:color w:val="auto"/>
        </w:rPr>
      </w:pPr>
    </w:p>
    <w:p>
      <w:pPr>
        <w:ind w:left="500" w:right="100" w:hanging="330"/>
        <w:spacing w:after="0" w:line="312" w:lineRule="auto"/>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February 2015, our Board approved a $250 million share repurchase authorization. This program was completed in the first quarter of 2016. In January 2016, our Board approved an additional $500 million share repurchase authorization. As of December 31, 2016, approximately $100 million remained available for repurchases of our Common Stock under this program. The share repurchase program does not have an expiration date.</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580" w:right="2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Stockholder Return Performance Graph</w:t>
      </w:r>
    </w:p>
    <w:p>
      <w:pPr>
        <w:spacing w:after="0" w:line="9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graph compares our cumulative total stockholder return (Common Stock price appreciation plus dividends, on a reinvested basis) over the last five fiscal years with the Standard &amp; Poor’s 500 Index and the Standard &amp; Poor’s Packaged Foods Index.</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 The Hershey Company, the S&amp;P 500 Index,</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the S&amp;P Packaged Foods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57150</wp:posOffset>
            </wp:positionV>
            <wp:extent cx="5145405" cy="2855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5405" cy="285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 invested on December 31, 2011 in stock or index, including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5"/>
          </w:tcPr>
          <w:p>
            <w:pPr>
              <w:ind w:left="380"/>
              <w:spacing w:after="0"/>
              <w:rPr>
                <w:sz w:val="20"/>
                <w:szCs w:val="20"/>
                <w:color w:val="auto"/>
              </w:rPr>
            </w:pPr>
            <w:r>
              <w:rPr>
                <w:rFonts w:ascii="Arial" w:cs="Arial" w:eastAsia="Arial" w:hAnsi="Arial"/>
                <w:sz w:val="16"/>
                <w:szCs w:val="16"/>
                <w:b w:val="1"/>
                <w:bCs w:val="1"/>
                <w:color w:val="auto"/>
              </w:rPr>
              <w:t>December 31,</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33"/>
        </w:trPr>
        <w:tc>
          <w:tcPr>
            <w:tcW w:w="470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4700" w:type="dxa"/>
            <w:vAlign w:val="bottom"/>
            <w:gridSpan w:val="2"/>
          </w:tcPr>
          <w:p>
            <w:pPr>
              <w:ind w:left="40"/>
              <w:spacing w:after="0"/>
              <w:rPr>
                <w:sz w:val="20"/>
                <w:szCs w:val="20"/>
                <w:color w:val="auto"/>
              </w:rPr>
            </w:pPr>
            <w:r>
              <w:rPr>
                <w:rFonts w:ascii="Arial" w:cs="Arial" w:eastAsia="Arial" w:hAnsi="Arial"/>
                <w:sz w:val="16"/>
                <w:szCs w:val="16"/>
                <w:b w:val="1"/>
                <w:bCs w:val="1"/>
                <w:color w:val="auto"/>
              </w:rPr>
              <w:t>Company/Index</w:t>
            </w:r>
          </w:p>
        </w:tc>
        <w:tc>
          <w:tcPr>
            <w:tcW w:w="240" w:type="dxa"/>
            <w:vAlign w:val="bottom"/>
          </w:tcPr>
          <w:p>
            <w:pPr>
              <w:spacing w:after="0"/>
              <w:rPr>
                <w:sz w:val="20"/>
                <w:szCs w:val="20"/>
                <w:color w:val="auto"/>
              </w:rPr>
            </w:pPr>
          </w:p>
        </w:tc>
        <w:tc>
          <w:tcPr>
            <w:tcW w:w="800" w:type="dxa"/>
            <w:vAlign w:val="bottom"/>
          </w:tcPr>
          <w:p>
            <w:pPr>
              <w:jc w:val="right"/>
              <w:ind w:right="272"/>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2"/>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74"/>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72"/>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2"/>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72"/>
              <w:spacing w:after="0"/>
              <w:rPr>
                <w:sz w:val="20"/>
                <w:szCs w:val="20"/>
                <w:color w:val="auto"/>
              </w:rPr>
            </w:pPr>
            <w:r>
              <w:rPr>
                <w:rFonts w:ascii="Arial" w:cs="Arial" w:eastAsia="Arial" w:hAnsi="Arial"/>
                <w:sz w:val="16"/>
                <w:szCs w:val="16"/>
                <w:b w:val="1"/>
                <w:bCs w:val="1"/>
                <w:color w:val="auto"/>
              </w:rPr>
              <w:t>2016</w:t>
            </w:r>
          </w:p>
        </w:tc>
      </w:tr>
      <w:tr>
        <w:trPr>
          <w:trHeight w:val="33"/>
        </w:trPr>
        <w:tc>
          <w:tcPr>
            <w:tcW w:w="4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The Hershey Company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S&amp;P 500 Index</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198</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3"/>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S&amp;P 500 Packaged Foods Index</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206</w:t>
            </w:r>
          </w:p>
        </w:tc>
      </w:tr>
      <w:tr>
        <w:trPr>
          <w:trHeight w:val="27"/>
        </w:trPr>
        <w:tc>
          <w:tcPr>
            <w:tcW w:w="4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stock price performance included in this graph is not necessarily indicative of future stock price performance.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823" w:right="239" w:bottom="1440" w:gutter="0" w:footer="0" w:header="0"/>
        </w:sectPr>
      </w:pPr>
    </w:p>
    <w:bookmarkStart w:id="16" w:name="page17"/>
    <w:bookmarkEnd w:id="16"/>
    <w:p>
      <w:pPr>
        <w:spacing w:after="0"/>
        <w:tabs>
          <w:tab w:leader="none" w:pos="8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i w:val="1"/>
          <w:iCs w:val="1"/>
          <w:color w:val="auto"/>
        </w:rPr>
        <w:t>SELECTED FINANCIAL DATA</w:t>
      </w:r>
    </w:p>
    <w:p>
      <w:pPr>
        <w:spacing w:after="0" w:line="17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FIVE-YEAR CONSOLIDATED FINANCIAL SUMMARY</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(All dollar and share amounts in thousands except market price and per share statistics)</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6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12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12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12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6"/>
                <w:szCs w:val="16"/>
                <w:color w:val="auto"/>
              </w:rPr>
            </w:pPr>
          </w:p>
        </w:tc>
        <w:tc>
          <w:tcPr>
            <w:tcW w:w="12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64"/>
        </w:trPr>
        <w:tc>
          <w:tcPr>
            <w:tcW w:w="4680" w:type="dxa"/>
            <w:vAlign w:val="bottom"/>
          </w:tcPr>
          <w:p>
            <w:pPr>
              <w:spacing w:after="0"/>
              <w:rPr>
                <w:sz w:val="20"/>
                <w:szCs w:val="20"/>
                <w:color w:val="auto"/>
              </w:rPr>
            </w:pPr>
            <w:r>
              <w:rPr>
                <w:rFonts w:ascii="Arial" w:cs="Arial" w:eastAsia="Arial" w:hAnsi="Arial"/>
                <w:sz w:val="14"/>
                <w:szCs w:val="14"/>
                <w:b w:val="1"/>
                <w:bCs w:val="1"/>
                <w:color w:val="auto"/>
              </w:rPr>
              <w:t>Summary of Operations</w:t>
            </w: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7,440,181</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7,386,626</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7,421,768</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7,146,079</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6,644,252</w:t>
            </w:r>
          </w:p>
        </w:tc>
        <w:tc>
          <w:tcPr>
            <w:tcW w:w="0" w:type="dxa"/>
            <w:vAlign w:val="bottom"/>
          </w:tcPr>
          <w:p>
            <w:pPr>
              <w:spacing w:after="0"/>
              <w:rPr>
                <w:sz w:val="1"/>
                <w:szCs w:val="1"/>
                <w:color w:val="auto"/>
              </w:rPr>
            </w:pPr>
          </w:p>
        </w:tc>
      </w:tr>
      <w:tr>
        <w:trPr>
          <w:trHeight w:val="264"/>
        </w:trPr>
        <w:tc>
          <w:tcPr>
            <w:tcW w:w="468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4,282,290</w:t>
            </w:r>
          </w:p>
        </w:tc>
        <w:tc>
          <w:tcPr>
            <w:tcW w:w="12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4,003,951</w:t>
            </w:r>
          </w:p>
        </w:tc>
        <w:tc>
          <w:tcPr>
            <w:tcW w:w="12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4,085,602</w:t>
            </w:r>
          </w:p>
        </w:tc>
        <w:tc>
          <w:tcPr>
            <w:tcW w:w="10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3,865,231</w:t>
            </w:r>
          </w:p>
        </w:tc>
        <w:tc>
          <w:tcPr>
            <w:tcW w:w="12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3,784,370</w:t>
            </w:r>
          </w:p>
        </w:tc>
        <w:tc>
          <w:tcPr>
            <w:tcW w:w="0" w:type="dxa"/>
            <w:vAlign w:val="bottom"/>
          </w:tcPr>
          <w:p>
            <w:pPr>
              <w:spacing w:after="0"/>
              <w:rPr>
                <w:sz w:val="1"/>
                <w:szCs w:val="1"/>
                <w:color w:val="auto"/>
              </w:rPr>
            </w:pPr>
          </w:p>
        </w:tc>
      </w:tr>
      <w:tr>
        <w:trPr>
          <w:trHeight w:val="276"/>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Selling, Marketing and Administrative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1,915,378</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1,969,308</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1,900,970</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1,922,508</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1,703,796</w:t>
            </w:r>
          </w:p>
        </w:tc>
        <w:tc>
          <w:tcPr>
            <w:tcW w:w="0" w:type="dxa"/>
            <w:vAlign w:val="bottom"/>
          </w:tcPr>
          <w:p>
            <w:pPr>
              <w:spacing w:after="0"/>
              <w:rPr>
                <w:sz w:val="1"/>
                <w:szCs w:val="1"/>
                <w:color w:val="auto"/>
              </w:rPr>
            </w:pPr>
          </w:p>
        </w:tc>
      </w:tr>
      <w:tr>
        <w:trPr>
          <w:trHeight w:val="264"/>
        </w:trPr>
        <w:tc>
          <w:tcPr>
            <w:tcW w:w="4680" w:type="dxa"/>
            <w:vAlign w:val="bottom"/>
          </w:tcPr>
          <w:p>
            <w:pPr>
              <w:ind w:left="20"/>
              <w:spacing w:after="0"/>
              <w:rPr>
                <w:sz w:val="20"/>
                <w:szCs w:val="20"/>
                <w:color w:val="auto"/>
              </w:rPr>
            </w:pPr>
            <w:r>
              <w:rPr>
                <w:rFonts w:ascii="Arial" w:cs="Arial" w:eastAsia="Arial" w:hAnsi="Arial"/>
                <w:sz w:val="14"/>
                <w:szCs w:val="14"/>
                <w:color w:val="auto"/>
              </w:rPr>
              <w:t>Goodwill and Other Intangible Asset Impairment Charges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4,204</w:t>
            </w:r>
          </w:p>
        </w:tc>
        <w:tc>
          <w:tcPr>
            <w:tcW w:w="12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280,802</w:t>
            </w:r>
          </w:p>
        </w:tc>
        <w:tc>
          <w:tcPr>
            <w:tcW w:w="12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15,900</w:t>
            </w:r>
          </w:p>
        </w:tc>
        <w:tc>
          <w:tcPr>
            <w:tcW w:w="10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7,457</w:t>
            </w:r>
          </w:p>
        </w:tc>
        <w:tc>
          <w:tcPr>
            <w:tcW w:w="0" w:type="dxa"/>
            <w:vAlign w:val="bottom"/>
          </w:tcPr>
          <w:p>
            <w:pPr>
              <w:spacing w:after="0"/>
              <w:rPr>
                <w:sz w:val="1"/>
                <w:szCs w:val="1"/>
                <w:color w:val="auto"/>
              </w:rPr>
            </w:pPr>
          </w:p>
        </w:tc>
      </w:tr>
      <w:tr>
        <w:trPr>
          <w:trHeight w:val="276"/>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Business Realignment Costs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32,526</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94,806</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29,721</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18,665</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37,481</w:t>
            </w:r>
          </w:p>
        </w:tc>
        <w:tc>
          <w:tcPr>
            <w:tcW w:w="0" w:type="dxa"/>
            <w:vAlign w:val="bottom"/>
          </w:tcPr>
          <w:p>
            <w:pPr>
              <w:spacing w:after="0"/>
              <w:rPr>
                <w:sz w:val="1"/>
                <w:szCs w:val="1"/>
                <w:color w:val="auto"/>
              </w:rPr>
            </w:pPr>
          </w:p>
        </w:tc>
      </w:tr>
      <w:tr>
        <w:trPr>
          <w:trHeight w:val="264"/>
        </w:trPr>
        <w:tc>
          <w:tcPr>
            <w:tcW w:w="4680" w:type="dxa"/>
            <w:vAlign w:val="bottom"/>
          </w:tcPr>
          <w:p>
            <w:pPr>
              <w:ind w:left="20"/>
              <w:spacing w:after="0"/>
              <w:rPr>
                <w:sz w:val="20"/>
                <w:szCs w:val="20"/>
                <w:color w:val="auto"/>
              </w:rPr>
            </w:pPr>
            <w:r>
              <w:rPr>
                <w:rFonts w:ascii="Arial" w:cs="Arial" w:eastAsia="Arial" w:hAnsi="Arial"/>
                <w:sz w:val="14"/>
                <w:szCs w:val="14"/>
                <w:color w:val="auto"/>
              </w:rPr>
              <w:t>Interest Expense, Net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90,143</w:t>
            </w:r>
          </w:p>
        </w:tc>
        <w:tc>
          <w:tcPr>
            <w:tcW w:w="12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105,773</w:t>
            </w:r>
          </w:p>
        </w:tc>
        <w:tc>
          <w:tcPr>
            <w:tcW w:w="12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83,532</w:t>
            </w:r>
          </w:p>
        </w:tc>
        <w:tc>
          <w:tcPr>
            <w:tcW w:w="10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88,356</w:t>
            </w:r>
          </w:p>
        </w:tc>
        <w:tc>
          <w:tcPr>
            <w:tcW w:w="12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95,569</w:t>
            </w:r>
          </w:p>
        </w:tc>
        <w:tc>
          <w:tcPr>
            <w:tcW w:w="0" w:type="dxa"/>
            <w:vAlign w:val="bottom"/>
          </w:tcPr>
          <w:p>
            <w:pPr>
              <w:spacing w:after="0"/>
              <w:rPr>
                <w:sz w:val="1"/>
                <w:szCs w:val="1"/>
                <w:color w:val="auto"/>
              </w:rPr>
            </w:pPr>
          </w:p>
        </w:tc>
      </w:tr>
      <w:tr>
        <w:trPr>
          <w:trHeight w:val="276"/>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379,437</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388,896</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459,131</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430,849</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354,648</w:t>
            </w:r>
          </w:p>
        </w:tc>
        <w:tc>
          <w:tcPr>
            <w:tcW w:w="0" w:type="dxa"/>
            <w:vAlign w:val="bottom"/>
          </w:tcPr>
          <w:p>
            <w:pPr>
              <w:spacing w:after="0"/>
              <w:rPr>
                <w:sz w:val="1"/>
                <w:szCs w:val="1"/>
                <w:color w:val="auto"/>
              </w:rPr>
            </w:pPr>
          </w:p>
        </w:tc>
      </w:tr>
      <w:tr>
        <w:trPr>
          <w:trHeight w:val="264"/>
        </w:trPr>
        <w:tc>
          <w:tcPr>
            <w:tcW w:w="46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720,044</w:t>
            </w:r>
          </w:p>
        </w:tc>
        <w:tc>
          <w:tcPr>
            <w:tcW w:w="12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512,951</w:t>
            </w:r>
          </w:p>
        </w:tc>
        <w:tc>
          <w:tcPr>
            <w:tcW w:w="12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846,912</w:t>
            </w:r>
          </w:p>
        </w:tc>
        <w:tc>
          <w:tcPr>
            <w:tcW w:w="10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820,470</w:t>
            </w:r>
          </w:p>
        </w:tc>
        <w:tc>
          <w:tcPr>
            <w:tcW w:w="12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660,931</w:t>
            </w:r>
          </w:p>
        </w:tc>
        <w:tc>
          <w:tcPr>
            <w:tcW w:w="0" w:type="dxa"/>
            <w:vAlign w:val="bottom"/>
          </w:tcPr>
          <w:p>
            <w:pPr>
              <w:spacing w:after="0"/>
              <w:rPr>
                <w:sz w:val="1"/>
                <w:szCs w:val="1"/>
                <w:color w:val="auto"/>
              </w:rPr>
            </w:pPr>
          </w:p>
        </w:tc>
      </w:tr>
      <w:tr>
        <w:trPr>
          <w:trHeight w:val="276"/>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Per Share:</w:t>
            </w: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680" w:type="dxa"/>
            <w:vAlign w:val="bottom"/>
          </w:tcPr>
          <w:p>
            <w:pPr>
              <w:ind w:left="160"/>
              <w:spacing w:after="0"/>
              <w:rPr>
                <w:sz w:val="20"/>
                <w:szCs w:val="20"/>
                <w:color w:val="auto"/>
              </w:rPr>
            </w:pPr>
            <w:r>
              <w:rPr>
                <w:rFonts w:ascii="Arial" w:cs="Arial" w:eastAsia="Arial" w:hAnsi="Arial"/>
                <w:sz w:val="14"/>
                <w:szCs w:val="14"/>
                <w:color w:val="auto"/>
              </w:rPr>
              <w:t>—Basic—Common Stock</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3.45</w:t>
            </w:r>
          </w:p>
        </w:tc>
        <w:tc>
          <w:tcPr>
            <w:tcW w:w="12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2.40</w:t>
            </w:r>
          </w:p>
        </w:tc>
        <w:tc>
          <w:tcPr>
            <w:tcW w:w="12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3.91</w:t>
            </w:r>
          </w:p>
        </w:tc>
        <w:tc>
          <w:tcPr>
            <w:tcW w:w="10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3.76</w:t>
            </w:r>
          </w:p>
        </w:tc>
        <w:tc>
          <w:tcPr>
            <w:tcW w:w="12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3.01</w:t>
            </w:r>
          </w:p>
        </w:tc>
        <w:tc>
          <w:tcPr>
            <w:tcW w:w="0" w:type="dxa"/>
            <w:vAlign w:val="bottom"/>
          </w:tcPr>
          <w:p>
            <w:pPr>
              <w:spacing w:after="0"/>
              <w:rPr>
                <w:sz w:val="1"/>
                <w:szCs w:val="1"/>
                <w:color w:val="auto"/>
              </w:rPr>
            </w:pPr>
          </w:p>
        </w:tc>
      </w:tr>
      <w:tr>
        <w:trPr>
          <w:trHeight w:val="276"/>
        </w:trPr>
        <w:tc>
          <w:tcPr>
            <w:tcW w:w="4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—Diluted—Common Stock</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3.34</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2.32</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3.77</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3.61</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264"/>
        </w:trPr>
        <w:tc>
          <w:tcPr>
            <w:tcW w:w="4680" w:type="dxa"/>
            <w:vAlign w:val="bottom"/>
          </w:tcPr>
          <w:p>
            <w:pPr>
              <w:ind w:left="160"/>
              <w:spacing w:after="0"/>
              <w:rPr>
                <w:sz w:val="20"/>
                <w:szCs w:val="20"/>
                <w:color w:val="auto"/>
              </w:rPr>
            </w:pPr>
            <w:r>
              <w:rPr>
                <w:rFonts w:ascii="Arial" w:cs="Arial" w:eastAsia="Arial" w:hAnsi="Arial"/>
                <w:sz w:val="14"/>
                <w:szCs w:val="14"/>
                <w:color w:val="auto"/>
              </w:rPr>
              <w:t>—Basic—Class B Stock</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3.15</w:t>
            </w:r>
          </w:p>
        </w:tc>
        <w:tc>
          <w:tcPr>
            <w:tcW w:w="12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2.19</w:t>
            </w:r>
          </w:p>
        </w:tc>
        <w:tc>
          <w:tcPr>
            <w:tcW w:w="12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3.54</w:t>
            </w:r>
          </w:p>
        </w:tc>
        <w:tc>
          <w:tcPr>
            <w:tcW w:w="10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3.39</w:t>
            </w:r>
          </w:p>
        </w:tc>
        <w:tc>
          <w:tcPr>
            <w:tcW w:w="12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2.73</w:t>
            </w:r>
          </w:p>
        </w:tc>
        <w:tc>
          <w:tcPr>
            <w:tcW w:w="0" w:type="dxa"/>
            <w:vAlign w:val="bottom"/>
          </w:tcPr>
          <w:p>
            <w:pPr>
              <w:spacing w:after="0"/>
              <w:rPr>
                <w:sz w:val="1"/>
                <w:szCs w:val="1"/>
                <w:color w:val="auto"/>
              </w:rPr>
            </w:pPr>
          </w:p>
        </w:tc>
      </w:tr>
      <w:tr>
        <w:trPr>
          <w:trHeight w:val="276"/>
        </w:trPr>
        <w:tc>
          <w:tcPr>
            <w:tcW w:w="4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—Diluted—Class B Stock</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3.14</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2.19</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3.52</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3.37</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2.71</w:t>
            </w:r>
          </w:p>
        </w:tc>
        <w:tc>
          <w:tcPr>
            <w:tcW w:w="0" w:type="dxa"/>
            <w:vAlign w:val="bottom"/>
          </w:tcPr>
          <w:p>
            <w:pPr>
              <w:spacing w:after="0"/>
              <w:rPr>
                <w:sz w:val="1"/>
                <w:szCs w:val="1"/>
                <w:color w:val="auto"/>
              </w:rPr>
            </w:pPr>
          </w:p>
        </w:tc>
      </w:tr>
      <w:tr>
        <w:trPr>
          <w:trHeight w:val="264"/>
        </w:trPr>
        <w:tc>
          <w:tcPr>
            <w:tcW w:w="4680" w:type="dxa"/>
            <w:vAlign w:val="bottom"/>
          </w:tcPr>
          <w:p>
            <w:pPr>
              <w:ind w:left="20"/>
              <w:spacing w:after="0"/>
              <w:rPr>
                <w:sz w:val="20"/>
                <w:szCs w:val="20"/>
                <w:color w:val="auto"/>
              </w:rPr>
            </w:pPr>
            <w:r>
              <w:rPr>
                <w:rFonts w:ascii="Arial" w:cs="Arial" w:eastAsia="Arial" w:hAnsi="Arial"/>
                <w:sz w:val="14"/>
                <w:szCs w:val="14"/>
                <w:color w:val="auto"/>
              </w:rPr>
              <w:t>Weighted-Average Shares Outstanding:</w:t>
            </w: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—Basic—Common Stock</w:t>
            </w: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153,519</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158,471</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161,935</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163,549</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164,406</w:t>
            </w:r>
          </w:p>
        </w:tc>
        <w:tc>
          <w:tcPr>
            <w:tcW w:w="0" w:type="dxa"/>
            <w:vAlign w:val="bottom"/>
          </w:tcPr>
          <w:p>
            <w:pPr>
              <w:spacing w:after="0"/>
              <w:rPr>
                <w:sz w:val="1"/>
                <w:szCs w:val="1"/>
                <w:color w:val="auto"/>
              </w:rPr>
            </w:pPr>
          </w:p>
        </w:tc>
      </w:tr>
      <w:tr>
        <w:trPr>
          <w:trHeight w:val="264"/>
        </w:trPr>
        <w:tc>
          <w:tcPr>
            <w:tcW w:w="4680" w:type="dxa"/>
            <w:vAlign w:val="bottom"/>
          </w:tcPr>
          <w:p>
            <w:pPr>
              <w:ind w:left="160"/>
              <w:spacing w:after="0"/>
              <w:rPr>
                <w:sz w:val="20"/>
                <w:szCs w:val="20"/>
                <w:color w:val="auto"/>
              </w:rPr>
            </w:pPr>
            <w:r>
              <w:rPr>
                <w:rFonts w:ascii="Arial" w:cs="Arial" w:eastAsia="Arial" w:hAnsi="Arial"/>
                <w:sz w:val="14"/>
                <w:szCs w:val="14"/>
                <w:color w:val="auto"/>
              </w:rPr>
              <w:t>—Basic—Class B Stock</w:t>
            </w:r>
          </w:p>
        </w:tc>
        <w:tc>
          <w:tcPr>
            <w:tcW w:w="320" w:type="dxa"/>
            <w:vAlign w:val="bottom"/>
          </w:tcPr>
          <w:p>
            <w:pPr>
              <w:spacing w:after="0"/>
              <w:rPr>
                <w:sz w:val="22"/>
                <w:szCs w:val="22"/>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60,620</w:t>
            </w:r>
          </w:p>
        </w:tc>
        <w:tc>
          <w:tcPr>
            <w:tcW w:w="12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60,620</w:t>
            </w:r>
          </w:p>
        </w:tc>
        <w:tc>
          <w:tcPr>
            <w:tcW w:w="12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60,620</w:t>
            </w:r>
          </w:p>
        </w:tc>
        <w:tc>
          <w:tcPr>
            <w:tcW w:w="10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60,627</w:t>
            </w:r>
          </w:p>
        </w:tc>
        <w:tc>
          <w:tcPr>
            <w:tcW w:w="12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60,630</w:t>
            </w:r>
          </w:p>
        </w:tc>
        <w:tc>
          <w:tcPr>
            <w:tcW w:w="0" w:type="dxa"/>
            <w:vAlign w:val="bottom"/>
          </w:tcPr>
          <w:p>
            <w:pPr>
              <w:spacing w:after="0"/>
              <w:rPr>
                <w:sz w:val="1"/>
                <w:szCs w:val="1"/>
                <w:color w:val="auto"/>
              </w:rPr>
            </w:pPr>
          </w:p>
        </w:tc>
      </w:tr>
      <w:tr>
        <w:trPr>
          <w:trHeight w:val="276"/>
        </w:trPr>
        <w:tc>
          <w:tcPr>
            <w:tcW w:w="4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—Diluted</w:t>
            </w: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215,304</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220,651</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224,837</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227,203</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228,337</w:t>
            </w:r>
          </w:p>
        </w:tc>
        <w:tc>
          <w:tcPr>
            <w:tcW w:w="0" w:type="dxa"/>
            <w:vAlign w:val="bottom"/>
          </w:tcPr>
          <w:p>
            <w:pPr>
              <w:spacing w:after="0"/>
              <w:rPr>
                <w:sz w:val="1"/>
                <w:szCs w:val="1"/>
                <w:color w:val="auto"/>
              </w:rPr>
            </w:pPr>
          </w:p>
        </w:tc>
      </w:tr>
      <w:tr>
        <w:trPr>
          <w:trHeight w:val="264"/>
        </w:trPr>
        <w:tc>
          <w:tcPr>
            <w:tcW w:w="4680" w:type="dxa"/>
            <w:vAlign w:val="bottom"/>
          </w:tcPr>
          <w:p>
            <w:pPr>
              <w:ind w:left="20"/>
              <w:spacing w:after="0"/>
              <w:rPr>
                <w:sz w:val="20"/>
                <w:szCs w:val="20"/>
                <w:color w:val="auto"/>
              </w:rPr>
            </w:pPr>
            <w:r>
              <w:rPr>
                <w:rFonts w:ascii="Arial" w:cs="Arial" w:eastAsia="Arial" w:hAnsi="Arial"/>
                <w:sz w:val="14"/>
                <w:szCs w:val="14"/>
                <w:color w:val="auto"/>
              </w:rPr>
              <w:t>Dividends Paid on Common Stock</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369,292</w:t>
            </w:r>
          </w:p>
        </w:tc>
        <w:tc>
          <w:tcPr>
            <w:tcW w:w="12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352,953</w:t>
            </w:r>
          </w:p>
        </w:tc>
        <w:tc>
          <w:tcPr>
            <w:tcW w:w="12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328,752</w:t>
            </w:r>
          </w:p>
        </w:tc>
        <w:tc>
          <w:tcPr>
            <w:tcW w:w="10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294,979</w:t>
            </w:r>
          </w:p>
        </w:tc>
        <w:tc>
          <w:tcPr>
            <w:tcW w:w="12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255,596</w:t>
            </w:r>
          </w:p>
        </w:tc>
        <w:tc>
          <w:tcPr>
            <w:tcW w:w="0" w:type="dxa"/>
            <w:vAlign w:val="bottom"/>
          </w:tcPr>
          <w:p>
            <w:pPr>
              <w:spacing w:after="0"/>
              <w:rPr>
                <w:sz w:val="1"/>
                <w:szCs w:val="1"/>
                <w:color w:val="auto"/>
              </w:rPr>
            </w:pPr>
          </w:p>
        </w:tc>
      </w:tr>
      <w:tr>
        <w:trPr>
          <w:trHeight w:val="276"/>
        </w:trPr>
        <w:tc>
          <w:tcPr>
            <w:tcW w:w="4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Per Share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2.402</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2.236</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2.040</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1.810</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1.560</w:t>
            </w:r>
          </w:p>
        </w:tc>
        <w:tc>
          <w:tcPr>
            <w:tcW w:w="0" w:type="dxa"/>
            <w:vAlign w:val="bottom"/>
          </w:tcPr>
          <w:p>
            <w:pPr>
              <w:spacing w:after="0"/>
              <w:rPr>
                <w:sz w:val="1"/>
                <w:szCs w:val="1"/>
                <w:color w:val="auto"/>
              </w:rPr>
            </w:pPr>
          </w:p>
        </w:tc>
      </w:tr>
      <w:tr>
        <w:trPr>
          <w:trHeight w:val="264"/>
        </w:trPr>
        <w:tc>
          <w:tcPr>
            <w:tcW w:w="4680" w:type="dxa"/>
            <w:vAlign w:val="bottom"/>
          </w:tcPr>
          <w:p>
            <w:pPr>
              <w:ind w:left="20"/>
              <w:spacing w:after="0"/>
              <w:rPr>
                <w:sz w:val="20"/>
                <w:szCs w:val="20"/>
                <w:color w:val="auto"/>
              </w:rPr>
            </w:pPr>
            <w:r>
              <w:rPr>
                <w:rFonts w:ascii="Arial" w:cs="Arial" w:eastAsia="Arial" w:hAnsi="Arial"/>
                <w:sz w:val="14"/>
                <w:szCs w:val="14"/>
                <w:color w:val="auto"/>
              </w:rPr>
              <w:t>Dividends Paid on Class B Stock</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132,394</w:t>
            </w:r>
          </w:p>
        </w:tc>
        <w:tc>
          <w:tcPr>
            <w:tcW w:w="12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123,179</w:t>
            </w:r>
          </w:p>
        </w:tc>
        <w:tc>
          <w:tcPr>
            <w:tcW w:w="12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111,662</w:t>
            </w:r>
          </w:p>
        </w:tc>
        <w:tc>
          <w:tcPr>
            <w:tcW w:w="10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98,822</w:t>
            </w:r>
          </w:p>
        </w:tc>
        <w:tc>
          <w:tcPr>
            <w:tcW w:w="12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85,610</w:t>
            </w:r>
          </w:p>
        </w:tc>
        <w:tc>
          <w:tcPr>
            <w:tcW w:w="0" w:type="dxa"/>
            <w:vAlign w:val="bottom"/>
          </w:tcPr>
          <w:p>
            <w:pPr>
              <w:spacing w:after="0"/>
              <w:rPr>
                <w:sz w:val="1"/>
                <w:szCs w:val="1"/>
                <w:color w:val="auto"/>
              </w:rPr>
            </w:pPr>
          </w:p>
        </w:tc>
      </w:tr>
      <w:tr>
        <w:trPr>
          <w:trHeight w:val="276"/>
        </w:trPr>
        <w:tc>
          <w:tcPr>
            <w:tcW w:w="4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Per Share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2.184</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2.032</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1.842</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1.630</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1.412</w:t>
            </w:r>
          </w:p>
        </w:tc>
        <w:tc>
          <w:tcPr>
            <w:tcW w:w="0" w:type="dxa"/>
            <w:vAlign w:val="bottom"/>
          </w:tcPr>
          <w:p>
            <w:pPr>
              <w:spacing w:after="0"/>
              <w:rPr>
                <w:sz w:val="1"/>
                <w:szCs w:val="1"/>
                <w:color w:val="auto"/>
              </w:rPr>
            </w:pPr>
          </w:p>
        </w:tc>
      </w:tr>
      <w:tr>
        <w:trPr>
          <w:trHeight w:val="264"/>
        </w:trPr>
        <w:tc>
          <w:tcPr>
            <w:tcW w:w="4680" w:type="dxa"/>
            <w:vAlign w:val="bottom"/>
          </w:tcPr>
          <w:p>
            <w:pPr>
              <w:ind w:left="20"/>
              <w:spacing w:after="0"/>
              <w:rPr>
                <w:sz w:val="20"/>
                <w:szCs w:val="20"/>
                <w:color w:val="auto"/>
              </w:rPr>
            </w:pPr>
            <w:r>
              <w:rPr>
                <w:rFonts w:ascii="Arial" w:cs="Arial" w:eastAsia="Arial" w:hAnsi="Arial"/>
                <w:sz w:val="14"/>
                <w:szCs w:val="14"/>
                <w:color w:val="auto"/>
              </w:rPr>
              <w:t>Depreciation</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231,735</w:t>
            </w:r>
          </w:p>
        </w:tc>
        <w:tc>
          <w:tcPr>
            <w:tcW w:w="12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197,054</w:t>
            </w:r>
          </w:p>
        </w:tc>
        <w:tc>
          <w:tcPr>
            <w:tcW w:w="12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176,312</w:t>
            </w:r>
          </w:p>
        </w:tc>
        <w:tc>
          <w:tcPr>
            <w:tcW w:w="10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166,544</w:t>
            </w:r>
          </w:p>
        </w:tc>
        <w:tc>
          <w:tcPr>
            <w:tcW w:w="12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174,788</w:t>
            </w:r>
          </w:p>
        </w:tc>
        <w:tc>
          <w:tcPr>
            <w:tcW w:w="0" w:type="dxa"/>
            <w:vAlign w:val="bottom"/>
          </w:tcPr>
          <w:p>
            <w:pPr>
              <w:spacing w:after="0"/>
              <w:rPr>
                <w:sz w:val="1"/>
                <w:szCs w:val="1"/>
                <w:color w:val="auto"/>
              </w:rPr>
            </w:pPr>
          </w:p>
        </w:tc>
      </w:tr>
      <w:tr>
        <w:trPr>
          <w:trHeight w:val="276"/>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70,102</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47,874</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35,220</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34,489</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35,249</w:t>
            </w:r>
          </w:p>
        </w:tc>
        <w:tc>
          <w:tcPr>
            <w:tcW w:w="0" w:type="dxa"/>
            <w:vAlign w:val="bottom"/>
          </w:tcPr>
          <w:p>
            <w:pPr>
              <w:spacing w:after="0"/>
              <w:rPr>
                <w:sz w:val="1"/>
                <w:szCs w:val="1"/>
                <w:color w:val="auto"/>
              </w:rPr>
            </w:pPr>
          </w:p>
        </w:tc>
      </w:tr>
      <w:tr>
        <w:trPr>
          <w:trHeight w:val="264"/>
        </w:trPr>
        <w:tc>
          <w:tcPr>
            <w:tcW w:w="4680" w:type="dxa"/>
            <w:vAlign w:val="bottom"/>
          </w:tcPr>
          <w:p>
            <w:pPr>
              <w:ind w:left="20"/>
              <w:spacing w:after="0"/>
              <w:rPr>
                <w:sz w:val="20"/>
                <w:szCs w:val="20"/>
                <w:color w:val="auto"/>
              </w:rPr>
            </w:pPr>
            <w:r>
              <w:rPr>
                <w:rFonts w:ascii="Arial" w:cs="Arial" w:eastAsia="Arial" w:hAnsi="Arial"/>
                <w:sz w:val="14"/>
                <w:szCs w:val="14"/>
                <w:color w:val="auto"/>
              </w:rPr>
              <w:t>Advertising</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521,479</w:t>
            </w:r>
          </w:p>
        </w:tc>
        <w:tc>
          <w:tcPr>
            <w:tcW w:w="12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561,644</w:t>
            </w:r>
          </w:p>
        </w:tc>
        <w:tc>
          <w:tcPr>
            <w:tcW w:w="12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570,223</w:t>
            </w:r>
          </w:p>
        </w:tc>
        <w:tc>
          <w:tcPr>
            <w:tcW w:w="10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582,354</w:t>
            </w:r>
          </w:p>
        </w:tc>
        <w:tc>
          <w:tcPr>
            <w:tcW w:w="12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480,016</w:t>
            </w:r>
          </w:p>
        </w:tc>
        <w:tc>
          <w:tcPr>
            <w:tcW w:w="0" w:type="dxa"/>
            <w:vAlign w:val="bottom"/>
          </w:tcPr>
          <w:p>
            <w:pPr>
              <w:spacing w:after="0"/>
              <w:rPr>
                <w:sz w:val="1"/>
                <w:szCs w:val="1"/>
                <w:color w:val="auto"/>
              </w:rPr>
            </w:pPr>
          </w:p>
        </w:tc>
      </w:tr>
      <w:tr>
        <w:trPr>
          <w:trHeight w:val="276"/>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Year-End Position and Statistics</w:t>
            </w: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680" w:type="dxa"/>
            <w:vAlign w:val="bottom"/>
          </w:tcPr>
          <w:p>
            <w:pPr>
              <w:ind w:left="20"/>
              <w:spacing w:after="0"/>
              <w:rPr>
                <w:sz w:val="20"/>
                <w:szCs w:val="20"/>
                <w:color w:val="auto"/>
              </w:rPr>
            </w:pPr>
            <w:r>
              <w:rPr>
                <w:rFonts w:ascii="Arial" w:cs="Arial" w:eastAsia="Arial" w:hAnsi="Arial"/>
                <w:sz w:val="14"/>
                <w:szCs w:val="14"/>
                <w:color w:val="auto"/>
              </w:rPr>
              <w:t>Capital Additions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269,476</w:t>
            </w:r>
          </w:p>
        </w:tc>
        <w:tc>
          <w:tcPr>
            <w:tcW w:w="12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356,810</w:t>
            </w:r>
          </w:p>
        </w:tc>
        <w:tc>
          <w:tcPr>
            <w:tcW w:w="12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370,789</w:t>
            </w:r>
          </w:p>
        </w:tc>
        <w:tc>
          <w:tcPr>
            <w:tcW w:w="10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350,911</w:t>
            </w:r>
          </w:p>
        </w:tc>
        <w:tc>
          <w:tcPr>
            <w:tcW w:w="12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277,966</w:t>
            </w:r>
          </w:p>
        </w:tc>
        <w:tc>
          <w:tcPr>
            <w:tcW w:w="0" w:type="dxa"/>
            <w:vAlign w:val="bottom"/>
          </w:tcPr>
          <w:p>
            <w:pPr>
              <w:spacing w:after="0"/>
              <w:rPr>
                <w:sz w:val="1"/>
                <w:szCs w:val="1"/>
                <w:color w:val="auto"/>
              </w:rPr>
            </w:pPr>
          </w:p>
        </w:tc>
      </w:tr>
      <w:tr>
        <w:trPr>
          <w:trHeight w:val="276"/>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5,524,333</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5,344,371</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5,622,870</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5,349,724</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4,747,614</w:t>
            </w:r>
          </w:p>
        </w:tc>
        <w:tc>
          <w:tcPr>
            <w:tcW w:w="0" w:type="dxa"/>
            <w:vAlign w:val="bottom"/>
          </w:tcPr>
          <w:p>
            <w:pPr>
              <w:spacing w:after="0"/>
              <w:rPr>
                <w:sz w:val="1"/>
                <w:szCs w:val="1"/>
                <w:color w:val="auto"/>
              </w:rPr>
            </w:pPr>
          </w:p>
        </w:tc>
      </w:tr>
      <w:tr>
        <w:trPr>
          <w:trHeight w:val="264"/>
        </w:trPr>
        <w:tc>
          <w:tcPr>
            <w:tcW w:w="4680" w:type="dxa"/>
            <w:vAlign w:val="bottom"/>
          </w:tcPr>
          <w:p>
            <w:pPr>
              <w:ind w:left="20"/>
              <w:spacing w:after="0"/>
              <w:rPr>
                <w:sz w:val="20"/>
                <w:szCs w:val="20"/>
                <w:color w:val="auto"/>
              </w:rPr>
            </w:pPr>
            <w:r>
              <w:rPr>
                <w:rFonts w:ascii="Arial" w:cs="Arial" w:eastAsia="Arial" w:hAnsi="Arial"/>
                <w:sz w:val="14"/>
                <w:szCs w:val="14"/>
                <w:color w:val="auto"/>
              </w:rPr>
              <w:t>Short-term Debt and Current Portion of Long-term Debt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632,714</w:t>
            </w:r>
          </w:p>
        </w:tc>
        <w:tc>
          <w:tcPr>
            <w:tcW w:w="12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863,436</w:t>
            </w:r>
          </w:p>
        </w:tc>
        <w:tc>
          <w:tcPr>
            <w:tcW w:w="12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635,501</w:t>
            </w:r>
          </w:p>
        </w:tc>
        <w:tc>
          <w:tcPr>
            <w:tcW w:w="10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166,875</w:t>
            </w:r>
          </w:p>
        </w:tc>
        <w:tc>
          <w:tcPr>
            <w:tcW w:w="12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375,898</w:t>
            </w:r>
          </w:p>
        </w:tc>
        <w:tc>
          <w:tcPr>
            <w:tcW w:w="0" w:type="dxa"/>
            <w:vAlign w:val="bottom"/>
          </w:tcPr>
          <w:p>
            <w:pPr>
              <w:spacing w:after="0"/>
              <w:rPr>
                <w:sz w:val="1"/>
                <w:szCs w:val="1"/>
                <w:color w:val="auto"/>
              </w:rPr>
            </w:pPr>
          </w:p>
        </w:tc>
      </w:tr>
      <w:tr>
        <w:trPr>
          <w:trHeight w:val="276"/>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Portion of Debt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2,347,455</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1,557,091</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1,542,317</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1,787,378</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1,523,742</w:t>
            </w:r>
          </w:p>
        </w:tc>
        <w:tc>
          <w:tcPr>
            <w:tcW w:w="0" w:type="dxa"/>
            <w:vAlign w:val="bottom"/>
          </w:tcPr>
          <w:p>
            <w:pPr>
              <w:spacing w:after="0"/>
              <w:rPr>
                <w:sz w:val="1"/>
                <w:szCs w:val="1"/>
                <w:color w:val="auto"/>
              </w:rPr>
            </w:pPr>
          </w:p>
        </w:tc>
      </w:tr>
      <w:tr>
        <w:trPr>
          <w:trHeight w:val="264"/>
        </w:trPr>
        <w:tc>
          <w:tcPr>
            <w:tcW w:w="468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827,687</w:t>
            </w:r>
          </w:p>
        </w:tc>
        <w:tc>
          <w:tcPr>
            <w:tcW w:w="12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1,047,462</w:t>
            </w:r>
          </w:p>
        </w:tc>
        <w:tc>
          <w:tcPr>
            <w:tcW w:w="12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1,519,530</w:t>
            </w:r>
          </w:p>
        </w:tc>
        <w:tc>
          <w:tcPr>
            <w:tcW w:w="10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1,616,052</w:t>
            </w:r>
          </w:p>
        </w:tc>
        <w:tc>
          <w:tcPr>
            <w:tcW w:w="12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1,048,373</w:t>
            </w:r>
          </w:p>
        </w:tc>
        <w:tc>
          <w:tcPr>
            <w:tcW w:w="0" w:type="dxa"/>
            <w:vAlign w:val="bottom"/>
          </w:tcPr>
          <w:p>
            <w:pPr>
              <w:spacing w:after="0"/>
              <w:rPr>
                <w:sz w:val="1"/>
                <w:szCs w:val="1"/>
                <w:color w:val="auto"/>
              </w:rPr>
            </w:pPr>
          </w:p>
        </w:tc>
      </w:tr>
      <w:tr>
        <w:trPr>
          <w:trHeight w:val="276"/>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Full-time Employees</w:t>
            </w: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16,300</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19,060</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20,800</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12,600</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12,100</w:t>
            </w:r>
          </w:p>
        </w:tc>
        <w:tc>
          <w:tcPr>
            <w:tcW w:w="0" w:type="dxa"/>
            <w:vAlign w:val="bottom"/>
          </w:tcPr>
          <w:p>
            <w:pPr>
              <w:spacing w:after="0"/>
              <w:rPr>
                <w:sz w:val="1"/>
                <w:szCs w:val="1"/>
                <w:color w:val="auto"/>
              </w:rPr>
            </w:pPr>
          </w:p>
        </w:tc>
      </w:tr>
      <w:tr>
        <w:trPr>
          <w:trHeight w:val="264"/>
        </w:trPr>
        <w:tc>
          <w:tcPr>
            <w:tcW w:w="4680" w:type="dxa"/>
            <w:vAlign w:val="bottom"/>
          </w:tcPr>
          <w:p>
            <w:pPr>
              <w:ind w:left="40"/>
              <w:spacing w:after="0"/>
              <w:rPr>
                <w:sz w:val="20"/>
                <w:szCs w:val="20"/>
                <w:color w:val="auto"/>
              </w:rPr>
            </w:pPr>
            <w:r>
              <w:rPr>
                <w:rFonts w:ascii="Arial" w:cs="Arial" w:eastAsia="Arial" w:hAnsi="Arial"/>
                <w:sz w:val="14"/>
                <w:szCs w:val="14"/>
                <w:b w:val="1"/>
                <w:bCs w:val="1"/>
                <w:color w:val="auto"/>
              </w:rPr>
              <w:t>Stockholders’ Data</w:t>
            </w: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Shares of Common Stock and Class B Stock at Year-end</w:t>
            </w: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212,260</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216,777</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221,045</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223,895</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223,786</w:t>
            </w:r>
          </w:p>
        </w:tc>
        <w:tc>
          <w:tcPr>
            <w:tcW w:w="0" w:type="dxa"/>
            <w:vAlign w:val="bottom"/>
          </w:tcPr>
          <w:p>
            <w:pPr>
              <w:spacing w:after="0"/>
              <w:rPr>
                <w:sz w:val="1"/>
                <w:szCs w:val="1"/>
                <w:color w:val="auto"/>
              </w:rPr>
            </w:pPr>
          </w:p>
        </w:tc>
      </w:tr>
      <w:tr>
        <w:trPr>
          <w:trHeight w:val="191"/>
        </w:trPr>
        <w:tc>
          <w:tcPr>
            <w:tcW w:w="4680" w:type="dxa"/>
            <w:vAlign w:val="bottom"/>
          </w:tcPr>
          <w:p>
            <w:pPr>
              <w:ind w:left="20"/>
              <w:spacing w:after="0"/>
              <w:rPr>
                <w:sz w:val="20"/>
                <w:szCs w:val="20"/>
                <w:color w:val="auto"/>
              </w:rPr>
            </w:pPr>
            <w:r>
              <w:rPr>
                <w:rFonts w:ascii="Arial" w:cs="Arial" w:eastAsia="Arial" w:hAnsi="Arial"/>
                <w:sz w:val="14"/>
                <w:szCs w:val="14"/>
                <w:color w:val="auto"/>
              </w:rPr>
              <w:t>Market Price of Common Stock at Year-end</w:t>
            </w: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68"/>
              <w:spacing w:after="0"/>
              <w:rPr>
                <w:sz w:val="20"/>
                <w:szCs w:val="20"/>
                <w:color w:val="auto"/>
              </w:rPr>
            </w:pPr>
            <w:r>
              <w:rPr>
                <w:rFonts w:ascii="Arial" w:cs="Arial" w:eastAsia="Arial" w:hAnsi="Arial"/>
                <w:sz w:val="14"/>
                <w:szCs w:val="14"/>
                <w:color w:val="auto"/>
              </w:rPr>
              <w:t>103.43</w:t>
            </w:r>
          </w:p>
        </w:tc>
        <w:tc>
          <w:tcPr>
            <w:tcW w:w="120" w:type="dxa"/>
            <w:vAlign w:val="bottom"/>
          </w:tcPr>
          <w:p>
            <w:pPr>
              <w:spacing w:after="0"/>
              <w:rPr>
                <w:sz w:val="16"/>
                <w:szCs w:val="16"/>
                <w:color w:val="auto"/>
              </w:rPr>
            </w:pP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89.27</w:t>
            </w:r>
          </w:p>
        </w:tc>
        <w:tc>
          <w:tcPr>
            <w:tcW w:w="120" w:type="dxa"/>
            <w:vAlign w:val="bottom"/>
          </w:tcPr>
          <w:p>
            <w:pPr>
              <w:spacing w:after="0"/>
              <w:rPr>
                <w:sz w:val="16"/>
                <w:szCs w:val="16"/>
                <w:color w:val="auto"/>
              </w:rPr>
            </w:pPr>
          </w:p>
        </w:tc>
        <w:tc>
          <w:tcPr>
            <w:tcW w:w="1240" w:type="dxa"/>
            <w:vAlign w:val="bottom"/>
            <w:vMerge w:val="restart"/>
          </w:tcPr>
          <w:p>
            <w:pPr>
              <w:jc w:val="right"/>
              <w:ind w:right="48"/>
              <w:spacing w:after="0"/>
              <w:rPr>
                <w:sz w:val="20"/>
                <w:szCs w:val="20"/>
                <w:color w:val="auto"/>
              </w:rPr>
            </w:pPr>
            <w:r>
              <w:rPr>
                <w:rFonts w:ascii="Arial" w:cs="Arial" w:eastAsia="Arial" w:hAnsi="Arial"/>
                <w:sz w:val="14"/>
                <w:szCs w:val="14"/>
                <w:color w:val="auto"/>
              </w:rPr>
              <w:t>103.93</w:t>
            </w:r>
          </w:p>
        </w:tc>
        <w:tc>
          <w:tcPr>
            <w:tcW w:w="100" w:type="dxa"/>
            <w:vAlign w:val="bottom"/>
          </w:tcPr>
          <w:p>
            <w:pPr>
              <w:spacing w:after="0"/>
              <w:rPr>
                <w:sz w:val="16"/>
                <w:szCs w:val="16"/>
                <w:color w:val="auto"/>
              </w:rPr>
            </w:pPr>
          </w:p>
        </w:tc>
        <w:tc>
          <w:tcPr>
            <w:tcW w:w="1240" w:type="dxa"/>
            <w:vAlign w:val="bottom"/>
            <w:vMerge w:val="restart"/>
          </w:tcPr>
          <w:p>
            <w:pPr>
              <w:jc w:val="right"/>
              <w:ind w:right="28"/>
              <w:spacing w:after="0"/>
              <w:rPr>
                <w:sz w:val="20"/>
                <w:szCs w:val="20"/>
                <w:color w:val="auto"/>
              </w:rPr>
            </w:pPr>
            <w:r>
              <w:rPr>
                <w:rFonts w:ascii="Arial" w:cs="Arial" w:eastAsia="Arial" w:hAnsi="Arial"/>
                <w:sz w:val="14"/>
                <w:szCs w:val="14"/>
                <w:color w:val="auto"/>
              </w:rPr>
              <w:t>97.23</w:t>
            </w:r>
          </w:p>
        </w:tc>
        <w:tc>
          <w:tcPr>
            <w:tcW w:w="120" w:type="dxa"/>
            <w:vAlign w:val="bottom"/>
          </w:tcPr>
          <w:p>
            <w:pPr>
              <w:spacing w:after="0"/>
              <w:rPr>
                <w:sz w:val="16"/>
                <w:szCs w:val="16"/>
                <w:color w:val="auto"/>
              </w:rPr>
            </w:pPr>
          </w:p>
        </w:tc>
        <w:tc>
          <w:tcPr>
            <w:tcW w:w="1240" w:type="dxa"/>
            <w:vAlign w:val="bottom"/>
            <w:vMerge w:val="restart"/>
          </w:tcPr>
          <w:p>
            <w:pPr>
              <w:jc w:val="right"/>
              <w:ind w:right="48"/>
              <w:spacing w:after="0"/>
              <w:rPr>
                <w:sz w:val="20"/>
                <w:szCs w:val="20"/>
                <w:color w:val="auto"/>
              </w:rPr>
            </w:pPr>
            <w:r>
              <w:rPr>
                <w:rFonts w:ascii="Arial" w:cs="Arial" w:eastAsia="Arial" w:hAnsi="Arial"/>
                <w:sz w:val="14"/>
                <w:szCs w:val="14"/>
                <w:color w:val="auto"/>
              </w:rPr>
              <w:t>72.22</w:t>
            </w:r>
          </w:p>
        </w:tc>
        <w:tc>
          <w:tcPr>
            <w:tcW w:w="0" w:type="dxa"/>
            <w:vAlign w:val="bottom"/>
          </w:tcPr>
          <w:p>
            <w:pPr>
              <w:spacing w:after="0"/>
              <w:rPr>
                <w:sz w:val="1"/>
                <w:szCs w:val="1"/>
                <w:color w:val="auto"/>
              </w:rPr>
            </w:pPr>
          </w:p>
        </w:tc>
      </w:tr>
      <w:tr>
        <w:trPr>
          <w:trHeight w:val="87"/>
        </w:trPr>
        <w:tc>
          <w:tcPr>
            <w:tcW w:w="468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Price Range During Year (high)</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113.89</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110.78</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108.07</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100.90</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74.64</w:t>
            </w:r>
          </w:p>
        </w:tc>
        <w:tc>
          <w:tcPr>
            <w:tcW w:w="0" w:type="dxa"/>
            <w:vAlign w:val="bottom"/>
          </w:tcPr>
          <w:p>
            <w:pPr>
              <w:spacing w:after="0"/>
              <w:rPr>
                <w:sz w:val="1"/>
                <w:szCs w:val="1"/>
                <w:color w:val="auto"/>
              </w:rPr>
            </w:pPr>
          </w:p>
        </w:tc>
      </w:tr>
      <w:tr>
        <w:trPr>
          <w:trHeight w:val="258"/>
        </w:trPr>
        <w:tc>
          <w:tcPr>
            <w:tcW w:w="4680" w:type="dxa"/>
            <w:vAlign w:val="bottom"/>
          </w:tcPr>
          <w:p>
            <w:pPr>
              <w:spacing w:after="0"/>
              <w:rPr>
                <w:sz w:val="20"/>
                <w:szCs w:val="20"/>
                <w:color w:val="auto"/>
              </w:rPr>
            </w:pPr>
            <w:r>
              <w:rPr>
                <w:rFonts w:ascii="Arial" w:cs="Arial" w:eastAsia="Arial" w:hAnsi="Arial"/>
                <w:sz w:val="14"/>
                <w:szCs w:val="14"/>
                <w:color w:val="auto"/>
              </w:rPr>
              <w:t>Price Range During Year (low)</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83.32</w:t>
            </w:r>
          </w:p>
        </w:tc>
        <w:tc>
          <w:tcPr>
            <w:tcW w:w="12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83.58</w:t>
            </w:r>
          </w:p>
        </w:tc>
        <w:tc>
          <w:tcPr>
            <w:tcW w:w="12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88.15</w:t>
            </w:r>
          </w:p>
        </w:tc>
        <w:tc>
          <w:tcPr>
            <w:tcW w:w="10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73.51</w:t>
            </w:r>
          </w:p>
        </w:tc>
        <w:tc>
          <w:tcPr>
            <w:tcW w:w="12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59.49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42" w:right="239" w:bottom="1440" w:gutter="0" w:footer="0" w:header="0"/>
        </w:sectPr>
      </w:pPr>
    </w:p>
    <w:bookmarkStart w:id="17" w:name="page18"/>
    <w:bookmarkEnd w:id="17"/>
    <w:p>
      <w:pPr>
        <w:spacing w:after="0"/>
        <w:tabs>
          <w:tab w:leader="none" w:pos="8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i w:val="1"/>
          <w:iCs w:val="1"/>
          <w:color w:val="auto"/>
        </w:rPr>
        <w:t>MANAGEMENT’S DISCUSSION AND ANALYSIS OF FINANCIAL CONDITION AND RESULTS OF OPERATIONS</w:t>
      </w:r>
    </w:p>
    <w:p>
      <w:pPr>
        <w:spacing w:after="0" w:line="175"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This Management's Discussion and Analysis (“MD&amp;A”) is intended to provide an understanding of Hershey's financial condition, results of operations and cash flows by focusing on changes in certain key measures from year to year. The MD&amp;A should be read in conjunction with our Consolidated Financial Statements and accompanying Notes included in Item 8 of this Annual Report on Form 10-K. This discussion contains forward-looking statements that involve risks and uncertainties. Our actual results could differ materially from those anticipated in these forward-looking statements as a result of various factors, including those discussed elsewhere in this Annual Report on Form 10-K, particularly in Item 1A. “Risk Factors.”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MD&amp;A is organized in the following sections:</w:t>
      </w:r>
    </w:p>
    <w:p>
      <w:pPr>
        <w:spacing w:after="0" w:line="63"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Overview and Outlook</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Non-GAAP Information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Consolidated Results of Operations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Segment Results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Financial Condition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OUTLOOK</w:t>
      </w:r>
    </w:p>
    <w:p>
      <w:pPr>
        <w:spacing w:after="0" w:line="94"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We are the largest producer of quality chocolate in North America and a global leader in chocolate and non-chocolate confectionery. We market, sell and distribute our products under more than 80 brand names in approximately 70 countries worldwide. We report our operations through two segments: North America and International and Other.</w:t>
      </w:r>
    </w:p>
    <w:p>
      <w:pPr>
        <w:spacing w:after="0" w:line="127" w:lineRule="exact"/>
        <w:rPr>
          <w:sz w:val="20"/>
          <w:szCs w:val="20"/>
          <w:color w:val="auto"/>
        </w:rPr>
      </w:pPr>
    </w:p>
    <w:p>
      <w:pPr>
        <w:jc w:val="both"/>
        <w:ind w:right="120"/>
        <w:spacing w:after="0" w:line="276" w:lineRule="auto"/>
        <w:rPr>
          <w:sz w:val="20"/>
          <w:szCs w:val="20"/>
          <w:color w:val="auto"/>
        </w:rPr>
      </w:pPr>
      <w:r>
        <w:rPr>
          <w:rFonts w:ascii="Arial" w:cs="Arial" w:eastAsia="Arial" w:hAnsi="Arial"/>
          <w:sz w:val="17"/>
          <w:szCs w:val="17"/>
          <w:color w:val="auto"/>
        </w:rPr>
        <w:t>In 2016, we made good progress against our strategic objectives, including a focus on our consumer brand engagement and continued refinement of our mix of marketing investments. These initiatives, as well as improved analytics, operating efficiencies and new information technology capabilities, strengthened our business model and positioned the Company for future growth. We continued to generate solid operating cash flow, totaling approximately $1 billion in 2016, which affords the Company significant financial flexibility. We are also in the process of conducting a strategic review of our global cost structure that we believe will result in solid gross and earnings before interest and taxes ("EBIT") margin expansion once executed.</w:t>
      </w:r>
    </w:p>
    <w:p>
      <w:pPr>
        <w:spacing w:after="0" w:line="11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Our 2016 marketplace performance was similar to the slower growth experienced by other consumer packaged goods ("CPG") companies. Additionally, the U.S. candy, mint and gum ("CMG") category and manufacturers were impacted by a shorter Easter season and merchandising and display strategies at select customers. For the full year, U.S. CMG retail takeaway increased 0.4%, lower than the historical average. Our U.S. CMG market share performance improved in the second half of 2016, resulting in full year market share of 31.2%, including </w:t>
      </w:r>
      <w:r>
        <w:rPr>
          <w:rFonts w:ascii="Arial" w:cs="Arial" w:eastAsia="Arial" w:hAnsi="Arial"/>
          <w:sz w:val="18"/>
          <w:szCs w:val="18"/>
          <w:i w:val="1"/>
          <w:iCs w:val="1"/>
          <w:color w:val="auto"/>
        </w:rPr>
        <w:t>barkTHINS</w:t>
      </w:r>
      <w:r>
        <w:rPr>
          <w:rFonts w:ascii="Arial" w:cs="Arial" w:eastAsia="Arial" w:hAnsi="Arial"/>
          <w:sz w:val="18"/>
          <w:szCs w:val="18"/>
          <w:color w:val="auto"/>
        </w:rPr>
        <w:t xml:space="preserve">, which is approximately in line with the prior year. For the full year 2016, our U.S. market share, including CMG, salty snacks, snack bars, meat snacks, grocery items and </w:t>
      </w:r>
      <w:r>
        <w:rPr>
          <w:rFonts w:ascii="Arial" w:cs="Arial" w:eastAsia="Arial" w:hAnsi="Arial"/>
          <w:sz w:val="18"/>
          <w:szCs w:val="18"/>
          <w:i w:val="1"/>
          <w:iCs w:val="1"/>
          <w:color w:val="auto"/>
        </w:rPr>
        <w:t>barkTHINS</w:t>
      </w:r>
      <w:r>
        <w:rPr>
          <w:rFonts w:ascii="Arial" w:cs="Arial" w:eastAsia="Arial" w:hAnsi="Arial"/>
          <w:sz w:val="18"/>
          <w:szCs w:val="18"/>
          <w:color w:val="auto"/>
        </w:rPr>
        <w:t>, increased approximately 10 basis points.</w:t>
      </w:r>
    </w:p>
    <w:p>
      <w:pPr>
        <w:spacing w:after="0" w:line="13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Our full year 2016 net sales totaled $7,440.2 million, an increase of 0.7% versus $7,386.6 million in 2015. Excluding a 0.7% impact from unfavorable foreign exchange rates, our net sales increased 1.4%. The increase was driven by higher North America volumes, largely in products supported by increased promotional programming such as NCAA March Madness, the Summer Olympics and NCAA Football College Game Day, as well as new product innovation such as Snack Mix, Snack Bites and </w:t>
      </w:r>
      <w:r>
        <w:rPr>
          <w:rFonts w:ascii="Arial" w:cs="Arial" w:eastAsia="Arial" w:hAnsi="Arial"/>
          <w:sz w:val="17"/>
          <w:szCs w:val="17"/>
          <w:i w:val="1"/>
          <w:iCs w:val="1"/>
          <w:color w:val="auto"/>
        </w:rPr>
        <w:t>Hershey's Cookie Layer Crunch</w:t>
      </w:r>
      <w:r>
        <w:rPr>
          <w:rFonts w:ascii="Arial" w:cs="Arial" w:eastAsia="Arial" w:hAnsi="Arial"/>
          <w:sz w:val="17"/>
          <w:szCs w:val="17"/>
          <w:color w:val="auto"/>
        </w:rPr>
        <w:t xml:space="preserve"> bars. Additionally, our consolidated net sales for the year ended December 31, 2016 included approximately $35.6 million attributed to </w:t>
      </w:r>
      <w:r>
        <w:rPr>
          <w:rFonts w:ascii="Arial" w:cs="Arial" w:eastAsia="Arial" w:hAnsi="Arial"/>
          <w:sz w:val="17"/>
          <w:szCs w:val="17"/>
          <w:i w:val="1"/>
          <w:iCs w:val="1"/>
          <w:color w:val="auto"/>
        </w:rPr>
        <w:t>barkTHINS</w:t>
      </w:r>
      <w:r>
        <w:rPr>
          <w:rFonts w:ascii="Arial" w:cs="Arial" w:eastAsia="Arial" w:hAnsi="Arial"/>
          <w:sz w:val="17"/>
          <w:szCs w:val="17"/>
          <w:color w:val="auto"/>
        </w:rPr>
        <w:t>. Our full year 2016 net income and earnings per share-diluted (EPS) increased 40.4% and 44.0%, respectively, compared to 2015 results, which were impacted by significant goodwill impairment charges. Excluding these goodwill impairment charges in 2015 and other items impacting comparability in both periods (as defined in the Non-GAAP Information section of this MD&amp;A), 2016 adjusted net income increased 4.3%, reflecting the benefits from continued productivity and cost savings initiatives and a lower effective income tax rate, while adjusted EPS-diluted also benefited from recent share buybacks, increasing a total of 7.0%.</w:t>
      </w:r>
    </w:p>
    <w:p>
      <w:pPr>
        <w:spacing w:after="0" w:line="12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For 2017, we expect net sales growth of approximately 2% to 3%, which includes a 0.5% net benefit from acquisitions and a 0.25% unfavorable impact from foreign currency exchange rates. Excluding the unfavorable impact from</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823" w:right="239" w:bottom="1440" w:gutter="0" w:footer="0" w:header="0"/>
        </w:sectPr>
      </w:pPr>
    </w:p>
    <w:bookmarkStart w:id="18" w:name="page19"/>
    <w:bookmarkEnd w:id="18"/>
    <w:p>
      <w:pPr>
        <w:spacing w:after="0" w:line="288" w:lineRule="auto"/>
        <w:rPr>
          <w:sz w:val="20"/>
          <w:szCs w:val="20"/>
          <w:color w:val="auto"/>
        </w:rPr>
      </w:pPr>
      <w:r>
        <w:rPr>
          <w:rFonts w:ascii="Arial" w:cs="Arial" w:eastAsia="Arial" w:hAnsi="Arial"/>
          <w:sz w:val="16"/>
          <w:szCs w:val="16"/>
          <w:color w:val="auto"/>
        </w:rPr>
        <w:t xml:space="preserve">foreign currency exchange rates, our net sales are expected to increase approximately 2.25% to 3.25%. Our focus is on the continued rollout of </w:t>
      </w:r>
      <w:r>
        <w:rPr>
          <w:rFonts w:ascii="Arial" w:cs="Arial" w:eastAsia="Arial" w:hAnsi="Arial"/>
          <w:sz w:val="16"/>
          <w:szCs w:val="16"/>
          <w:i w:val="1"/>
          <w:iCs w:val="1"/>
          <w:color w:val="auto"/>
        </w:rPr>
        <w:t>Hershey's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Cookie Layer Crunch </w:t>
      </w:r>
      <w:r>
        <w:rPr>
          <w:rFonts w:ascii="Arial" w:cs="Arial" w:eastAsia="Arial" w:hAnsi="Arial"/>
          <w:sz w:val="16"/>
          <w:szCs w:val="16"/>
          <w:color w:val="auto"/>
        </w:rPr>
        <w:t>bars,</w:t>
      </w:r>
      <w:r>
        <w:rPr>
          <w:rFonts w:ascii="Arial" w:cs="Arial" w:eastAsia="Arial" w:hAnsi="Arial"/>
          <w:sz w:val="16"/>
          <w:szCs w:val="16"/>
          <w:i w:val="1"/>
          <w:iCs w:val="1"/>
          <w:color w:val="auto"/>
        </w:rPr>
        <w:t xml:space="preserve"> barkTHINS </w:t>
      </w:r>
      <w:r>
        <w:rPr>
          <w:rFonts w:ascii="Arial" w:cs="Arial" w:eastAsia="Arial" w:hAnsi="Arial"/>
          <w:sz w:val="16"/>
          <w:szCs w:val="16"/>
          <w:color w:val="auto"/>
        </w:rPr>
        <w:t>chocolate distribution gains and other new products such as</w:t>
      </w:r>
      <w:r>
        <w:rPr>
          <w:rFonts w:ascii="Arial" w:cs="Arial" w:eastAsia="Arial" w:hAnsi="Arial"/>
          <w:sz w:val="16"/>
          <w:szCs w:val="16"/>
          <w:i w:val="1"/>
          <w:iCs w:val="1"/>
          <w:color w:val="auto"/>
        </w:rPr>
        <w:t xml:space="preserve"> Reese's </w:t>
      </w:r>
      <w:r>
        <w:rPr>
          <w:rFonts w:ascii="Arial" w:cs="Arial" w:eastAsia="Arial" w:hAnsi="Arial"/>
          <w:sz w:val="16"/>
          <w:szCs w:val="16"/>
          <w:color w:val="auto"/>
        </w:rPr>
        <w:t>Crunchers candy and</w:t>
      </w:r>
      <w:r>
        <w:rPr>
          <w:rFonts w:ascii="Arial" w:cs="Arial" w:eastAsia="Arial" w:hAnsi="Arial"/>
          <w:sz w:val="16"/>
          <w:szCs w:val="16"/>
          <w:i w:val="1"/>
          <w:iCs w:val="1"/>
          <w:color w:val="auto"/>
        </w:rPr>
        <w:t xml:space="preserve"> Krave </w:t>
      </w:r>
      <w:r>
        <w:rPr>
          <w:rFonts w:ascii="Arial" w:cs="Arial" w:eastAsia="Arial" w:hAnsi="Arial"/>
          <w:sz w:val="16"/>
          <w:szCs w:val="16"/>
          <w:color w:val="auto"/>
        </w:rPr>
        <w:t>meat bars and sticks.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We anticipate that these investments and related consumer marketing plans will accelerate our North America sales growth versus 2016 performance, which should enable us to outpace the broader food group in this challenging operating environment. Our previously discussed productivity and cost savings programs are on track, and we will continue to focus on reducing non-essential spending going into 2017. Additionally, our effective tax rate is expected to be favorable versus 2016 driven by a favorable international tax mix, tax credits and other incentives, and the adoption of Accounting Standards Update 2016-09, </w:t>
      </w:r>
      <w:r>
        <w:rPr>
          <w:rFonts w:ascii="Arial" w:cs="Arial" w:eastAsia="Arial" w:hAnsi="Arial"/>
          <w:sz w:val="16"/>
          <w:szCs w:val="16"/>
          <w:i w:val="1"/>
          <w:iCs w:val="1"/>
          <w:color w:val="auto"/>
        </w:rPr>
        <w:t>Compensation—Stock Compensation (Topic 718): Improvements to Employee Share-Based Payment Accounting</w:t>
      </w:r>
      <w:r>
        <w:rPr>
          <w:rFonts w:ascii="Arial" w:cs="Arial" w:eastAsia="Arial" w:hAnsi="Arial"/>
          <w:sz w:val="16"/>
          <w:szCs w:val="16"/>
          <w:color w:val="auto"/>
        </w:rPr>
        <w:t>. As a result, we expect full year 2017 reported EPS-diluted, prepared in accordance with accounting principles generally accepted in the United States of America ("GAAP"), to improve and be in the $4.54 to $4.65 range. From a non-GAAP perspective, we currently expect 2017 adjusted EPS-diluted to increase approximately 7% to 9% and to be in the $4.72 to $4.81 range. A reconciliation of reported to adjusted projections for 2017 are reflected in the non-GAAP reconciliations that follow.</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INFORMATION</w:t>
      </w:r>
    </w:p>
    <w:p>
      <w:pPr>
        <w:spacing w:after="0" w:line="94"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The comparability of certain of our financial measures is impacted by unallocated mark-to-market losses on commodity derivatives, costs associated with business realignment activities, costs relating to the integration of acquisitions, non-service related components of our pension expense (income) ("NSRPE(I)"), goodwill and other intangible asset impairment charges, settlement of the SGM liability in conjunction with the purchase of the remaining 20% of the outstanding shares of SGM, the gain realized on the sale of a trademark, costs associated with the early extinguishment of debt and other non-recurring gains and losses.</w:t>
      </w:r>
    </w:p>
    <w:p>
      <w:pPr>
        <w:spacing w:after="0" w:line="21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To provide additional information to investors to facilitate the comparison of past and present performance, we use non-GAAP financial measures within MD&amp;A that exclude the financial impact of these activities. These non-GAAP financial measures are used internally by management in evaluating results of operations and determining incentive compensation, and in assessing the impact of known trends and uncertainties on our business, but they are not intended to replace the presentation of financial results in accordance with GAAP. A reconciliation of the non-GAAP financial measures referenced in MD&amp;A to their nearest comparable GAAP financial measures as presented in the Consolidated Statements of Income is provided below.</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746" w:right="27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4320" w:type="dxa"/>
            <w:vAlign w:val="bottom"/>
            <w:gridSpan w:val="5"/>
          </w:tcPr>
          <w:p>
            <w:pPr>
              <w:jc w:val="right"/>
              <w:ind w:right="199"/>
              <w:spacing w:after="0"/>
              <w:rPr>
                <w:sz w:val="20"/>
                <w:szCs w:val="20"/>
                <w:color w:val="auto"/>
              </w:rPr>
            </w:pPr>
            <w:r>
              <w:rPr>
                <w:rFonts w:ascii="Arial" w:cs="Arial" w:eastAsia="Arial" w:hAnsi="Arial"/>
                <w:sz w:val="16"/>
                <w:szCs w:val="16"/>
                <w:b w:val="1"/>
                <w:bCs w:val="1"/>
                <w:color w:val="auto"/>
                <w:w w:val="93"/>
              </w:rPr>
              <w:t>Reconciliation of Certain Non-GAAP Financial Measures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57"/>
        </w:trPr>
        <w:tc>
          <w:tcPr>
            <w:tcW w:w="5380" w:type="dxa"/>
            <w:vAlign w:val="bottom"/>
            <w:gridSpan w:val="2"/>
          </w:tcPr>
          <w:p>
            <w:pPr>
              <w:ind w:left="40"/>
              <w:spacing w:after="0"/>
              <w:rPr>
                <w:sz w:val="20"/>
                <w:szCs w:val="20"/>
                <w:color w:val="auto"/>
              </w:rPr>
            </w:pPr>
            <w:r>
              <w:rPr>
                <w:rFonts w:ascii="Arial" w:cs="Arial" w:eastAsia="Arial" w:hAnsi="Arial"/>
                <w:sz w:val="16"/>
                <w:szCs w:val="16"/>
                <w:b w:val="1"/>
                <w:bCs w:val="1"/>
                <w:color w:val="auto"/>
              </w:rPr>
              <w:t>Consolidated results</w:t>
            </w:r>
          </w:p>
        </w:tc>
        <w:tc>
          <w:tcPr>
            <w:tcW w:w="460" w:type="dxa"/>
            <w:vAlign w:val="bottom"/>
          </w:tcPr>
          <w:p>
            <w:pPr>
              <w:spacing w:after="0"/>
              <w:rPr>
                <w:sz w:val="22"/>
                <w:szCs w:val="22"/>
                <w:color w:val="auto"/>
              </w:rPr>
            </w:pPr>
          </w:p>
        </w:tc>
        <w:tc>
          <w:tcPr>
            <w:tcW w:w="4120" w:type="dxa"/>
            <w:vAlign w:val="bottom"/>
            <w:gridSpan w:val="6"/>
          </w:tcPr>
          <w:p>
            <w:pPr>
              <w:jc w:val="right"/>
              <w:ind w:right="279"/>
              <w:spacing w:after="0"/>
              <w:rPr>
                <w:sz w:val="20"/>
                <w:szCs w:val="20"/>
                <w:color w:val="auto"/>
              </w:rPr>
            </w:pPr>
            <w:r>
              <w:rPr>
                <w:rFonts w:ascii="Arial" w:cs="Arial" w:eastAsia="Arial" w:hAnsi="Arial"/>
                <w:sz w:val="16"/>
                <w:szCs w:val="16"/>
                <w:b w:val="1"/>
                <w:bCs w:val="1"/>
                <w:color w:val="auto"/>
              </w:rPr>
              <w:t>For the years ended December 31,</w:t>
            </w:r>
          </w:p>
        </w:tc>
        <w:tc>
          <w:tcPr>
            <w:tcW w:w="1460" w:type="dxa"/>
            <w:vAlign w:val="bottom"/>
          </w:tcPr>
          <w:p>
            <w:pPr>
              <w:spacing w:after="0"/>
              <w:rPr>
                <w:sz w:val="22"/>
                <w:szCs w:val="22"/>
                <w:color w:val="auto"/>
              </w:rPr>
            </w:pPr>
          </w:p>
        </w:tc>
      </w:tr>
      <w:tr>
        <w:trPr>
          <w:trHeight w:val="33"/>
        </w:trPr>
        <w:tc>
          <w:tcPr>
            <w:tcW w:w="36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1"/>
        </w:trPr>
        <w:tc>
          <w:tcPr>
            <w:tcW w:w="538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460" w:type="dxa"/>
            <w:vAlign w:val="bottom"/>
          </w:tcPr>
          <w:p>
            <w:pPr>
              <w:spacing w:after="0"/>
              <w:rPr>
                <w:sz w:val="20"/>
                <w:szCs w:val="20"/>
                <w:color w:val="auto"/>
              </w:rPr>
            </w:pPr>
          </w:p>
        </w:tc>
        <w:tc>
          <w:tcPr>
            <w:tcW w:w="1500" w:type="dxa"/>
            <w:vAlign w:val="bottom"/>
          </w:tcPr>
          <w:p>
            <w:pPr>
              <w:jc w:val="right"/>
              <w:ind w:right="73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20" w:type="dxa"/>
            <w:vAlign w:val="bottom"/>
          </w:tcPr>
          <w:p>
            <w:pPr>
              <w:jc w:val="right"/>
              <w:ind w:right="71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jc w:val="right"/>
              <w:ind w:right="719"/>
              <w:spacing w:after="0"/>
              <w:rPr>
                <w:sz w:val="20"/>
                <w:szCs w:val="20"/>
                <w:color w:val="auto"/>
              </w:rPr>
            </w:pPr>
            <w:r>
              <w:rPr>
                <w:rFonts w:ascii="Arial" w:cs="Arial" w:eastAsia="Arial" w:hAnsi="Arial"/>
                <w:sz w:val="16"/>
                <w:szCs w:val="16"/>
                <w:b w:val="1"/>
                <w:bCs w:val="1"/>
                <w:color w:val="auto"/>
              </w:rPr>
              <w:t>2014</w:t>
            </w:r>
          </w:p>
        </w:tc>
      </w:tr>
      <w:tr>
        <w:trPr>
          <w:trHeight w:val="33"/>
        </w:trPr>
        <w:tc>
          <w:tcPr>
            <w:tcW w:w="366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Reported gross profit</w:t>
            </w:r>
          </w:p>
        </w:tc>
        <w:tc>
          <w:tcPr>
            <w:tcW w:w="17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3,157,891</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3,382,675</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3,336,166</w:t>
            </w: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Derivative mark-to-market losses</w:t>
            </w:r>
          </w:p>
        </w:tc>
        <w:tc>
          <w:tcPr>
            <w:tcW w:w="46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163,238</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6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Business realignment activities</w:t>
            </w:r>
          </w:p>
        </w:tc>
        <w:tc>
          <w:tcPr>
            <w:tcW w:w="17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58,106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8,801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1,622</w:t>
            </w: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Acquisition integration costs</w:t>
            </w:r>
          </w:p>
        </w:tc>
        <w:tc>
          <w:tcPr>
            <w:tcW w:w="460" w:type="dxa"/>
            <w:vAlign w:val="bottom"/>
          </w:tcPr>
          <w:p>
            <w:pPr>
              <w:spacing w:after="0"/>
              <w:rPr>
                <w:sz w:val="20"/>
                <w:szCs w:val="20"/>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7,308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6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NSRPE(I)</w:t>
            </w:r>
          </w:p>
        </w:tc>
        <w:tc>
          <w:tcPr>
            <w:tcW w:w="17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11,953</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2,516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(2,685)</w:t>
            </w:r>
          </w:p>
        </w:tc>
      </w:tr>
      <w:tr>
        <w:trPr>
          <w:trHeight w:val="284"/>
        </w:trPr>
        <w:tc>
          <w:tcPr>
            <w:tcW w:w="53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Non-GAAP gross profit</w:t>
            </w:r>
          </w:p>
        </w:tc>
        <w:tc>
          <w:tcPr>
            <w:tcW w:w="4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3,391,188</w:t>
            </w:r>
          </w:p>
        </w:tc>
        <w:tc>
          <w:tcPr>
            <w:tcW w:w="12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3,401,300</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3,335,103</w:t>
            </w:r>
          </w:p>
        </w:tc>
      </w:tr>
      <w:tr>
        <w:trPr>
          <w:trHeight w:val="163"/>
        </w:trPr>
        <w:tc>
          <w:tcPr>
            <w:tcW w:w="366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Reported operating profit</w:t>
            </w: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1,205,783</w:t>
            </w:r>
          </w:p>
        </w:tc>
        <w:tc>
          <w:tcPr>
            <w:tcW w:w="120" w:type="dxa"/>
            <w:vAlign w:val="bottom"/>
          </w:tcPr>
          <w:p>
            <w:pPr>
              <w:spacing w:after="0"/>
              <w:rPr>
                <w:sz w:val="20"/>
                <w:szCs w:val="20"/>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1,037,759</w:t>
            </w:r>
          </w:p>
        </w:tc>
        <w:tc>
          <w:tcPr>
            <w:tcW w:w="10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1,392,261</w:t>
            </w:r>
          </w:p>
        </w:tc>
      </w:tr>
      <w:tr>
        <w:trPr>
          <w:trHeight w:val="33"/>
        </w:trPr>
        <w:tc>
          <w:tcPr>
            <w:tcW w:w="36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Derivative mark-to-market losses</w:t>
            </w: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163,238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Business realignment activities</w:t>
            </w:r>
          </w:p>
        </w:tc>
        <w:tc>
          <w:tcPr>
            <w:tcW w:w="46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107,571</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120,975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34,290</w:t>
            </w:r>
          </w:p>
        </w:tc>
      </w:tr>
      <w:tr>
        <w:trPr>
          <w:trHeight w:val="33"/>
        </w:trPr>
        <w:tc>
          <w:tcPr>
            <w:tcW w:w="36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Acquisition integration costs</w:t>
            </w:r>
          </w:p>
        </w:tc>
        <w:tc>
          <w:tcPr>
            <w:tcW w:w="17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6,480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20,899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12,360</w:t>
            </w: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NSRPE(I)</w:t>
            </w:r>
          </w:p>
        </w:tc>
        <w:tc>
          <w:tcPr>
            <w:tcW w:w="46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27,157</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18,079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(1,834)</w:t>
            </w:r>
          </w:p>
        </w:tc>
      </w:tr>
      <w:tr>
        <w:trPr>
          <w:trHeight w:val="33"/>
        </w:trPr>
        <w:tc>
          <w:tcPr>
            <w:tcW w:w="36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1"/>
                <w:shd w:val="clear" w:color="auto" w:fill="CCEEFF"/>
              </w:rPr>
              <w:t>Goodwill and other intangible asset impairment charges</w:t>
            </w:r>
          </w:p>
        </w:tc>
        <w:tc>
          <w:tcPr>
            <w:tcW w:w="17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4,204</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280,802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15,900</w:t>
            </w:r>
          </w:p>
        </w:tc>
      </w:tr>
      <w:tr>
        <w:trPr>
          <w:trHeight w:val="284"/>
        </w:trPr>
        <w:tc>
          <w:tcPr>
            <w:tcW w:w="53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Non-GAAP operating profit</w:t>
            </w:r>
          </w:p>
        </w:tc>
        <w:tc>
          <w:tcPr>
            <w:tcW w:w="4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1,514,433</w:t>
            </w:r>
          </w:p>
        </w:tc>
        <w:tc>
          <w:tcPr>
            <w:tcW w:w="12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1,478,514</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1,452,977</w:t>
            </w:r>
          </w:p>
        </w:tc>
      </w:tr>
      <w:tr>
        <w:trPr>
          <w:trHeight w:val="163"/>
        </w:trPr>
        <w:tc>
          <w:tcPr>
            <w:tcW w:w="366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Reported provision for income taxes</w:t>
            </w: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379,437</w:t>
            </w:r>
          </w:p>
        </w:tc>
        <w:tc>
          <w:tcPr>
            <w:tcW w:w="120" w:type="dxa"/>
            <w:vAlign w:val="bottom"/>
          </w:tcPr>
          <w:p>
            <w:pPr>
              <w:spacing w:after="0"/>
              <w:rPr>
                <w:sz w:val="20"/>
                <w:szCs w:val="20"/>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388,896</w:t>
            </w:r>
          </w:p>
        </w:tc>
        <w:tc>
          <w:tcPr>
            <w:tcW w:w="10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459,131</w:t>
            </w:r>
          </w:p>
        </w:tc>
      </w:tr>
      <w:tr>
        <w:trPr>
          <w:trHeight w:val="33"/>
        </w:trPr>
        <w:tc>
          <w:tcPr>
            <w:tcW w:w="36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Derivative mark-to-market losses*</w:t>
            </w: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20,500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Business realignment activities*</w:t>
            </w:r>
          </w:p>
        </w:tc>
        <w:tc>
          <w:tcPr>
            <w:tcW w:w="46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19,138</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41,648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8,593</w:t>
            </w:r>
          </w:p>
        </w:tc>
      </w:tr>
      <w:tr>
        <w:trPr>
          <w:trHeight w:val="33"/>
        </w:trPr>
        <w:tc>
          <w:tcPr>
            <w:tcW w:w="36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Acquisition integration costs*</w:t>
            </w:r>
          </w:p>
        </w:tc>
        <w:tc>
          <w:tcPr>
            <w:tcW w:w="17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2,456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8,264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3,021</w:t>
            </w: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NSRPE(I)*</w:t>
            </w:r>
          </w:p>
        </w:tc>
        <w:tc>
          <w:tcPr>
            <w:tcW w:w="46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10,283</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6,955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(544)</w:t>
            </w:r>
          </w:p>
        </w:tc>
      </w:tr>
      <w:tr>
        <w:trPr>
          <w:trHeight w:val="33"/>
        </w:trPr>
        <w:tc>
          <w:tcPr>
            <w:tcW w:w="36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Goodwill and other intangible asset impairment charges*</w:t>
            </w: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1,565</w:t>
            </w: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Loss on early extinguishment of debt*</w:t>
            </w:r>
          </w:p>
        </w:tc>
        <w:tc>
          <w:tcPr>
            <w:tcW w:w="460" w:type="dxa"/>
            <w:vAlign w:val="bottom"/>
          </w:tcPr>
          <w:p>
            <w:pPr>
              <w:spacing w:after="0"/>
              <w:rPr>
                <w:sz w:val="20"/>
                <w:szCs w:val="20"/>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10,736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6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Gain on sale of trademark*</w:t>
            </w:r>
          </w:p>
        </w:tc>
        <w:tc>
          <w:tcPr>
            <w:tcW w:w="17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(3,652)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84"/>
        </w:trPr>
        <w:tc>
          <w:tcPr>
            <w:tcW w:w="53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Non-GAAP provision for income taxes</w:t>
            </w:r>
          </w:p>
        </w:tc>
        <w:tc>
          <w:tcPr>
            <w:tcW w:w="4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432,971</w:t>
            </w:r>
          </w:p>
        </w:tc>
        <w:tc>
          <w:tcPr>
            <w:tcW w:w="12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452,847</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471,766</w:t>
            </w:r>
          </w:p>
        </w:tc>
      </w:tr>
      <w:tr>
        <w:trPr>
          <w:trHeight w:val="163"/>
        </w:trPr>
        <w:tc>
          <w:tcPr>
            <w:tcW w:w="366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Reported net income</w:t>
            </w: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720,044</w:t>
            </w:r>
          </w:p>
        </w:tc>
        <w:tc>
          <w:tcPr>
            <w:tcW w:w="120" w:type="dxa"/>
            <w:vAlign w:val="bottom"/>
          </w:tcPr>
          <w:p>
            <w:pPr>
              <w:spacing w:after="0"/>
              <w:rPr>
                <w:sz w:val="20"/>
                <w:szCs w:val="20"/>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512,951</w:t>
            </w:r>
          </w:p>
        </w:tc>
        <w:tc>
          <w:tcPr>
            <w:tcW w:w="10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846,912</w:t>
            </w:r>
          </w:p>
        </w:tc>
      </w:tr>
      <w:tr>
        <w:trPr>
          <w:trHeight w:val="33"/>
        </w:trPr>
        <w:tc>
          <w:tcPr>
            <w:tcW w:w="36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Derivative mark-to-market losses</w:t>
            </w: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142,738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Business realignment activities</w:t>
            </w:r>
          </w:p>
        </w:tc>
        <w:tc>
          <w:tcPr>
            <w:tcW w:w="46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88,433</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79,327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25,697</w:t>
            </w:r>
          </w:p>
        </w:tc>
      </w:tr>
      <w:tr>
        <w:trPr>
          <w:trHeight w:val="33"/>
        </w:trPr>
        <w:tc>
          <w:tcPr>
            <w:tcW w:w="36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Acquisition integration costs</w:t>
            </w:r>
          </w:p>
        </w:tc>
        <w:tc>
          <w:tcPr>
            <w:tcW w:w="17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4,024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14,196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10,249</w:t>
            </w: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NSRPE(I)</w:t>
            </w:r>
          </w:p>
        </w:tc>
        <w:tc>
          <w:tcPr>
            <w:tcW w:w="46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16,874</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11,124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(1,290)</w:t>
            </w:r>
          </w:p>
        </w:tc>
      </w:tr>
      <w:tr>
        <w:trPr>
          <w:trHeight w:val="33"/>
        </w:trPr>
        <w:tc>
          <w:tcPr>
            <w:tcW w:w="36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Settlement of SGM liability</w:t>
            </w:r>
          </w:p>
        </w:tc>
        <w:tc>
          <w:tcPr>
            <w:tcW w:w="17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(26,650)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Goodwill and other intangible asset impairment charges</w:t>
            </w:r>
          </w:p>
        </w:tc>
        <w:tc>
          <w:tcPr>
            <w:tcW w:w="46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3,047</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280,802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14,335</w:t>
            </w:r>
          </w:p>
        </w:tc>
      </w:tr>
      <w:tr>
        <w:trPr>
          <w:trHeight w:val="33"/>
        </w:trPr>
        <w:tc>
          <w:tcPr>
            <w:tcW w:w="36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Loss on early extinguishment of debt</w:t>
            </w:r>
          </w:p>
        </w:tc>
        <w:tc>
          <w:tcPr>
            <w:tcW w:w="17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17,591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Gain on sale of trademark</w:t>
            </w:r>
          </w:p>
        </w:tc>
        <w:tc>
          <w:tcPr>
            <w:tcW w:w="460" w:type="dxa"/>
            <w:vAlign w:val="bottom"/>
          </w:tcPr>
          <w:p>
            <w:pPr>
              <w:spacing w:after="0"/>
              <w:rPr>
                <w:sz w:val="20"/>
                <w:szCs w:val="20"/>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(6,298)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66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5"/>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Non-GAAP net income</w:t>
            </w:r>
          </w:p>
        </w:tc>
        <w:tc>
          <w:tcPr>
            <w:tcW w:w="17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948,510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909,693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895,903</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36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Reported EPS - Diluted</w:t>
            </w:r>
          </w:p>
        </w:tc>
        <w:tc>
          <w:tcPr>
            <w:tcW w:w="17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3.77</w:t>
            </w: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Derivative mark-to-market losses</w:t>
            </w:r>
          </w:p>
        </w:tc>
        <w:tc>
          <w:tcPr>
            <w:tcW w:w="46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0.66</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6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Business realignment activities</w:t>
            </w:r>
          </w:p>
        </w:tc>
        <w:tc>
          <w:tcPr>
            <w:tcW w:w="17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0.11</w:t>
            </w: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Acquisition integration costs</w:t>
            </w:r>
          </w:p>
        </w:tc>
        <w:tc>
          <w:tcPr>
            <w:tcW w:w="46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0.02</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0.05</w:t>
            </w:r>
          </w:p>
        </w:tc>
      </w:tr>
      <w:tr>
        <w:trPr>
          <w:trHeight w:val="33"/>
        </w:trPr>
        <w:tc>
          <w:tcPr>
            <w:tcW w:w="36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NSRPE(I)</w:t>
            </w:r>
          </w:p>
        </w:tc>
        <w:tc>
          <w:tcPr>
            <w:tcW w:w="17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(0.01)</w:t>
            </w: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Settlement of SGM liability</w:t>
            </w:r>
          </w:p>
        </w:tc>
        <w:tc>
          <w:tcPr>
            <w:tcW w:w="4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(0.12)</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6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1"/>
                <w:shd w:val="clear" w:color="auto" w:fill="CCEEFF"/>
              </w:rPr>
              <w:t>Goodwill and other intangible asset impairment charges</w:t>
            </w:r>
          </w:p>
        </w:tc>
        <w:tc>
          <w:tcPr>
            <w:tcW w:w="17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0.06</w:t>
            </w: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Loss on early extinguishment of debt</w:t>
            </w:r>
          </w:p>
        </w:tc>
        <w:tc>
          <w:tcPr>
            <w:tcW w:w="460" w:type="dxa"/>
            <w:vAlign w:val="bottom"/>
          </w:tcPr>
          <w:p>
            <w:pPr>
              <w:spacing w:after="0"/>
              <w:rPr>
                <w:sz w:val="20"/>
                <w:szCs w:val="20"/>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0.09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6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Gain on sale of trademark</w:t>
            </w:r>
          </w:p>
        </w:tc>
        <w:tc>
          <w:tcPr>
            <w:tcW w:w="17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4"/>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Non-GAAP EPS - Diluted</w:t>
            </w:r>
          </w:p>
        </w:tc>
        <w:tc>
          <w:tcPr>
            <w:tcW w:w="4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4.41</w:t>
            </w:r>
          </w:p>
        </w:tc>
        <w:tc>
          <w:tcPr>
            <w:tcW w:w="120" w:type="dxa"/>
            <w:vAlign w:val="bottom"/>
          </w:tcPr>
          <w:p>
            <w:pPr>
              <w:spacing w:after="0"/>
              <w:rPr>
                <w:sz w:val="21"/>
                <w:szCs w:val="21"/>
                <w:color w:val="auto"/>
              </w:rPr>
            </w:pPr>
          </w:p>
        </w:tc>
        <w:tc>
          <w:tcPr>
            <w:tcW w:w="5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4.12</w:t>
            </w:r>
          </w:p>
        </w:tc>
        <w:tc>
          <w:tcPr>
            <w:tcW w:w="10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3.98</w:t>
            </w:r>
          </w:p>
        </w:tc>
      </w:tr>
      <w:tr>
        <w:trPr>
          <w:trHeight w:val="20"/>
        </w:trPr>
        <w:tc>
          <w:tcPr>
            <w:tcW w:w="3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180" w:right="600" w:hanging="172"/>
        <w:spacing w:after="0" w:line="275" w:lineRule="auto"/>
        <w:tabs>
          <w:tab w:leader="none" w:pos="139"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tax impact is determined by multiplying each pre-tax reconciling adjustment by the applicable statutory income tax rates, taking into consideration the impact of valuation allowances, as applicable.</w:t>
      </w:r>
    </w:p>
    <w:p>
      <w:pPr>
        <w:sectPr>
          <w:pgSz w:w="11900" w:h="16838" w:orient="portrait"/>
          <w:cols w:equalWidth="0" w:num="1">
            <w:col w:w="11420"/>
          </w:cols>
          <w:pgMar w:left="240" w:top="747" w:right="23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747" w:right="239" w:bottom="1440" w:gutter="0" w:footer="0" w:header="0"/>
          <w:type w:val="continuous"/>
        </w:sectPr>
      </w:pPr>
    </w:p>
    <w:bookmarkStart w:id="20" w:name="page21"/>
    <w:bookmarkEnd w:id="20"/>
    <w:p>
      <w:pPr>
        <w:ind w:right="160"/>
        <w:spacing w:after="0" w:line="277" w:lineRule="auto"/>
        <w:rPr>
          <w:sz w:val="20"/>
          <w:szCs w:val="20"/>
          <w:color w:val="auto"/>
        </w:rPr>
      </w:pPr>
      <w:r>
        <w:rPr>
          <w:rFonts w:ascii="Arial" w:cs="Arial" w:eastAsia="Arial" w:hAnsi="Arial"/>
          <w:sz w:val="18"/>
          <w:szCs w:val="18"/>
          <w:color w:val="auto"/>
        </w:rPr>
        <w:t>In the assessment of our results, we review and discuss the following financial metrics that are derived from the reported and non-GAAP financial measures presented above:</w:t>
      </w:r>
    </w:p>
    <w:p>
      <w:pPr>
        <w:spacing w:after="0" w:line="117" w:lineRule="exact"/>
        <w:rPr>
          <w:sz w:val="20"/>
          <w:szCs w:val="20"/>
          <w:color w:val="auto"/>
        </w:rPr>
      </w:pPr>
    </w:p>
    <w:p>
      <w:pPr>
        <w:ind w:left="7180"/>
        <w:spacing w:after="0"/>
        <w:rPr>
          <w:sz w:val="20"/>
          <w:szCs w:val="20"/>
          <w:color w:val="auto"/>
        </w:rPr>
      </w:pPr>
      <w:r>
        <w:rPr>
          <w:rFonts w:ascii="Arial" w:cs="Arial" w:eastAsia="Arial" w:hAnsi="Arial"/>
          <w:sz w:val="16"/>
          <w:szCs w:val="16"/>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3358515</wp:posOffset>
            </wp:positionH>
            <wp:positionV relativeFrom="paragraph">
              <wp:posOffset>46355</wp:posOffset>
            </wp:positionV>
            <wp:extent cx="38931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893185" cy="8890"/>
                    </a:xfrm>
                    <a:prstGeom prst="rect">
                      <a:avLst/>
                    </a:prstGeom>
                    <a:noFill/>
                  </pic:spPr>
                </pic:pic>
              </a:graphicData>
            </a:graphic>
          </wp:anchor>
        </w:drawing>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20" w:type="dxa"/>
            <w:vAlign w:val="bottom"/>
            <w:gridSpan w:val="2"/>
          </w:tcPr>
          <w:p>
            <w:pPr>
              <w:ind w:left="6120"/>
              <w:spacing w:after="0"/>
              <w:rPr>
                <w:sz w:val="20"/>
                <w:szCs w:val="20"/>
                <w:color w:val="auto"/>
              </w:rPr>
            </w:pPr>
            <w:r>
              <w:rPr>
                <w:rFonts w:ascii="Arial" w:cs="Arial" w:eastAsia="Arial" w:hAnsi="Arial"/>
                <w:sz w:val="16"/>
                <w:szCs w:val="16"/>
                <w:b w:val="1"/>
                <w:bCs w:val="1"/>
                <w:color w:val="auto"/>
              </w:rPr>
              <w:t>2016</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jc w:val="right"/>
              <w:ind w:right="73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1980" w:type="dxa"/>
            <w:vAlign w:val="bottom"/>
          </w:tcPr>
          <w:p>
            <w:pPr>
              <w:jc w:val="right"/>
              <w:ind w:right="739"/>
              <w:spacing w:after="0"/>
              <w:rPr>
                <w:sz w:val="20"/>
                <w:szCs w:val="20"/>
                <w:color w:val="auto"/>
              </w:rPr>
            </w:pPr>
            <w:r>
              <w:rPr>
                <w:rFonts w:ascii="Arial" w:cs="Arial" w:eastAsia="Arial" w:hAnsi="Arial"/>
                <w:sz w:val="16"/>
                <w:szCs w:val="16"/>
                <w:b w:val="1"/>
                <w:bCs w:val="1"/>
                <w:color w:val="auto"/>
              </w:rPr>
              <w:t>2014</w:t>
            </w:r>
          </w:p>
        </w:tc>
      </w:tr>
      <w:tr>
        <w:trPr>
          <w:trHeight w:val="33"/>
        </w:trPr>
        <w:tc>
          <w:tcPr>
            <w:tcW w:w="52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3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As reported gross margin</w:t>
            </w:r>
          </w:p>
        </w:tc>
        <w:tc>
          <w:tcPr>
            <w:tcW w:w="13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42.4%</w:t>
            </w:r>
          </w:p>
        </w:tc>
        <w:tc>
          <w:tcPr>
            <w:tcW w:w="10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45.8%</w:t>
            </w:r>
          </w:p>
        </w:tc>
        <w:tc>
          <w:tcPr>
            <w:tcW w:w="10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45.0%</w:t>
            </w:r>
          </w:p>
        </w:tc>
      </w:tr>
      <w:tr>
        <w:trPr>
          <w:trHeight w:val="237"/>
        </w:trPr>
        <w:tc>
          <w:tcPr>
            <w:tcW w:w="6620" w:type="dxa"/>
            <w:vAlign w:val="bottom"/>
            <w:gridSpan w:val="2"/>
          </w:tcPr>
          <w:p>
            <w:pPr>
              <w:ind w:left="40"/>
              <w:spacing w:after="0"/>
              <w:rPr>
                <w:sz w:val="20"/>
                <w:szCs w:val="20"/>
                <w:color w:val="auto"/>
              </w:rPr>
            </w:pPr>
            <w:r>
              <w:rPr>
                <w:rFonts w:ascii="Arial" w:cs="Arial" w:eastAsia="Arial" w:hAnsi="Arial"/>
                <w:sz w:val="16"/>
                <w:szCs w:val="16"/>
                <w:color w:val="auto"/>
              </w:rPr>
              <w:t>Non-GAAP gross margin (1)</w:t>
            </w:r>
          </w:p>
        </w:tc>
        <w:tc>
          <w:tcPr>
            <w:tcW w:w="640" w:type="dxa"/>
            <w:vAlign w:val="bottom"/>
          </w:tcPr>
          <w:p>
            <w:pPr>
              <w:jc w:val="right"/>
              <w:spacing w:after="0"/>
              <w:rPr>
                <w:sz w:val="20"/>
                <w:szCs w:val="20"/>
                <w:color w:val="auto"/>
              </w:rPr>
            </w:pPr>
            <w:r>
              <w:rPr>
                <w:rFonts w:ascii="Arial" w:cs="Arial" w:eastAsia="Arial" w:hAnsi="Arial"/>
                <w:sz w:val="16"/>
                <w:szCs w:val="16"/>
                <w:color w:val="auto"/>
              </w:rPr>
              <w:t>45.6%</w:t>
            </w:r>
          </w:p>
        </w:tc>
        <w:tc>
          <w:tcPr>
            <w:tcW w:w="1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46.0%</w:t>
            </w:r>
          </w:p>
        </w:tc>
        <w:tc>
          <w:tcPr>
            <w:tcW w:w="1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44.9%</w:t>
            </w:r>
          </w:p>
        </w:tc>
      </w:tr>
      <w:tr>
        <w:trPr>
          <w:trHeight w:val="33"/>
        </w:trPr>
        <w:tc>
          <w:tcPr>
            <w:tcW w:w="5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324"/>
        </w:trPr>
        <w:tc>
          <w:tcPr>
            <w:tcW w:w="52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r>
      <w:tr>
        <w:trPr>
          <w:trHeight w:val="237"/>
        </w:trPr>
        <w:tc>
          <w:tcPr>
            <w:tcW w:w="6620" w:type="dxa"/>
            <w:vAlign w:val="bottom"/>
            <w:gridSpan w:val="2"/>
          </w:tcPr>
          <w:p>
            <w:pPr>
              <w:ind w:left="40"/>
              <w:spacing w:after="0"/>
              <w:rPr>
                <w:sz w:val="20"/>
                <w:szCs w:val="20"/>
                <w:color w:val="auto"/>
              </w:rPr>
            </w:pPr>
            <w:r>
              <w:rPr>
                <w:rFonts w:ascii="Arial" w:cs="Arial" w:eastAsia="Arial" w:hAnsi="Arial"/>
                <w:sz w:val="16"/>
                <w:szCs w:val="16"/>
                <w:color w:val="auto"/>
              </w:rPr>
              <w:t>As reported operating profit margin</w:t>
            </w:r>
          </w:p>
        </w:tc>
        <w:tc>
          <w:tcPr>
            <w:tcW w:w="640" w:type="dxa"/>
            <w:vAlign w:val="bottom"/>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18.8%</w:t>
            </w:r>
          </w:p>
        </w:tc>
      </w:tr>
      <w:tr>
        <w:trPr>
          <w:trHeight w:val="33"/>
        </w:trPr>
        <w:tc>
          <w:tcPr>
            <w:tcW w:w="5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Non-GAAP operating profit margin (2)</w:t>
            </w:r>
          </w:p>
        </w:tc>
        <w:tc>
          <w:tcPr>
            <w:tcW w:w="13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w:t>
            </w:r>
          </w:p>
        </w:tc>
      </w:tr>
      <w:tr>
        <w:trPr>
          <w:trHeight w:val="324"/>
        </w:trPr>
        <w:tc>
          <w:tcPr>
            <w:tcW w:w="5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As reported effective tax rate</w:t>
            </w:r>
          </w:p>
        </w:tc>
        <w:tc>
          <w:tcPr>
            <w:tcW w:w="13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35.2%</w:t>
            </w:r>
          </w:p>
        </w:tc>
      </w:tr>
      <w:tr>
        <w:trPr>
          <w:trHeight w:val="237"/>
        </w:trPr>
        <w:tc>
          <w:tcPr>
            <w:tcW w:w="6620" w:type="dxa"/>
            <w:vAlign w:val="bottom"/>
            <w:gridSpan w:val="2"/>
          </w:tcPr>
          <w:p>
            <w:pPr>
              <w:ind w:left="40"/>
              <w:spacing w:after="0"/>
              <w:rPr>
                <w:sz w:val="20"/>
                <w:szCs w:val="20"/>
                <w:color w:val="auto"/>
              </w:rPr>
            </w:pPr>
            <w:r>
              <w:rPr>
                <w:rFonts w:ascii="Arial" w:cs="Arial" w:eastAsia="Arial" w:hAnsi="Arial"/>
                <w:sz w:val="16"/>
                <w:szCs w:val="16"/>
                <w:color w:val="auto"/>
              </w:rPr>
              <w:t>Non-GAAP effective tax rate (3)</w:t>
            </w:r>
          </w:p>
        </w:tc>
        <w:tc>
          <w:tcPr>
            <w:tcW w:w="640" w:type="dxa"/>
            <w:vAlign w:val="bottom"/>
          </w:tcPr>
          <w:p>
            <w:pPr>
              <w:jc w:val="right"/>
              <w:spacing w:after="0"/>
              <w:rPr>
                <w:sz w:val="20"/>
                <w:szCs w:val="20"/>
                <w:color w:val="auto"/>
              </w:rPr>
            </w:pPr>
            <w:r>
              <w:rPr>
                <w:rFonts w:ascii="Arial" w:cs="Arial" w:eastAsia="Arial" w:hAnsi="Arial"/>
                <w:sz w:val="16"/>
                <w:szCs w:val="16"/>
                <w:color w:val="auto"/>
              </w:rPr>
              <w:t>31.3%</w:t>
            </w:r>
          </w:p>
        </w:tc>
        <w:tc>
          <w:tcPr>
            <w:tcW w:w="1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33.2%</w:t>
            </w:r>
          </w:p>
        </w:tc>
        <w:tc>
          <w:tcPr>
            <w:tcW w:w="1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34.5%</w:t>
            </w:r>
          </w:p>
        </w:tc>
      </w:tr>
    </w:tbl>
    <w:p>
      <w:pPr>
        <w:spacing w:after="0" w:line="239"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Calculated as non-GAAP gross profit as a percentage of net sales for each period presented.</w:t>
      </w:r>
    </w:p>
    <w:p>
      <w:pPr>
        <w:spacing w:after="0" w:line="19" w:lineRule="exact"/>
        <w:rPr>
          <w:rFonts w:ascii="Arial" w:cs="Arial" w:eastAsia="Arial" w:hAnsi="Arial"/>
          <w:sz w:val="16"/>
          <w:szCs w:val="16"/>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Calculated as non-GAAP operating profit as a percentage of net sales for each period presented.</w:t>
      </w:r>
    </w:p>
    <w:p>
      <w:pPr>
        <w:spacing w:after="0" w:line="5" w:lineRule="exact"/>
        <w:rPr>
          <w:rFonts w:ascii="Arial" w:cs="Arial" w:eastAsia="Arial" w:hAnsi="Arial"/>
          <w:sz w:val="16"/>
          <w:szCs w:val="16"/>
          <w:color w:val="auto"/>
        </w:rPr>
      </w:pPr>
    </w:p>
    <w:p>
      <w:pPr>
        <w:ind w:left="660" w:right="40" w:hanging="328"/>
        <w:spacing w:after="0" w:line="257"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Calculated as non-GAAP provision for income taxes as a percentage of non-GAAP income before taxes (calculated as non-GAAP operating profit minus non-GAAP interest expense, net plus or minus non-GAAP other (income) expense, net).</w:t>
      </w:r>
    </w:p>
    <w:p>
      <w:pPr>
        <w:spacing w:after="0" w:line="18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Details of the activities impacting comparability that are presented as reconciling items to derive the non-GAAP financial measures in the tables above are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Mark-to-market losses on commodity derivatives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Commensurate with our discontinuance of hedge accounting treatment for commodity derivatives, we are adjusting the mark-to-market losses on such commodity derivatives, until such time as the related inventory is sold. Since we often purchase commodity contracts to price inventory requirements in future years, we make this adjustment to facilitate the year-over-year comparison of cost of sales on a basis that matches the derivative gains and losses with the underlying economic exposure being hedged for the period. For the year ended December 31, 2016, unallocated mark-to-market losses on commodity derivatives totaled $163.2 million.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realignment activities</w:t>
      </w:r>
    </w:p>
    <w:p>
      <w:pPr>
        <w:spacing w:after="0" w:line="23" w:lineRule="exact"/>
        <w:rPr>
          <w:sz w:val="20"/>
          <w:szCs w:val="20"/>
          <w:color w:val="auto"/>
        </w:rPr>
      </w:pPr>
    </w:p>
    <w:p>
      <w:pPr>
        <w:ind w:right="660"/>
        <w:spacing w:after="0" w:line="255" w:lineRule="auto"/>
        <w:rPr>
          <w:sz w:val="20"/>
          <w:szCs w:val="20"/>
          <w:color w:val="auto"/>
        </w:rPr>
      </w:pPr>
      <w:r>
        <w:rPr>
          <w:rFonts w:ascii="Arial" w:cs="Arial" w:eastAsia="Arial" w:hAnsi="Arial"/>
          <w:sz w:val="18"/>
          <w:szCs w:val="18"/>
          <w:color w:val="auto"/>
        </w:rPr>
        <w:t>We periodically undertake restructuring and cost reduction activities as part of ongoing efforts to enhance long-term profitability. For the years ended December 31, 2016, 2015 and 2014, we incurred $107.6 million, $121.0 million and $34.3 million, respectively, of pre-tax costs related to business realignment activities. See Note 7 to the Consolidated Financial Statements for more information.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Acquisition integration costs</w:t>
      </w:r>
    </w:p>
    <w:p>
      <w:pPr>
        <w:spacing w:after="0" w:line="23"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For the year ended December 31, 2016, we incurred expenses totaling $6.5 million related to integration of the 2016 acquisition of Ripple Brand Collective, LLC, as we incorporated this business into our operating practices and information systems. For the year ended December 31, 2015, we incurred costs related to the integration of the 2014 acquisitions of SGM and The Allan Candy Company and the 2015 acquisition of Krave totaling $22.5 million as we incorporated these businesses into our operating practices and information systems. These 2015 expenses included charges incurred to write-down approximately $6.4 million of expired or near-expiration work-in-process inventory at SGM, in connection with the implementation of our global quality standards and practices. In addition, integration costs for 2015 were offset by a $6.8 million reduction in the fair value of contingent consideration paid to the Krave shareholders. For the year ended December 31, 2014, we incurred costs of $13.3 million largely related to the acquisition of SGM, offset by a $4.6 million gain relating to the acquisition of a controlling interest in Lotte Shanghai Foods Co., Ltd.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auto"/>
        </w:rPr>
        <w:t>Non-service related pension expense (income)</w:t>
      </w:r>
    </w:p>
    <w:p>
      <w:pPr>
        <w:spacing w:after="0" w:line="2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NSRPE(I) includes interest costs, the expected return on pension plan assets, the amortization of actuarial gains and losses, and certain curtailment and settlement losses or credits. NSRPE(I) can fluctuate from year to year as a result of changes in market interest rates and market returns on pension plan assets. We believe that the service cost component of our total pension benefit costs closely reflects the operating costs of our business and provides for a better comparison of our operating results from year to year. Therefore, we exclude NSRPE(I) from our internal performance measures. Our most significant defined benefit pension plans were closed to most new participants in 2007, resulting in ongoing service costs that are stable and predictable. We recorded pre-tax NSRPE(I) of $27.2 million, $18.1 million and $(1.8) million for the years ended December 31, 2016, 2015 and 2014,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Settlement of SGM liability</w:t>
      </w:r>
    </w:p>
    <w:p>
      <w:pPr>
        <w:spacing w:after="0" w:line="2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the fourth quarter of 2015, we reached an agreement with the SGM selling shareholders to reduce the originally-agreed purchase price for the remaining 20% of SGM, and we completed the purchase on February 3, 2016. In the first quarter of 2016, we recorded a $26.7 million gain relating to the settlement of the SGM liability, representing the net carrying amount of the recorded liability in excess of the cash paid to settle the obligation for the remaining 20% of the outstanding shares.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 and other intangible asset impairment</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discussed in Note 3 to the Consolidated Financial Statements, in connection with our 2016 annual impairment testing of other indefinite lived assets, we recognized a trademark impairment charge of $4.2 million primarily resulting from plans to discontinue a brand sold in India. In the second and third quarters of 2015, we recorded a total $280.8 million non-cash goodwill impairment charge, representing a write-down of all of the goodwill resulting from the SGM acquisition, including $14.4 million relating to the portion of goodwill that had been allocated to our China chocolate reporting unit, based on synergies to be realized by this business. For the year ended December 31, 2014, we recorded non-cash goodwill and other intangible asset impairment charges totaling $15.9 million associated with our business in India.</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Loss on early extinguishment of debt</w:t>
      </w:r>
    </w:p>
    <w:p>
      <w:pPr>
        <w:spacing w:after="0" w:line="23"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During the third quarter of 2015, we recorded a $28.3 million loss on the early extinguishment of debt relating to a cash tender offer. See Note 4 to the Consolidated Financial Statements for further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Gain on sale of trademark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quarter of 2015, we recorded a $9.9 million gain relating to the sale of a non-core trademark.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Constant Currency Net Sales Growth</w:t>
      </w:r>
    </w:p>
    <w:p>
      <w:pPr>
        <w:spacing w:after="0" w:line="94"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We present certain percentage changes in net sales on a constant currency basis, which excludes the impact of foreign currency exchange. This measure is used internally by management in evaluating results of operations and determining incentive compensation. We believe that this measure provides useful information to investors because it provides transparency to underlying performance in our net sales by excluding the effect that foreign currency exchange rate fluctuations have on the year-to-year comparability given volatility in foreign currency exchange markets.</w:t>
      </w:r>
    </w:p>
    <w:p>
      <w:pPr>
        <w:spacing w:after="0" w:line="17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To present this information for historical periods, current period net sales for entities reporting in other than the U.S. dollar are translated into U.S. dollars at the average monthly exchange rates in effect during the corresponding period of the prior fiscal year, rather than at the actual average monthly exchange rates in effect during the current period of the current fiscal year. As a result, the foreign currency impact is equal to the current year results in local currencies multiplied by the change in average foreign currency exchange rate between the current fiscal period and the corresponding period of the prior fiscal year.</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584"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A reconciliation between reported and constant currency growth rates is provided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760" w:type="dxa"/>
            <w:vAlign w:val="bottom"/>
            <w:gridSpan w:val="5"/>
          </w:tcPr>
          <w:p>
            <w:pPr>
              <w:jc w:val="center"/>
              <w:ind w:right="40"/>
              <w:spacing w:after="0"/>
              <w:rPr>
                <w:sz w:val="20"/>
                <w:szCs w:val="20"/>
                <w:color w:val="auto"/>
              </w:rPr>
            </w:pPr>
            <w:r>
              <w:rPr>
                <w:rFonts w:ascii="Arial" w:cs="Arial" w:eastAsia="Arial" w:hAnsi="Arial"/>
                <w:sz w:val="16"/>
                <w:szCs w:val="16"/>
                <w:b w:val="1"/>
                <w:bCs w:val="1"/>
                <w:color w:val="auto"/>
                <w:w w:val="92"/>
              </w:rPr>
              <w:t>For the Year Ended December 31, 2016</w:t>
            </w:r>
          </w:p>
        </w:tc>
        <w:tc>
          <w:tcPr>
            <w:tcW w:w="2360" w:type="dxa"/>
            <w:vAlign w:val="bottom"/>
          </w:tcPr>
          <w:p>
            <w:pPr>
              <w:spacing w:after="0"/>
              <w:rPr>
                <w:sz w:val="18"/>
                <w:szCs w:val="18"/>
                <w:color w:val="auto"/>
              </w:rPr>
            </w:pPr>
          </w:p>
        </w:tc>
      </w:tr>
      <w:tr>
        <w:trPr>
          <w:trHeight w:val="33"/>
        </w:trPr>
        <w:tc>
          <w:tcPr>
            <w:tcW w:w="3880" w:type="dxa"/>
            <w:vAlign w:val="bottom"/>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r>
        <w:trPr>
          <w:trHeight w:val="209"/>
        </w:trPr>
        <w:tc>
          <w:tcPr>
            <w:tcW w:w="38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3"/>
              </w:rPr>
              <w:t>Impact of Foreign Currency</w:t>
            </w:r>
          </w:p>
        </w:tc>
        <w:tc>
          <w:tcPr>
            <w:tcW w:w="236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Percentage Change on Constant</w:t>
            </w:r>
          </w:p>
        </w:tc>
      </w:tr>
      <w:tr>
        <w:trPr>
          <w:trHeight w:val="210"/>
        </w:trPr>
        <w:tc>
          <w:tcPr>
            <w:tcW w:w="3880" w:type="dxa"/>
            <w:vAlign w:val="bottom"/>
          </w:tcPr>
          <w:p>
            <w:pPr>
              <w:spacing w:after="0"/>
              <w:rPr>
                <w:sz w:val="18"/>
                <w:szCs w:val="18"/>
                <w:color w:val="auto"/>
              </w:rPr>
            </w:pPr>
          </w:p>
        </w:tc>
        <w:tc>
          <w:tcPr>
            <w:tcW w:w="2420" w:type="dxa"/>
            <w:vAlign w:val="bottom"/>
          </w:tcPr>
          <w:p>
            <w:pPr>
              <w:jc w:val="right"/>
              <w:ind w:right="19"/>
              <w:spacing w:after="0"/>
              <w:rPr>
                <w:sz w:val="20"/>
                <w:szCs w:val="20"/>
                <w:color w:val="auto"/>
              </w:rPr>
            </w:pPr>
            <w:r>
              <w:rPr>
                <w:rFonts w:ascii="Arial" w:cs="Arial" w:eastAsia="Arial" w:hAnsi="Arial"/>
                <w:sz w:val="16"/>
                <w:szCs w:val="16"/>
                <w:b w:val="1"/>
                <w:bCs w:val="1"/>
                <w:color w:val="auto"/>
                <w:w w:val="93"/>
              </w:rPr>
              <w:t>Percentage Change as Reported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89"/>
              </w:rPr>
              <w:t>Exchange</w:t>
            </w:r>
          </w:p>
        </w:tc>
        <w:tc>
          <w:tcPr>
            <w:tcW w:w="2360" w:type="dxa"/>
            <w:vAlign w:val="bottom"/>
          </w:tcPr>
          <w:p>
            <w:pPr>
              <w:jc w:val="right"/>
              <w:ind w:right="619"/>
              <w:spacing w:after="0"/>
              <w:rPr>
                <w:sz w:val="20"/>
                <w:szCs w:val="20"/>
                <w:color w:val="auto"/>
              </w:rPr>
            </w:pPr>
            <w:r>
              <w:rPr>
                <w:rFonts w:ascii="Arial" w:cs="Arial" w:eastAsia="Arial" w:hAnsi="Arial"/>
                <w:sz w:val="16"/>
                <w:szCs w:val="16"/>
                <w:b w:val="1"/>
                <w:bCs w:val="1"/>
                <w:color w:val="auto"/>
              </w:rPr>
              <w:t>Currency Basis</w:t>
            </w:r>
          </w:p>
        </w:tc>
      </w:tr>
      <w:tr>
        <w:trPr>
          <w:trHeight w:val="33"/>
        </w:trPr>
        <w:tc>
          <w:tcPr>
            <w:tcW w:w="3880" w:type="dxa"/>
            <w:vAlign w:val="bottom"/>
            <w:tcBorders>
              <w:bottom w:val="single" w:sz="8" w:color="CCEEFF"/>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North America segment</w:t>
            </w:r>
          </w:p>
        </w:tc>
        <w:tc>
          <w:tcPr>
            <w:tcW w:w="24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spacing w:after="0"/>
              <w:rPr>
                <w:sz w:val="21"/>
                <w:szCs w:val="21"/>
                <w:color w:val="auto"/>
              </w:rPr>
            </w:pPr>
          </w:p>
        </w:tc>
      </w:tr>
      <w:tr>
        <w:trPr>
          <w:trHeight w:val="237"/>
        </w:trPr>
        <w:tc>
          <w:tcPr>
            <w:tcW w:w="3880" w:type="dxa"/>
            <w:vAlign w:val="bottom"/>
          </w:tcPr>
          <w:p>
            <w:pPr>
              <w:ind w:left="180"/>
              <w:spacing w:after="0"/>
              <w:rPr>
                <w:sz w:val="20"/>
                <w:szCs w:val="20"/>
                <w:color w:val="auto"/>
              </w:rPr>
            </w:pPr>
            <w:r>
              <w:rPr>
                <w:rFonts w:ascii="Arial" w:cs="Arial" w:eastAsia="Arial" w:hAnsi="Arial"/>
                <w:sz w:val="16"/>
                <w:szCs w:val="16"/>
                <w:color w:val="auto"/>
              </w:rPr>
              <w:t>Canada</w:t>
            </w:r>
          </w:p>
        </w:tc>
        <w:tc>
          <w:tcPr>
            <w:tcW w:w="2420" w:type="dxa"/>
            <w:vAlign w:val="bottom"/>
          </w:tcPr>
          <w:p>
            <w:pPr>
              <w:jc w:val="right"/>
              <w:spacing w:after="0"/>
              <w:rPr>
                <w:sz w:val="20"/>
                <w:szCs w:val="20"/>
                <w:color w:val="auto"/>
              </w:rPr>
            </w:pPr>
            <w:r>
              <w:rPr>
                <w:rFonts w:ascii="Arial" w:cs="Arial" w:eastAsia="Arial" w:hAnsi="Arial"/>
                <w:sz w:val="16"/>
                <w:szCs w:val="16"/>
                <w:color w:val="auto"/>
              </w:rPr>
              <w:t>(3.5)%</w:t>
            </w:r>
          </w:p>
        </w:tc>
        <w:tc>
          <w:tcPr>
            <w:tcW w:w="2560" w:type="dxa"/>
            <w:vAlign w:val="bottom"/>
            <w:gridSpan w:val="3"/>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6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33"/>
        </w:trPr>
        <w:tc>
          <w:tcPr>
            <w:tcW w:w="3880" w:type="dxa"/>
            <w:vAlign w:val="bottom"/>
            <w:tcBorders>
              <w:bottom w:val="single" w:sz="8" w:color="CCEEFF"/>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r>
        <w:trPr>
          <w:trHeight w:val="23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Total North America segment</w:t>
            </w:r>
          </w:p>
        </w:tc>
        <w:tc>
          <w:tcPr>
            <w:tcW w:w="2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25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1.2 %</w:t>
            </w:r>
          </w:p>
        </w:tc>
      </w:tr>
      <w:tr>
        <w:trPr>
          <w:trHeight w:val="324"/>
        </w:trPr>
        <w:tc>
          <w:tcPr>
            <w:tcW w:w="38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International and Other segment</w:t>
            </w:r>
          </w:p>
        </w:tc>
        <w:tc>
          <w:tcPr>
            <w:tcW w:w="24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spacing w:after="0"/>
              <w:rPr>
                <w:sz w:val="21"/>
                <w:szCs w:val="21"/>
                <w:color w:val="auto"/>
              </w:rPr>
            </w:pPr>
          </w:p>
        </w:tc>
      </w:tr>
      <w:tr>
        <w:trPr>
          <w:trHeight w:val="237"/>
        </w:trPr>
        <w:tc>
          <w:tcPr>
            <w:tcW w:w="3880" w:type="dxa"/>
            <w:vAlign w:val="bottom"/>
          </w:tcPr>
          <w:p>
            <w:pPr>
              <w:ind w:left="180"/>
              <w:spacing w:after="0"/>
              <w:rPr>
                <w:sz w:val="20"/>
                <w:szCs w:val="20"/>
                <w:color w:val="auto"/>
              </w:rPr>
            </w:pPr>
            <w:r>
              <w:rPr>
                <w:rFonts w:ascii="Arial" w:cs="Arial" w:eastAsia="Arial" w:hAnsi="Arial"/>
                <w:sz w:val="16"/>
                <w:szCs w:val="16"/>
                <w:color w:val="auto"/>
              </w:rPr>
              <w:t>Mexico</w:t>
            </w:r>
          </w:p>
        </w:tc>
        <w:tc>
          <w:tcPr>
            <w:tcW w:w="2420" w:type="dxa"/>
            <w:vAlign w:val="bottom"/>
          </w:tcPr>
          <w:p>
            <w:pPr>
              <w:jc w:val="right"/>
              <w:spacing w:after="0"/>
              <w:rPr>
                <w:sz w:val="20"/>
                <w:szCs w:val="20"/>
                <w:color w:val="auto"/>
              </w:rPr>
            </w:pPr>
            <w:r>
              <w:rPr>
                <w:rFonts w:ascii="Arial" w:cs="Arial" w:eastAsia="Arial" w:hAnsi="Arial"/>
                <w:sz w:val="16"/>
                <w:szCs w:val="16"/>
                <w:color w:val="auto"/>
              </w:rPr>
              <w:t>(8.5)%</w:t>
            </w:r>
          </w:p>
        </w:tc>
        <w:tc>
          <w:tcPr>
            <w:tcW w:w="2560" w:type="dxa"/>
            <w:vAlign w:val="bottom"/>
            <w:gridSpan w:val="3"/>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60" w:type="dxa"/>
            <w:vAlign w:val="bottom"/>
          </w:tcPr>
          <w:p>
            <w:pPr>
              <w:jc w:val="right"/>
              <w:spacing w:after="0"/>
              <w:rPr>
                <w:sz w:val="20"/>
                <w:szCs w:val="20"/>
                <w:color w:val="auto"/>
              </w:rPr>
            </w:pPr>
            <w:r>
              <w:rPr>
                <w:rFonts w:ascii="Arial" w:cs="Arial" w:eastAsia="Arial" w:hAnsi="Arial"/>
                <w:sz w:val="16"/>
                <w:szCs w:val="16"/>
                <w:color w:val="auto"/>
              </w:rPr>
              <w:t>7.5 %</w:t>
            </w:r>
          </w:p>
        </w:tc>
      </w:tr>
      <w:tr>
        <w:trPr>
          <w:trHeight w:val="33"/>
        </w:trPr>
        <w:tc>
          <w:tcPr>
            <w:tcW w:w="38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Brazil</w:t>
            </w:r>
          </w:p>
        </w:tc>
        <w:tc>
          <w:tcPr>
            <w:tcW w:w="2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15.7 %</w:t>
            </w:r>
          </w:p>
        </w:tc>
        <w:tc>
          <w:tcPr>
            <w:tcW w:w="25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21.7 %</w:t>
            </w:r>
          </w:p>
        </w:tc>
      </w:tr>
      <w:tr>
        <w:trPr>
          <w:trHeight w:val="237"/>
        </w:trPr>
        <w:tc>
          <w:tcPr>
            <w:tcW w:w="3880" w:type="dxa"/>
            <w:vAlign w:val="bottom"/>
          </w:tcPr>
          <w:p>
            <w:pPr>
              <w:ind w:left="180"/>
              <w:spacing w:after="0"/>
              <w:rPr>
                <w:sz w:val="20"/>
                <w:szCs w:val="20"/>
                <w:color w:val="auto"/>
              </w:rPr>
            </w:pPr>
            <w:r>
              <w:rPr>
                <w:rFonts w:ascii="Arial" w:cs="Arial" w:eastAsia="Arial" w:hAnsi="Arial"/>
                <w:sz w:val="16"/>
                <w:szCs w:val="16"/>
                <w:color w:val="auto"/>
              </w:rPr>
              <w:t>India</w:t>
            </w:r>
          </w:p>
        </w:tc>
        <w:tc>
          <w:tcPr>
            <w:tcW w:w="2420" w:type="dxa"/>
            <w:vAlign w:val="bottom"/>
          </w:tcPr>
          <w:p>
            <w:pPr>
              <w:jc w:val="right"/>
              <w:spacing w:after="0"/>
              <w:rPr>
                <w:sz w:val="20"/>
                <w:szCs w:val="20"/>
                <w:color w:val="auto"/>
              </w:rPr>
            </w:pPr>
            <w:r>
              <w:rPr>
                <w:rFonts w:ascii="Arial" w:cs="Arial" w:eastAsia="Arial" w:hAnsi="Arial"/>
                <w:sz w:val="16"/>
                <w:szCs w:val="16"/>
                <w:color w:val="auto"/>
              </w:rPr>
              <w:t>(26.6)%</w:t>
            </w:r>
          </w:p>
        </w:tc>
        <w:tc>
          <w:tcPr>
            <w:tcW w:w="2560" w:type="dxa"/>
            <w:vAlign w:val="bottom"/>
            <w:gridSpan w:val="3"/>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60" w:type="dxa"/>
            <w:vAlign w:val="bottom"/>
          </w:tcPr>
          <w:p>
            <w:pPr>
              <w:jc w:val="right"/>
              <w:spacing w:after="0"/>
              <w:rPr>
                <w:sz w:val="20"/>
                <w:szCs w:val="20"/>
                <w:color w:val="auto"/>
              </w:rPr>
            </w:pPr>
            <w:r>
              <w:rPr>
                <w:rFonts w:ascii="Arial" w:cs="Arial" w:eastAsia="Arial" w:hAnsi="Arial"/>
                <w:sz w:val="16"/>
                <w:szCs w:val="16"/>
                <w:color w:val="auto"/>
              </w:rPr>
              <w:t>(23.0)%</w:t>
            </w:r>
          </w:p>
        </w:tc>
      </w:tr>
      <w:tr>
        <w:trPr>
          <w:trHeight w:val="33"/>
        </w:trPr>
        <w:tc>
          <w:tcPr>
            <w:tcW w:w="38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70"/>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Greater China</w:t>
            </w:r>
          </w:p>
        </w:tc>
        <w:tc>
          <w:tcPr>
            <w:tcW w:w="2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25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4.6 %</w:t>
            </w:r>
          </w:p>
        </w:tc>
      </w:tr>
      <w:tr>
        <w:trPr>
          <w:trHeight w:val="217"/>
        </w:trPr>
        <w:tc>
          <w:tcPr>
            <w:tcW w:w="3880" w:type="dxa"/>
            <w:vAlign w:val="bottom"/>
          </w:tcPr>
          <w:p>
            <w:pPr>
              <w:ind w:left="40"/>
              <w:spacing w:after="0"/>
              <w:rPr>
                <w:sz w:val="20"/>
                <w:szCs w:val="20"/>
                <w:color w:val="auto"/>
              </w:rPr>
            </w:pPr>
            <w:r>
              <w:rPr>
                <w:rFonts w:ascii="Arial" w:cs="Arial" w:eastAsia="Arial" w:hAnsi="Arial"/>
                <w:sz w:val="16"/>
                <w:szCs w:val="16"/>
                <w:color w:val="auto"/>
              </w:rPr>
              <w:t>Total International and Other segment</w:t>
            </w:r>
          </w:p>
        </w:tc>
        <w:tc>
          <w:tcPr>
            <w:tcW w:w="2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3.2 %</w:t>
            </w:r>
          </w:p>
        </w:tc>
      </w:tr>
      <w:tr>
        <w:trPr>
          <w:trHeight w:val="33"/>
        </w:trPr>
        <w:tc>
          <w:tcPr>
            <w:tcW w:w="38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324"/>
        </w:trPr>
        <w:tc>
          <w:tcPr>
            <w:tcW w:w="3880" w:type="dxa"/>
            <w:vAlign w:val="bottom"/>
            <w:shd w:val="clear" w:color="auto" w:fill="CCEEFF"/>
          </w:tcPr>
          <w:p>
            <w:pPr>
              <w:spacing w:after="0"/>
              <w:rPr>
                <w:sz w:val="24"/>
                <w:szCs w:val="24"/>
                <w:color w:val="auto"/>
              </w:rPr>
            </w:pPr>
          </w:p>
        </w:tc>
        <w:tc>
          <w:tcPr>
            <w:tcW w:w="24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360" w:type="dxa"/>
            <w:vAlign w:val="bottom"/>
            <w:shd w:val="clear" w:color="auto" w:fill="CCEEFF"/>
          </w:tcPr>
          <w:p>
            <w:pPr>
              <w:spacing w:after="0"/>
              <w:rPr>
                <w:sz w:val="24"/>
                <w:szCs w:val="24"/>
                <w:color w:val="auto"/>
              </w:rPr>
            </w:pPr>
          </w:p>
        </w:tc>
      </w:tr>
      <w:tr>
        <w:trPr>
          <w:trHeight w:val="250"/>
        </w:trPr>
        <w:tc>
          <w:tcPr>
            <w:tcW w:w="3880" w:type="dxa"/>
            <w:vAlign w:val="bottom"/>
          </w:tcPr>
          <w:p>
            <w:pPr>
              <w:ind w:left="40"/>
              <w:spacing w:after="0"/>
              <w:rPr>
                <w:sz w:val="20"/>
                <w:szCs w:val="20"/>
                <w:color w:val="auto"/>
              </w:rPr>
            </w:pPr>
            <w:r>
              <w:rPr>
                <w:rFonts w:ascii="Arial" w:cs="Arial" w:eastAsia="Arial" w:hAnsi="Arial"/>
                <w:sz w:val="16"/>
                <w:szCs w:val="16"/>
                <w:color w:val="auto"/>
              </w:rPr>
              <w:t>Total Company</w:t>
            </w:r>
          </w:p>
        </w:tc>
        <w:tc>
          <w:tcPr>
            <w:tcW w:w="2420" w:type="dxa"/>
            <w:vAlign w:val="bottom"/>
          </w:tcPr>
          <w:p>
            <w:pPr>
              <w:jc w:val="right"/>
              <w:spacing w:after="0"/>
              <w:rPr>
                <w:sz w:val="20"/>
                <w:szCs w:val="20"/>
                <w:color w:val="auto"/>
              </w:rPr>
            </w:pPr>
            <w:r>
              <w:rPr>
                <w:rFonts w:ascii="Arial" w:cs="Arial" w:eastAsia="Arial" w:hAnsi="Arial"/>
                <w:sz w:val="16"/>
                <w:szCs w:val="16"/>
                <w:color w:val="auto"/>
              </w:rPr>
              <w:t>0.7 %</w:t>
            </w:r>
          </w:p>
        </w:tc>
        <w:tc>
          <w:tcPr>
            <w:tcW w:w="2560" w:type="dxa"/>
            <w:vAlign w:val="bottom"/>
            <w:gridSpan w:val="3"/>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360" w:type="dxa"/>
            <w:vAlign w:val="bottom"/>
          </w:tcPr>
          <w:p>
            <w:pPr>
              <w:jc w:val="right"/>
              <w:spacing w:after="0"/>
              <w:rPr>
                <w:sz w:val="20"/>
                <w:szCs w:val="20"/>
                <w:color w:val="auto"/>
              </w:rPr>
            </w:pPr>
            <w:r>
              <w:rPr>
                <w:rFonts w:ascii="Arial" w:cs="Arial" w:eastAsia="Arial" w:hAnsi="Arial"/>
                <w:sz w:val="16"/>
                <w:szCs w:val="16"/>
                <w:color w:val="auto"/>
              </w:rPr>
              <w:t>1.4 %</w:t>
            </w:r>
          </w:p>
        </w:tc>
      </w:tr>
      <w:tr>
        <w:trPr>
          <w:trHeight w:val="20"/>
        </w:trPr>
        <w:tc>
          <w:tcPr>
            <w:tcW w:w="3880" w:type="dxa"/>
            <w:vAlign w:val="bottom"/>
          </w:tcPr>
          <w:p>
            <w:pPr>
              <w:spacing w:after="0" w:line="20" w:lineRule="exact"/>
              <w:rPr>
                <w:sz w:val="1"/>
                <w:szCs w:val="1"/>
                <w:color w:val="auto"/>
              </w:rPr>
            </w:pPr>
          </w:p>
        </w:tc>
        <w:tc>
          <w:tcPr>
            <w:tcW w:w="2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36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Outlook</w:t>
      </w:r>
    </w:p>
    <w:p>
      <w:pPr>
        <w:spacing w:after="0" w:line="17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following table provides a reconciliation of projected 2017 EPS-diluted, prepared in accordance with GAAP, to projected non-GAAP EPS-diluted for 2017, prepared on a non-GAAP basis, with adjustments consistent to those discussed previously. The reconciliation of 2016 and 2015 EPS-diluted, prepared in accordance with GAAP, to 2016 and 2015 non-GAAP EPS-diluted is provided below for comparison.</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34"/>
        </w:trPr>
        <w:tc>
          <w:tcPr>
            <w:tcW w:w="5720" w:type="dxa"/>
            <w:vAlign w:val="bottom"/>
          </w:tcPr>
          <w:p>
            <w:pPr>
              <w:spacing w:after="0"/>
              <w:rPr>
                <w:sz w:val="20"/>
                <w:szCs w:val="20"/>
                <w:color w:val="auto"/>
              </w:rPr>
            </w:pPr>
          </w:p>
        </w:tc>
        <w:tc>
          <w:tcPr>
            <w:tcW w:w="1940" w:type="dxa"/>
            <w:vAlign w:val="bottom"/>
            <w:gridSpan w:val="2"/>
          </w:tcPr>
          <w:p>
            <w:pPr>
              <w:ind w:left="500"/>
              <w:spacing w:after="0"/>
              <w:rPr>
                <w:sz w:val="20"/>
                <w:szCs w:val="20"/>
                <w:color w:val="auto"/>
              </w:rPr>
            </w:pPr>
            <w:r>
              <w:rPr>
                <w:rFonts w:ascii="Arial" w:cs="Arial" w:eastAsia="Arial" w:hAnsi="Arial"/>
                <w:sz w:val="18"/>
                <w:szCs w:val="18"/>
                <w:b w:val="1"/>
                <w:bCs w:val="1"/>
                <w:color w:val="auto"/>
              </w:rPr>
              <w:t>(Projected)</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9"/>
              </w:rPr>
              <w:t>2015</w:t>
            </w:r>
          </w:p>
        </w:tc>
      </w:tr>
      <w:tr>
        <w:trPr>
          <w:trHeight w:val="27"/>
        </w:trPr>
        <w:tc>
          <w:tcPr>
            <w:tcW w:w="57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Reported EPS – Diluted</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$4.54 - $4.65</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$3.34</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$2.32</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Derivative mark-to-market losses</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0.66</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57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realignment costs</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0.10 - 0.12</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0.42</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0.36</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Acquisition and integration costs</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0.02</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5"/>
              </w:rPr>
              <w:t>0.05</w:t>
            </w:r>
          </w:p>
        </w:tc>
      </w:tr>
      <w:tr>
        <w:trPr>
          <w:trHeight w:val="27"/>
        </w:trPr>
        <w:tc>
          <w:tcPr>
            <w:tcW w:w="57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Non-service related pension expense</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0.05</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Settlement of SGM liability</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(0.12)</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57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and other intangible asset impairment charges</w:t>
            </w:r>
          </w:p>
        </w:tc>
        <w:tc>
          <w:tcPr>
            <w:tcW w:w="19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1.28</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Loss on early extinguishment of debt</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center"/>
              <w:spacing w:after="0"/>
              <w:rPr>
                <w:sz w:val="20"/>
                <w:szCs w:val="20"/>
                <w:color w:val="auto"/>
              </w:rPr>
            </w:pPr>
            <w:r>
              <w:rPr>
                <w:rFonts w:ascii="Arial" w:cs="Arial" w:eastAsia="Arial" w:hAnsi="Arial"/>
                <w:sz w:val="18"/>
                <w:szCs w:val="18"/>
                <w:color w:val="auto"/>
                <w:w w:val="85"/>
              </w:rPr>
              <w:t>0.09</w:t>
            </w:r>
          </w:p>
        </w:tc>
      </w:tr>
      <w:tr>
        <w:trPr>
          <w:trHeight w:val="27"/>
        </w:trPr>
        <w:tc>
          <w:tcPr>
            <w:tcW w:w="57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trademark</w:t>
            </w:r>
          </w:p>
        </w:tc>
        <w:tc>
          <w:tcPr>
            <w:tcW w:w="19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(0.03)</w:t>
            </w:r>
          </w:p>
        </w:tc>
      </w:tr>
      <w:tr>
        <w:trPr>
          <w:trHeight w:val="257"/>
        </w:trPr>
        <w:tc>
          <w:tcPr>
            <w:tcW w:w="5720" w:type="dxa"/>
            <w:vAlign w:val="bottom"/>
          </w:tcPr>
          <w:p>
            <w:pPr>
              <w:ind w:left="40"/>
              <w:spacing w:after="0"/>
              <w:rPr>
                <w:sz w:val="20"/>
                <w:szCs w:val="20"/>
                <w:color w:val="auto"/>
              </w:rPr>
            </w:pPr>
            <w:r>
              <w:rPr>
                <w:rFonts w:ascii="Arial" w:cs="Arial" w:eastAsia="Arial" w:hAnsi="Arial"/>
                <w:sz w:val="18"/>
                <w:szCs w:val="18"/>
                <w:color w:val="auto"/>
              </w:rPr>
              <w:t>Adjusted EPS – Diluted</w:t>
            </w:r>
          </w:p>
        </w:tc>
        <w:tc>
          <w:tcPr>
            <w:tcW w:w="1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$4.72 - $4.81</w:t>
            </w:r>
          </w:p>
        </w:tc>
        <w:tc>
          <w:tcPr>
            <w:tcW w:w="100" w:type="dxa"/>
            <w:vAlign w:val="bottom"/>
          </w:tcPr>
          <w:p>
            <w:pPr>
              <w:spacing w:after="0"/>
              <w:rPr>
                <w:sz w:val="22"/>
                <w:szCs w:val="22"/>
                <w:color w:val="auto"/>
              </w:rPr>
            </w:pPr>
          </w:p>
        </w:tc>
        <w:tc>
          <w:tcPr>
            <w:tcW w:w="18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8"/>
              </w:rPr>
              <w:t>$4.41</w:t>
            </w:r>
          </w:p>
        </w:tc>
        <w:tc>
          <w:tcPr>
            <w:tcW w:w="120" w:type="dxa"/>
            <w:vAlign w:val="bottom"/>
          </w:tcPr>
          <w:p>
            <w:pPr>
              <w:spacing w:after="0"/>
              <w:rPr>
                <w:sz w:val="22"/>
                <w:szCs w:val="22"/>
                <w:color w:val="auto"/>
              </w:rPr>
            </w:pPr>
          </w:p>
        </w:tc>
        <w:tc>
          <w:tcPr>
            <w:tcW w:w="18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3"/>
              </w:rPr>
              <w:t>$4.12</w:t>
            </w:r>
          </w:p>
        </w:tc>
      </w:tr>
      <w:tr>
        <w:trPr>
          <w:trHeight w:val="20"/>
        </w:trPr>
        <w:tc>
          <w:tcPr>
            <w:tcW w:w="57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Our 2017 projected EPS-diluted, as presented above, does not include the impact of mark-to-market gains and losses on our commodity derivative contracts. Due to the volatility of commodity market prices, it is not possible to forecast this mark-to-market impact. Pursuant to our revised accounting policy for commodity derivatives as discussed in Note 5 to the Consolidated Financial Statements, we currently reflect changes in the fair value of our commodity derivatives as incurred within cost of goods sold, with an adjustment within our corporate unallocated expenses to enable us to present the gains and losses on commodity derivatives within our segment income at the time the related inventory is sold.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tcBorders>
              <w:bottom w:val="single" w:sz="8" w:color="auto"/>
            </w:tcBorders>
            <w:gridSpan w:val="3"/>
          </w:tcPr>
          <w:p>
            <w:pPr>
              <w:jc w:val="right"/>
              <w:ind w:right="780"/>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264"/>
        </w:trPr>
        <w:tc>
          <w:tcPr>
            <w:tcW w:w="39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For the years ended December 31,</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13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2016 vs 2015</w:t>
            </w:r>
          </w:p>
        </w:tc>
        <w:tc>
          <w:tcPr>
            <w:tcW w:w="100" w:type="dxa"/>
            <w:vAlign w:val="bottom"/>
          </w:tcPr>
          <w:p>
            <w:pPr>
              <w:spacing w:after="0"/>
              <w:rPr>
                <w:sz w:val="22"/>
                <w:szCs w:val="22"/>
                <w:color w:val="auto"/>
              </w:rPr>
            </w:pPr>
          </w:p>
        </w:tc>
        <w:tc>
          <w:tcPr>
            <w:tcW w:w="13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2015 vs 2014</w:t>
            </w:r>
          </w:p>
        </w:tc>
        <w:tc>
          <w:tcPr>
            <w:tcW w:w="0" w:type="dxa"/>
            <w:vAlign w:val="bottom"/>
          </w:tcPr>
          <w:p>
            <w:pPr>
              <w:spacing w:after="0"/>
              <w:rPr>
                <w:sz w:val="1"/>
                <w:szCs w:val="1"/>
                <w:color w:val="auto"/>
              </w:rPr>
            </w:pPr>
          </w:p>
        </w:tc>
      </w:tr>
      <w:tr>
        <w:trPr>
          <w:trHeight w:val="264"/>
        </w:trPr>
        <w:tc>
          <w:tcPr>
            <w:tcW w:w="4080" w:type="dxa"/>
            <w:vAlign w:val="bottom"/>
            <w:gridSpan w:val="2"/>
          </w:tcPr>
          <w:p>
            <w:pPr>
              <w:ind w:left="40"/>
              <w:spacing w:after="0"/>
              <w:rPr>
                <w:sz w:val="20"/>
                <w:szCs w:val="20"/>
                <w:color w:val="auto"/>
              </w:rPr>
            </w:pPr>
            <w:r>
              <w:rPr>
                <w:rFonts w:ascii="Arial" w:cs="Arial" w:eastAsia="Arial" w:hAnsi="Arial"/>
                <w:sz w:val="14"/>
                <w:szCs w:val="14"/>
                <w:b w:val="1"/>
                <w:bCs w:val="1"/>
                <w:color w:val="auto"/>
              </w:rPr>
              <w:t>In millions of dollars except per share amounts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7,440.2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7,386.6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7,421.8</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0.7 %</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37"/>
        </w:trPr>
        <w:tc>
          <w:tcPr>
            <w:tcW w:w="4080" w:type="dxa"/>
            <w:vAlign w:val="bottom"/>
            <w:gridSpan w:val="2"/>
          </w:tcPr>
          <w:p>
            <w:pPr>
              <w:ind w:left="40"/>
              <w:spacing w:after="0"/>
              <w:rPr>
                <w:sz w:val="20"/>
                <w:szCs w:val="20"/>
                <w:color w:val="auto"/>
              </w:rPr>
            </w:pPr>
            <w:r>
              <w:rPr>
                <w:rFonts w:ascii="Arial" w:cs="Arial" w:eastAsia="Arial" w:hAnsi="Arial"/>
                <w:sz w:val="16"/>
                <w:szCs w:val="16"/>
                <w:color w:val="auto"/>
              </w:rPr>
              <w:t>Cost of Sales</w:t>
            </w:r>
          </w:p>
        </w:tc>
        <w:tc>
          <w:tcPr>
            <w:tcW w:w="320" w:type="dxa"/>
            <w:vAlign w:val="bottom"/>
          </w:tcPr>
          <w:p>
            <w:pPr>
              <w:spacing w:after="0"/>
              <w:rPr>
                <w:sz w:val="20"/>
                <w:szCs w:val="20"/>
                <w:color w:val="auto"/>
              </w:rPr>
            </w:pP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4,282.3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4,003.9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4,085.6</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7.0 %</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3"/>
        </w:trPr>
        <w:tc>
          <w:tcPr>
            <w:tcW w:w="3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3,157.9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3,382.7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3,336.2</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r>
        <w:trPr>
          <w:trHeight w:val="217"/>
        </w:trPr>
        <w:tc>
          <w:tcPr>
            <w:tcW w:w="4080" w:type="dxa"/>
            <w:vAlign w:val="bottom"/>
            <w:gridSpan w:val="2"/>
          </w:tcPr>
          <w:p>
            <w:pPr>
              <w:ind w:left="200"/>
              <w:spacing w:after="0"/>
              <w:rPr>
                <w:sz w:val="20"/>
                <w:szCs w:val="20"/>
                <w:color w:val="auto"/>
              </w:rPr>
            </w:pPr>
            <w:r>
              <w:rPr>
                <w:rFonts w:ascii="Arial" w:cs="Arial" w:eastAsia="Arial" w:hAnsi="Arial"/>
                <w:sz w:val="16"/>
                <w:szCs w:val="16"/>
                <w:i w:val="1"/>
                <w:iCs w:val="1"/>
                <w:color w:val="auto"/>
              </w:rPr>
              <w:t>Gross Margin</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42.4%</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45.8%</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45.0%</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SM&amp;A Expense</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1,915.4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1,969.3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1,898.4</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3.7 %</w:t>
            </w:r>
          </w:p>
        </w:tc>
        <w:tc>
          <w:tcPr>
            <w:tcW w:w="0" w:type="dxa"/>
            <w:vAlign w:val="bottom"/>
          </w:tcPr>
          <w:p>
            <w:pPr>
              <w:spacing w:after="0"/>
              <w:rPr>
                <w:sz w:val="1"/>
                <w:szCs w:val="1"/>
                <w:color w:val="auto"/>
              </w:rPr>
            </w:pPr>
          </w:p>
        </w:tc>
      </w:tr>
      <w:tr>
        <w:trPr>
          <w:trHeight w:val="231"/>
        </w:trPr>
        <w:tc>
          <w:tcPr>
            <w:tcW w:w="4080" w:type="dxa"/>
            <w:vAlign w:val="bottom"/>
            <w:gridSpan w:val="2"/>
          </w:tcPr>
          <w:p>
            <w:pPr>
              <w:ind w:left="200"/>
              <w:spacing w:after="0"/>
              <w:rPr>
                <w:sz w:val="20"/>
                <w:szCs w:val="20"/>
                <w:color w:val="auto"/>
              </w:rPr>
            </w:pPr>
            <w:r>
              <w:rPr>
                <w:rFonts w:ascii="Arial" w:cs="Arial" w:eastAsia="Arial" w:hAnsi="Arial"/>
                <w:sz w:val="16"/>
                <w:szCs w:val="16"/>
                <w:i w:val="1"/>
                <w:iCs w:val="1"/>
                <w:color w:val="auto"/>
              </w:rPr>
              <w:t>SM&amp;A Expense as a percent of net sales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25.7%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26.7%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25.6%</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w w:val="99"/>
              </w:rPr>
              <w:t>Goodwill and Other Intangible Asset Impairment Charges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280.8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15.9</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(98.5)%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37"/>
        </w:trPr>
        <w:tc>
          <w:tcPr>
            <w:tcW w:w="4080" w:type="dxa"/>
            <w:vAlign w:val="bottom"/>
            <w:gridSpan w:val="2"/>
          </w:tcPr>
          <w:p>
            <w:pPr>
              <w:ind w:left="40"/>
              <w:spacing w:after="0"/>
              <w:rPr>
                <w:sz w:val="20"/>
                <w:szCs w:val="20"/>
                <w:color w:val="auto"/>
              </w:rPr>
            </w:pPr>
            <w:r>
              <w:rPr>
                <w:rFonts w:ascii="Arial" w:cs="Arial" w:eastAsia="Arial" w:hAnsi="Arial"/>
                <w:sz w:val="16"/>
                <w:szCs w:val="16"/>
                <w:color w:val="auto"/>
              </w:rPr>
              <w:t>Business Realignment Costs</w:t>
            </w:r>
          </w:p>
        </w:tc>
        <w:tc>
          <w:tcPr>
            <w:tcW w:w="320" w:type="dxa"/>
            <w:vAlign w:val="bottom"/>
          </w:tcPr>
          <w:p>
            <w:pPr>
              <w:spacing w:after="0"/>
              <w:rPr>
                <w:sz w:val="20"/>
                <w:szCs w:val="20"/>
                <w:color w:val="auto"/>
              </w:rPr>
            </w:pP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94.8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29.7</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(65.7)%</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219.0 %</w:t>
            </w:r>
          </w:p>
        </w:tc>
        <w:tc>
          <w:tcPr>
            <w:tcW w:w="0" w:type="dxa"/>
            <w:vAlign w:val="bottom"/>
          </w:tcPr>
          <w:p>
            <w:pPr>
              <w:spacing w:after="0"/>
              <w:rPr>
                <w:sz w:val="1"/>
                <w:szCs w:val="1"/>
                <w:color w:val="auto"/>
              </w:rPr>
            </w:pPr>
          </w:p>
        </w:tc>
      </w:tr>
      <w:tr>
        <w:trPr>
          <w:trHeight w:val="33"/>
        </w:trPr>
        <w:tc>
          <w:tcPr>
            <w:tcW w:w="3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Operating Profit</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1,205.8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1,037.8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1,392.2</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16.2 %</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237"/>
        </w:trPr>
        <w:tc>
          <w:tcPr>
            <w:tcW w:w="4080" w:type="dxa"/>
            <w:vAlign w:val="bottom"/>
            <w:gridSpan w:val="2"/>
          </w:tcPr>
          <w:p>
            <w:pPr>
              <w:ind w:left="180"/>
              <w:spacing w:after="0"/>
              <w:rPr>
                <w:sz w:val="20"/>
                <w:szCs w:val="20"/>
                <w:color w:val="auto"/>
              </w:rPr>
            </w:pPr>
            <w:r>
              <w:rPr>
                <w:rFonts w:ascii="Arial" w:cs="Arial" w:eastAsia="Arial" w:hAnsi="Arial"/>
                <w:sz w:val="16"/>
                <w:szCs w:val="16"/>
                <w:i w:val="1"/>
                <w:iCs w:val="1"/>
                <w:color w:val="auto"/>
              </w:rPr>
              <w:t>Operating Profit Margin</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i w:val="1"/>
                <w:iCs w:val="1"/>
                <w:color w:val="auto"/>
              </w:rPr>
              <w:t>16.2%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i w:val="1"/>
                <w:iCs w:val="1"/>
                <w:color w:val="auto"/>
              </w:rPr>
              <w:t>14.0%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i w:val="1"/>
                <w:iCs w:val="1"/>
                <w:color w:val="auto"/>
              </w:rPr>
              <w:t>18.8%</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90.2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105.8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83.5</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26.6 %</w:t>
            </w:r>
          </w:p>
        </w:tc>
        <w:tc>
          <w:tcPr>
            <w:tcW w:w="0" w:type="dxa"/>
            <w:vAlign w:val="bottom"/>
          </w:tcPr>
          <w:p>
            <w:pPr>
              <w:spacing w:after="0"/>
              <w:rPr>
                <w:sz w:val="1"/>
                <w:szCs w:val="1"/>
                <w:color w:val="auto"/>
              </w:rPr>
            </w:pPr>
          </w:p>
        </w:tc>
      </w:tr>
      <w:tr>
        <w:trPr>
          <w:trHeight w:val="224"/>
        </w:trPr>
        <w:tc>
          <w:tcPr>
            <w:tcW w:w="4080" w:type="dxa"/>
            <w:vAlign w:val="bottom"/>
            <w:gridSpan w:val="2"/>
            <w:vMerge w:val="restart"/>
          </w:tcPr>
          <w:p>
            <w:pPr>
              <w:ind w:left="40"/>
              <w:spacing w:after="0"/>
              <w:rPr>
                <w:sz w:val="20"/>
                <w:szCs w:val="20"/>
                <w:color w:val="auto"/>
              </w:rPr>
            </w:pPr>
            <w:r>
              <w:rPr>
                <w:rFonts w:ascii="Arial" w:cs="Arial" w:eastAsia="Arial" w:hAnsi="Arial"/>
                <w:sz w:val="16"/>
                <w:szCs w:val="16"/>
                <w:color w:val="auto"/>
              </w:rPr>
              <w:t>Other (Income) Expense, Net</w:t>
            </w:r>
          </w:p>
        </w:tc>
        <w:tc>
          <w:tcPr>
            <w:tcW w:w="320" w:type="dxa"/>
            <w:vAlign w:val="bottom"/>
          </w:tcPr>
          <w:p>
            <w:pPr>
              <w:spacing w:after="0"/>
              <w:rPr>
                <w:sz w:val="19"/>
                <w:szCs w:val="19"/>
                <w:color w:val="auto"/>
              </w:rPr>
            </w:pPr>
          </w:p>
        </w:tc>
        <w:tc>
          <w:tcPr>
            <w:tcW w:w="1060" w:type="dxa"/>
            <w:vAlign w:val="bottom"/>
            <w:vMerge w:val="restart"/>
          </w:tcPr>
          <w:p>
            <w:pPr>
              <w:jc w:val="right"/>
              <w:ind w:right="100"/>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vMerge w:val="restart"/>
          </w:tcPr>
          <w:p>
            <w:pPr>
              <w:jc w:val="right"/>
              <w:ind w:right="80"/>
              <w:spacing w:after="0"/>
              <w:rPr>
                <w:sz w:val="20"/>
                <w:szCs w:val="20"/>
                <w:color w:val="auto"/>
              </w:rPr>
            </w:pPr>
            <w:r>
              <w:rPr>
                <w:rFonts w:ascii="Arial" w:cs="Arial" w:eastAsia="Arial" w:hAnsi="Arial"/>
                <w:sz w:val="16"/>
                <w:szCs w:val="16"/>
                <w:color w:val="auto"/>
              </w:rPr>
              <w:t>30.1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vMerge w:val="restart"/>
          </w:tcPr>
          <w:p>
            <w:pPr>
              <w:jc w:val="right"/>
              <w:ind w:right="80"/>
              <w:spacing w:after="0"/>
              <w:rPr>
                <w:sz w:val="20"/>
                <w:szCs w:val="20"/>
                <w:color w:val="auto"/>
              </w:rPr>
            </w:pPr>
            <w:r>
              <w:rPr>
                <w:rFonts w:ascii="Arial" w:cs="Arial" w:eastAsia="Arial" w:hAnsi="Arial"/>
                <w:sz w:val="16"/>
                <w:szCs w:val="16"/>
                <w:color w:val="auto"/>
              </w:rPr>
              <w:t>2.7</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(46.2)%</w:t>
            </w:r>
          </w:p>
        </w:tc>
        <w:tc>
          <w:tcPr>
            <w:tcW w:w="100" w:type="dxa"/>
            <w:vAlign w:val="bottom"/>
          </w:tcPr>
          <w:p>
            <w:pPr>
              <w:spacing w:after="0"/>
              <w:rPr>
                <w:sz w:val="19"/>
                <w:szCs w:val="19"/>
                <w:color w:val="auto"/>
              </w:rPr>
            </w:pPr>
          </w:p>
        </w:tc>
        <w:tc>
          <w:tcPr>
            <w:tcW w:w="1320" w:type="dxa"/>
            <w:vAlign w:val="bottom"/>
          </w:tcPr>
          <w:p>
            <w:pPr>
              <w:jc w:val="right"/>
              <w:ind w:right="14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81"/>
        </w:trPr>
        <w:tc>
          <w:tcPr>
            <w:tcW w:w="408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3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379.4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388.9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459.1</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17"/>
        </w:trPr>
        <w:tc>
          <w:tcPr>
            <w:tcW w:w="4080" w:type="dxa"/>
            <w:vAlign w:val="bottom"/>
            <w:gridSpan w:val="2"/>
          </w:tcPr>
          <w:p>
            <w:pPr>
              <w:ind w:left="180"/>
              <w:spacing w:after="0"/>
              <w:rPr>
                <w:sz w:val="20"/>
                <w:szCs w:val="20"/>
                <w:color w:val="auto"/>
              </w:rPr>
            </w:pPr>
            <w:r>
              <w:rPr>
                <w:rFonts w:ascii="Arial" w:cs="Arial" w:eastAsia="Arial" w:hAnsi="Arial"/>
                <w:sz w:val="16"/>
                <w:szCs w:val="16"/>
                <w:i w:val="1"/>
                <w:iCs w:val="1"/>
                <w:color w:val="auto"/>
              </w:rPr>
              <w:t>Effective Income Tax Rate</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34.5%</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43.1%</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35.2%</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720.0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513.0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846.9</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40.4 %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080" w:type="dxa"/>
            <w:vAlign w:val="bottom"/>
            <w:gridSpan w:val="2"/>
          </w:tcPr>
          <w:p>
            <w:pPr>
              <w:ind w:left="40"/>
              <w:spacing w:after="0"/>
              <w:rPr>
                <w:sz w:val="20"/>
                <w:szCs w:val="20"/>
                <w:color w:val="auto"/>
              </w:rPr>
            </w:pPr>
            <w:r>
              <w:rPr>
                <w:rFonts w:ascii="Arial" w:cs="Arial" w:eastAsia="Arial" w:hAnsi="Arial"/>
                <w:sz w:val="16"/>
                <w:szCs w:val="16"/>
                <w:color w:val="auto"/>
              </w:rPr>
              <w:t>Net Income Per Share—Diluted</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3.34</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3.77</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44.0 %</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(38.5)%</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Note: Percentage changes may not compute directly as shown due to rounding of amounts presented above.</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NM = not meaningful.</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2016 compared with 2015</w:t>
      </w:r>
    </w:p>
    <w:p>
      <w:pPr>
        <w:spacing w:after="0" w:line="9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 xml:space="preserve">Net sales increased 0.7% in 2016 compared with 2015, reflecting volume increases of 0.8% and a 0.6% benefit from net acquisitions and divestitures, partially offset by an unfavorable impact from foreign currency exchange rates of 0.7%. Excluding foreign currency, our net sales increased 1.4% in 2016. The volume improvement was primarily driven by new chocolate and snacking products in the United States, including Snack Mix, Snack Bites and </w:t>
      </w:r>
      <w:r>
        <w:rPr>
          <w:rFonts w:ascii="Arial" w:cs="Arial" w:eastAsia="Arial" w:hAnsi="Arial"/>
          <w:sz w:val="18"/>
          <w:szCs w:val="18"/>
          <w:i w:val="1"/>
          <w:iCs w:val="1"/>
          <w:color w:val="auto"/>
        </w:rPr>
        <w:t xml:space="preserve">Hershey's Cookie Layer Crunch </w:t>
      </w:r>
      <w:r>
        <w:rPr>
          <w:rFonts w:ascii="Arial" w:cs="Arial" w:eastAsia="Arial" w:hAnsi="Arial"/>
          <w:sz w:val="18"/>
          <w:szCs w:val="18"/>
          <w:color w:val="auto"/>
        </w:rPr>
        <w:t>bars. While the North America segment had unfavorable price realization due to increased levels of trade promotional</w:t>
      </w:r>
      <w:r>
        <w:rPr>
          <w:rFonts w:ascii="Arial" w:cs="Arial" w:eastAsia="Arial" w:hAnsi="Arial"/>
          <w:sz w:val="18"/>
          <w:szCs w:val="18"/>
          <w:i w:val="1"/>
          <w:iCs w:val="1"/>
          <w:color w:val="auto"/>
        </w:rPr>
        <w:t xml:space="preserve"> </w:t>
      </w:r>
      <w:r>
        <w:rPr>
          <w:rFonts w:ascii="Arial" w:cs="Arial" w:eastAsia="Arial" w:hAnsi="Arial"/>
          <w:sz w:val="18"/>
          <w:szCs w:val="18"/>
          <w:color w:val="auto"/>
        </w:rPr>
        <w:t>spending, this was essentially offset by favorable price realization in the International and Other segment, due to significantly lower levels of trade spending and returns, discounts and allowances.</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2015 compared with 2014</w:t>
      </w:r>
    </w:p>
    <w:p>
      <w:pPr>
        <w:spacing w:after="0" w:line="9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Net sales decreased 0.5% in 2015 compared with 2014, reflecting volume declines of 3.4% and an unfavorable impact from foreign currency exchange rates of 1.6%, substantially offset by favorable net price realization of 3.5% as well as a 1.0% benefit from net acquisitions and divestitures. The favorable net price realization, primarily in the United States, was attributed to the price increase announced in mid-2014. The volume declines were attributed to volume elasticity relating to the pricing action in the United States as well as lower everyday product sales given the challenging shopper environment in North America, coupled with lower sales in China. Excluding the impact of foreign currency exchange rates, our net sales increased 1.1% in 2015.</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Key U.S. CMG Marketplace Metrics</w:t>
      </w:r>
    </w:p>
    <w:p>
      <w:pPr>
        <w:spacing w:after="0" w:line="230"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46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For the 52 weeks ended December 31,</w:t>
            </w:r>
          </w:p>
        </w:tc>
        <w:tc>
          <w:tcPr>
            <w:tcW w:w="17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2014</w:t>
            </w: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Hershey's Consumer Takeaway (Decrease) Increase</w:t>
            </w:r>
          </w:p>
        </w:tc>
        <w:tc>
          <w:tcPr>
            <w:tcW w:w="3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w w:val="97"/>
              </w:rPr>
              <w:t>2.7%</w:t>
            </w:r>
          </w:p>
        </w:tc>
      </w:tr>
      <w:tr>
        <w:trPr>
          <w:trHeight w:val="257"/>
        </w:trPr>
        <w:tc>
          <w:tcPr>
            <w:tcW w:w="4660" w:type="dxa"/>
            <w:vAlign w:val="bottom"/>
          </w:tcPr>
          <w:p>
            <w:pPr>
              <w:ind w:left="40"/>
              <w:spacing w:after="0"/>
              <w:rPr>
                <w:sz w:val="20"/>
                <w:szCs w:val="20"/>
                <w:color w:val="auto"/>
              </w:rPr>
            </w:pPr>
            <w:r>
              <w:rPr>
                <w:rFonts w:ascii="Arial" w:cs="Arial" w:eastAsia="Arial" w:hAnsi="Arial"/>
                <w:sz w:val="18"/>
                <w:szCs w:val="18"/>
                <w:color w:val="auto"/>
              </w:rPr>
              <w:t>Hershey's Market Share (Decrease) Increase</w:t>
            </w:r>
          </w:p>
        </w:tc>
        <w:tc>
          <w:tcPr>
            <w:tcW w:w="3420" w:type="dxa"/>
            <w:vAlign w:val="bottom"/>
            <w:gridSpan w:val="3"/>
          </w:tcPr>
          <w:p>
            <w:pPr>
              <w:jc w:val="right"/>
              <w:ind w:right="12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520" w:type="dxa"/>
            <w:vAlign w:val="bottom"/>
          </w:tcPr>
          <w:p>
            <w:pPr>
              <w:jc w:val="right"/>
              <w:ind w:right="36"/>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2"/>
                <w:szCs w:val="22"/>
                <w:color w:val="auto"/>
              </w:rPr>
            </w:pPr>
          </w:p>
        </w:tc>
        <w:tc>
          <w:tcPr>
            <w:tcW w:w="1520" w:type="dxa"/>
            <w:vAlign w:val="bottom"/>
          </w:tcPr>
          <w:p>
            <w:pPr>
              <w:ind w:left="1100"/>
              <w:spacing w:after="0"/>
              <w:rPr>
                <w:sz w:val="20"/>
                <w:szCs w:val="20"/>
                <w:color w:val="auto"/>
              </w:rPr>
            </w:pPr>
            <w:r>
              <w:rPr>
                <w:rFonts w:ascii="Arial" w:cs="Arial" w:eastAsia="Arial" w:hAnsi="Arial"/>
                <w:sz w:val="18"/>
                <w:szCs w:val="18"/>
                <w:color w:val="auto"/>
              </w:rPr>
              <w:t>0.3</w:t>
            </w:r>
          </w:p>
        </w:tc>
      </w:tr>
      <w:tr>
        <w:trPr>
          <w:trHeight w:val="486"/>
        </w:trPr>
        <w:tc>
          <w:tcPr>
            <w:tcW w:w="4660" w:type="dxa"/>
            <w:vAlign w:val="bottom"/>
          </w:tcPr>
          <w:p>
            <w:pPr>
              <w:spacing w:after="0"/>
              <w:rPr>
                <w:sz w:val="24"/>
                <w:szCs w:val="24"/>
                <w:color w:val="auto"/>
              </w:rPr>
            </w:pPr>
          </w:p>
        </w:tc>
        <w:tc>
          <w:tcPr>
            <w:tcW w:w="1780" w:type="dxa"/>
            <w:vAlign w:val="bottom"/>
          </w:tcPr>
          <w:p>
            <w:pPr>
              <w:jc w:val="right"/>
              <w:ind w:right="6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ectPr>
          <w:pgSz w:w="11900" w:h="16838" w:orient="portrait"/>
          <w:cols w:equalWidth="0" w:num="1">
            <w:col w:w="11420"/>
          </w:cols>
          <w:pgMar w:left="240" w:top="823" w:right="239" w:bottom="1440" w:gutter="0" w:footer="0" w:header="0"/>
        </w:sectPr>
      </w:pPr>
    </w:p>
    <w:bookmarkStart w:id="24" w:name="page25"/>
    <w:bookmarkEnd w:id="24"/>
    <w:p>
      <w:pPr>
        <w:spacing w:after="0" w:line="279" w:lineRule="auto"/>
        <w:rPr>
          <w:sz w:val="20"/>
          <w:szCs w:val="20"/>
          <w:color w:val="auto"/>
        </w:rPr>
      </w:pPr>
      <w:r>
        <w:rPr>
          <w:rFonts w:ascii="Arial" w:cs="Arial" w:eastAsia="Arial" w:hAnsi="Arial"/>
          <w:sz w:val="17"/>
          <w:szCs w:val="17"/>
          <w:color w:val="auto"/>
        </w:rPr>
        <w:t>The consumer takeaway and market share information provided above are for measured channels of distribution accounting for approximately 90% of our U.S. confectionery retail business. These channels of distribution primarily include food, drug, mass merchandisers and convenience store channels, plus Wal-Mart Stores, Inc., partial dollar, club and military channels. These metrics are based on measured market scanned purchases as reported by Nielsen and provide a means to assess our retail takeaway and market position relative to the overall category.</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The amounts presented above are solely for the U.S. CMG category which does not include revenue from our snack mixes and grocery items. For the full year 2016, our CMG market share, including </w:t>
      </w:r>
      <w:r>
        <w:rPr>
          <w:rFonts w:ascii="Arial" w:cs="Arial" w:eastAsia="Arial" w:hAnsi="Arial"/>
          <w:sz w:val="18"/>
          <w:szCs w:val="18"/>
          <w:i w:val="1"/>
          <w:iCs w:val="1"/>
          <w:color w:val="auto"/>
        </w:rPr>
        <w:t>barkTHINS</w:t>
      </w:r>
      <w:r>
        <w:rPr>
          <w:rFonts w:ascii="Arial" w:cs="Arial" w:eastAsia="Arial" w:hAnsi="Arial"/>
          <w:sz w:val="18"/>
          <w:szCs w:val="18"/>
          <w:color w:val="auto"/>
        </w:rPr>
        <w:t xml:space="preserve"> was 31.2%, about the same as 2015. Including </w:t>
      </w:r>
      <w:r>
        <w:rPr>
          <w:rFonts w:ascii="Arial" w:cs="Arial" w:eastAsia="Arial" w:hAnsi="Arial"/>
          <w:sz w:val="18"/>
          <w:szCs w:val="18"/>
          <w:i w:val="1"/>
          <w:iCs w:val="1"/>
          <w:color w:val="auto"/>
        </w:rPr>
        <w:t>barkTHINS</w:t>
      </w:r>
      <w:r>
        <w:rPr>
          <w:rFonts w:ascii="Arial" w:cs="Arial" w:eastAsia="Arial" w:hAnsi="Arial"/>
          <w:sz w:val="18"/>
          <w:szCs w:val="18"/>
          <w:color w:val="auto"/>
        </w:rPr>
        <w:t>, CMG, salty snacks, snack bars, meat snacks and grocery items, our full year U.S. market share increased approximately 10 basis points.</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Cost of Sales and Gross Margin</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2016 compared with 2015</w:t>
      </w:r>
    </w:p>
    <w:p>
      <w:pPr>
        <w:spacing w:after="0" w:line="9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Cost of sales increased 7.0% in 2016 compared with 2015. Incremental business realignment costs and mark-to-market losses on commodity derivative instruments increased cost of sales by 5.3%, while the remaining increase was primarily attributed to higher volume and higher supply chain costs, in part due to higher manufacturing variances and some incremental fixed costs related to the commencement of manufacturing in the Malaysia facility. As described in Note 5 to the Consolidated Financial Statements, our commodity derivative instruments are no longer designated for hedge accounting treatment and, as a result, the changes in fair market value are recognized currently in cost of sales.</w:t>
      </w:r>
    </w:p>
    <w:p>
      <w:pPr>
        <w:spacing w:after="0" w:line="11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Gross margin decreased by 340 basis points in 2016 compared with 2015. Mark-to-market losses on commodity derivative instruments and incremental depreciation expense related to business realignment activities drove a 300 basis point decline in gross margin. Higher trade promotional spending and supply chain costs also contributed to the decreased gross margin, but were partially offset by supply chain productivity and cost savings initiatives. On a non-GAAP basis, excluding the losses on commodity derivative instruments as well as business realignment costs, 2016 adjusted gross margin decreased by 40 basis points.</w:t>
      </w:r>
    </w:p>
    <w:p>
      <w:pPr>
        <w:spacing w:after="0" w:line="13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2015 compared with 2014</w:t>
      </w:r>
    </w:p>
    <w:p>
      <w:pPr>
        <w:spacing w:after="0" w:line="9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Cost of sales decreased 2.0% in 2015 compared with 2014. Supply chain productivity and volume declines reduced cost of sales by approximately 6.6%. These declines were substantially offset by higher supply chain and commodity costs, and unfavorable sales mix, which together increased total cost of sales by approximately 4.1%. In addition, cost of sales was impacted by acquisition and integration costs of $7.3 million, business realignment costs of $8.8 million and NSRPE of $2.5 million, which collectively increased cost of sales by approximately 0.5%. In comparison, cost of sales benefited by $1.1 million in 2014, primarily due to NSRPI.</w:t>
      </w:r>
    </w:p>
    <w:p>
      <w:pPr>
        <w:spacing w:after="0" w:line="134"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Gross margin increased by 80 basis points in 2015 compared with 2014. Favorable net price realization as well as supply chain productivity and other cost savings initiatives collectively improved gross margin by 330 basis points. However, these benefits were substantially offset by higher supply chain and commodity costs as well as unfavorable sales mix, which collectively reduced gross margin by approximately 250 basis points. On a non-GAAP basis, excluding the business realignment and acquisition and integration charges, 2015 gross margin increased by 110 basis points.</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Selling, Marketing and Administrative</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2016 compared with 2015</w:t>
      </w:r>
    </w:p>
    <w:p>
      <w:pPr>
        <w:spacing w:after="0" w:line="90" w:lineRule="exact"/>
        <w:rPr>
          <w:sz w:val="20"/>
          <w:szCs w:val="20"/>
          <w:color w:val="auto"/>
        </w:rPr>
      </w:pPr>
    </w:p>
    <w:p>
      <w:pPr>
        <w:jc w:val="both"/>
        <w:ind w:right="260"/>
        <w:spacing w:after="0" w:line="288" w:lineRule="auto"/>
        <w:rPr>
          <w:sz w:val="20"/>
          <w:szCs w:val="20"/>
          <w:color w:val="auto"/>
        </w:rPr>
      </w:pPr>
      <w:r>
        <w:rPr>
          <w:rFonts w:ascii="Arial" w:cs="Arial" w:eastAsia="Arial" w:hAnsi="Arial"/>
          <w:sz w:val="16"/>
          <w:szCs w:val="16"/>
          <w:color w:val="auto"/>
        </w:rPr>
        <w:t>Selling, marketing and administrative (“SM&amp;A”) expenses decreased $53.9 million or 2.7% in 2016. Advertising and related consumer marketing expense decreased 4.0% during this period. We spent less on advertising and related consumer marketing in our International and Other segment, particularly in the China market, and our spending in North America declined as our marketing mix models were weighted toward higher trade promotional spending.</w:t>
      </w:r>
    </w:p>
    <w:p>
      <w:pPr>
        <w:spacing w:after="0" w:line="254" w:lineRule="auto"/>
        <w:rPr>
          <w:sz w:val="20"/>
          <w:szCs w:val="20"/>
          <w:color w:val="auto"/>
        </w:rPr>
      </w:pPr>
      <w:r>
        <w:rPr>
          <w:rFonts w:ascii="Arial" w:cs="Arial" w:eastAsia="Arial" w:hAnsi="Arial"/>
          <w:sz w:val="18"/>
          <w:szCs w:val="18"/>
          <w:color w:val="auto"/>
        </w:rPr>
        <w:t>Excluding these advertising and related consumer marketing costs, selling and administrative expenses for 2016 decreased by 2.0% as compared to 2015 as a result of our continued focus on reducing non-essential spending. SM&amp;A expenses in 2016 were also impacted by business realignment costs of $18.6 million, NSRPE of $15.2 million and acquisition and integration costs of $6.5 million. In 2015, SM&amp;A expenses included business realignment costs of $17.4 million, NSRPE of $15.6 million and acquisition and integration costs of $13.6 million.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665" w:right="239" w:bottom="1440" w:gutter="0" w:footer="0" w:header="0"/>
        </w:sectPr>
      </w:pPr>
    </w:p>
    <w:bookmarkStart w:id="25" w:name="page26"/>
    <w:bookmarkEnd w:id="25"/>
    <w:p>
      <w:pPr>
        <w:ind w:left="40"/>
        <w:spacing w:after="0"/>
        <w:rPr>
          <w:sz w:val="20"/>
          <w:szCs w:val="20"/>
          <w:color w:val="auto"/>
        </w:rPr>
      </w:pPr>
      <w:r>
        <w:rPr>
          <w:rFonts w:ascii="Arial" w:cs="Arial" w:eastAsia="Arial" w:hAnsi="Arial"/>
          <w:sz w:val="18"/>
          <w:szCs w:val="18"/>
          <w:i w:val="1"/>
          <w:iCs w:val="1"/>
          <w:color w:val="auto"/>
        </w:rPr>
        <w:t>2015 compared with 2014</w:t>
      </w:r>
    </w:p>
    <w:p>
      <w:pPr>
        <w:spacing w:after="0" w:line="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SM&amp;A expenses increased $70.9 million or 3.7% in 2015. Advertising and related consumer marketing expense increased 1.0% during this period. Excluding these advertising and related consumer marketing costs, selling and administrative expenses for 2015 increased by 6.7% compared to 2014, driven by incremental increases from acquired businesses. Excluding the impact of acquisition costs, SM&amp;A expenses for 2015 declined as a result of our continued focus on reducing non-essential spending. SM&amp;A expenses in 2015 were also impacted by charges of $13.6 million attributed to the productivity initiative we announced in June 2015, acquisition and integration costs of $13.6 million, NSRPE of $15.6 million and other business realignment costs of $3.7 million. In 2014, SM&amp;A expenses included acquisition and integration costs of $12.4 million, other business realignment costs of $2.9 million and NSRPE of $0.9 million.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Other Intangible Asset Impairment Charges</w:t>
      </w:r>
    </w:p>
    <w:p>
      <w:pPr>
        <w:spacing w:after="0" w:line="9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2016, in connection with the annual impairment testing of indefinite lived intangible assets, we recognized a trademark impairment charge of $4.2 million, primarily resulting from plans to discontinue a brand sold in India.</w:t>
      </w:r>
    </w:p>
    <w:p>
      <w:pPr>
        <w:spacing w:after="0" w:line="11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As discussed in Note 3 to the Consolidated Financial Statements, the SGM business performed below expectations throughout 2015, with net sales and earnings levels well below pre-acquisition levels. As of result of this declining performance, in the second quarter of 2015 we recorded an estimated goodwill impairment charge of $249.8 million relating to the SGM reporting unit. During the third quarter of 2015, we updated our estimates of the acquisition-date fair values of the net assets acquired, which increased the value of acquired goodwill by $16.6 million. We also finalized the impairment test of the goodwill relating to the SGM reporting unit, which resulted in an additional $16.6 million write-off of this increase to goodwill. During the third quarter of 2015, we also wrote off $14.4 million of goodwill that resulted from the SGM acquisition and was assigned to our existing China chocolate business, as this reporting unit was expected to benefit from acquisition synergies relating to the sale of Golden Monkey-branded product through its Tier 1 and hypermarket distributor networks. This goodwill impairment was driven by the continued declining performance in our China chocolate business through the third quarter of 2015, as a result of the macroeconomic challenges mentioned previously, as well as changing consumer shopping behavior in China.</w:t>
      </w:r>
    </w:p>
    <w:p>
      <w:pPr>
        <w:spacing w:after="0" w:line="11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2014, the annual impairment testing of our India reporting unit resulted in a $11.4 million goodwill impairment charge and a $4.5 million write-down of a trademark associated with the India business. These impairment charges were largely a result of our decision at the time to exit the oils portion of the India business and realign our approach to regional marketing and distribution in India.</w:t>
      </w:r>
    </w:p>
    <w:p>
      <w:pPr>
        <w:spacing w:after="0" w:line="12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assessment of the valuation of goodwill and other long-lived assets is based on management estimates and assumptions, as discussed in our critical accounting policies included in Item 7 of this Annual Report on Form 10-K. These estimates and assumptions are subject to change due to changing economic and competitive conditions.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46" w:right="239" w:bottom="1440" w:gutter="0" w:footer="0" w:header="0"/>
        </w:sectPr>
      </w:pPr>
    </w:p>
    <w:bookmarkStart w:id="26" w:name="page27"/>
    <w:bookmarkEnd w:id="26"/>
    <w:p>
      <w:pPr>
        <w:ind w:left="40"/>
        <w:spacing w:after="0"/>
        <w:rPr>
          <w:sz w:val="20"/>
          <w:szCs w:val="20"/>
          <w:color w:val="auto"/>
        </w:rPr>
      </w:pPr>
      <w:r>
        <w:rPr>
          <w:rFonts w:ascii="Arial" w:cs="Arial" w:eastAsia="Arial" w:hAnsi="Arial"/>
          <w:sz w:val="18"/>
          <w:szCs w:val="18"/>
          <w:b w:val="1"/>
          <w:bCs w:val="1"/>
          <w:color w:val="auto"/>
        </w:rPr>
        <w:t>Business Realignment Activities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We are currently pursuing several business realignment activities designed to increase our efficiency and focus our business behind key growth strategies.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Costs recorded for business realignment activities during 2016, 2015 and 2014 and their classification within the Statements of Income are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For the years ended December 31,</w:t>
            </w:r>
          </w:p>
        </w:tc>
        <w:tc>
          <w:tcPr>
            <w:tcW w:w="4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75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b w:val="1"/>
                <w:bCs w:val="1"/>
                <w:color w:val="auto"/>
              </w:rPr>
              <w:t>2014</w:t>
            </w:r>
          </w:p>
        </w:tc>
      </w:tr>
      <w:tr>
        <w:trPr>
          <w:trHeight w:val="264"/>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In millions of dollars</w:t>
            </w:r>
          </w:p>
        </w:tc>
        <w:tc>
          <w:tcPr>
            <w:tcW w:w="4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56"/>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Operational Optimization Program:</w:t>
            </w:r>
          </w:p>
        </w:tc>
        <w:tc>
          <w:tcPr>
            <w:tcW w:w="4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Severance</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Accelerated depreciation</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Other program costs</w:t>
            </w:r>
          </w:p>
        </w:tc>
        <w:tc>
          <w:tcPr>
            <w:tcW w:w="48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 Productivity Initiative:</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Severance</w:t>
            </w:r>
          </w:p>
        </w:tc>
        <w:tc>
          <w:tcPr>
            <w:tcW w:w="48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Pension settlement charges</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Other program costs</w:t>
            </w:r>
          </w:p>
        </w:tc>
        <w:tc>
          <w:tcPr>
            <w:tcW w:w="48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international restructuring programs:</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Severance</w:t>
            </w:r>
          </w:p>
        </w:tc>
        <w:tc>
          <w:tcPr>
            <w:tcW w:w="48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2.9</w:t>
            </w:r>
          </w:p>
        </w:tc>
      </w:tr>
      <w:tr>
        <w:trPr>
          <w:trHeight w:val="27"/>
        </w:trPr>
        <w:tc>
          <w:tcPr>
            <w:tcW w:w="5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Accelerated depreciation and amortization</w:t>
            </w: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Mauna Loa divestiture</w:t>
            </w:r>
          </w:p>
        </w:tc>
        <w:tc>
          <w:tcPr>
            <w:tcW w:w="48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22.3</w:t>
            </w:r>
          </w:p>
        </w:tc>
      </w:tr>
      <w:tr>
        <w:trPr>
          <w:trHeight w:val="27"/>
        </w:trPr>
        <w:tc>
          <w:tcPr>
            <w:tcW w:w="5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Project Next Century</w:t>
            </w:r>
          </w:p>
        </w:tc>
        <w:tc>
          <w:tcPr>
            <w:tcW w:w="4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w:t>
            </w:r>
          </w:p>
        </w:tc>
      </w:tr>
      <w:tr>
        <w:trPr>
          <w:trHeight w:val="257"/>
        </w:trPr>
        <w:tc>
          <w:tcPr>
            <w:tcW w:w="5380" w:type="dxa"/>
            <w:vAlign w:val="bottom"/>
          </w:tcPr>
          <w:p>
            <w:pPr>
              <w:ind w:left="40"/>
              <w:spacing w:after="0"/>
              <w:rPr>
                <w:sz w:val="20"/>
                <w:szCs w:val="20"/>
                <w:color w:val="auto"/>
              </w:rPr>
            </w:pPr>
            <w:r>
              <w:rPr>
                <w:rFonts w:ascii="Arial" w:cs="Arial" w:eastAsia="Arial" w:hAnsi="Arial"/>
                <w:sz w:val="18"/>
                <w:szCs w:val="18"/>
                <w:color w:val="auto"/>
              </w:rPr>
              <w:t>Total</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107.6</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121.0</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34.3</w:t>
            </w:r>
          </w:p>
        </w:tc>
      </w:tr>
      <w:tr>
        <w:trPr>
          <w:trHeight w:val="20"/>
        </w:trPr>
        <w:tc>
          <w:tcPr>
            <w:tcW w:w="5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Operational Optimization Program</w:t>
      </w:r>
    </w:p>
    <w:p>
      <w:pPr>
        <w:spacing w:after="0" w:line="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In the second quarter of 2016, we commenced a program (the “Operational Optimization Program”) to optimize our production and supply chain network, which includes select facility consolidations. The program encompasses the continued transition of our China chocolate and SGM operations into a united </w:t>
      </w:r>
      <w:r>
        <w:rPr>
          <w:rFonts w:ascii="Arial" w:cs="Arial" w:eastAsia="Arial" w:hAnsi="Arial"/>
          <w:sz w:val="18"/>
          <w:szCs w:val="18"/>
          <w:i w:val="1"/>
          <w:iCs w:val="1"/>
          <w:color w:val="auto"/>
        </w:rPr>
        <w:t xml:space="preserve">Golden Hershey </w:t>
      </w:r>
      <w:r>
        <w:rPr>
          <w:rFonts w:ascii="Arial" w:cs="Arial" w:eastAsia="Arial" w:hAnsi="Arial"/>
          <w:sz w:val="18"/>
          <w:szCs w:val="18"/>
          <w:color w:val="auto"/>
        </w:rPr>
        <w:t>platform, including the integration of the China sales force, as well as workforce planning efforts and the consolidation of production within</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facilities in China and North America.</w:t>
      </w:r>
    </w:p>
    <w:p>
      <w:pPr>
        <w:spacing w:after="0" w:line="13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have incurred pre-tax costs of $88 million to date, including non-cash asset-related incremental depreciation costs, severance and employee benefit costs, costs to consolidate and relocate production, and third-party costs incurred to execute these activities. We currently expect to incur additional cash costs of approximately $37 million over the next two years to complete this program. The Operational Optimization Program is expected to drive annual savings of approximately $52 million by 2018.</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Productivity Initiative</w:t>
      </w:r>
    </w:p>
    <w:p>
      <w:pPr>
        <w:spacing w:after="0" w:line="9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In mid-2015, we initiated a productivity initiative (the “2015 Productivity Initiative”) intended to move decision making closer to the customer and the consumer, to enable a more enterprise-wide approach to innovation, to more swiftly advance our knowledge agenda, and to provide for a more efficient cost structure, while ensuring that we effectively allocate resources to future growth areas. Overall, the 2015 Productivity Initiative was undertaken to simplify the organizational structure to enhance the Company's ability to rapidly anticipate and respond to the changing demands of the global consumer.</w:t>
      </w:r>
    </w:p>
    <w:p>
      <w:pPr>
        <w:spacing w:after="0" w:line="10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2015 Productivity Initiative was executed throughout the third and fourth quarters of 2015, resulting in a net reduction of approximately 300 positions, with the majority of the departures taking place by the end of 2015. For the year ended December 31, 2016, we incurred charges totaling $19.3 million, consisting of pension settlement charges, adjustments to estimated severance benefits and incremental third-party costs related to the design and implementation of the new organizational structure. The 2015 Productivity Initiative was completed during the third quarter of 2016. We incurred total costs of $125.0 million relating to this initiative, including pension settlement charges of $13.7 million recorded in 2016 and $10.2 million recorded in 2015 relating to lump sum withdrawals by employees retiring</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823" w:right="239" w:bottom="1440" w:gutter="0" w:footer="0" w:header="0"/>
        </w:sectPr>
      </w:pPr>
    </w:p>
    <w:bookmarkStart w:id="27" w:name="page28"/>
    <w:bookmarkEnd w:id="27"/>
    <w:p>
      <w:pPr>
        <w:ind w:right="720"/>
        <w:spacing w:after="0" w:line="277" w:lineRule="auto"/>
        <w:rPr>
          <w:sz w:val="20"/>
          <w:szCs w:val="20"/>
          <w:color w:val="auto"/>
        </w:rPr>
      </w:pPr>
      <w:r>
        <w:rPr>
          <w:rFonts w:ascii="Arial" w:cs="Arial" w:eastAsia="Arial" w:hAnsi="Arial"/>
          <w:sz w:val="18"/>
          <w:szCs w:val="18"/>
          <w:color w:val="auto"/>
        </w:rPr>
        <w:t>or leaving the Company as a result of this initiative. We have realized approximately $82 million in savings since inception of the 2015 Productivity Initiative.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international restructuring programs</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Other costs incurred in connection with business realignment activities for the year ended December 31, 2015 related principally to accelerated depreciation and amortization and employee severance costs for multiple programs commenced in 2014 to rationalize certain non-U.S. manufacturing and distribution activities and to establish our own sales and distribution teams in Brazil in connection with our acquisition of the remaining 49% interest in Hershey do Brasil Ltda. under a cooperative agreement with Pandurata Netherlands B.V. ("Bauducco").</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Mauna Loa divestiture</w:t>
      </w:r>
    </w:p>
    <w:p>
      <w:pPr>
        <w:spacing w:after="0" w:line="9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December 2014, we entered into an agreement to sell the Mauna Loa Macadamia Nut Corporation (“Mauna Loa”). As a result of the expected sale, in 2014 we recorded an estimated loss on the anticipated sale of $22.3 million to reflect the disposal entity at fair value, less an estimate of the selling costs. The sale, completed in the first quarter of 2015, resulted in an additional loss on sale of $2.7 million based on updates to the selling expenses and tax benefits.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Project Next Century</w:t>
      </w:r>
    </w:p>
    <w:p>
      <w:pPr>
        <w:spacing w:after="0" w:line="9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2014 costs shown relate primarily to the demolition of the Company’s former manufacturing facility, representing the final phase of the Project Next Century program. As of December 31, 2014, we have concluded Project Next Century.</w:t>
      </w:r>
    </w:p>
    <w:p>
      <w:pPr>
        <w:spacing w:after="0" w:line="11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Segment operating results do not include business realignment and related costs, as these initiatives are generally centrally managed and are not included within our internal measures of segment performance.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Profit and Operating Profit Margin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compared with 2015</w:t>
      </w:r>
    </w:p>
    <w:p>
      <w:pPr>
        <w:spacing w:after="0" w:line="9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Operating profit increased 16.2% in 2016 compared with 2015 due primarily to lower goodwill and intangible asset impairment charges, lower SM&amp;A costs and lower business realignment costs, offset in part by the lower gross profit. Operating profit margin increased to 16.2% in 2016 from 14.0% in 2015 due primarily to these same factors.</w:t>
      </w:r>
    </w:p>
    <w:p>
      <w:pPr>
        <w:spacing w:after="0" w:line="12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On a non-GAAP basis, 2016 operating profit and operating profit margin increased 2.4% and 40 basis points, respectively, reflecting the reduction in total SM&amp;A costs, including advertising and related consumer marketing, offset in part by higher trade promotional spending.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compared with 2014</w:t>
      </w:r>
    </w:p>
    <w:p>
      <w:pPr>
        <w:spacing w:after="0" w:line="9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Operating profit decreased 25.5% in 2015 compared with 2014 due primarily to the goodwill impairment charges, higher SM&amp;A costs related to acquisitions as well as higher business realignment costs, offset in part by the higher gross profit. Operating profit margin decreased to 14.0% in 2015 from 18.8% in 2014 due to the goodwill impairment charges, higher SM&amp;A expenses as a percent of sales, and higher business realignment costs.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On a non-GAAP basis, 2015 operating profit and operating profit margin increased 1.8% and 40 basis points, respectively.</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746"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Interest Expense, Net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compared with 2015</w:t>
      </w:r>
    </w:p>
    <w:p>
      <w:pPr>
        <w:spacing w:after="0" w:line="9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Net interest expense was $15.6 million lower in 2016 than in 2015, as the 2015 amount included the premium paid to repurchase long-term debt as part of a cash tender offer. This decrease was partially offset by lower capitalized interest expense and lower interest income.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compared with 2014</w:t>
      </w:r>
    </w:p>
    <w:p>
      <w:pPr>
        <w:spacing w:after="0" w:line="9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Net interest expense was $22.3 million higher in 2015 than in 2014 due primarily to the premium paid to repurchase long-term debt as part of a cash tender offer. This increase was partially offset by higher capitalized interest expense coupled with savings resulting from fixed-to-floating interest rate swap agreements put in place toward the end of 2014.</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compared with 2015</w:t>
      </w:r>
    </w:p>
    <w:p>
      <w:pPr>
        <w:spacing w:after="0" w:line="9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Other (income) expense, net was $13.9 million lower in 2016 than 2015, due primarily to the $26.7 million settlement of the SGM liability in 2016, partially offset by an increase in the write-down of equity investments qualifying for federal historic and energy tax credits.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compared with 2014</w:t>
      </w:r>
    </w:p>
    <w:p>
      <w:pPr>
        <w:spacing w:after="0" w:line="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Other (income) expense, net was $27.4 million higher in 2015 than 2014, due primarily to the write-down of equity investments qualifying for federal historic and energy tax credits, partially offset by the gain on the sale of a non-core trademark.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and Effective Tax Rate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compared with 2015</w:t>
      </w:r>
    </w:p>
    <w:p>
      <w:pPr>
        <w:spacing w:after="0" w:line="90"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Our effective income tax rate was 34.5% for 2016 compared with 43.1% for 2015. The 2015 tax rate was significantly impacted by the non-deductible goodwill impairment charges. Excluding the impact of the goodwill impairment and other non-GAAP charges, the 2016 effective income tax rate was 190 basis points lower than the 2015 rate. The 2016 non-GAAP rate reflects greater benefit from manufacturing deductions, research and development and investment tax credits, and a favorable foreign rate differential relating to our cocoa procurement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compared with 2014</w:t>
      </w:r>
    </w:p>
    <w:p>
      <w:pPr>
        <w:spacing w:after="0" w:line="90"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Our effective income tax rate was 43.1% for 2015 compared with 35.2% for 2014. The 2015 tax rate was significantly impacted by the non-deductible goodwill impairment charges. Excluding the impact of the goodwill impairment and other non-GAAP charges, the 2015 effective income tax rate was 130 basis points lower than the 2014 rate. The 2015 rate benefited from tax credits realized from the investment tax strategy initiated in the second quarter of 2015, which was partially offset by the valuation allowance recorded against the SGM net operating loss carryforwards.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and Net Income Per Share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compared with 2015</w:t>
      </w:r>
    </w:p>
    <w:p>
      <w:pPr>
        <w:spacing w:after="0" w:line="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Net income increased $207.0 million, or 40.4%, while EPS-diluted increased $1.02, or 44.0%, in 2016 compared with 2015. The increases in both net income and EPS-diluted were driven by the lower goodwill and intangible asset impairment charges, lower SM&amp;A costs and lower business realignment costs, as noted above. Our 2016 EPS-diluted also benefited from lower weighted-average shares outstanding as a result of share repurchases pursuant to our Board-approved repurchase programs.</w:t>
      </w:r>
    </w:p>
    <w:p>
      <w:pPr>
        <w:spacing w:after="0" w:line="133"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On a non-GAAP basis, net income increased $38.8 million in 2016, or 4.3%, and EPS-diluted increased $0.29, or 7.0%, as compared with 2015. The increases in 2016 non-GAAP net income and non-GAAP EPS-diluted were primarily driven by the lower SM&amp;A expense as well as the lower tax rate.</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823"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2015 compared with 2014</w:t>
      </w:r>
    </w:p>
    <w:p>
      <w:pPr>
        <w:spacing w:after="0" w:line="9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Net income decreased $333.9 million, or 39.4%, while EPS-diluted decreased $1.45, or 38.5%, in 2015 compared with 2014. The decreases in both net income and EPS-diluted were driven by the goodwill impairment charges, higher SM&amp;A costs related to acquisitions and higher business realignment costs, as noted above. Our 2015 EPS-diluted benefited from lower weighted-average shares outstanding as a result of share repurchases pursuant to our Board-approved repurchase programs.</w:t>
      </w:r>
    </w:p>
    <w:p>
      <w:pPr>
        <w:spacing w:after="0" w:line="133"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On a non-GAAP basis, net income increased $13.8 million in 2015, or 1.5%, and EPS-diluted increased $0.14, or 3.5%, as compared with 2014. The increases in 2015 non-GAAP net income and non-GAAP EPS-diluted were primarily driven by gross margin expansion and lower net interest expense.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9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summary that follows provides a discussion of the results of operations of our two reportable segments: North America and International and Other. The segments reflect our operations on a geographic basis. For segment reporting purposes, we use “segment income” to evaluate segment performance and allocate resources. Segment income excludes unallocated general corporate administrative expenses, unallocated mark-to-market gains and losses on commodity derivatives, business realignment and impairment charges, acquisition integration costs, NSRPE(I) and other unusual gains or losses that are not part of our measurement of segment performance. These items of our operating income are largely managed centrally at the corporate level and are excluded from the measure of segment income reviewed by the CODM and used for resource allocation and internal management reporting and performance evaluation. Segment income and segment income margin, which are presented in the segment discussion that follows, are non-GAAP measures and do not purport to be alternatives to operating income as a measure of operating performance. We believe that these measures are useful to investors and other users of our financial information in evaluating ongoing operating profitability as well as in evaluating operating performance in relation to our competitors, as they exclude the activities that are not integral to our ongoing operations. For further information, see the Non-GAAP Information section of this MD&amp;A.</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044"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Our segment results, including a reconciliation to our consolidated results, were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9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For the years ended December 31,</w:t>
            </w: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61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61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2014</w:t>
            </w: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4"/>
                <w:szCs w:val="14"/>
                <w:b w:val="1"/>
                <w:bCs w:val="1"/>
                <w:color w:val="auto"/>
              </w:rPr>
              <w:t>In millions of dollars</w:t>
            </w: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56"/>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r>
      <w:tr>
        <w:trPr>
          <w:trHeight w:val="243"/>
        </w:trPr>
        <w:tc>
          <w:tcPr>
            <w:tcW w:w="6080" w:type="dxa"/>
            <w:vAlign w:val="bottom"/>
            <w:gridSpan w:val="2"/>
          </w:tcPr>
          <w:p>
            <w:pPr>
              <w:ind w:left="280"/>
              <w:spacing w:after="0"/>
              <w:rPr>
                <w:sz w:val="20"/>
                <w:szCs w:val="20"/>
                <w:color w:val="auto"/>
              </w:rPr>
            </w:pPr>
            <w:r>
              <w:rPr>
                <w:rFonts w:ascii="Arial" w:cs="Arial" w:eastAsia="Arial" w:hAnsi="Arial"/>
                <w:sz w:val="18"/>
                <w:szCs w:val="18"/>
                <w:color w:val="auto"/>
              </w:rPr>
              <w:t>North America</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6,533.0</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6,468.1</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6,352.7</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International and Other</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907.2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918.5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1,069.1</w:t>
            </w:r>
          </w:p>
        </w:tc>
      </w:tr>
      <w:tr>
        <w:trPr>
          <w:trHeight w:val="297"/>
        </w:trPr>
        <w:tc>
          <w:tcPr>
            <w:tcW w:w="60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7,440.2</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7,386.6</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7,421.8</w:t>
            </w:r>
          </w:p>
        </w:tc>
      </w:tr>
      <w:tr>
        <w:trPr>
          <w:trHeight w:val="311"/>
        </w:trPr>
        <w:tc>
          <w:tcPr>
            <w:tcW w:w="5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Segment Income (Loss):</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North America</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2,041.0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2,074.0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1,916.2</w:t>
            </w:r>
          </w:p>
        </w:tc>
      </w:tr>
      <w:tr>
        <w:trPr>
          <w:trHeight w:val="243"/>
        </w:trPr>
        <w:tc>
          <w:tcPr>
            <w:tcW w:w="6080" w:type="dxa"/>
            <w:vAlign w:val="bottom"/>
            <w:gridSpan w:val="2"/>
          </w:tcPr>
          <w:p>
            <w:pPr>
              <w:ind w:left="280"/>
              <w:spacing w:after="0"/>
              <w:rPr>
                <w:sz w:val="20"/>
                <w:szCs w:val="20"/>
                <w:color w:val="auto"/>
              </w:rPr>
            </w:pPr>
            <w:r>
              <w:rPr>
                <w:rFonts w:ascii="Arial" w:cs="Arial" w:eastAsia="Arial" w:hAnsi="Arial"/>
                <w:sz w:val="18"/>
                <w:szCs w:val="18"/>
                <w:color w:val="auto"/>
              </w:rPr>
              <w:t>International and Other</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(98.1)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40.0</w:t>
            </w:r>
          </w:p>
        </w:tc>
      </w:tr>
      <w:tr>
        <w:trPr>
          <w:trHeight w:val="27"/>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segment income</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2,011.9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1,975.9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1,956.2</w:t>
            </w: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Unallocated corporate expense (1)</w:t>
            </w:r>
          </w:p>
        </w:tc>
        <w:tc>
          <w:tcPr>
            <w:tcW w:w="40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497.4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497.4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503.2</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Unallocated mark-to-market losses on commodity derivatives (2)</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Goodwill and other intangible asset impairment charges</w:t>
            </w:r>
          </w:p>
        </w:tc>
        <w:tc>
          <w:tcPr>
            <w:tcW w:w="40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280.8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15.9</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Costs associated with business realignment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w:t>
            </w: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Non-service related pension expense (income)</w:t>
            </w:r>
          </w:p>
        </w:tc>
        <w:tc>
          <w:tcPr>
            <w:tcW w:w="40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Acquisition and integration costs</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w:t>
            </w:r>
          </w:p>
        </w:tc>
      </w:tr>
      <w:tr>
        <w:trPr>
          <w:trHeight w:val="237"/>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Operating profit</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1,205.8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1,037.7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1,392.2</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83.5</w:t>
            </w: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Other (income) expense, net</w:t>
            </w:r>
          </w:p>
        </w:tc>
        <w:tc>
          <w:tcPr>
            <w:tcW w:w="40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2.7</w:t>
            </w:r>
          </w:p>
        </w:tc>
      </w:tr>
      <w:tr>
        <w:trPr>
          <w:trHeight w:val="27"/>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1,099.5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901.8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1,306.0</w:t>
            </w: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left="340" w:right="60" w:hanging="332"/>
        <w:spacing w:after="0" w:line="261"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and (d) other gains or losses that are not integral to segment performance.</w:t>
      </w:r>
    </w:p>
    <w:p>
      <w:pPr>
        <w:spacing w:after="0" w:line="47" w:lineRule="exact"/>
        <w:rPr>
          <w:rFonts w:ascii="Arial" w:cs="Arial" w:eastAsia="Arial" w:hAnsi="Arial"/>
          <w:sz w:val="16"/>
          <w:szCs w:val="16"/>
          <w:color w:val="auto"/>
        </w:rPr>
      </w:pPr>
    </w:p>
    <w:p>
      <w:pPr>
        <w:ind w:left="340" w:right="140" w:hanging="332"/>
        <w:spacing w:after="0" w:line="275"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Reflects gains and losses on commodity derivative instruments that are excluded from segment income until the related inventory is sold. See Note 5 to the Consolidated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94"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North America segment is responsible for our chocolate and non-chocolate confectionery market position, as well as our grocery and growing snacks market positions, in the United States and Canada. This includes developing and growing our business in chocolate and non-chocolate confectionery, pantry, food service and other snacking product lines. North America accounted for 87.8%, 87.6% and 85.6% of our net sales in 2016, 2015 and 2014, respectively. North America results for the years ended December 31, 2016, 2015 and 2014 were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720" w:type="dxa"/>
            <w:vAlign w:val="bottom"/>
            <w:tcBorders>
              <w:bottom w:val="single" w:sz="8" w:color="auto"/>
            </w:tcBorders>
            <w:gridSpan w:val="2"/>
          </w:tcPr>
          <w:p>
            <w:pPr>
              <w:jc w:val="right"/>
              <w:ind w:right="556"/>
              <w:spacing w:after="0"/>
              <w:rPr>
                <w:sz w:val="20"/>
                <w:szCs w:val="20"/>
                <w:color w:val="auto"/>
              </w:rPr>
            </w:pPr>
            <w:r>
              <w:rPr>
                <w:rFonts w:ascii="Arial" w:cs="Arial" w:eastAsia="Arial" w:hAnsi="Arial"/>
                <w:sz w:val="14"/>
                <w:szCs w:val="14"/>
                <w:b w:val="1"/>
                <w:bCs w:val="1"/>
                <w:color w:val="auto"/>
              </w:rPr>
              <w:t>Percent / Point Change</w:t>
            </w:r>
          </w:p>
        </w:tc>
      </w:tr>
      <w:tr>
        <w:trPr>
          <w:trHeight w:val="264"/>
        </w:trPr>
        <w:tc>
          <w:tcPr>
            <w:tcW w:w="32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For the years ended December 31,</w:t>
            </w:r>
          </w:p>
        </w:tc>
        <w:tc>
          <w:tcPr>
            <w:tcW w:w="1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2016</w:t>
            </w:r>
          </w:p>
        </w:tc>
        <w:tc>
          <w:tcPr>
            <w:tcW w:w="4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2015</w:t>
            </w: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2014</w:t>
            </w:r>
          </w:p>
        </w:tc>
        <w:tc>
          <w:tcPr>
            <w:tcW w:w="15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2016 vs 2015</w:t>
            </w:r>
          </w:p>
        </w:tc>
        <w:tc>
          <w:tcPr>
            <w:tcW w:w="12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2015 vs 2014</w:t>
            </w:r>
          </w:p>
        </w:tc>
      </w:tr>
      <w:tr>
        <w:trPr>
          <w:trHeight w:val="264"/>
        </w:trPr>
        <w:tc>
          <w:tcPr>
            <w:tcW w:w="3220" w:type="dxa"/>
            <w:vAlign w:val="bottom"/>
          </w:tcPr>
          <w:p>
            <w:pPr>
              <w:ind w:left="40"/>
              <w:spacing w:after="0"/>
              <w:rPr>
                <w:sz w:val="20"/>
                <w:szCs w:val="20"/>
                <w:color w:val="auto"/>
              </w:rPr>
            </w:pPr>
            <w:r>
              <w:rPr>
                <w:rFonts w:ascii="Arial" w:cs="Arial" w:eastAsia="Arial" w:hAnsi="Arial"/>
                <w:sz w:val="14"/>
                <w:szCs w:val="14"/>
                <w:b w:val="1"/>
                <w:bCs w:val="1"/>
                <w:color w:val="auto"/>
              </w:rPr>
              <w:t>In millions of dollars</w:t>
            </w:r>
          </w:p>
        </w:tc>
        <w:tc>
          <w:tcPr>
            <w:tcW w:w="1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56"/>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6,533.0</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6,468.1</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rPr>
              <w:t>6,352.7</w:t>
            </w:r>
          </w:p>
        </w:tc>
        <w:tc>
          <w:tcPr>
            <w:tcW w:w="15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1.0 %</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Segment income</w:t>
            </w:r>
          </w:p>
        </w:tc>
        <w:tc>
          <w:tcPr>
            <w:tcW w:w="1220" w:type="dxa"/>
            <w:vAlign w:val="bottom"/>
          </w:tcPr>
          <w:p>
            <w:pPr>
              <w:spacing w:after="0"/>
              <w:rPr>
                <w:sz w:val="21"/>
                <w:szCs w:val="21"/>
                <w:color w:val="auto"/>
              </w:rPr>
            </w:pP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2,041.0</w:t>
            </w:r>
          </w:p>
        </w:tc>
        <w:tc>
          <w:tcPr>
            <w:tcW w:w="400" w:type="dxa"/>
            <w:vAlign w:val="bottom"/>
          </w:tcPr>
          <w:p>
            <w:pPr>
              <w:spacing w:after="0"/>
              <w:rPr>
                <w:sz w:val="21"/>
                <w:szCs w:val="21"/>
                <w:color w:val="auto"/>
              </w:rPr>
            </w:pP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2,074.0</w:t>
            </w:r>
          </w:p>
        </w:tc>
        <w:tc>
          <w:tcPr>
            <w:tcW w:w="400" w:type="dxa"/>
            <w:vAlign w:val="bottom"/>
          </w:tcPr>
          <w:p>
            <w:pPr>
              <w:spacing w:after="0"/>
              <w:rPr>
                <w:sz w:val="21"/>
                <w:szCs w:val="21"/>
                <w:color w:val="auto"/>
              </w:rPr>
            </w:pPr>
          </w:p>
        </w:tc>
        <w:tc>
          <w:tcPr>
            <w:tcW w:w="1200" w:type="dxa"/>
            <w:vAlign w:val="bottom"/>
          </w:tcPr>
          <w:p>
            <w:pPr>
              <w:jc w:val="right"/>
              <w:ind w:right="212"/>
              <w:spacing w:after="0"/>
              <w:rPr>
                <w:sz w:val="20"/>
                <w:szCs w:val="20"/>
                <w:color w:val="auto"/>
              </w:rPr>
            </w:pPr>
            <w:r>
              <w:rPr>
                <w:rFonts w:ascii="Arial" w:cs="Arial" w:eastAsia="Arial" w:hAnsi="Arial"/>
                <w:sz w:val="18"/>
                <w:szCs w:val="18"/>
                <w:color w:val="auto"/>
              </w:rPr>
              <w:t>1,916.2</w:t>
            </w:r>
          </w:p>
        </w:tc>
        <w:tc>
          <w:tcPr>
            <w:tcW w:w="1500" w:type="dxa"/>
            <w:vAlign w:val="bottom"/>
          </w:tcPr>
          <w:p>
            <w:pPr>
              <w:jc w:val="right"/>
              <w:ind w:right="119"/>
              <w:spacing w:after="0"/>
              <w:rPr>
                <w:sz w:val="20"/>
                <w:szCs w:val="20"/>
                <w:color w:val="auto"/>
              </w:rPr>
            </w:pPr>
            <w:r>
              <w:rPr>
                <w:rFonts w:ascii="Arial" w:cs="Arial" w:eastAsia="Arial" w:hAnsi="Arial"/>
                <w:sz w:val="18"/>
                <w:szCs w:val="18"/>
                <w:color w:val="auto"/>
              </w:rPr>
              <w:t>(1.6)%</w:t>
            </w:r>
          </w:p>
        </w:tc>
        <w:tc>
          <w:tcPr>
            <w:tcW w:w="12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7"/>
        </w:trPr>
        <w:tc>
          <w:tcPr>
            <w:tcW w:w="3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3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Segment margin</w:t>
            </w:r>
          </w:p>
        </w:tc>
        <w:tc>
          <w:tcPr>
            <w:tcW w:w="1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31.2%</w:t>
            </w:r>
          </w:p>
        </w:tc>
        <w:tc>
          <w:tcPr>
            <w:tcW w:w="4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32.1%</w:t>
            </w:r>
          </w:p>
        </w:tc>
        <w:tc>
          <w:tcPr>
            <w:tcW w:w="4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i w:val="1"/>
                <w:iCs w:val="1"/>
                <w:color w:val="auto"/>
              </w:rPr>
              <w:t>30.2%</w:t>
            </w:r>
          </w:p>
        </w:tc>
        <w:tc>
          <w:tcPr>
            <w:tcW w:w="15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7"/>
        </w:trPr>
        <w:tc>
          <w:tcPr>
            <w:tcW w:w="32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compared with 2015</w:t>
      </w:r>
    </w:p>
    <w:p>
      <w:pPr>
        <w:spacing w:after="0" w:line="9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Net sales of our North America segment increased $64.9 million or 1.0% in 2016 compared to 2015, reflecting volume increases of 1.4% and the favorable net impact of acquisitions and divestitures of 0.7%, partially offset by unfavorable net price realization of 0.9% and an unfavorable impact from foreign currency exchange rates that reduced net sales by</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46" w:right="239" w:bottom="1440" w:gutter="0" w:footer="0" w:header="0"/>
        </w:sectPr>
      </w:pPr>
    </w:p>
    <w:bookmarkStart w:id="31" w:name="page32"/>
    <w:bookmarkEnd w:id="31"/>
    <w:p>
      <w:pPr>
        <w:ind w:right="40"/>
        <w:spacing w:after="0" w:line="276" w:lineRule="auto"/>
        <w:rPr>
          <w:sz w:val="20"/>
          <w:szCs w:val="20"/>
          <w:color w:val="auto"/>
        </w:rPr>
      </w:pPr>
      <w:r>
        <w:rPr>
          <w:rFonts w:ascii="Arial" w:cs="Arial" w:eastAsia="Arial" w:hAnsi="Arial"/>
          <w:sz w:val="17"/>
          <w:szCs w:val="17"/>
          <w:color w:val="auto"/>
        </w:rPr>
        <w:t>approximately 0.2%. Our 2016 North America performance was similar to the slower growth experienced by other CPG companies. Additionally, the U.S. CMG category and manufacturers were impacted by a shorter Easter season and merchandising and display strategies at select customers. The segment's volume increase was primarily attributable to new product introductions, partially offset by lower everyday product sales. The unfavorable net price realization resulted from increased levels of trade promotional spending necessary to support higher levels of in-store merchandising and display activity. Our Canada operations were impacted by the stronger U.S. dollar, which drove the unfavorable foreign currency impact.</w:t>
      </w:r>
    </w:p>
    <w:p>
      <w:pPr>
        <w:spacing w:after="0" w:line="91"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Our North America segment income decreased $33.0 million or 1.6% in 2016 compared to 2015, driven by lower gross margin as higher trade promotional spending and higher supply chain costs were only partially offset by the benefit from supply chain productivity and cost savings initiatives.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compared with 2014</w:t>
      </w:r>
    </w:p>
    <w:p>
      <w:pPr>
        <w:spacing w:after="0" w:line="9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Net sales of our North America segment increased $115.4 million or 1.8% in 2015 compared to 2014, reflecting net price realization of 4.8% and the favorable net impact of acquisitions and divestitures of 0.3%, substantially offset by volume declines of 2.5% and an unfavorable impact from foreign currency exchange rates that reduced net sales by approximately 0.8%. The volume decline was due to elasticity related to the 2014 pricing action as well as lower everyday product sales, which were impacted by changing consumer shopping habits, such as channel shifting and e-commerce, an increase in competitive activity and a proliferation of broader snacking options in the marketplace. Our Canada operations were impacted by the stronger U.S. dollar, which drove the unfavorable foreign currency impact.</w:t>
      </w:r>
    </w:p>
    <w:p>
      <w:pPr>
        <w:spacing w:after="0" w:line="11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Our North America segment income increased $157.8 million or 8.2% in 2015 compared to 2014, driven by gross margin expansion, primarily due to favorable price realization and supply chain productivity, which offset volume declines and input cost increases.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and Other</w:t>
      </w:r>
    </w:p>
    <w:p>
      <w:pPr>
        <w:spacing w:after="0" w:line="9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International and Other segment includes all other countries where we currently manufacture, import, market, sell or distribute chocolate and non-chocolate confectionery and other products. Currently, this includes our operations in China and other Asia markets, Latin America, Europe, Africa and the Middle East, along with exports to these regions. While a less significant component, this segment also includes our global retail operations, including Hershey’s Chocolate World stores in Hershey, Pennsylvania, New York City, Las Vegas, Shanghai, Niagara Falls (Ontario), Dubai and Singapore, as well as operations associated with licensing the use of certain trademarks and products to third parties around the world. International and Other accounted for 12.2%, 12.4% and 14.4% of our net sales in 2016, 2015 and 2014, respectively. International and Other results for the years ended December 31, 2016, 2015 and 2014 were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760" w:type="dxa"/>
            <w:vAlign w:val="bottom"/>
            <w:tcBorders>
              <w:bottom w:val="single" w:sz="8" w:color="auto"/>
            </w:tcBorders>
            <w:gridSpan w:val="2"/>
          </w:tcPr>
          <w:p>
            <w:pPr>
              <w:ind w:left="680"/>
              <w:spacing w:after="0"/>
              <w:rPr>
                <w:sz w:val="20"/>
                <w:szCs w:val="20"/>
                <w:color w:val="auto"/>
              </w:rPr>
            </w:pPr>
            <w:r>
              <w:rPr>
                <w:rFonts w:ascii="Arial" w:cs="Arial" w:eastAsia="Arial" w:hAnsi="Arial"/>
                <w:sz w:val="14"/>
                <w:szCs w:val="14"/>
                <w:b w:val="1"/>
                <w:bCs w:val="1"/>
                <w:color w:val="auto"/>
              </w:rPr>
              <w:t>Percent / Point Change</w:t>
            </w:r>
          </w:p>
        </w:tc>
      </w:tr>
      <w:tr>
        <w:trPr>
          <w:trHeight w:val="264"/>
        </w:trPr>
        <w:tc>
          <w:tcPr>
            <w:tcW w:w="31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For the years ended December 31,</w:t>
            </w:r>
          </w:p>
        </w:tc>
        <w:tc>
          <w:tcPr>
            <w:tcW w:w="1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2016</w:t>
            </w: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2015</w:t>
            </w: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2014</w:t>
            </w:r>
          </w:p>
        </w:tc>
        <w:tc>
          <w:tcPr>
            <w:tcW w:w="15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2016 vs 2015</w:t>
            </w:r>
          </w:p>
        </w:tc>
        <w:tc>
          <w:tcPr>
            <w:tcW w:w="12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2015 vs 2014</w:t>
            </w:r>
          </w:p>
        </w:tc>
      </w:tr>
      <w:tr>
        <w:trPr>
          <w:trHeight w:val="264"/>
        </w:trPr>
        <w:tc>
          <w:tcPr>
            <w:tcW w:w="3180" w:type="dxa"/>
            <w:vAlign w:val="bottom"/>
          </w:tcPr>
          <w:p>
            <w:pPr>
              <w:ind w:left="40"/>
              <w:spacing w:after="0"/>
              <w:rPr>
                <w:sz w:val="20"/>
                <w:szCs w:val="20"/>
                <w:color w:val="auto"/>
              </w:rPr>
            </w:pPr>
            <w:r>
              <w:rPr>
                <w:rFonts w:ascii="Arial" w:cs="Arial" w:eastAsia="Arial" w:hAnsi="Arial"/>
                <w:sz w:val="14"/>
                <w:szCs w:val="14"/>
                <w:b w:val="1"/>
                <w:bCs w:val="1"/>
                <w:color w:val="auto"/>
              </w:rPr>
              <w:t>In millions of dollars</w:t>
            </w:r>
          </w:p>
        </w:tc>
        <w:tc>
          <w:tcPr>
            <w:tcW w:w="1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56"/>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rPr>
              <w:t>907.2</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rPr>
              <w:t>918.5</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rPr>
              <w:t>1,069.1</w:t>
            </w:r>
          </w:p>
        </w:tc>
        <w:tc>
          <w:tcPr>
            <w:tcW w:w="15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(1.2)%</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Segment (loss) income</w:t>
            </w:r>
          </w:p>
        </w:tc>
        <w:tc>
          <w:tcPr>
            <w:tcW w:w="1200" w:type="dxa"/>
            <w:vAlign w:val="bottom"/>
          </w:tcPr>
          <w:p>
            <w:pPr>
              <w:spacing w:after="0"/>
              <w:rPr>
                <w:sz w:val="21"/>
                <w:szCs w:val="21"/>
                <w:color w:val="auto"/>
              </w:rPr>
            </w:pP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(29.1)</w:t>
            </w:r>
          </w:p>
        </w:tc>
        <w:tc>
          <w:tcPr>
            <w:tcW w:w="400" w:type="dxa"/>
            <w:vAlign w:val="bottom"/>
          </w:tcPr>
          <w:p>
            <w:pPr>
              <w:spacing w:after="0"/>
              <w:rPr>
                <w:sz w:val="21"/>
                <w:szCs w:val="21"/>
                <w:color w:val="auto"/>
              </w:rPr>
            </w:pP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(98.1)</w:t>
            </w:r>
          </w:p>
        </w:tc>
        <w:tc>
          <w:tcPr>
            <w:tcW w:w="380" w:type="dxa"/>
            <w:vAlign w:val="bottom"/>
          </w:tcPr>
          <w:p>
            <w:pPr>
              <w:spacing w:after="0"/>
              <w:rPr>
                <w:sz w:val="21"/>
                <w:szCs w:val="21"/>
                <w:color w:val="auto"/>
              </w:rPr>
            </w:pPr>
          </w:p>
        </w:tc>
        <w:tc>
          <w:tcPr>
            <w:tcW w:w="1180" w:type="dxa"/>
            <w:vAlign w:val="bottom"/>
          </w:tcPr>
          <w:p>
            <w:pPr>
              <w:jc w:val="right"/>
              <w:ind w:right="212"/>
              <w:spacing w:after="0"/>
              <w:rPr>
                <w:sz w:val="20"/>
                <w:szCs w:val="20"/>
                <w:color w:val="auto"/>
              </w:rPr>
            </w:pPr>
            <w:r>
              <w:rPr>
                <w:rFonts w:ascii="Arial" w:cs="Arial" w:eastAsia="Arial" w:hAnsi="Arial"/>
                <w:sz w:val="18"/>
                <w:szCs w:val="18"/>
                <w:color w:val="auto"/>
              </w:rPr>
              <w:t>40.0</w:t>
            </w:r>
          </w:p>
        </w:tc>
        <w:tc>
          <w:tcPr>
            <w:tcW w:w="1500" w:type="dxa"/>
            <w:vAlign w:val="bottom"/>
          </w:tcPr>
          <w:p>
            <w:pPr>
              <w:ind w:left="800"/>
              <w:spacing w:after="0"/>
              <w:rPr>
                <w:sz w:val="20"/>
                <w:szCs w:val="20"/>
                <w:color w:val="auto"/>
              </w:rPr>
            </w:pPr>
            <w:r>
              <w:rPr>
                <w:rFonts w:ascii="Arial" w:cs="Arial" w:eastAsia="Arial" w:hAnsi="Arial"/>
                <w:sz w:val="18"/>
                <w:szCs w:val="18"/>
                <w:color w:val="auto"/>
              </w:rPr>
              <w:t>NM</w:t>
            </w:r>
          </w:p>
        </w:tc>
        <w:tc>
          <w:tcPr>
            <w:tcW w:w="1260" w:type="dxa"/>
            <w:vAlign w:val="bottom"/>
          </w:tcPr>
          <w:p>
            <w:pPr>
              <w:jc w:val="right"/>
              <w:ind w:right="156"/>
              <w:spacing w:after="0"/>
              <w:rPr>
                <w:sz w:val="20"/>
                <w:szCs w:val="20"/>
                <w:color w:val="auto"/>
              </w:rPr>
            </w:pPr>
            <w:r>
              <w:rPr>
                <w:rFonts w:ascii="Arial" w:cs="Arial" w:eastAsia="Arial" w:hAnsi="Arial"/>
                <w:sz w:val="18"/>
                <w:szCs w:val="18"/>
                <w:color w:val="auto"/>
              </w:rPr>
              <w:t>NM</w:t>
            </w:r>
          </w:p>
        </w:tc>
      </w:tr>
      <w:tr>
        <w:trPr>
          <w:trHeight w:val="27"/>
        </w:trPr>
        <w:tc>
          <w:tcPr>
            <w:tcW w:w="3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margin</w:t>
            </w:r>
          </w:p>
        </w:tc>
        <w:tc>
          <w:tcPr>
            <w:tcW w:w="1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(3.2)%</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(10.7)%</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i w:val="1"/>
                <w:iCs w:val="1"/>
                <w:color w:val="auto"/>
              </w:rPr>
              <w:t>3.7%</w:t>
            </w:r>
          </w:p>
        </w:tc>
        <w:tc>
          <w:tcPr>
            <w:tcW w:w="15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97"/>
        </w:trPr>
        <w:tc>
          <w:tcPr>
            <w:tcW w:w="3180" w:type="dxa"/>
            <w:vAlign w:val="bottom"/>
          </w:tcPr>
          <w:p>
            <w:pPr>
              <w:spacing w:after="0"/>
              <w:rPr>
                <w:sz w:val="20"/>
                <w:szCs w:val="20"/>
                <w:color w:val="auto"/>
              </w:rPr>
            </w:pPr>
            <w:r>
              <w:rPr>
                <w:rFonts w:ascii="Arial" w:cs="Arial" w:eastAsia="Arial" w:hAnsi="Arial"/>
                <w:sz w:val="18"/>
                <w:szCs w:val="18"/>
                <w:i w:val="1"/>
                <w:iCs w:val="1"/>
                <w:color w:val="auto"/>
              </w:rPr>
              <w:t>2016 compared with 2015</w:t>
            </w: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6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Net sales of our International and Other segment decreased $11.3 million or 1.2% in 2016 compared to 2015, reflecting an unfavorable impact from foreign currency exchange rates of 4.4%, volume declines of 3.7% and the unfavorable impact of net acquisitions and divestitures of 0.1%, substantially offset by favorable net price realization of 7.0%. Excluding the unfavorable impact of foreign currency exchange rates, the net sales of our International and Other segment increased by approximately 3.2%.</w:t>
      </w:r>
    </w:p>
    <w:p>
      <w:pPr>
        <w:spacing w:after="0" w:line="187"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 favorable net price realization was driven by lower direct trade expense as well as lower returns, discounts and allowances in China, which declined significantly compared to the prior year. The volume decrease primarily related to lower sales in India due to the discontinuance of the edible oil business as well as lower sales in our global retail and licensing business, partially offset by net sales increases in Latin America and select export markets. Constant</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665" w:right="239" w:bottom="1440" w:gutter="0" w:footer="0" w:header="0"/>
        </w:sectPr>
      </w:pPr>
    </w:p>
    <w:bookmarkStart w:id="32" w:name="page33"/>
    <w:bookmarkEnd w:id="32"/>
    <w:p>
      <w:pPr>
        <w:spacing w:after="0"/>
        <w:rPr>
          <w:sz w:val="20"/>
          <w:szCs w:val="20"/>
          <w:color w:val="auto"/>
        </w:rPr>
      </w:pPr>
      <w:r>
        <w:rPr>
          <w:rFonts w:ascii="Arial" w:cs="Arial" w:eastAsia="Arial" w:hAnsi="Arial"/>
          <w:sz w:val="17"/>
          <w:szCs w:val="17"/>
          <w:color w:val="auto"/>
        </w:rPr>
        <w:t>currency net sales in Mexico and Brazil increased on a combined basis by approximately 13%, driven by solid chocolate marketplace performance.</w:t>
      </w:r>
    </w:p>
    <w:p>
      <w:pPr>
        <w:spacing w:after="0" w:line="156"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Our International and Other segment loss decreased $69.0 million in 2016 compared to 2015. Combined income in Latin America and export markets improved versus the prior year and performance in China benefited from lower direct trade and returns, discounts and allowances that were significantly lower than the prior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compared with 2014</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Net sales of our International and Other segment decreased $150.6 million or 14.1% in 2015 compared to 2014, reflecting volume declines of 9.0%, an unfavorable impact from foreign currency exchange rates of 6.2% and unfavorable net price realization of 4.0%, partially offset by incremental revenue from the acquisition of SGM representing an increase of 5.1% to 2015 net sales. Excluding the unfavorable impact of foreign currency exchange rates, the net sales of our International and Other segment declined approximately 7.9%.</w:t>
      </w:r>
    </w:p>
    <w:p>
      <w:pPr>
        <w:spacing w:after="0" w:line="187"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The net sales decline was driven by volume declines in our China chocolate business. In 2015, chocolate category growth in China was flat relative to the prior year; however our 2015 chocolate retail takeaway in China declined by 11%, resulting in a market share decline in China of 1.1%.</w:t>
      </w:r>
    </w:p>
    <w:p>
      <w:pPr>
        <w:spacing w:after="0" w:line="14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Performance in our focus markets of Mexico and Brazil improved and, on a constant currency basis, net sales in 2015 in these countries increased by approximately 6% and 3%, respectively, versus 2014. Constant currency net sales in India declined in 2015, primarily due to the planned discontinuance of edible oil products.</w:t>
      </w:r>
    </w:p>
    <w:p>
      <w:pPr>
        <w:spacing w:after="0" w:line="10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International and Other segment loss was $98.1 million in 2015 compared to segment income of $40.0 million in 2014. The decline was primarily attributable to lower net sales of chocolate products in China, coupled with losses at SGM as that business was also impacted by the uncertain macroeconomic conditions in China as well as incremental integration-related costs.</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Unallocated Corporate Expense</w:t>
      </w:r>
    </w:p>
    <w:p>
      <w:pPr>
        <w:spacing w:after="0" w:line="22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Unallocated corporate expense 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and (d) other gains or losses that are not integral to segment performance.</w:t>
      </w:r>
    </w:p>
    <w:p>
      <w:pPr>
        <w:spacing w:after="0" w:line="66"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Unallocated corporate expense totaled $497.4 million in both 2016 and 2015. Savings realized in 2016 from our productivity and cost savings initiatives were offset by higher employee-related costs and an increase in corporate depreciation and amortization. As compared to 2014 unallocated corporate expense of $503.2 million, the reduction in 2015 expense was driven primarily by the implementation of the 2015 Productivity Initiative discussed previously.</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9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assess our liquidity in terms of our ability to generate cash to fund our operating, investing and financing activities. Significant factors affecting liquidity include cash flows generated from operating activities, capital expenditures, acquisitions, dividends, repurchases of outstanding shares, the adequacy of available commercial paper and bank lines of credit, and the ability to attract long-term capital with satisfactory terms. We generate substantial cash from operations and remain in a strong financial position, with sufficient liquidity available for capital reinvestment, payment of dividends and strategic acquisitions.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665"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Cash Flow Summary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derived from our Consolidated Statement of Cash Flows: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In millions of dollars</w:t>
            </w:r>
          </w:p>
        </w:tc>
        <w:tc>
          <w:tcPr>
            <w:tcW w:w="2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2014</w:t>
            </w: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(used in):</w:t>
            </w: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57"/>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Operating activities</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983.5</w:t>
            </w:r>
          </w:p>
        </w:tc>
        <w:tc>
          <w:tcPr>
            <w:tcW w:w="100" w:type="dxa"/>
            <w:vAlign w:val="bottom"/>
          </w:tcPr>
          <w:p>
            <w:pPr>
              <w:spacing w:after="0"/>
              <w:rPr>
                <w:sz w:val="22"/>
                <w:szCs w:val="22"/>
                <w:color w:val="auto"/>
              </w:rPr>
            </w:pP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1,214.5</w:t>
            </w:r>
          </w:p>
        </w:tc>
        <w:tc>
          <w:tcPr>
            <w:tcW w:w="100" w:type="dxa"/>
            <w:vAlign w:val="bottom"/>
          </w:tcPr>
          <w:p>
            <w:pPr>
              <w:spacing w:after="0"/>
              <w:rPr>
                <w:sz w:val="22"/>
                <w:szCs w:val="22"/>
                <w:color w:val="auto"/>
              </w:rPr>
            </w:pP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844.4</w:t>
            </w:r>
          </w:p>
        </w:tc>
      </w:tr>
      <w:tr>
        <w:trPr>
          <w:trHeight w:val="27"/>
        </w:trPr>
        <w:tc>
          <w:tcPr>
            <w:tcW w:w="6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(862.6)</w:t>
            </w:r>
          </w:p>
        </w:tc>
      </w:tr>
      <w:tr>
        <w:trPr>
          <w:trHeight w:val="257"/>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Financing activities</w:t>
            </w:r>
          </w:p>
        </w:tc>
        <w:tc>
          <w:tcPr>
            <w:tcW w:w="4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(434.4)</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(755.2)</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(719.3)</w:t>
            </w:r>
          </w:p>
        </w:tc>
      </w:tr>
      <w:tr>
        <w:trPr>
          <w:trHeight w:val="27"/>
        </w:trPr>
        <w:tc>
          <w:tcPr>
            <w:tcW w:w="6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4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50"/>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Decrease in cash and cash equivalents</w:t>
            </w:r>
          </w:p>
        </w:tc>
        <w:tc>
          <w:tcPr>
            <w:tcW w:w="4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(743.7)</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principal source of liquidity is operating cash flows. Our net income and, consequently, our cash provided by operations are impacted by sales volume, seasonal sales patterns, timing of new product introductions, profit margins and price changes. Sales are typically higher during the third and fourth quarters of the year due to seasonal and holiday-related sales patterns. Generally, working capital needs peak during the summer months. We meet these needs primarily with cash on hand, bank borrowings or the issuance of commercial paper.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operating activities in 2016 decreased $231.0 million relative to 2015. This decrease was driven by the following factors:</w:t>
      </w:r>
    </w:p>
    <w:p>
      <w:pPr>
        <w:spacing w:after="0" w:line="171" w:lineRule="exact"/>
        <w:rPr>
          <w:sz w:val="20"/>
          <w:szCs w:val="20"/>
          <w:color w:val="auto"/>
        </w:rPr>
      </w:pPr>
    </w:p>
    <w:p>
      <w:pPr>
        <w:ind w:left="660" w:right="8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Working capital (comprised of trade accounts receivable, inventory, accounts payable and accrued liabilities) consumed cash of $37 million in 2016, while it generated cash of $57 million in 2015. This $94 million fluctuation was mainly driven by an $87 million payment to settle an interest rate swap in connection with the issuance of new debt in August 2016.</w:t>
      </w:r>
    </w:p>
    <w:p>
      <w:pPr>
        <w:spacing w:after="0" w:line="127" w:lineRule="exact"/>
        <w:rPr>
          <w:rFonts w:ascii="Arial" w:cs="Arial" w:eastAsia="Arial" w:hAnsi="Arial"/>
          <w:sz w:val="18"/>
          <w:szCs w:val="18"/>
          <w:color w:val="auto"/>
        </w:rPr>
      </w:pPr>
    </w:p>
    <w:p>
      <w:pPr>
        <w:ind w:left="660" w:right="60" w:hanging="328"/>
        <w:spacing w:after="0" w:line="25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Prepaid expenses and other current assets consumed cash of $43 million in 2016, while they generated cash of $118 million in 2015. This $161 million fluctuation was mainly driven by higher payments on commodity futures contracts in 2016 as the market price of cocoa declined, versus receipts in the 2015 period. As noted previously, we utilize commodity futures contracts to economically manage the risk of future price fluctuations associated with our purchase of raw materials.</w:t>
      </w:r>
    </w:p>
    <w:p>
      <w:pPr>
        <w:spacing w:after="0" w:line="132" w:lineRule="exact"/>
        <w:rPr>
          <w:rFonts w:ascii="Arial" w:cs="Arial" w:eastAsia="Arial" w:hAnsi="Arial"/>
          <w:sz w:val="18"/>
          <w:szCs w:val="18"/>
          <w:color w:val="auto"/>
        </w:rPr>
      </w:pPr>
    </w:p>
    <w:p>
      <w:pPr>
        <w:ind w:left="660" w:right="300" w:hanging="328"/>
        <w:spacing w:after="0" w:line="286"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Net income adjusted for non-cash charges to operations (including depreciation, amortization, stock-based compensation, excess tax benefit from stock-based compensation, deferred income taxes, goodwill and other intangible asset charges, write-down of equity investments, the gain on settlement of the SGM liability and other charges) decreased cash flow by $34 million in 2016 relative to 2015.</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operating activities in 2015 increased $370.1 million relative to 2014. This increase was driven by the following factors:</w:t>
      </w:r>
    </w:p>
    <w:p>
      <w:pPr>
        <w:spacing w:after="0" w:line="171" w:lineRule="exact"/>
        <w:rPr>
          <w:sz w:val="20"/>
          <w:szCs w:val="20"/>
          <w:color w:val="auto"/>
        </w:rPr>
      </w:pPr>
    </w:p>
    <w:p>
      <w:pPr>
        <w:ind w:left="660" w:right="10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Working capital (comprised of trade accounts receivable, inventory, accounts payable and accrued liabilities) generated cash of $57 million in 2015, while it consumed cash of $215 million in 2014. This fluctuation was mainly driven by lower inventory purchases in the 2015 period, since certain raw material inventory had been built up at the preceding year-end to take advantage of favorable pricing.</w:t>
      </w:r>
    </w:p>
    <w:p>
      <w:pPr>
        <w:spacing w:after="0" w:line="127" w:lineRule="exact"/>
        <w:rPr>
          <w:rFonts w:ascii="Arial" w:cs="Arial" w:eastAsia="Arial" w:hAnsi="Arial"/>
          <w:sz w:val="18"/>
          <w:szCs w:val="18"/>
          <w:color w:val="auto"/>
        </w:rPr>
      </w:pPr>
    </w:p>
    <w:p>
      <w:pPr>
        <w:ind w:left="660" w:right="180" w:hanging="328"/>
        <w:spacing w:after="0" w:line="25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Prepaid expenses and other current assets generated cash of $118 million in 2015, while they consumed cash of $7 million in 2014. This $125 million fluctuation was mainly driven by our hedging activities, which favorably impacted cash flow by $55 million in 2015 versus an unfavorable impact of $78 million in 2014, due principally to market gains and losses on our commodity futures contracts. Our cash receipts typically increase when futures market prices are increasing.</w:t>
      </w:r>
    </w:p>
    <w:p>
      <w:pPr>
        <w:spacing w:after="0" w:line="13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2015 cash flow was favorably impacted by approximately $30 million from the timing of tax payments in 2015 compared to 2014.</w:t>
      </w:r>
    </w:p>
    <w:p>
      <w:pPr>
        <w:spacing w:after="0" w:line="17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i w:val="1"/>
          <w:iCs w:val="1"/>
          <w:color w:val="auto"/>
        </w:rPr>
        <w:t xml:space="preserve">Pension and Post-Retirement Activity. </w:t>
      </w:r>
      <w:r>
        <w:rPr>
          <w:rFonts w:ascii="Arial" w:cs="Arial" w:eastAsia="Arial" w:hAnsi="Arial"/>
          <w:sz w:val="18"/>
          <w:szCs w:val="18"/>
          <w:color w:val="auto"/>
        </w:rPr>
        <w:t>We recorded net periodic benefit costs of $72.8 million, $66.8 million and $37.3 million in 2016, 2015 and 2014,</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relating to our benefit plans (including our defined benefit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823" w:right="239" w:bottom="1440" w:gutter="0" w:footer="0" w:header="0"/>
        </w:sectPr>
      </w:pPr>
    </w:p>
    <w:bookmarkStart w:id="34" w:name="page35"/>
    <w:bookmarkEnd w:id="34"/>
    <w:p>
      <w:pPr>
        <w:jc w:val="both"/>
        <w:ind w:right="100"/>
        <w:spacing w:after="0" w:line="342" w:lineRule="auto"/>
        <w:rPr>
          <w:sz w:val="20"/>
          <w:szCs w:val="20"/>
          <w:color w:val="auto"/>
        </w:rPr>
      </w:pPr>
      <w:r>
        <w:rPr>
          <w:rFonts w:ascii="Arial" w:cs="Arial" w:eastAsia="Arial" w:hAnsi="Arial"/>
          <w:sz w:val="16"/>
          <w:szCs w:val="16"/>
          <w:color w:val="auto"/>
        </w:rPr>
        <w:t>other post retirement plans). The main drivers of fluctuations in expense from year to year are assumptions in formulating our long-term estimates, including discount rates used to value plan obligations, expected returns on plan assets, the service and interest costs and the amortization of actuarial gains and losses.</w:t>
      </w:r>
    </w:p>
    <w:p>
      <w:pPr>
        <w:spacing w:after="0" w:line="70"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funded status of our qualified defined benefit pension plans is dependent upon many factors, including returns on invested assets, the level of market interest rates and the level of funding. We contribute cash to our plans at our discretion, subject to applicable regulations and minimum contribution requirements. Cash contributions to our pension and post retirement plans totaled $41.7 million, $53.3 million and $53.1 million in 2016, 2015 and 2014,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principal uses of cash for investment purposes relate to purchases of property, plant and equipment and capitalized software, purchases of short-term investments and acquisitions of businesses, partially offset by proceeds from sales of property, plant and equipment and short-term investments. We used cash of $595.5 million for investing activities in 2016 compared to $477.2 million in 2015, with the increase driven by additional business acquisition activity. We used cash of $862.6 million for investing activities in 2014, which was primarily driven by additional business acquisition activity and purchases of short-term investments.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Primary investing activities include the following:</w:t>
      </w:r>
    </w:p>
    <w:p>
      <w:pPr>
        <w:spacing w:after="0" w:line="171" w:lineRule="exact"/>
        <w:rPr>
          <w:sz w:val="20"/>
          <w:szCs w:val="20"/>
          <w:color w:val="auto"/>
        </w:rPr>
      </w:pPr>
    </w:p>
    <w:p>
      <w:pPr>
        <w:ind w:left="660" w:right="120" w:hanging="328"/>
        <w:spacing w:after="0" w:line="276" w:lineRule="auto"/>
        <w:tabs>
          <w:tab w:leader="none" w:pos="660" w:val="left"/>
        </w:tabs>
        <w:numPr>
          <w:ilvl w:val="0"/>
          <w:numId w:val="18"/>
        </w:numPr>
        <w:rPr>
          <w:rFonts w:ascii="Arial" w:cs="Arial" w:eastAsia="Arial" w:hAnsi="Arial"/>
          <w:sz w:val="17"/>
          <w:szCs w:val="17"/>
          <w:i w:val="1"/>
          <w:iCs w:val="1"/>
          <w:color w:val="auto"/>
        </w:rPr>
      </w:pPr>
      <w:r>
        <w:rPr>
          <w:rFonts w:ascii="Arial" w:cs="Arial" w:eastAsia="Arial" w:hAnsi="Arial"/>
          <w:sz w:val="17"/>
          <w:szCs w:val="17"/>
          <w:i w:val="1"/>
          <w:iCs w:val="1"/>
          <w:color w:val="auto"/>
        </w:rPr>
        <w:t>Capital spending</w:t>
      </w:r>
      <w:r>
        <w:rPr>
          <w:rFonts w:ascii="Arial" w:cs="Arial" w:eastAsia="Arial" w:hAnsi="Arial"/>
          <w:sz w:val="17"/>
          <w:szCs w:val="17"/>
          <w:color w:val="auto"/>
        </w:rPr>
        <w:t>. Capital expenditures, including capitalized software, primarily to support capacity expansion, innovation and cost savings, were</w:t>
      </w:r>
      <w:r>
        <w:rPr>
          <w:rFonts w:ascii="Arial" w:cs="Arial" w:eastAsia="Arial" w:hAnsi="Arial"/>
          <w:sz w:val="17"/>
          <w:szCs w:val="17"/>
          <w:i w:val="1"/>
          <w:iCs w:val="1"/>
          <w:color w:val="auto"/>
        </w:rPr>
        <w:t xml:space="preserve"> </w:t>
      </w:r>
      <w:r>
        <w:rPr>
          <w:rFonts w:ascii="Arial" w:cs="Arial" w:eastAsia="Arial" w:hAnsi="Arial"/>
          <w:sz w:val="17"/>
          <w:szCs w:val="17"/>
          <w:color w:val="auto"/>
        </w:rPr>
        <w:t>$269.5 million in 2016, $356.8 million in 2015 and $370.8 million in 2014. The reduction in 2016 was largely due to completion of the Malaysia plant construction early in the year. Our 2015 and 2014 expenditures included approximately $80 million and $115 million, respectively, relating to the Malaysia plant construction. Capitalized software additions were primarily related to ongoing enhancements of our information systems. We expect 2017 capital expenditures, including capitalized software, to approximate $270 million to $290 million.</w:t>
      </w:r>
    </w:p>
    <w:p>
      <w:pPr>
        <w:spacing w:after="0" w:line="118" w:lineRule="exact"/>
        <w:rPr>
          <w:rFonts w:ascii="Arial" w:cs="Arial" w:eastAsia="Arial" w:hAnsi="Arial"/>
          <w:sz w:val="17"/>
          <w:szCs w:val="17"/>
          <w:i w:val="1"/>
          <w:iCs w:val="1"/>
          <w:color w:val="auto"/>
        </w:rPr>
      </w:pPr>
    </w:p>
    <w:p>
      <w:pPr>
        <w:ind w:left="660" w:hanging="328"/>
        <w:spacing w:after="0" w:line="255" w:lineRule="auto"/>
        <w:tabs>
          <w:tab w:leader="none" w:pos="66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In 2016, we spent $285.4 million to acquire Ripple Brand Collective, LLC. In 2015, we spent $218.7 million to</w:t>
      </w:r>
      <w:r>
        <w:rPr>
          <w:rFonts w:ascii="Arial" w:cs="Arial" w:eastAsia="Arial" w:hAnsi="Arial"/>
          <w:sz w:val="18"/>
          <w:szCs w:val="18"/>
          <w:i w:val="1"/>
          <w:iCs w:val="1"/>
          <w:color w:val="auto"/>
        </w:rPr>
        <w:t xml:space="preserve"> </w:t>
      </w:r>
      <w:r>
        <w:rPr>
          <w:rFonts w:ascii="Arial" w:cs="Arial" w:eastAsia="Arial" w:hAnsi="Arial"/>
          <w:sz w:val="18"/>
          <w:szCs w:val="18"/>
          <w:color w:val="auto"/>
        </w:rPr>
        <w:t>acquire Krave, partially offset by net cash received of $32 million from the sale of Mauna Loa. In 2014, we spent $396.3 million to acquire three businesses, including $379.7 million for SGM and $26.6 million for Allan Candy, partially offset by net cash received of $10.0 million relating to the acquisition of an additional 5.9% interest in Lotte Shanghai Foods Co., Ltd., a joint venture established in 2007 in China, whereby cash acquired in the transaction exceeded the $5.6 million paid for the controlling interest. See Note 2 to the Consolidated Financial Statements for additional information regarding our recent acquisitions.</w:t>
      </w:r>
    </w:p>
    <w:p>
      <w:pPr>
        <w:spacing w:after="0" w:line="139" w:lineRule="exact"/>
        <w:rPr>
          <w:rFonts w:ascii="Arial" w:cs="Arial" w:eastAsia="Arial" w:hAnsi="Arial"/>
          <w:sz w:val="18"/>
          <w:szCs w:val="18"/>
          <w:i w:val="1"/>
          <w:iCs w:val="1"/>
          <w:color w:val="auto"/>
        </w:rPr>
      </w:pPr>
    </w:p>
    <w:p>
      <w:pPr>
        <w:ind w:left="66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Investments in partnerships qualifying for tax credits</w:t>
      </w:r>
      <w:r>
        <w:rPr>
          <w:rFonts w:ascii="Arial" w:cs="Arial" w:eastAsia="Arial" w:hAnsi="Arial"/>
          <w:sz w:val="18"/>
          <w:szCs w:val="18"/>
          <w:color w:val="auto"/>
        </w:rPr>
        <w:t>. We make investments in partnership entities that in turn make equity investments in projects</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to receive federal historic and energy tax credits. We invested approximately $13.5 million more in projects qualifying for tax credits in 2016 compared to 2015.</w:t>
      </w:r>
    </w:p>
    <w:p>
      <w:pPr>
        <w:spacing w:after="0" w:line="127"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Short-term investments</w:t>
      </w:r>
      <w:r>
        <w:rPr>
          <w:rFonts w:ascii="Arial" w:cs="Arial" w:eastAsia="Arial" w:hAnsi="Arial"/>
          <w:sz w:val="18"/>
          <w:szCs w:val="18"/>
          <w:color w:val="auto"/>
        </w:rPr>
        <w:t>. We had no short-term investment activity in 2016. In 2015, we received proceeds of $95 million from the sale of short-term</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which had been purchased in 2014 for approximately $97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cash flow from financing activities generally relates to the use of cash for purchases of our Common Stock and payment of dividends, offset by net borrowing activity and proceeds from the exercise of stock options. We used cash of $434.4 million for financing activities in 2016 compared to $755.2 million in 2015, with the decrease due mainly to higher proceeds from the issuance of long-term borrowings, partially offset by the purchase of the remaining 20% of the outstanding shares of SGM and higher dividend payments in 2016. We used cash of $719.3 million for financing activities in 2014, primarily to fund dividend payments and share repurchases.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majority of our financing activity was attributed to the following:</w:t>
      </w:r>
    </w:p>
    <w:p>
      <w:pPr>
        <w:spacing w:after="0" w:line="171" w:lineRule="exact"/>
        <w:rPr>
          <w:sz w:val="20"/>
          <w:szCs w:val="20"/>
          <w:color w:val="auto"/>
        </w:rPr>
      </w:pPr>
    </w:p>
    <w:p>
      <w:pPr>
        <w:ind w:left="660" w:right="260" w:hanging="328"/>
        <w:spacing w:after="0" w:line="277" w:lineRule="auto"/>
        <w:tabs>
          <w:tab w:leader="none" w:pos="6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Short-term borrowings, net. </w:t>
      </w:r>
      <w:r>
        <w:rPr>
          <w:rFonts w:ascii="Arial" w:cs="Arial" w:eastAsia="Arial" w:hAnsi="Arial"/>
          <w:sz w:val="18"/>
          <w:szCs w:val="18"/>
          <w:color w:val="auto"/>
        </w:rPr>
        <w:t>In addition to utilizing cash on hand, we use short-term borrowings (commercial paper and bank borrowings) to fund</w:t>
      </w:r>
      <w:r>
        <w:rPr>
          <w:rFonts w:ascii="Arial" w:cs="Arial" w:eastAsia="Arial" w:hAnsi="Arial"/>
          <w:sz w:val="18"/>
          <w:szCs w:val="18"/>
          <w:i w:val="1"/>
          <w:iCs w:val="1"/>
          <w:color w:val="auto"/>
        </w:rPr>
        <w:t xml:space="preserve"> </w:t>
      </w:r>
      <w:r>
        <w:rPr>
          <w:rFonts w:ascii="Arial" w:cs="Arial" w:eastAsia="Arial" w:hAnsi="Arial"/>
          <w:sz w:val="18"/>
          <w:szCs w:val="18"/>
          <w:color w:val="auto"/>
        </w:rPr>
        <w:t>seasonal working capital requirements and ongoing business needs. In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746" w:right="259" w:bottom="1440" w:gutter="0" w:footer="0" w:header="0"/>
        </w:sectPr>
      </w:pPr>
    </w:p>
    <w:bookmarkStart w:id="35" w:name="page36"/>
    <w:bookmarkEnd w:id="35"/>
    <w:p>
      <w:pPr>
        <w:ind w:left="660" w:right="60"/>
        <w:spacing w:after="0" w:line="306" w:lineRule="auto"/>
        <w:rPr>
          <w:sz w:val="20"/>
          <w:szCs w:val="20"/>
          <w:color w:val="auto"/>
        </w:rPr>
      </w:pPr>
      <w:r>
        <w:rPr>
          <w:rFonts w:ascii="Arial" w:cs="Arial" w:eastAsia="Arial" w:hAnsi="Arial"/>
          <w:sz w:val="18"/>
          <w:szCs w:val="18"/>
          <w:color w:val="auto"/>
        </w:rPr>
        <w:t>2016, we generated cash flow of $275.6 million through short-term commercial paper borrowings, partially offset by payments in short-term foreign borrowings. In 2015, we generated cash flow of $10.7 million as a result of higher borrowings at certain of our international businesses. In 2014, we generated additional cash flow from the issuance of $55.0 million in commercial paper as well as incremental borrowings at certain international locations in support of sales growth.</w:t>
      </w:r>
    </w:p>
    <w:p>
      <w:pPr>
        <w:spacing w:after="0" w:line="106" w:lineRule="exact"/>
        <w:rPr>
          <w:sz w:val="20"/>
          <w:szCs w:val="20"/>
          <w:color w:val="auto"/>
        </w:rPr>
      </w:pPr>
    </w:p>
    <w:p>
      <w:pPr>
        <w:ind w:left="660" w:right="180" w:hanging="328"/>
        <w:spacing w:after="0" w:line="279" w:lineRule="auto"/>
        <w:tabs>
          <w:tab w:leader="none" w:pos="660" w:val="left"/>
        </w:tabs>
        <w:numPr>
          <w:ilvl w:val="0"/>
          <w:numId w:val="20"/>
        </w:numPr>
        <w:rPr>
          <w:rFonts w:ascii="Arial" w:cs="Arial" w:eastAsia="Arial" w:hAnsi="Arial"/>
          <w:sz w:val="17"/>
          <w:szCs w:val="17"/>
          <w:i w:val="1"/>
          <w:iCs w:val="1"/>
          <w:color w:val="auto"/>
        </w:rPr>
      </w:pPr>
      <w:r>
        <w:rPr>
          <w:rFonts w:ascii="Arial" w:cs="Arial" w:eastAsia="Arial" w:hAnsi="Arial"/>
          <w:sz w:val="17"/>
          <w:szCs w:val="17"/>
          <w:i w:val="1"/>
          <w:iCs w:val="1"/>
          <w:color w:val="auto"/>
        </w:rPr>
        <w:t>Long-term debt borrowings and repayments</w:t>
      </w:r>
      <w:r>
        <w:rPr>
          <w:rFonts w:ascii="Arial" w:cs="Arial" w:eastAsia="Arial" w:hAnsi="Arial"/>
          <w:sz w:val="17"/>
          <w:szCs w:val="17"/>
          <w:color w:val="auto"/>
        </w:rPr>
        <w:t>. In 2016, we used $500 million to repay long-term debt. Additionally, in 2016, we issued $500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of 2.30% Notes due in 2026 and $300 million of 3.375% Notes due in 2046. In 2015, we used $355 million to repay long-term debt, including $100.2 million to repurchase $71.6 million of our long-term debt as part of a cash tender offer. Additionally, in 2015, we issued $300 million of 1.60% Notes due in 2018 and $300 million of 3.20% Notes due in 2025. We had no repayment or issuance activity in 2014.</w:t>
      </w:r>
    </w:p>
    <w:p>
      <w:pPr>
        <w:spacing w:after="0" w:line="117" w:lineRule="exact"/>
        <w:rPr>
          <w:rFonts w:ascii="Arial" w:cs="Arial" w:eastAsia="Arial" w:hAnsi="Arial"/>
          <w:sz w:val="17"/>
          <w:szCs w:val="17"/>
          <w:i w:val="1"/>
          <w:iCs w:val="1"/>
          <w:color w:val="auto"/>
        </w:rPr>
      </w:pPr>
    </w:p>
    <w:p>
      <w:pPr>
        <w:ind w:left="660" w:hanging="328"/>
        <w:spacing w:after="0" w:line="271" w:lineRule="auto"/>
        <w:tabs>
          <w:tab w:leader="none" w:pos="660" w:val="left"/>
        </w:tabs>
        <w:numPr>
          <w:ilvl w:val="0"/>
          <w:numId w:val="20"/>
        </w:numPr>
        <w:rPr>
          <w:rFonts w:ascii="Arial" w:cs="Arial" w:eastAsia="Arial" w:hAnsi="Arial"/>
          <w:sz w:val="17"/>
          <w:szCs w:val="17"/>
          <w:i w:val="1"/>
          <w:iCs w:val="1"/>
          <w:color w:val="auto"/>
        </w:rPr>
      </w:pPr>
      <w:r>
        <w:rPr>
          <w:rFonts w:ascii="Arial" w:cs="Arial" w:eastAsia="Arial" w:hAnsi="Arial"/>
          <w:sz w:val="17"/>
          <w:szCs w:val="17"/>
          <w:i w:val="1"/>
          <w:iCs w:val="1"/>
          <w:color w:val="auto"/>
        </w:rPr>
        <w:t>Share repurchases</w:t>
      </w:r>
      <w:r>
        <w:rPr>
          <w:rFonts w:ascii="Arial" w:cs="Arial" w:eastAsia="Arial" w:hAnsi="Arial"/>
          <w:sz w:val="17"/>
          <w:szCs w:val="17"/>
          <w:color w:val="auto"/>
        </w:rPr>
        <w:t>. We repurchase shares of Common Stock to offset the dilutive impact of treasury shares issued under our equity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plans. The value of these share repurchases in a given period varies based on the volume of stock options exercised and our market price. In addition, we periodically repurchase shares of Common Stock pursuant to Board-authorized programs intended to drive additional stockholder value. We used cash for total share repurchases of $592.6 million in 2016, compared to $582.5 million in 2015. This included purchases pursuant to authorized programs of $420.2 million to purchase 4.6 million shares in 2016 and $402.5 million to purchase 4.2 million shares in 2015. We used cash for total share repurchases of $576.8 million in 2014, which included purchases pursuant to authorized programs of $202.3 million to purchase 2.1 million shares. As of December 31, 2016, approximately $100 million remained available under the $500 million share repurchase authorization approved by the Board in January 2016.</w:t>
      </w:r>
    </w:p>
    <w:p>
      <w:pPr>
        <w:spacing w:after="0" w:line="124" w:lineRule="exact"/>
        <w:rPr>
          <w:rFonts w:ascii="Arial" w:cs="Arial" w:eastAsia="Arial" w:hAnsi="Arial"/>
          <w:sz w:val="17"/>
          <w:szCs w:val="17"/>
          <w:i w:val="1"/>
          <w:iCs w:val="1"/>
          <w:color w:val="auto"/>
        </w:rPr>
      </w:pPr>
    </w:p>
    <w:p>
      <w:pPr>
        <w:ind w:left="660" w:right="120" w:hanging="328"/>
        <w:spacing w:after="0" w:line="264" w:lineRule="auto"/>
        <w:tabs>
          <w:tab w:leader="none" w:pos="66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Dividend payments</w:t>
      </w:r>
      <w:r>
        <w:rPr>
          <w:rFonts w:ascii="Arial" w:cs="Arial" w:eastAsia="Arial" w:hAnsi="Arial"/>
          <w:sz w:val="18"/>
          <w:szCs w:val="18"/>
          <w:color w:val="auto"/>
        </w:rPr>
        <w:t>. Total dividend payments to holders of our Common Stock and Class B Common Stock were $499.5 million in 2016, $476.1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2015 and $440.4 million in 2014. Dividends per share of Common Stock increased 7.4% to $2.402 per share in 2016 compared to $2.236 per share in 2015, while dividends per share of Class B Common Stock increased 7.5% in 2016.</w:t>
      </w:r>
    </w:p>
    <w:p>
      <w:pPr>
        <w:spacing w:after="0" w:line="127" w:lineRule="exact"/>
        <w:rPr>
          <w:rFonts w:ascii="Arial" w:cs="Arial" w:eastAsia="Arial" w:hAnsi="Arial"/>
          <w:sz w:val="18"/>
          <w:szCs w:val="18"/>
          <w:i w:val="1"/>
          <w:iCs w:val="1"/>
          <w:color w:val="auto"/>
        </w:rPr>
      </w:pPr>
    </w:p>
    <w:p>
      <w:pPr>
        <w:ind w:left="660" w:right="120" w:hanging="328"/>
        <w:spacing w:after="0" w:line="264" w:lineRule="auto"/>
        <w:tabs>
          <w:tab w:leader="none" w:pos="66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Proceeds from the exercise of stock options, including tax benefits. </w:t>
      </w:r>
      <w:r>
        <w:rPr>
          <w:rFonts w:ascii="Arial" w:cs="Arial" w:eastAsia="Arial" w:hAnsi="Arial"/>
          <w:sz w:val="18"/>
          <w:szCs w:val="18"/>
          <w:color w:val="auto"/>
        </w:rPr>
        <w:t>We received $124.8 million from employee exercises of stock options,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excess tax benefits, in 2016, as compared to $97.6 million in 2015 and $175.8 million in 2014. Variances are driven primarily by the number of shares exercised and the share price at the date of grant.</w:t>
      </w:r>
    </w:p>
    <w:p>
      <w:pPr>
        <w:spacing w:after="0" w:line="127" w:lineRule="exact"/>
        <w:rPr>
          <w:rFonts w:ascii="Arial" w:cs="Arial" w:eastAsia="Arial" w:hAnsi="Arial"/>
          <w:sz w:val="18"/>
          <w:szCs w:val="18"/>
          <w:i w:val="1"/>
          <w:iCs w:val="1"/>
          <w:color w:val="auto"/>
        </w:rPr>
      </w:pPr>
    </w:p>
    <w:p>
      <w:pPr>
        <w:ind w:left="660" w:right="100" w:hanging="328"/>
        <w:spacing w:after="0" w:line="286" w:lineRule="auto"/>
        <w:tabs>
          <w:tab w:leader="none" w:pos="660" w:val="left"/>
        </w:tabs>
        <w:numPr>
          <w:ilvl w:val="0"/>
          <w:numId w:val="2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Other. </w:t>
      </w:r>
      <w:r>
        <w:rPr>
          <w:rFonts w:ascii="Arial" w:cs="Arial" w:eastAsia="Arial" w:hAnsi="Arial"/>
          <w:sz w:val="17"/>
          <w:szCs w:val="17"/>
          <w:color w:val="auto"/>
        </w:rPr>
        <w:t>In February 2016, we used $35.8 million to purchase the remaining 20% of the outstanding shares of SGM. In September 2015, we acquired</w:t>
      </w:r>
      <w:r>
        <w:rPr>
          <w:rFonts w:ascii="Arial" w:cs="Arial" w:eastAsia="Arial" w:hAnsi="Arial"/>
          <w:sz w:val="17"/>
          <w:szCs w:val="17"/>
          <w:i w:val="1"/>
          <w:iCs w:val="1"/>
          <w:color w:val="auto"/>
        </w:rPr>
        <w:t xml:space="preserve"> </w:t>
      </w:r>
      <w:r>
        <w:rPr>
          <w:rFonts w:ascii="Arial" w:cs="Arial" w:eastAsia="Arial" w:hAnsi="Arial"/>
          <w:sz w:val="17"/>
          <w:szCs w:val="17"/>
          <w:color w:val="auto"/>
        </w:rPr>
        <w:t>the remaining 49% interest in Hershey do Brasil Ltda. under a cooperative agreement with Bauducco for approximately $38.3 million. Additionally, in December 2015, we paid $10.0 million in contingent consideration to the shareholders of Krave.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At December 31, 2016, our cash and cash equivalents totaled $297.0 million. At December 31, 2015, our cash and cash equivalents totaled $346.5 million. Our cash and cash equivalents at the end of 2016 declined $49.5 million compared to the 2015 year-end balance as a result of the net uses of cash outlined in the previous discussion.</w:t>
      </w:r>
    </w:p>
    <w:p>
      <w:pPr>
        <w:spacing w:after="0" w:line="127" w:lineRule="exact"/>
        <w:rPr>
          <w:sz w:val="20"/>
          <w:szCs w:val="20"/>
          <w:color w:val="auto"/>
        </w:rPr>
      </w:pPr>
    </w:p>
    <w:p>
      <w:pPr>
        <w:jc w:val="both"/>
        <w:ind w:right="200"/>
        <w:spacing w:after="0" w:line="257" w:lineRule="auto"/>
        <w:rPr>
          <w:sz w:val="20"/>
          <w:szCs w:val="20"/>
          <w:color w:val="auto"/>
        </w:rPr>
      </w:pPr>
      <w:r>
        <w:rPr>
          <w:rFonts w:ascii="Arial" w:cs="Arial" w:eastAsia="Arial" w:hAnsi="Arial"/>
          <w:sz w:val="18"/>
          <w:szCs w:val="18"/>
          <w:color w:val="auto"/>
        </w:rPr>
        <w:t>Approximately two-thirds of the balance of our cash and cash equivalents at December 31, 2016 was held by subsidiaries domiciled outside of the United States. If these amounts held outside of the United States were to be repatriated, under current law they would be subject to U.S. federal income taxes, less applicable foreign tax credits. However, our intent is to permanently reinvest these funds outside of the United States. The cash that our foreign subsidiaries hold for indefinite reinvestment is expected to be used to finance foreign operations and investments. We believe we have sufficient liquidity to satisfy our cash needs, including our cash needs in the United States.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773" w:right="239" w:bottom="1440" w:gutter="0" w:footer="0" w:header="0"/>
        </w:sectPr>
      </w:pPr>
    </w:p>
    <w:bookmarkStart w:id="36" w:name="page37"/>
    <w:bookmarkEnd w:id="36"/>
    <w:p>
      <w:pPr>
        <w:ind w:right="60"/>
        <w:spacing w:after="0" w:line="259" w:lineRule="auto"/>
        <w:rPr>
          <w:sz w:val="20"/>
          <w:szCs w:val="20"/>
          <w:color w:val="auto"/>
        </w:rPr>
      </w:pPr>
      <w:r>
        <w:rPr>
          <w:rFonts w:ascii="Arial" w:cs="Arial" w:eastAsia="Arial" w:hAnsi="Arial"/>
          <w:sz w:val="18"/>
          <w:szCs w:val="18"/>
          <w:color w:val="auto"/>
        </w:rPr>
        <w:t>We maintain debt levels we consider prudent based on our cash flow, interest coverage ratio and percentage of debt to capital. We use debt financing to lower our overall cost of capital which increases our return on stockholders’ equity. Our total debt was $3.0 billion at December 31, 2016 and $2.4 billion at December 31, 2015. Our total debt increased in 2016 mainly due to the additional debt issued mid-year to repay commercial paper that had been used to fund the Ripple Brand Collective, LLC acquisition in April 2016.</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As a source of short-term financing, we maintain a $1.0 billion unsecured revolving credit facility, with an option to increase borrowings by an additional</w:t>
      </w:r>
    </w:p>
    <w:p>
      <w:pPr>
        <w:spacing w:after="0" w:line="3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$400 million with the consent of the lenders. As of December 31, 2016, the termination date of this agreement is November 2020. We may use these funds for general corporate purposes, including commercial paper backstop and business acquisitions. As of December 31, 2016, we had $526 million of available capacity under the agreement. The unsecured revolving credit agreement contains certain financial and other covenants, customary representations, warranties and events of default. We were in compliance with all covenants as of December 31, 2016.</w:t>
      </w:r>
    </w:p>
    <w:p>
      <w:pPr>
        <w:spacing w:after="0" w:line="136"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In addition to the revolving credit facility, we maintain lines of credit in various currencies with domestic and international commercial banks. As of December 31, 2016, we had available capacity of $345.4 million under these lines of credit.</w:t>
      </w:r>
    </w:p>
    <w:p>
      <w:pPr>
        <w:spacing w:after="0" w:line="1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Furthermore, we have a current shelf registration statement filed with the SEC that allows for the issuance of an indeterminate amount of debt securities. Proceeds from the debt issuances and any other offerings under the current registration statement may be used for general corporate requirements, including reducing existing borrowings, financing capital additions and funding contributions to our pension plans, future business acquisitions and working capital requirements.</w:t>
      </w:r>
    </w:p>
    <w:p>
      <w:pPr>
        <w:spacing w:after="0" w:line="13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Our ability to obtain debt financing at comparable risk-based interest rates is partly a function of our existing cash-flow-to-debt and debt-to-capitalization levels as well as our current credit standing.</w:t>
      </w:r>
    </w:p>
    <w:p>
      <w:pPr>
        <w:spacing w:after="0" w:line="11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believe that our existing sources of liquidity are adequate to meet anticipated funding needs at comparable risk-based interest rates for the foreseeable future. Acquisition spending and/or share repurchases could potentially increase our debt. Operating cash flow and access to capital markets are expected to satisfy our various cash flow requirements, including acquisitions and capital expenditures.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Structure</w:t>
      </w:r>
    </w:p>
    <w:p>
      <w:pPr>
        <w:spacing w:after="0" w:line="94"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have two classes of stock outstanding – Common Stock and Class B Stock. Holders of the Common Stock and the Class B Stock generally vote together without regard to class on matters submitted to stockholders, including the election of directors. Holders of the Common Stock have 1 vote per share. Holders of the Class B Stock have 10 votes per share. Holders of the Common Stock, voting separately as a class, are entitled to elect one-sixth of our Board. With respect to dividend rights, holders of the Common Stock are entitled to cash dividends 10% higher than those declared and paid on the Class B Stock.</w:t>
      </w:r>
    </w:p>
    <w:p>
      <w:pPr>
        <w:spacing w:after="0" w:line="10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Hershey Trust Company, as trustee for the trust established by Milton S. and Catherine S. Hershey that has as its sole beneficiary Milton Hershey School (such trust, the "Milton Hershey School Trust"), maintains voting control over The Hershey Company. In addition, a representative of Hershey Trust Company currently serves as a member of the Company's Board. In performing his responsibilities on the Company’s Board, this representative may from time to time exercise influence with regard to the ongoing business decisions of our Board or management. Hershey Trust Company, as trustee for the Milton Hershey School Trust, in its role as controlling stockholder of the Company, has indicated it intends to retain its controlling interest in The Hershey Company. The Company's Board, and not the Hershey Trust Company board, is solely responsible and accountable for the Company’s management and performance.</w:t>
      </w:r>
    </w:p>
    <w:p>
      <w:pPr>
        <w:spacing w:after="0" w:line="11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Pennsylvania law requires that the Office of Attorney General be provided advance notice of any transaction that would result in Hershey Trust Company, as trustee for the Milton Hershey School Trust, no longer having voting control of the Company. The law provides specific statutory authority for the Attorney General to intercede and petition the court having jurisdiction over Hershey Trust Company, as trustee for the Milton Hershey School Trust, to stop such a transaction if the Attorney General can prove that the transaction is unnecessary for the future economic viability of the Company and is inconsistent with investment and management considerations under fiduciary</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746" w:right="259" w:bottom="1440" w:gutter="0" w:footer="0" w:header="0"/>
        </w:sectPr>
      </w:pPr>
    </w:p>
    <w:bookmarkStart w:id="37" w:name="page38"/>
    <w:bookmarkEnd w:id="37"/>
    <w:p>
      <w:pPr>
        <w:ind w:right="100"/>
        <w:spacing w:after="0" w:line="277" w:lineRule="auto"/>
        <w:rPr>
          <w:sz w:val="20"/>
          <w:szCs w:val="20"/>
          <w:color w:val="auto"/>
        </w:rPr>
      </w:pPr>
      <w:r>
        <w:rPr>
          <w:rFonts w:ascii="Arial" w:cs="Arial" w:eastAsia="Arial" w:hAnsi="Arial"/>
          <w:sz w:val="18"/>
          <w:szCs w:val="18"/>
          <w:color w:val="auto"/>
        </w:rPr>
        <w:t>obligations. This legislation makes it more difficult for a third party to acquire a majority of our outstanding voting stock and thereby may delay or prevent a change in control of the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and Other Off-Balance Sheet Arrangements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do not have guarantees or other off-balance sheet financing arrangements, including variable interest entities, that we believe could have a material impact on our financial condition or liquidity.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obligations at December 31,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Payments due by Period</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44"/>
        </w:trPr>
        <w:tc>
          <w:tcPr>
            <w:tcW w:w="3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In millions of dollars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6"/>
        </w:trPr>
        <w:tc>
          <w:tcPr>
            <w:tcW w:w="3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Contractual Obligations</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2"/>
              </w:rPr>
              <w:t>Less than 1 year</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1-3 years</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3-5 years</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b w:val="1"/>
                <w:bCs w:val="1"/>
                <w:color w:val="auto"/>
                <w:w w:val="99"/>
              </w:rPr>
              <w:t>More than 5 years</w:t>
            </w:r>
          </w:p>
        </w:tc>
      </w:tr>
      <w:tr>
        <w:trPr>
          <w:trHeight w:val="256"/>
        </w:trPr>
        <w:tc>
          <w:tcPr>
            <w:tcW w:w="3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Long-term debt</w:t>
            </w: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2,347.7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w:t>
            </w:r>
          </w:p>
        </w:tc>
        <w:tc>
          <w:tcPr>
            <w:tcW w:w="44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300.6</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435.8</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1,611.1</w:t>
            </w:r>
          </w:p>
        </w:tc>
      </w:tr>
      <w:tr>
        <w:trPr>
          <w:trHeight w:val="264"/>
        </w:trPr>
        <w:tc>
          <w:tcPr>
            <w:tcW w:w="3880" w:type="dxa"/>
            <w:vAlign w:val="bottom"/>
            <w:gridSpan w:val="2"/>
          </w:tcPr>
          <w:p>
            <w:pPr>
              <w:ind w:left="40"/>
              <w:spacing w:after="0"/>
              <w:rPr>
                <w:sz w:val="20"/>
                <w:szCs w:val="20"/>
                <w:color w:val="auto"/>
              </w:rPr>
            </w:pPr>
            <w:r>
              <w:rPr>
                <w:rFonts w:ascii="Arial" w:cs="Arial" w:eastAsia="Arial" w:hAnsi="Arial"/>
                <w:sz w:val="14"/>
                <w:szCs w:val="14"/>
                <w:color w:val="auto"/>
              </w:rPr>
              <w:t>Interest expense (1)</w:t>
            </w:r>
          </w:p>
        </w:tc>
        <w:tc>
          <w:tcPr>
            <w:tcW w:w="38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850.7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78.9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156.2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136.5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479.1</w:t>
            </w:r>
          </w:p>
        </w:tc>
      </w:tr>
      <w:tr>
        <w:trPr>
          <w:trHeight w:val="276"/>
        </w:trPr>
        <w:tc>
          <w:tcPr>
            <w:tcW w:w="3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Lease obligations (2)</w:t>
            </w:r>
          </w:p>
        </w:tc>
        <w:tc>
          <w:tcPr>
            <w:tcW w:w="3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248.5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189.0</w:t>
            </w:r>
          </w:p>
        </w:tc>
      </w:tr>
      <w:tr>
        <w:trPr>
          <w:trHeight w:val="264"/>
        </w:trPr>
        <w:tc>
          <w:tcPr>
            <w:tcW w:w="3880" w:type="dxa"/>
            <w:vAlign w:val="bottom"/>
            <w:gridSpan w:val="2"/>
          </w:tcPr>
          <w:p>
            <w:pPr>
              <w:ind w:left="40"/>
              <w:spacing w:after="0"/>
              <w:rPr>
                <w:sz w:val="20"/>
                <w:szCs w:val="20"/>
                <w:color w:val="auto"/>
              </w:rPr>
            </w:pPr>
            <w:r>
              <w:rPr>
                <w:rFonts w:ascii="Arial" w:cs="Arial" w:eastAsia="Arial" w:hAnsi="Arial"/>
                <w:sz w:val="14"/>
                <w:szCs w:val="14"/>
                <w:color w:val="auto"/>
              </w:rPr>
              <w:t>Minimum pension plan funding obligations (3)</w:t>
            </w:r>
          </w:p>
        </w:tc>
        <w:tc>
          <w:tcPr>
            <w:tcW w:w="38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19.6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2.7</w:t>
            </w:r>
          </w:p>
        </w:tc>
      </w:tr>
      <w:tr>
        <w:trPr>
          <w:trHeight w:val="270"/>
        </w:trPr>
        <w:tc>
          <w:tcPr>
            <w:tcW w:w="3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Unconditional purchase obligations (4)</w:t>
            </w:r>
          </w:p>
        </w:tc>
        <w:tc>
          <w:tcPr>
            <w:tcW w:w="3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1,558.8</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1,282.2</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276.6</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3880" w:type="dxa"/>
            <w:vAlign w:val="bottom"/>
            <w:gridSpan w:val="2"/>
          </w:tcPr>
          <w:p>
            <w:pPr>
              <w:ind w:left="40"/>
              <w:spacing w:after="0"/>
              <w:rPr>
                <w:sz w:val="20"/>
                <w:szCs w:val="20"/>
                <w:color w:val="auto"/>
              </w:rPr>
            </w:pPr>
            <w:r>
              <w:rPr>
                <w:rFonts w:ascii="Arial" w:cs="Arial" w:eastAsia="Arial" w:hAnsi="Arial"/>
                <w:sz w:val="14"/>
                <w:szCs w:val="14"/>
                <w:color w:val="auto"/>
              </w:rPr>
              <w:t>Total obligations</w:t>
            </w:r>
          </w:p>
        </w:tc>
        <w:tc>
          <w:tcPr>
            <w:tcW w:w="3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5,025.3</w:t>
            </w:r>
          </w:p>
        </w:tc>
        <w:tc>
          <w:tcPr>
            <w:tcW w:w="1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1,374.2</w:t>
            </w:r>
          </w:p>
        </w:tc>
        <w:tc>
          <w:tcPr>
            <w:tcW w:w="4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769.8</w:t>
            </w:r>
          </w:p>
        </w:tc>
        <w:tc>
          <w:tcPr>
            <w:tcW w:w="120" w:type="dxa"/>
            <w:vAlign w:val="bottom"/>
          </w:tcPr>
          <w:p>
            <w:pPr>
              <w:spacing w:after="0"/>
              <w:rPr>
                <w:sz w:val="21"/>
                <w:szCs w:val="21"/>
                <w:color w:val="auto"/>
              </w:rPr>
            </w:pP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599.4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2,281.9</w:t>
            </w:r>
          </w:p>
        </w:tc>
      </w:tr>
      <w:tr>
        <w:trPr>
          <w:trHeight w:val="20"/>
        </w:trPr>
        <w:tc>
          <w:tcPr>
            <w:tcW w:w="3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right="320" w:firstLine="8"/>
        <w:spacing w:after="0" w:line="275" w:lineRule="auto"/>
        <w:tabs>
          <w:tab w:leader="none" w:pos="229"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Includes the net interest payments on fixed and variable rate debt and associated interest rate swaps. Interest associated with variable rate debt was forecasted using the LIBOR forward curve as of December 31, 2016.</w:t>
      </w:r>
    </w:p>
    <w:p>
      <w:pPr>
        <w:spacing w:after="0" w:line="37" w:lineRule="exact"/>
        <w:rPr>
          <w:rFonts w:ascii="Arial" w:cs="Arial" w:eastAsia="Arial" w:hAnsi="Arial"/>
          <w:sz w:val="16"/>
          <w:szCs w:val="16"/>
          <w:color w:val="auto"/>
        </w:rPr>
      </w:pPr>
    </w:p>
    <w:p>
      <w:pPr>
        <w:ind w:left="240" w:hanging="232"/>
        <w:spacing w:after="0"/>
        <w:tabs>
          <w:tab w:leader="none" w:pos="2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Includes the minimum rental commitments under non-cancelable operating leases primarily for offices, retail stores, warehouses and distribution facilities.</w:t>
      </w:r>
    </w:p>
    <w:p>
      <w:pPr>
        <w:spacing w:after="0" w:line="86" w:lineRule="exact"/>
        <w:rPr>
          <w:rFonts w:ascii="Arial" w:cs="Arial" w:eastAsia="Arial" w:hAnsi="Arial"/>
          <w:sz w:val="16"/>
          <w:szCs w:val="16"/>
          <w:color w:val="auto"/>
        </w:rPr>
      </w:pPr>
    </w:p>
    <w:p>
      <w:pPr>
        <w:ind w:right="240" w:firstLine="8"/>
        <w:spacing w:after="0" w:line="256" w:lineRule="auto"/>
        <w:tabs>
          <w:tab w:leader="none" w:pos="229"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Represents future pension payments to comply with local funding requirements. Our policy is to fund domestic pension liabilities in accordance with the minimum and maximum limits imposed by the Employee Retirement Income Security Act of 1974 (“ERISA”), federal income tax laws and the funding requirements of the Pension Protection Act of 2006. We fund non-domestic pension liabilities in accordance with laws and regulations applicable to those plans. For more information, see Note 9 to the Consolidated Financial Statements.</w:t>
      </w:r>
    </w:p>
    <w:p>
      <w:pPr>
        <w:spacing w:after="0" w:line="52" w:lineRule="exact"/>
        <w:rPr>
          <w:rFonts w:ascii="Arial" w:cs="Arial" w:eastAsia="Arial" w:hAnsi="Arial"/>
          <w:sz w:val="16"/>
          <w:szCs w:val="16"/>
          <w:color w:val="auto"/>
        </w:rPr>
      </w:pPr>
    </w:p>
    <w:p>
      <w:pPr>
        <w:ind w:firstLine="8"/>
        <w:spacing w:after="0" w:line="253" w:lineRule="auto"/>
        <w:tabs>
          <w:tab w:leader="none" w:pos="229" w:val="left"/>
        </w:tabs>
        <w:numPr>
          <w:ilvl w:val="0"/>
          <w:numId w:val="21"/>
        </w:numPr>
        <w:rPr>
          <w:rFonts w:ascii="Arial" w:cs="Arial" w:eastAsia="Arial" w:hAnsi="Arial"/>
          <w:sz w:val="16"/>
          <w:szCs w:val="16"/>
          <w:color w:val="auto"/>
        </w:rPr>
      </w:pPr>
      <w:r>
        <w:rPr>
          <w:rFonts w:ascii="Arial" w:cs="Arial" w:eastAsia="Arial" w:hAnsi="Arial"/>
          <w:sz w:val="16"/>
          <w:szCs w:val="16"/>
          <w:color w:val="auto"/>
        </w:rPr>
        <w:t>Purchase obligations consist primarily of fixed commitments for the purchase of raw materials to be utilized in the normal course of business. Amounts presented included fixed price forward contracts and unpriced contracts that were valued using market prices as of December 31, 2016. The amounts presented in the table do not include items already recorded in accounts payable or accrued liabilities at year-end 2016, nor does the table reflect cash flows we are likely to incur based on our plans, but are not obligated to incur. Such amounts are part of normal operations and are reflected in historical operating cash flow trends. We do not believe such purchase obligations will adversely affect our liquidity position.</w:t>
      </w:r>
    </w:p>
    <w:p>
      <w:pPr>
        <w:spacing w:after="0" w:line="13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entering into contractual obligations, we have assumed the risk that might arise from the possible inability of counterparties to meet the terms of their contracts. We mitigate this risk by performing financial assessments prior to contract execution, conducting periodic evaluations of counterparty performance and maintaining a diverse portfolio of qualified counterparties. Our risk is limited to replacing the contracts at prevailing market rates. We do not expect any significant losses resulting from counterparty defaults.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Retirement Obligations</w:t>
      </w:r>
    </w:p>
    <w:p>
      <w:pPr>
        <w:spacing w:after="0" w:line="9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a number of facilities that contain varying amounts of asbestos in certain locations within the facilities. Our asbestos management program is compliant with current applicable regulations, which require that we handle or dispose of asbestos in a specified manner if such facilities undergo major renovations or are demolished. We do not have sufficient information to estimate the fair value of any asset retirement obligations related to these facilities. We cannot specify the settlement date or range of potential settlement dates and, therefore, sufficient information is not available to apply an expected present value technique. We expect to maintain the facilities with repairs and maintenance activities that would not involve or require the removal of significant quantities of asbestos.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746" w:right="2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Income Tax Obligations</w:t>
      </w:r>
    </w:p>
    <w:p>
      <w:pPr>
        <w:spacing w:after="0" w:line="9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Liabilities for unrecognized income tax benefits are excluded from the table above as we are unable to reasonably predict the ultimate amount or timing of a settlement of these potential liabilities. See Note 8 to the Consolidated Financial Statements for more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recently issued accounting standards is included in Note 1 to the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preparation of financial statements requires management to use judgment and make estimates and assumptions. We believe that our most critical accounting policies and estimates relate to the following:</w:t>
      </w:r>
    </w:p>
    <w:p>
      <w:pPr>
        <w:spacing w:after="0" w:line="13" w:lineRule="exact"/>
        <w:rPr>
          <w:sz w:val="20"/>
          <w:szCs w:val="20"/>
          <w:color w:val="auto"/>
        </w:rPr>
      </w:pPr>
    </w:p>
    <w:p>
      <w:pPr>
        <w:ind w:left="380" w:hanging="216"/>
        <w:spacing w:after="0"/>
        <w:tabs>
          <w:tab w:leader="none" w:pos="380" w:val="left"/>
        </w:tabs>
        <w:numPr>
          <w:ilvl w:val="0"/>
          <w:numId w:val="22"/>
        </w:numPr>
        <w:rPr>
          <w:rFonts w:ascii="Arial" w:cs="Arial" w:eastAsia="Arial" w:hAnsi="Arial"/>
          <w:sz w:val="29"/>
          <w:szCs w:val="29"/>
          <w:color w:val="auto"/>
          <w:vertAlign w:val="superscript"/>
        </w:rPr>
      </w:pPr>
      <w:r>
        <w:rPr>
          <w:rFonts w:ascii="Arial" w:cs="Arial" w:eastAsia="Arial" w:hAnsi="Arial"/>
          <w:sz w:val="18"/>
          <w:szCs w:val="18"/>
          <w:color w:val="auto"/>
        </w:rPr>
        <w:t>Accrued Liabilities for Trade Promotion Activities</w:t>
      </w:r>
    </w:p>
    <w:p>
      <w:pPr>
        <w:spacing w:after="0" w:line="55" w:lineRule="exact"/>
        <w:rPr>
          <w:rFonts w:ascii="Arial" w:cs="Arial" w:eastAsia="Arial" w:hAnsi="Arial"/>
          <w:sz w:val="29"/>
          <w:szCs w:val="29"/>
          <w:color w:val="auto"/>
          <w:vertAlign w:val="superscript"/>
        </w:rPr>
      </w:pPr>
    </w:p>
    <w:p>
      <w:pPr>
        <w:ind w:left="360" w:hanging="196"/>
        <w:spacing w:after="0" w:line="186" w:lineRule="auto"/>
        <w:tabs>
          <w:tab w:leader="none" w:pos="360" w:val="left"/>
        </w:tabs>
        <w:numPr>
          <w:ilvl w:val="0"/>
          <w:numId w:val="22"/>
        </w:numPr>
        <w:rPr>
          <w:rFonts w:ascii="Arial" w:cs="Arial" w:eastAsia="Arial" w:hAnsi="Arial"/>
          <w:sz w:val="24"/>
          <w:szCs w:val="24"/>
          <w:color w:val="auto"/>
          <w:vertAlign w:val="superscript"/>
        </w:rPr>
      </w:pPr>
      <w:r>
        <w:rPr>
          <w:rFonts w:ascii="Arial" w:cs="Arial" w:eastAsia="Arial" w:hAnsi="Arial"/>
          <w:sz w:val="15"/>
          <w:szCs w:val="15"/>
          <w:color w:val="auto"/>
        </w:rPr>
        <w:t>Pension and Other Post-Retirement Benefits Plans</w:t>
      </w:r>
    </w:p>
    <w:p>
      <w:pPr>
        <w:spacing w:after="0" w:line="56" w:lineRule="exact"/>
        <w:rPr>
          <w:rFonts w:ascii="Arial" w:cs="Arial" w:eastAsia="Arial" w:hAnsi="Arial"/>
          <w:sz w:val="24"/>
          <w:szCs w:val="24"/>
          <w:color w:val="auto"/>
          <w:vertAlign w:val="superscript"/>
        </w:rPr>
      </w:pPr>
    </w:p>
    <w:p>
      <w:pPr>
        <w:ind w:left="360" w:hanging="196"/>
        <w:spacing w:after="0" w:line="186" w:lineRule="auto"/>
        <w:tabs>
          <w:tab w:leader="none" w:pos="360" w:val="left"/>
        </w:tabs>
        <w:numPr>
          <w:ilvl w:val="0"/>
          <w:numId w:val="22"/>
        </w:numPr>
        <w:rPr>
          <w:rFonts w:ascii="Arial" w:cs="Arial" w:eastAsia="Arial" w:hAnsi="Arial"/>
          <w:sz w:val="24"/>
          <w:szCs w:val="24"/>
          <w:color w:val="auto"/>
          <w:vertAlign w:val="superscript"/>
        </w:rPr>
      </w:pPr>
      <w:r>
        <w:rPr>
          <w:rFonts w:ascii="Arial" w:cs="Arial" w:eastAsia="Arial" w:hAnsi="Arial"/>
          <w:sz w:val="15"/>
          <w:szCs w:val="15"/>
          <w:color w:val="auto"/>
        </w:rPr>
        <w:t>Goodwill and Other Intangible Assets</w:t>
      </w:r>
    </w:p>
    <w:p>
      <w:pPr>
        <w:spacing w:after="0" w:line="56" w:lineRule="exact"/>
        <w:rPr>
          <w:rFonts w:ascii="Arial" w:cs="Arial" w:eastAsia="Arial" w:hAnsi="Arial"/>
          <w:sz w:val="24"/>
          <w:szCs w:val="24"/>
          <w:color w:val="auto"/>
          <w:vertAlign w:val="superscript"/>
        </w:rPr>
      </w:pPr>
    </w:p>
    <w:p>
      <w:pPr>
        <w:ind w:left="360" w:hanging="196"/>
        <w:spacing w:after="0" w:line="186" w:lineRule="auto"/>
        <w:tabs>
          <w:tab w:leader="none" w:pos="360" w:val="left"/>
        </w:tabs>
        <w:numPr>
          <w:ilvl w:val="0"/>
          <w:numId w:val="22"/>
        </w:numPr>
        <w:rPr>
          <w:rFonts w:ascii="Arial" w:cs="Arial" w:eastAsia="Arial" w:hAnsi="Arial"/>
          <w:sz w:val="24"/>
          <w:szCs w:val="24"/>
          <w:color w:val="auto"/>
          <w:vertAlign w:val="superscript"/>
        </w:rPr>
      </w:pPr>
      <w:r>
        <w:rPr>
          <w:rFonts w:ascii="Arial" w:cs="Arial" w:eastAsia="Arial" w:hAnsi="Arial"/>
          <w:sz w:val="15"/>
          <w:szCs w:val="15"/>
          <w:color w:val="auto"/>
        </w:rPr>
        <w:t>Income Taxes</w:t>
      </w:r>
    </w:p>
    <w:p>
      <w:pPr>
        <w:spacing w:after="0" w:line="110"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Management has discussed the development, selection and disclosure of critical accounting policies and estimates with the Audit Committee of our Board. While we base estimates and assumptions on our knowledge of current events and actions we may undertake in the future, actual results may ultimately differ from these estimates and assumptions. Other significant accounting policies are outlined in Note 1 to the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Liabilities for Trade Promotion Activities</w:t>
      </w:r>
    </w:p>
    <w:p>
      <w:pPr>
        <w:spacing w:after="0" w:line="9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promote our products with advertising, trade promotions and consumer incentives. These programs include, but are not limited to, discounts, coupons, rebates, in-store display incentives and volume-based incentives. We expense advertising costs and other direct marketing expenses as incurred. We recognize the costs of trade promotion and consumer incentive activities as a reduction to net sales along with a corresponding accrued liability based on estimates at the time of revenue recognition. These estimates are based on our analysis of the programs offered, historical trends, expectations regarding customer and consumer participation, sales and payment trends and our experience with payment patterns associated with similar programs offered in the past.</w:t>
      </w:r>
    </w:p>
    <w:p>
      <w:pPr>
        <w:spacing w:after="0" w:line="10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Our trade promotional costs totaled $1,157.4 million, $1,122.3 million and $1,125.5 million in 2016, 2015 and 2014, respectively. The estimated costs of these programs are reasonably likely to change in the future due to changes in trends with regard to customer and consumer participation, particularly for new programs and for programs related to the introduction of new products. Differences between estimated expense and actual program performance are recognized as a change in estimate in a subsequent period and are normally not significant. Over the three-year period ended December 31, 2016, actual promotional costs have not deviated from the estimated amount for a given year by more than 3%.</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Other Post-Retirement Benefits Plans</w:t>
      </w:r>
    </w:p>
    <w:p>
      <w:pPr>
        <w:spacing w:after="0" w:line="9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sponsor various defined benefit pension plans. The primary plans are The Hershey Company Retirement Plan and The Hershey Company Retirement Plan for Hourly Employees, which are cash balance plans that provide pension benefits for most U.S. employees hired prior to January 1, 2007. We also sponsor two primary other post-employment benefit (“OPEB”) plans, consisting of a health care plan and life insurance plan for retirees. The health care plan is contributory, with participants’ contributions adjusted annually, and the life insurance plan is non-contributory.</w:t>
      </w:r>
    </w:p>
    <w:p>
      <w:pPr>
        <w:spacing w:after="0" w:line="117"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For accounting purposes, the defined benefit pension and OPEB plans require assumptions to estimate the projected and accumulated benefit obligations, including the following variables: discount rate; expected salary increases; certain employee-related factors, such as turnover, retirement age and mortality; expected return on assets; and health care cost trend rates. These and other assumptions affect the annual expense and obligations recognized for the underlying plans. Our assumptions reflect our historical experiences and management's best judgment regarding future expectations. Our related accounting policies, accounting balances and plan assumptions are discussed in Note 9 to the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823"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color w:val="auto"/>
        </w:rPr>
        <w:t>Pension Plans</w:t>
      </w:r>
    </w:p>
    <w:p>
      <w:pPr>
        <w:spacing w:after="0" w:line="9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Changes in certain assumptions could significantly affect pension expense and benefit obligations, particularly the estimated long-term rate of return on plan assets and the discount rates used to calculate such obligations:</w:t>
      </w:r>
    </w:p>
    <w:p>
      <w:pPr>
        <w:spacing w:after="0" w:line="170" w:lineRule="exact"/>
        <w:rPr>
          <w:sz w:val="20"/>
          <w:szCs w:val="20"/>
          <w:color w:val="auto"/>
        </w:rPr>
      </w:pPr>
    </w:p>
    <w:p>
      <w:pPr>
        <w:ind w:left="660" w:right="40" w:hanging="328"/>
        <w:spacing w:after="0" w:line="272"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Long-term rate of return on plan assets</w:t>
      </w:r>
      <w:r>
        <w:rPr>
          <w:rFonts w:ascii="Arial" w:cs="Arial" w:eastAsia="Arial" w:hAnsi="Arial"/>
          <w:sz w:val="17"/>
          <w:szCs w:val="17"/>
          <w:color w:val="auto"/>
        </w:rPr>
        <w:t>. The expected long-term rate of return is evaluated on an annual basis. We consider a number of factors when setting assumptions with respect to the long-term rate of return, including current and expected asset allocation and historical and expected returns on the plan asset categories. Actual asset allocations are regularly reviewed and periodically rebalanced to the targeted allocations when considered appropriate. Investment gains or losses represent the difference between the expected return estimated using the long-term rate of return and the actual return realized. For 2017, we reduced the expected return on plan assets assumption to 5.8% from the 6.1% assumption used during 2016, reflecting lower expected long-term returns due to slowing growth in developed and emerging markets. The historical average return (compounded annually) over the 20 years prior to December 31, 2016 was approximately 6.5%.</w:t>
      </w:r>
    </w:p>
    <w:p>
      <w:pPr>
        <w:spacing w:after="0" w:line="177" w:lineRule="exact"/>
        <w:rPr>
          <w:rFonts w:ascii="Arial" w:cs="Arial" w:eastAsia="Arial" w:hAnsi="Arial"/>
          <w:sz w:val="17"/>
          <w:szCs w:val="17"/>
          <w:color w:val="auto"/>
        </w:rPr>
      </w:pPr>
    </w:p>
    <w:p>
      <w:pPr>
        <w:ind w:left="660" w:right="80"/>
        <w:spacing w:after="0" w:line="272" w:lineRule="auto"/>
        <w:rPr>
          <w:rFonts w:ascii="Arial" w:cs="Arial" w:eastAsia="Arial" w:hAnsi="Arial"/>
          <w:sz w:val="17"/>
          <w:szCs w:val="17"/>
          <w:color w:val="auto"/>
        </w:rPr>
      </w:pPr>
      <w:r>
        <w:rPr>
          <w:rFonts w:ascii="Arial" w:cs="Arial" w:eastAsia="Arial" w:hAnsi="Arial"/>
          <w:sz w:val="17"/>
          <w:szCs w:val="17"/>
          <w:color w:val="auto"/>
        </w:rPr>
        <w:t>As of December 31, 2016, our primary plans had cumulative unrecognized investment and actuarial losses of approximately $418 million. We amortize the unrecognized net actuarial gains and losses in excess of the corridor amount, which is the greater of 10% of a respective plan’s projected benefit obligation or the fair market value of plan assets. These unrecognized net losses may increase future pension expense if not offset by (i) actual investment returns that exceed the expected long-term rate of investment returns, (ii) other factors, including reduced pension liabilities arising from higher discount rates used to calculate pension obligations or (iii) other actuarial gains when actual plan experience is favorable as compared to the assumed experience. A 100 basis point decrease or increase in the long-term rate of return on pension assets would correspondingly increase or decrease annual net periodic pension benefit expense by approximately $10 million.</w:t>
      </w:r>
    </w:p>
    <w:p>
      <w:pPr>
        <w:spacing w:after="0" w:line="177" w:lineRule="exact"/>
        <w:rPr>
          <w:rFonts w:ascii="Arial" w:cs="Arial" w:eastAsia="Arial" w:hAnsi="Arial"/>
          <w:sz w:val="17"/>
          <w:szCs w:val="17"/>
          <w:color w:val="auto"/>
        </w:rPr>
      </w:pPr>
    </w:p>
    <w:p>
      <w:pPr>
        <w:ind w:left="660" w:right="20" w:hanging="328"/>
        <w:spacing w:after="0" w:line="25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Discount rate</w:t>
      </w:r>
      <w:r>
        <w:rPr>
          <w:rFonts w:ascii="Arial" w:cs="Arial" w:eastAsia="Arial" w:hAnsi="Arial"/>
          <w:sz w:val="18"/>
          <w:szCs w:val="18"/>
          <w:color w:val="auto"/>
        </w:rPr>
        <w:t>. The discount rate used to determine the present value of our future pension obligation at December 31, 2016 was based on a yield curve constructed from a portfolio of high-quality corporate debt securities for which the timing and amount of cash flows approximate the estimated benefit payments of the plans. The plans’ expected cash flows are then discounted by the resulting year-by-year spot rates. A 100 basis point decline in the weighted-average pension discount rate would increase annual net periodic pension benefit expense by approximately $7 million and the December 31, 2016 pension liability would increase by approximately $97 million.</w:t>
      </w:r>
    </w:p>
    <w:p>
      <w:pPr>
        <w:spacing w:after="0" w:line="18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Pension expense for defined benefit pension plans is estimated to approximate $35 million in 2017. Pension expense beyond 2017 will depend on future investment performance, our contributions to the pension trusts, changes in discount rates and various other factors related to the covered employees in the plans.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Post-Employment Benefit Plans</w:t>
      </w:r>
    </w:p>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Changes in significant assumptions could affect consolidated expense and benefit obligations, particularly the discount rates used to calculate such obligations and the healthcare cost trend rate:</w:t>
      </w:r>
    </w:p>
    <w:p>
      <w:pPr>
        <w:spacing w:after="0" w:line="89" w:lineRule="exact"/>
        <w:rPr>
          <w:sz w:val="20"/>
          <w:szCs w:val="20"/>
          <w:color w:val="auto"/>
        </w:rPr>
      </w:pPr>
    </w:p>
    <w:p>
      <w:pPr>
        <w:ind w:left="660" w:right="200" w:hanging="328"/>
        <w:spacing w:after="0" w:line="286"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Discount rate</w:t>
      </w:r>
      <w:r>
        <w:rPr>
          <w:rFonts w:ascii="Arial" w:cs="Arial" w:eastAsia="Arial" w:hAnsi="Arial"/>
          <w:sz w:val="17"/>
          <w:szCs w:val="17"/>
          <w:color w:val="auto"/>
        </w:rPr>
        <w:t>. The determination of the discount rate used to calculate the benefit obligations of the OPEB plans is discussed in the pension plans section above. If the discount rate assumption for these plans was reduced by 100 basis points, the impact to the OPEB plans consolidated expense would not be material and the increase in the December 31, 2016 benefit liability would be approximately $27 million.</w:t>
      </w:r>
    </w:p>
    <w:p>
      <w:pPr>
        <w:spacing w:after="0" w:line="84" w:lineRule="exact"/>
        <w:rPr>
          <w:rFonts w:ascii="Arial" w:cs="Arial" w:eastAsia="Arial" w:hAnsi="Arial"/>
          <w:sz w:val="17"/>
          <w:szCs w:val="17"/>
          <w:color w:val="auto"/>
        </w:rPr>
      </w:pPr>
    </w:p>
    <w:p>
      <w:pPr>
        <w:ind w:left="660" w:right="80" w:hanging="328"/>
        <w:spacing w:after="0" w:line="312"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Healthcare cost trend rate</w:t>
      </w:r>
      <w:r>
        <w:rPr>
          <w:rFonts w:ascii="Arial" w:cs="Arial" w:eastAsia="Arial" w:hAnsi="Arial"/>
          <w:sz w:val="16"/>
          <w:szCs w:val="16"/>
          <w:color w:val="auto"/>
        </w:rPr>
        <w:t>. The healthcare cost trend rate is based on a combination of inputs including our recent claims history and insights from external advisers regarding recent developments in the healthcare marketplace, as well as projections of future trends in the marketplace. See Note 9 to the Consolidated Financial Statements for disclosure of the effects of a one percentage point change in the healthcare cost trend rate.</w:t>
      </w: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800"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Goodwill and Other Intangible Assets</w:t>
      </w:r>
    </w:p>
    <w:p>
      <w:pPr>
        <w:spacing w:after="0" w:line="94"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Goodwill and indefinite-lived intangible assets are not amortized, but are evaluated for impairment annually or more often if indicators of a potential impairment are present. Our annual impairment tests are conducted at the beginning of the fourth quarter.</w:t>
      </w:r>
    </w:p>
    <w:p>
      <w:pPr>
        <w:spacing w:after="0" w:line="116"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We test goodwill for impairment by either performing a qualitative assessment or using a two-step quantitative process. If we choose to perform a qualitative assessment, we evaluate economic, industry and company-specific factors as an initial step in assessing the fair value of the related reporting unit. If we determine that it is more likely than not that the fair value of the reporting unit is less than its carrying value, the two-step process is then performed. Otherwise, no further testing is required. For those reporting units tested using the two-step process, we first compare the fair value of each reporting unit with the carrying amount of the reporting unit, including goodwill. If the estimated fair value of the reporting unit is less than the carrying amount of the reporting unit, we complete a second step to determine the amount of the goodwill impairment that we should record. In the second step, we determine an implied fair value of the reporting unit’s goodwill by allocating the reporting unit’s fair value to all of its assets and liabilities other than goodwill (including any unrecognized intangible assets). We compare the resulting implied fair value of the goodwill to the carrying amount and record an impairment charge for the difference. We test individual indefinite-lived intangible assets by comparing the estimated fair value with the book values of each asset.</w:t>
      </w:r>
    </w:p>
    <w:p>
      <w:pPr>
        <w:spacing w:after="0" w:line="11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determine the fair value of our reporting units and indefinite-lived intangible assets using an income approach. Under the income approach, we calculate the fair value of our reporting units and indefinite-lived intangible assets based on the present value of estimated future cash flows. Considerable management judgment is necessary to evaluate the impact of operating and macroeconomic changes and to estimate the future cash flows used to measure fair value. Our estimates of future cash flows consider past performance, current and anticipated market conditions and internal projections and operating plans which incorporate estimates for sales growth and profitability, and cash flows associated with taxes and capital spending. Additional assumptions include forecasted growth rates, estimated discount rates, which may be risk-adjusted for the operating market of the reporting unit, and estimated royalty rates that would be charged for comparable branded licenses. We believe such assumptions also reflect current and anticipated market conditions and are consistent with those that would be used by other marketplace participants for similar valuation purposes. Such assumptions are subject to change due to changing economic and competitive conditions.</w:t>
      </w:r>
    </w:p>
    <w:p>
      <w:pPr>
        <w:spacing w:after="0" w:line="12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also have intangible assets, consisting primarily of certain trademarks, customer-related intangible assets and patents obtained through business acquisitions, that are expected to have determinable useful lives. The costs of finite-lived intangible assets are amortized to expense over their estimated lives. Our estimates of the useful lives of finite-lived intangible assets consider judgments regarding the future effects of obsolescence, demand, competition and other economic factors. We conduct impairment tests when events or changes in circumstances indicate that the carrying value of these finite-lived assets may not be recoverable. Undiscounted cash flow analyses are used to determine if an impairment exists. If an impairment is determined to exist, the loss is calculated based on the estimated fair value of the assets.</w:t>
      </w:r>
    </w:p>
    <w:p>
      <w:pPr>
        <w:spacing w:after="0" w:line="13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At December 31, 2016, the net book value of our goodwill totaled $812.3 million and related to five reporting units. As it relates to our annual testing performed at the beginning of the fourth quarter, no additional goodwill impairment was indicated, and the percentage of excess fair value over carrying value was at least 100% for each of our tested reporting units.</w:t>
      </w:r>
    </w:p>
    <w:p>
      <w:pPr>
        <w:spacing w:after="0" w:line="12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2015, we recorded a $280.8 million impairment charge resulting from our interim reassessment of the valuation of the SGM business, coupled with the write-down of goodwill attributed to the China chocolate business in connection with the SGM acquisition. As a result of declining performance levels and our post-acquisition assessment, we determined that GAAP required an interim impairment test of the SGM reporting unit. We performed the first step of this test as of July 5, 2015 using an income approach based on our estimates of future performance scenarios for the business. The results of this test indicated that the fair value of the reporting unit was less than the carrying amount as of the measurement date, suggesting that a goodwill impairment was probable, which required us to perform a second step analysis to confirm that an impairment existed and to determine the amount of the impairment based on our reassessed value of the reporting unit. Although preliminary, as a result of this reassessment, in the second quarter of 2015 we recorded an estimated $249.8 million non-cash goodwill impairment charge, representing a write-down of all of the goodwill related to the SGM reporting unit as of July 5, 2015. During the third quarter, we increased the value</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850" w:right="259" w:bottom="1440" w:gutter="0" w:footer="0" w:header="0"/>
        </w:sectPr>
      </w:pPr>
    </w:p>
    <w:bookmarkStart w:id="41" w:name="page42"/>
    <w:bookmarkEnd w:id="41"/>
    <w:p>
      <w:pPr>
        <w:spacing w:after="0" w:line="257" w:lineRule="auto"/>
        <w:rPr>
          <w:sz w:val="20"/>
          <w:szCs w:val="20"/>
          <w:color w:val="auto"/>
        </w:rPr>
      </w:pPr>
      <w:r>
        <w:rPr>
          <w:rFonts w:ascii="Arial" w:cs="Arial" w:eastAsia="Arial" w:hAnsi="Arial"/>
          <w:sz w:val="18"/>
          <w:szCs w:val="18"/>
          <w:color w:val="auto"/>
        </w:rPr>
        <w:t>of acquired goodwill by $16.6 million, with the corresponding offset principally represented by the establishment of additional opening balance sheet liabilities for additional commitments and contingencies that were identified through our post-acquisition assessment. We also finalized the impairment test of the goodwill relating to the SGM reporting unit, which resulted in a write-off of this additional goodwill in the third quarter, for a total impairment of $266.4 million. We also tested the other long-lived assets of SGM for recoverability by comparing the sum of the undiscounted cash flows to the carrying value of the asset group, and no impairment was indicated.</w:t>
      </w:r>
    </w:p>
    <w:p>
      <w:pPr>
        <w:spacing w:after="0" w:line="13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connection with the 2014 SGM acquisition, we had assigned approximately $15 million of goodwill to our existing China chocolate business, as this reporting unit was expected to benefit from acquisition synergies relating to the sale of Golden Monkey-branded product through its Tier 1 and hypermarket distributor networks. As the net sales and earnings of our China business continued to be adversely impacted by macroeconomic challenges and changing consumer shopping behavior through the third quarter of 2015, we determined that an interim impairment test of the goodwill in this reporting unit was also required. We performed the first step of this test in the third quarter of 2015 using an income approach based on our estimates of future performance scenarios for the business. The results of this test suggested that a goodwill impairment was probable, and the conclusions of the second step analysis resulted in a write-down of $14.4 million, representing the full value of goodwill attributed to this reporting unit as of October 4, 2015. We also tested the other long-lived assets of the China asset group for recoverability by comparing the sum of the undiscounted cash flows to the carrying value of the asset group, and no impairment was indicated.</w:t>
      </w:r>
    </w:p>
    <w:p>
      <w:pPr>
        <w:spacing w:after="0" w:line="12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During our 2014 annual testing, the fair value of our India reporting unit approximated its carrying value. As a result and given the sensitivity of the India impairment analysis to changes in the underlying assumptions, we performed a step two analysis which indicated a goodwill impairment of $11.4 million. In addition, our 2014 annual test of indefinite-lived intangible assets resulted in a $4.5 million pre-tax write-down of a trademark, also associated with the India business. Also in 2014, in connection with the anticipated sale of our Mauna Loa business (as discussed in Note 2 to the Consolidated Financial Statements), during the third and fourth quarters of 2014, we recorded estimated impairment charges totaling $18.5 million to write-down goodwill and an indefinite-lived trademark intangible asset, based on the valuation of these assets as implied by the agreed-upon sales price.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base our deferred income taxes, accrued income taxes and provision for income taxes upon income, statutory tax rates, the legal structure of our Company, interpretation of tax laws and tax planning opportunities available to us in the various jurisdictions in which we operate. We file income tax returns in the U.S. federal jurisdiction and various state and foreign jurisdictions. We are regularly audited by federal, state and foreign tax authorities, but a number of years may elapse before an uncertain tax position, for which we have unrecognized tax benefits, is audited and finally resolved. From time to time, these audits result in assessments of additional tax. We maintain reserves for such assessments.</w:t>
      </w:r>
    </w:p>
    <w:p>
      <w:pPr>
        <w:spacing w:after="0" w:line="11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apply a more-likely-than-not threshold to the recognition and derecognition of uncertain tax positions. Accordingly, we recognize the amount of tax benefit that has a greater than 50% likelihood of being ultimately realized upon settlement. Future changes in judgments and estimates related to the expected ultimate resolution of uncertain tax positions will affect income in the quarter of such change. While it is often difficult to predict the final outcome or the timing of resolution of any particular uncertain tax position, we believe that our unrecognized tax benefits reflect the most likely outcome. Accrued interest and penalties related to unrecognized tax benefits are included in income tax expense. We adjust these unrecognized tax benefits, as well as the related interest, in light of changing facts and circumstances, such as receiving audit assessments or clearing of an item for which a reserve has been established. Settlement of any particular position could require the use of cash. Favorable resolution would be recognized as a reduction to our effective income tax rate in the period of resolution.</w:t>
      </w:r>
    </w:p>
    <w:p>
      <w:pPr>
        <w:spacing w:after="0" w:line="13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believe it is more likely than not that the results of future operations will generate sufficient taxable income to realize the deferred tax assets, net of valuation allowances. Our valuation allowances are primarily related to U.S. capital loss carryforwards and various foreign jurisdictions' net operating loss carryforwards and other deferred tax assets for which we do not expect to realize a benefit.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746" w:right="259" w:bottom="1440" w:gutter="0" w:footer="0" w:header="0"/>
        </w:sectPr>
      </w:pPr>
    </w:p>
    <w:bookmarkStart w:id="42" w:name="page43"/>
    <w:bookmarkEnd w:id="42"/>
    <w:p>
      <w:pPr>
        <w:spacing w:after="0"/>
        <w:tabs>
          <w:tab w:leader="none" w:pos="8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i w:val="1"/>
          <w:iCs w:val="1"/>
          <w:color w:val="auto"/>
        </w:rPr>
        <w:t>QUANTITATIVE AND QUALITATIVE DISCLOSURES ABOUT MARKET RISK</w:t>
      </w:r>
    </w:p>
    <w:p>
      <w:pPr>
        <w:spacing w:after="0" w:line="9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use certain derivative instruments to manage our interest rate, foreign currency exchange rate and commodity price risks. We monitor and manage these exposures as part of our overall risk management program.</w:t>
      </w:r>
    </w:p>
    <w:p>
      <w:pPr>
        <w:spacing w:after="0" w:line="11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enter into interest rate swap agreements and foreign currency forward exchange contracts and options for periods consistent with related underlying exposures. We enter into commodities futures and options contracts and other derivative instruments for varying periods. These commodity derivative instruments are intended to be, and are effective as, economic hedges of market price risks associated with anticipated raw material purchases, energy requirements and transportation costs. We do not hold or issue derivative instruments for trading purposes and are not a party to any instruments with leverage or prepayment features.</w:t>
      </w:r>
    </w:p>
    <w:p>
      <w:pPr>
        <w:spacing w:after="0" w:line="13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entering into these contracts, we have assumed the risk that might arise from the possible inability of counterparties to meet the terms of their contracts. We mitigate this risk by entering into exchange-traded contracts with collateral posting requirements and/or by performing financial assessments prior to contract execution, conducting periodic evaluations of counterparty performance and maintaining a diverse portfolio of qualified counterparties. We do not expect any significant losses from counterparty defaults.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Refer to Note 1 and Note 5 to the Consolidated Financial Statements for further discussion of these derivative instruments and our hedging policies.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order to manage interest rate exposure, we may periodically enter into interest rate swap agreements including fixed-to-floating interest rate swaps to achieve a desired proportion of variable versus fixed rate debt based on current and projected market conditions and forward starting interest rate swap agreements to reduce interest volatility associated with certain anticipated debt issues. When utilized, the notional amount, interest payment and maturity date of these swaps generally match the principal, interest payment and maturity date of the related debt, and the swaps are valued using observable benchmark rates.</w:t>
      </w:r>
    </w:p>
    <w:p>
      <w:pPr>
        <w:spacing w:after="0" w:line="13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total notional amount of interest rate swaps outstanding at December 31, 2016 and 2015 was $350 million and $850 million, respectively. We had one forward starting interest rate swap agreement in a cash flow hedging relationship with a notional amount of $500 million at December 31, 2015. This interest rate swap agreement was settled in connection with the issuance of debt in August 2016, resulting in a payment of approximately $87 million which is reflected within operating activities in the Consolidated Statement of Cash Flows. The notional amount at December 31, 2016 and 2015 includes $350 million of fixed-to-floating interest rate swaps that convert a comparable amount of fixed-rate debt to variable-rate debt. A hypothetical 100 basis point increase in interest rates applied to this now variable-rate debt as of December 31, 2016 would have increased interest expense by approximately $3.6 million for the full year 2016 and 2015, respectively.</w:t>
      </w:r>
    </w:p>
    <w:p>
      <w:pPr>
        <w:spacing w:after="0" w:line="13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consider our current risk related to market fluctuations in interest rates on our remaining debt portfolio, excluding fixed-rate debt converted to variable rates with fixed-to-floating instruments, to be minimal since this debt is largely long-term and fixed-rate in nature. Generally, the fair market value of fixed-rate debt will increase as interest rates fall and decrease as interest rates rise. A 100 basis point increase in market interest rates would decrease the fair value of our fixed-rate long-term debt at December 31, 2016 and December 31, 2015 by approximately $142 million and $76 million, respectively. However, since we currently have no plans to repurchase our outstanding fixed-rate instruments before their maturities, the impact of market interest rate fluctuations on our long-term debt does not affect our results of operations or financial position.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9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are exposed to currency fluctuations related to manufacturing or selling products in currencies other than the U.S. dollar. We may enter into foreign currency forward exchange contracts and options to reduce fluctuations in our long or short currency positions relating primarily to purchase commitments or forecasted purchases for equipment, raw materials and finished goods denominated in foreign currencies. We also may hedge payment of forecasted intercompany transactions with our subsidiaries outside of the United States. We generally hedge foreign currency price risks for periods from 3 to 12 months.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823"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A summary of foreign currency forward exchange contracts and the corresponding amounts at contracted forward rates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tcPr>
          <w:p>
            <w:pPr>
              <w:jc w:val="right"/>
              <w:ind w:right="1599"/>
              <w:spacing w:after="0"/>
              <w:rPr>
                <w:sz w:val="20"/>
                <w:szCs w:val="20"/>
                <w:color w:val="auto"/>
              </w:rPr>
            </w:pPr>
            <w:r>
              <w:rPr>
                <w:rFonts w:ascii="Arial" w:cs="Arial" w:eastAsia="Arial" w:hAnsi="Arial"/>
                <w:sz w:val="14"/>
                <w:szCs w:val="14"/>
                <w:b w:val="1"/>
                <w:bCs w:val="1"/>
                <w:color w:val="auto"/>
              </w:rPr>
              <w:t>2015</w:t>
            </w:r>
          </w:p>
        </w:tc>
      </w:tr>
      <w:tr>
        <w:trPr>
          <w:trHeight w:val="152"/>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7"/>
              </w:rPr>
              <w:t>Contract</w:t>
            </w:r>
          </w:p>
        </w:tc>
        <w:tc>
          <w:tcPr>
            <w:tcW w:w="2420" w:type="dxa"/>
            <w:vAlign w:val="bottom"/>
            <w:gridSpan w:val="2"/>
          </w:tcPr>
          <w:p>
            <w:pPr>
              <w:ind w:left="940"/>
              <w:spacing w:after="0" w:line="153" w:lineRule="exact"/>
              <w:rPr>
                <w:sz w:val="20"/>
                <w:szCs w:val="20"/>
                <w:color w:val="auto"/>
              </w:rPr>
            </w:pPr>
            <w:r>
              <w:rPr>
                <w:rFonts w:ascii="Arial" w:cs="Arial" w:eastAsia="Arial" w:hAnsi="Arial"/>
                <w:sz w:val="14"/>
                <w:szCs w:val="14"/>
                <w:b w:val="1"/>
                <w:bCs w:val="1"/>
                <w:color w:val="auto"/>
              </w:rPr>
              <w:t>Primary</w:t>
            </w:r>
          </w:p>
        </w:tc>
        <w:tc>
          <w:tcPr>
            <w:tcW w:w="280" w:type="dxa"/>
            <w:vAlign w:val="bottom"/>
          </w:tcPr>
          <w:p>
            <w:pPr>
              <w:spacing w:after="0"/>
              <w:rPr>
                <w:sz w:val="13"/>
                <w:szCs w:val="13"/>
                <w:color w:val="auto"/>
              </w:rPr>
            </w:pPr>
          </w:p>
        </w:tc>
        <w:tc>
          <w:tcPr>
            <w:tcW w:w="10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7"/>
              </w:rPr>
              <w:t>Contract</w:t>
            </w:r>
          </w:p>
        </w:tc>
        <w:tc>
          <w:tcPr>
            <w:tcW w:w="2420" w:type="dxa"/>
            <w:vAlign w:val="bottom"/>
          </w:tcPr>
          <w:p>
            <w:pPr>
              <w:jc w:val="center"/>
              <w:ind w:left="19"/>
              <w:spacing w:after="0" w:line="153" w:lineRule="exact"/>
              <w:rPr>
                <w:sz w:val="20"/>
                <w:szCs w:val="20"/>
                <w:color w:val="auto"/>
              </w:rPr>
            </w:pPr>
            <w:r>
              <w:rPr>
                <w:rFonts w:ascii="Arial" w:cs="Arial" w:eastAsia="Arial" w:hAnsi="Arial"/>
                <w:sz w:val="14"/>
                <w:szCs w:val="14"/>
                <w:b w:val="1"/>
                <w:bCs w:val="1"/>
                <w:color w:val="auto"/>
                <w:w w:val="99"/>
              </w:rPr>
              <w:t>Primary</w:t>
            </w:r>
          </w:p>
        </w:tc>
      </w:tr>
      <w:tr>
        <w:trPr>
          <w:trHeight w:val="192"/>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Amount</w:t>
            </w:r>
          </w:p>
        </w:tc>
        <w:tc>
          <w:tcPr>
            <w:tcW w:w="2420" w:type="dxa"/>
            <w:vAlign w:val="bottom"/>
            <w:gridSpan w:val="2"/>
          </w:tcPr>
          <w:p>
            <w:pPr>
              <w:ind w:left="860"/>
              <w:spacing w:after="0"/>
              <w:rPr>
                <w:sz w:val="20"/>
                <w:szCs w:val="20"/>
                <w:color w:val="auto"/>
              </w:rPr>
            </w:pPr>
            <w:r>
              <w:rPr>
                <w:rFonts w:ascii="Arial" w:cs="Arial" w:eastAsia="Arial" w:hAnsi="Arial"/>
                <w:sz w:val="14"/>
                <w:szCs w:val="14"/>
                <w:b w:val="1"/>
                <w:bCs w:val="1"/>
                <w:color w:val="auto"/>
              </w:rPr>
              <w:t>Currencies</w:t>
            </w:r>
          </w:p>
        </w:tc>
        <w:tc>
          <w:tcPr>
            <w:tcW w:w="2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Amount</w:t>
            </w:r>
          </w:p>
        </w:tc>
        <w:tc>
          <w:tcPr>
            <w:tcW w:w="2420" w:type="dxa"/>
            <w:vAlign w:val="bottom"/>
          </w:tcPr>
          <w:p>
            <w:pPr>
              <w:jc w:val="center"/>
              <w:ind w:left="19"/>
              <w:spacing w:after="0"/>
              <w:rPr>
                <w:sz w:val="20"/>
                <w:szCs w:val="20"/>
                <w:color w:val="auto"/>
              </w:rPr>
            </w:pPr>
            <w:r>
              <w:rPr>
                <w:rFonts w:ascii="Arial" w:cs="Arial" w:eastAsia="Arial" w:hAnsi="Arial"/>
                <w:sz w:val="14"/>
                <w:szCs w:val="14"/>
                <w:b w:val="1"/>
                <w:bCs w:val="1"/>
                <w:color w:val="auto"/>
                <w:w w:val="92"/>
              </w:rPr>
              <w:t>Currencies</w:t>
            </w:r>
          </w:p>
        </w:tc>
      </w:tr>
      <w:tr>
        <w:trPr>
          <w:trHeight w:val="264"/>
        </w:trPr>
        <w:tc>
          <w:tcPr>
            <w:tcW w:w="3900" w:type="dxa"/>
            <w:vAlign w:val="bottom"/>
            <w:gridSpan w:val="2"/>
          </w:tcPr>
          <w:p>
            <w:pPr>
              <w:ind w:left="60"/>
              <w:spacing w:after="0"/>
              <w:rPr>
                <w:sz w:val="20"/>
                <w:szCs w:val="20"/>
                <w:color w:val="auto"/>
              </w:rPr>
            </w:pPr>
            <w:r>
              <w:rPr>
                <w:rFonts w:ascii="Arial" w:cs="Arial" w:eastAsia="Arial" w:hAnsi="Arial"/>
                <w:sz w:val="14"/>
                <w:szCs w:val="14"/>
                <w:b w:val="1"/>
                <w:bCs w:val="1"/>
                <w:color w:val="auto"/>
              </w:rPr>
              <w:t>In millions of dollars</w:t>
            </w:r>
          </w:p>
        </w:tc>
        <w:tc>
          <w:tcPr>
            <w:tcW w:w="28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3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20" w:type="dxa"/>
            <w:vAlign w:val="bottom"/>
            <w:tcBorders>
              <w:top w:val="single" w:sz="8" w:color="auto"/>
            </w:tcBorders>
          </w:tcPr>
          <w:p>
            <w:pPr>
              <w:spacing w:after="0"/>
              <w:rPr>
                <w:sz w:val="22"/>
                <w:szCs w:val="22"/>
                <w:color w:val="auto"/>
              </w:rPr>
            </w:pPr>
          </w:p>
        </w:tc>
      </w:tr>
      <w:tr>
        <w:trPr>
          <w:trHeight w:val="235"/>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forward exchange contracts to</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20" w:type="dxa"/>
            <w:vAlign w:val="bottom"/>
            <w:shd w:val="clear" w:color="auto" w:fill="CCEEFF"/>
          </w:tcPr>
          <w:p>
            <w:pPr>
              <w:spacing w:after="0"/>
              <w:rPr>
                <w:sz w:val="20"/>
                <w:szCs w:val="20"/>
                <w:color w:val="auto"/>
              </w:rPr>
            </w:pPr>
          </w:p>
        </w:tc>
      </w:tr>
      <w:tr>
        <w:trPr>
          <w:trHeight w:val="237"/>
        </w:trPr>
        <w:tc>
          <w:tcPr>
            <w:tcW w:w="3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purchase foreign currencies</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0"/>
                <w:szCs w:val="20"/>
                <w:color w:val="auto"/>
              </w:rPr>
            </w:pPr>
          </w:p>
        </w:tc>
        <w:tc>
          <w:tcPr>
            <w:tcW w:w="2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Euros</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0"/>
                <w:szCs w:val="20"/>
                <w:color w:val="auto"/>
              </w:rPr>
            </w:pPr>
          </w:p>
        </w:tc>
        <w:tc>
          <w:tcPr>
            <w:tcW w:w="2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Euros</w:t>
            </w:r>
          </w:p>
        </w:tc>
      </w:tr>
      <w:tr>
        <w:trPr>
          <w:trHeight w:val="229"/>
        </w:trPr>
        <w:tc>
          <w:tcPr>
            <w:tcW w:w="3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20" w:type="dxa"/>
            <w:vAlign w:val="bottom"/>
            <w:gridSpan w:val="2"/>
          </w:tcPr>
          <w:p>
            <w:pPr>
              <w:ind w:left="180"/>
              <w:spacing w:after="0"/>
              <w:rPr>
                <w:sz w:val="20"/>
                <w:szCs w:val="20"/>
                <w:color w:val="auto"/>
              </w:rPr>
            </w:pPr>
            <w:r>
              <w:rPr>
                <w:rFonts w:ascii="Arial" w:cs="Arial" w:eastAsia="Arial" w:hAnsi="Arial"/>
                <w:sz w:val="18"/>
                <w:szCs w:val="18"/>
                <w:color w:val="auto"/>
              </w:rPr>
              <w:t>Canadian dollars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w w:val="93"/>
              </w:rPr>
              <w:t>Foreign currency forward exchange contracts to sell</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2"/>
          </w:tcPr>
          <w:p>
            <w:pPr>
              <w:ind w:left="180"/>
              <w:spacing w:after="0"/>
              <w:rPr>
                <w:sz w:val="20"/>
                <w:szCs w:val="20"/>
                <w:color w:val="auto"/>
              </w:rPr>
            </w:pPr>
            <w:r>
              <w:rPr>
                <w:rFonts w:ascii="Arial" w:cs="Arial" w:eastAsia="Arial" w:hAnsi="Arial"/>
                <w:sz w:val="18"/>
                <w:szCs w:val="18"/>
                <w:color w:val="auto"/>
              </w:rPr>
              <w:t>Brazilian reals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ind w:left="200"/>
              <w:spacing w:after="0"/>
              <w:rPr>
                <w:sz w:val="20"/>
                <w:szCs w:val="20"/>
                <w:color w:val="auto"/>
              </w:rPr>
            </w:pPr>
            <w:r>
              <w:rPr>
                <w:rFonts w:ascii="Arial" w:cs="Arial" w:eastAsia="Arial" w:hAnsi="Arial"/>
                <w:sz w:val="18"/>
                <w:szCs w:val="18"/>
                <w:color w:val="auto"/>
              </w:rPr>
              <w:t>Brazilian reals</w:t>
            </w:r>
          </w:p>
        </w:tc>
      </w:tr>
      <w:tr>
        <w:trPr>
          <w:trHeight w:val="230"/>
        </w:trPr>
        <w:tc>
          <w:tcPr>
            <w:tcW w:w="3900" w:type="dxa"/>
            <w:vAlign w:val="bottom"/>
            <w:gridSpan w:val="2"/>
          </w:tcPr>
          <w:p>
            <w:pPr>
              <w:spacing w:after="0"/>
              <w:rPr>
                <w:sz w:val="20"/>
                <w:szCs w:val="20"/>
                <w:color w:val="auto"/>
              </w:rPr>
            </w:pPr>
            <w:r>
              <w:rPr>
                <w:rFonts w:ascii="Arial" w:cs="Arial" w:eastAsia="Arial" w:hAnsi="Arial"/>
                <w:sz w:val="18"/>
                <w:szCs w:val="18"/>
                <w:color w:val="auto"/>
              </w:rPr>
              <w:t>foreign currencies</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9"/>
              <w:spacing w:after="0"/>
              <w:rPr>
                <w:sz w:val="20"/>
                <w:szCs w:val="20"/>
                <w:color w:val="auto"/>
              </w:rPr>
            </w:pPr>
            <w:r>
              <w:rPr>
                <w:rFonts w:ascii="Arial" w:cs="Arial" w:eastAsia="Arial" w:hAnsi="Arial"/>
                <w:sz w:val="18"/>
                <w:szCs w:val="18"/>
                <w:color w:val="auto"/>
              </w:rPr>
              <w:t>80.4</w:t>
            </w:r>
          </w:p>
        </w:tc>
        <w:tc>
          <w:tcPr>
            <w:tcW w:w="120" w:type="dxa"/>
            <w:vAlign w:val="bottom"/>
          </w:tcPr>
          <w:p>
            <w:pPr>
              <w:spacing w:after="0"/>
              <w:rPr>
                <w:sz w:val="20"/>
                <w:szCs w:val="20"/>
                <w:color w:val="auto"/>
              </w:rPr>
            </w:pPr>
          </w:p>
        </w:tc>
        <w:tc>
          <w:tcPr>
            <w:tcW w:w="2420" w:type="dxa"/>
            <w:vAlign w:val="bottom"/>
            <w:gridSpan w:val="2"/>
          </w:tcPr>
          <w:p>
            <w:pPr>
              <w:ind w:left="180"/>
              <w:spacing w:after="0"/>
              <w:rPr>
                <w:sz w:val="20"/>
                <w:szCs w:val="20"/>
                <w:color w:val="auto"/>
              </w:rPr>
            </w:pPr>
            <w:r>
              <w:rPr>
                <w:rFonts w:ascii="Arial" w:cs="Arial" w:eastAsia="Arial" w:hAnsi="Arial"/>
                <w:sz w:val="18"/>
                <w:szCs w:val="18"/>
                <w:color w:val="auto"/>
              </w:rPr>
              <w:t>Japanese yen</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9"/>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0"/>
                <w:szCs w:val="20"/>
                <w:color w:val="auto"/>
              </w:rPr>
            </w:pPr>
          </w:p>
        </w:tc>
        <w:tc>
          <w:tcPr>
            <w:tcW w:w="2420" w:type="dxa"/>
            <w:vAlign w:val="bottom"/>
          </w:tcPr>
          <w:p>
            <w:pPr>
              <w:ind w:left="200"/>
              <w:spacing w:after="0"/>
              <w:rPr>
                <w:sz w:val="20"/>
                <w:szCs w:val="20"/>
                <w:color w:val="auto"/>
              </w:rPr>
            </w:pPr>
            <w:r>
              <w:rPr>
                <w:rFonts w:ascii="Arial" w:cs="Arial" w:eastAsia="Arial" w:hAnsi="Arial"/>
                <w:sz w:val="18"/>
                <w:szCs w:val="18"/>
                <w:color w:val="auto"/>
              </w:rPr>
              <w:t>Japanese yen</w:t>
            </w:r>
          </w:p>
        </w:tc>
      </w:tr>
    </w:tbl>
    <w:p>
      <w:pPr>
        <w:spacing w:after="0" w:line="17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fair value of foreign currency forward exchange contracts represents the difference between the contracted and current market foreign currency exchange rates at the end of the period. We estimate the fair value of foreign currency forward exchange contracts on a quarterly basis by obtaining market quotes of spot and forward rates for contracts with similar terms, adjusted where necessary for maturity differences. At December 31, 2016 and 2015, the net fair value of these instruments was an asset of $1.4 million and a liability of $0.1 million, respectively. Assuming an unfavorable 10% change in year-end foreign currency exchange rates, the fair value of these instruments would have declined by $9.6 million and $3.2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Commodities—Price Risk Management and Futures Contracts</w:t>
      </w:r>
    </w:p>
    <w:p>
      <w:pPr>
        <w:spacing w:after="0" w:line="9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most significant raw material requirements include cocoa products, sugar, dairy products, peanuts and almonds. The cost of cocoa products and prices for related futures contracts and costs for certain other raw materials historically have been subject to wide fluctuations attributable to a variety of factors. These factors include:</w:t>
      </w:r>
    </w:p>
    <w:p>
      <w:pPr>
        <w:spacing w:after="0" w:line="24" w:lineRule="exact"/>
        <w:rPr>
          <w:sz w:val="20"/>
          <w:szCs w:val="20"/>
          <w:color w:val="auto"/>
        </w:rPr>
      </w:pPr>
    </w:p>
    <w:p>
      <w:pPr>
        <w:ind w:left="360" w:hanging="196"/>
        <w:spacing w:after="0"/>
        <w:tabs>
          <w:tab w:leader="none" w:pos="360" w:val="left"/>
        </w:tabs>
        <w:numPr>
          <w:ilvl w:val="0"/>
          <w:numId w:val="25"/>
        </w:numPr>
        <w:rPr>
          <w:rFonts w:ascii="Arial" w:cs="Arial" w:eastAsia="Arial" w:hAnsi="Arial"/>
          <w:sz w:val="29"/>
          <w:szCs w:val="29"/>
          <w:color w:val="auto"/>
          <w:vertAlign w:val="superscript"/>
        </w:rPr>
      </w:pPr>
      <w:r>
        <w:rPr>
          <w:rFonts w:ascii="Arial" w:cs="Arial" w:eastAsia="Arial" w:hAnsi="Arial"/>
          <w:sz w:val="18"/>
          <w:szCs w:val="18"/>
          <w:color w:val="auto"/>
        </w:rPr>
        <w:t>Commodity market fluctuations;</w:t>
      </w:r>
    </w:p>
    <w:p>
      <w:pPr>
        <w:spacing w:after="0" w:line="55" w:lineRule="exact"/>
        <w:rPr>
          <w:rFonts w:ascii="Arial" w:cs="Arial" w:eastAsia="Arial" w:hAnsi="Arial"/>
          <w:sz w:val="29"/>
          <w:szCs w:val="29"/>
          <w:color w:val="auto"/>
          <w:vertAlign w:val="superscript"/>
        </w:rPr>
      </w:pPr>
    </w:p>
    <w:p>
      <w:pPr>
        <w:ind w:left="380" w:hanging="216"/>
        <w:spacing w:after="0" w:line="186" w:lineRule="auto"/>
        <w:tabs>
          <w:tab w:leader="none" w:pos="380" w:val="left"/>
        </w:tabs>
        <w:numPr>
          <w:ilvl w:val="0"/>
          <w:numId w:val="25"/>
        </w:numPr>
        <w:rPr>
          <w:rFonts w:ascii="Arial" w:cs="Arial" w:eastAsia="Arial" w:hAnsi="Arial"/>
          <w:sz w:val="24"/>
          <w:szCs w:val="24"/>
          <w:color w:val="auto"/>
          <w:vertAlign w:val="superscript"/>
        </w:rPr>
      </w:pPr>
      <w:r>
        <w:rPr>
          <w:rFonts w:ascii="Arial" w:cs="Arial" w:eastAsia="Arial" w:hAnsi="Arial"/>
          <w:sz w:val="15"/>
          <w:szCs w:val="15"/>
          <w:color w:val="auto"/>
        </w:rPr>
        <w:t>Foreign currency exchange rates;</w:t>
      </w:r>
    </w:p>
    <w:p>
      <w:pPr>
        <w:spacing w:after="0" w:line="56" w:lineRule="exact"/>
        <w:rPr>
          <w:rFonts w:ascii="Arial" w:cs="Arial" w:eastAsia="Arial" w:hAnsi="Arial"/>
          <w:sz w:val="24"/>
          <w:szCs w:val="24"/>
          <w:color w:val="auto"/>
          <w:vertAlign w:val="superscript"/>
        </w:rPr>
      </w:pPr>
    </w:p>
    <w:p>
      <w:pPr>
        <w:ind w:left="360" w:hanging="196"/>
        <w:spacing w:after="0" w:line="186" w:lineRule="auto"/>
        <w:tabs>
          <w:tab w:leader="none" w:pos="360" w:val="left"/>
        </w:tabs>
        <w:numPr>
          <w:ilvl w:val="0"/>
          <w:numId w:val="25"/>
        </w:numPr>
        <w:rPr>
          <w:rFonts w:ascii="Arial" w:cs="Arial" w:eastAsia="Arial" w:hAnsi="Arial"/>
          <w:sz w:val="24"/>
          <w:szCs w:val="24"/>
          <w:color w:val="auto"/>
          <w:vertAlign w:val="superscript"/>
        </w:rPr>
      </w:pPr>
      <w:r>
        <w:rPr>
          <w:rFonts w:ascii="Arial" w:cs="Arial" w:eastAsia="Arial" w:hAnsi="Arial"/>
          <w:sz w:val="15"/>
          <w:szCs w:val="15"/>
          <w:color w:val="auto"/>
        </w:rPr>
        <w:t>Imbalances between supply and demand;</w:t>
      </w:r>
    </w:p>
    <w:p>
      <w:pPr>
        <w:spacing w:after="0" w:line="56" w:lineRule="exact"/>
        <w:rPr>
          <w:rFonts w:ascii="Arial" w:cs="Arial" w:eastAsia="Arial" w:hAnsi="Arial"/>
          <w:sz w:val="24"/>
          <w:szCs w:val="24"/>
          <w:color w:val="auto"/>
          <w:vertAlign w:val="superscript"/>
        </w:rPr>
      </w:pPr>
    </w:p>
    <w:p>
      <w:pPr>
        <w:ind w:left="360" w:hanging="196"/>
        <w:spacing w:after="0" w:line="186" w:lineRule="auto"/>
        <w:tabs>
          <w:tab w:leader="none" w:pos="360" w:val="left"/>
        </w:tabs>
        <w:numPr>
          <w:ilvl w:val="0"/>
          <w:numId w:val="25"/>
        </w:numPr>
        <w:rPr>
          <w:rFonts w:ascii="Arial" w:cs="Arial" w:eastAsia="Arial" w:hAnsi="Arial"/>
          <w:sz w:val="24"/>
          <w:szCs w:val="24"/>
          <w:color w:val="auto"/>
          <w:vertAlign w:val="superscript"/>
        </w:rPr>
      </w:pPr>
      <w:r>
        <w:rPr>
          <w:rFonts w:ascii="Arial" w:cs="Arial" w:eastAsia="Arial" w:hAnsi="Arial"/>
          <w:sz w:val="15"/>
          <w:szCs w:val="15"/>
          <w:color w:val="auto"/>
        </w:rPr>
        <w:t>The effect of weather on crop yield;</w:t>
      </w:r>
    </w:p>
    <w:p>
      <w:pPr>
        <w:spacing w:after="0" w:line="56" w:lineRule="exact"/>
        <w:rPr>
          <w:rFonts w:ascii="Arial" w:cs="Arial" w:eastAsia="Arial" w:hAnsi="Arial"/>
          <w:sz w:val="24"/>
          <w:szCs w:val="24"/>
          <w:color w:val="auto"/>
          <w:vertAlign w:val="superscript"/>
        </w:rPr>
      </w:pPr>
    </w:p>
    <w:p>
      <w:pPr>
        <w:ind w:left="360" w:hanging="196"/>
        <w:spacing w:after="0" w:line="186" w:lineRule="auto"/>
        <w:tabs>
          <w:tab w:leader="none" w:pos="360" w:val="left"/>
        </w:tabs>
        <w:numPr>
          <w:ilvl w:val="0"/>
          <w:numId w:val="25"/>
        </w:numPr>
        <w:rPr>
          <w:rFonts w:ascii="Arial" w:cs="Arial" w:eastAsia="Arial" w:hAnsi="Arial"/>
          <w:sz w:val="24"/>
          <w:szCs w:val="24"/>
          <w:color w:val="auto"/>
          <w:vertAlign w:val="superscript"/>
        </w:rPr>
      </w:pPr>
      <w:r>
        <w:rPr>
          <w:rFonts w:ascii="Arial" w:cs="Arial" w:eastAsia="Arial" w:hAnsi="Arial"/>
          <w:sz w:val="15"/>
          <w:szCs w:val="15"/>
          <w:color w:val="auto"/>
        </w:rPr>
        <w:t>Speculative influences;</w:t>
      </w:r>
    </w:p>
    <w:p>
      <w:pPr>
        <w:spacing w:after="0" w:line="56" w:lineRule="exact"/>
        <w:rPr>
          <w:rFonts w:ascii="Arial" w:cs="Arial" w:eastAsia="Arial" w:hAnsi="Arial"/>
          <w:sz w:val="24"/>
          <w:szCs w:val="24"/>
          <w:color w:val="auto"/>
          <w:vertAlign w:val="superscript"/>
        </w:rPr>
      </w:pPr>
    </w:p>
    <w:p>
      <w:pPr>
        <w:ind w:left="360" w:hanging="196"/>
        <w:spacing w:after="0" w:line="186" w:lineRule="auto"/>
        <w:tabs>
          <w:tab w:leader="none" w:pos="360" w:val="left"/>
        </w:tabs>
        <w:numPr>
          <w:ilvl w:val="0"/>
          <w:numId w:val="25"/>
        </w:numPr>
        <w:rPr>
          <w:rFonts w:ascii="Arial" w:cs="Arial" w:eastAsia="Arial" w:hAnsi="Arial"/>
          <w:sz w:val="24"/>
          <w:szCs w:val="24"/>
          <w:color w:val="auto"/>
          <w:vertAlign w:val="superscript"/>
        </w:rPr>
      </w:pPr>
      <w:r>
        <w:rPr>
          <w:rFonts w:ascii="Arial" w:cs="Arial" w:eastAsia="Arial" w:hAnsi="Arial"/>
          <w:sz w:val="15"/>
          <w:szCs w:val="15"/>
          <w:color w:val="auto"/>
        </w:rPr>
        <w:t>Trade agreements among producing and consuming nations;</w:t>
      </w:r>
    </w:p>
    <w:p>
      <w:pPr>
        <w:spacing w:after="0" w:line="56" w:lineRule="exact"/>
        <w:rPr>
          <w:rFonts w:ascii="Arial" w:cs="Arial" w:eastAsia="Arial" w:hAnsi="Arial"/>
          <w:sz w:val="24"/>
          <w:szCs w:val="24"/>
          <w:color w:val="auto"/>
          <w:vertAlign w:val="superscript"/>
        </w:rPr>
      </w:pPr>
    </w:p>
    <w:p>
      <w:pPr>
        <w:ind w:left="380" w:hanging="216"/>
        <w:spacing w:after="0" w:line="186" w:lineRule="auto"/>
        <w:tabs>
          <w:tab w:leader="none" w:pos="380" w:val="left"/>
        </w:tabs>
        <w:numPr>
          <w:ilvl w:val="0"/>
          <w:numId w:val="25"/>
        </w:numPr>
        <w:rPr>
          <w:rFonts w:ascii="Arial" w:cs="Arial" w:eastAsia="Arial" w:hAnsi="Arial"/>
          <w:sz w:val="24"/>
          <w:szCs w:val="24"/>
          <w:color w:val="auto"/>
          <w:vertAlign w:val="superscript"/>
        </w:rPr>
      </w:pPr>
      <w:r>
        <w:rPr>
          <w:rFonts w:ascii="Arial" w:cs="Arial" w:eastAsia="Arial" w:hAnsi="Arial"/>
          <w:sz w:val="15"/>
          <w:szCs w:val="15"/>
          <w:color w:val="auto"/>
        </w:rPr>
        <w:t>Supplier compliance with commitments;</w:t>
      </w:r>
    </w:p>
    <w:p>
      <w:pPr>
        <w:spacing w:after="0" w:line="56" w:lineRule="exact"/>
        <w:rPr>
          <w:rFonts w:ascii="Arial" w:cs="Arial" w:eastAsia="Arial" w:hAnsi="Arial"/>
          <w:sz w:val="24"/>
          <w:szCs w:val="24"/>
          <w:color w:val="auto"/>
          <w:vertAlign w:val="superscript"/>
        </w:rPr>
      </w:pPr>
    </w:p>
    <w:p>
      <w:pPr>
        <w:ind w:left="360" w:hanging="196"/>
        <w:spacing w:after="0" w:line="186" w:lineRule="auto"/>
        <w:tabs>
          <w:tab w:leader="none" w:pos="360" w:val="left"/>
        </w:tabs>
        <w:numPr>
          <w:ilvl w:val="0"/>
          <w:numId w:val="25"/>
        </w:numPr>
        <w:rPr>
          <w:rFonts w:ascii="Arial" w:cs="Arial" w:eastAsia="Arial" w:hAnsi="Arial"/>
          <w:sz w:val="24"/>
          <w:szCs w:val="24"/>
          <w:color w:val="auto"/>
          <w:vertAlign w:val="superscript"/>
        </w:rPr>
      </w:pPr>
      <w:r>
        <w:rPr>
          <w:rFonts w:ascii="Arial" w:cs="Arial" w:eastAsia="Arial" w:hAnsi="Arial"/>
          <w:sz w:val="15"/>
          <w:szCs w:val="15"/>
          <w:color w:val="auto"/>
        </w:rPr>
        <w:t>Political unrest in producing countries; and</w:t>
      </w:r>
    </w:p>
    <w:p>
      <w:pPr>
        <w:spacing w:after="0" w:line="56" w:lineRule="exact"/>
        <w:rPr>
          <w:rFonts w:ascii="Arial" w:cs="Arial" w:eastAsia="Arial" w:hAnsi="Arial"/>
          <w:sz w:val="24"/>
          <w:szCs w:val="24"/>
          <w:color w:val="auto"/>
          <w:vertAlign w:val="superscript"/>
        </w:rPr>
      </w:pPr>
    </w:p>
    <w:p>
      <w:pPr>
        <w:ind w:left="360" w:hanging="196"/>
        <w:spacing w:after="0" w:line="186" w:lineRule="auto"/>
        <w:tabs>
          <w:tab w:leader="none" w:pos="360" w:val="left"/>
        </w:tabs>
        <w:numPr>
          <w:ilvl w:val="0"/>
          <w:numId w:val="25"/>
        </w:numPr>
        <w:rPr>
          <w:rFonts w:ascii="Arial" w:cs="Arial" w:eastAsia="Arial" w:hAnsi="Arial"/>
          <w:sz w:val="24"/>
          <w:szCs w:val="24"/>
          <w:color w:val="auto"/>
          <w:vertAlign w:val="superscript"/>
        </w:rPr>
      </w:pPr>
      <w:r>
        <w:rPr>
          <w:rFonts w:ascii="Arial" w:cs="Arial" w:eastAsia="Arial" w:hAnsi="Arial"/>
          <w:sz w:val="15"/>
          <w:szCs w:val="15"/>
          <w:color w:val="auto"/>
        </w:rPr>
        <w:t>Changes in governmental agricultural programs and energy policies.</w:t>
      </w:r>
    </w:p>
    <w:p>
      <w:pPr>
        <w:spacing w:after="0" w:line="17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use futures and options contracts and other commodity derivative instruments in combination with forward purchasing of cocoa products, sugar, corn sweeteners, natural gas and certain dairy products primarily to reduce the risk of future price increases and provide visibility to future costs. Currently, active futures contracts are not available for use in pricing our other major raw material requirements, primarily peanuts and almonds. We attempt to minimize the effect of future price fluctuations related to the purchase of raw materials by using forward purchasing to cover future manufacturing requirements generally for 3 to 24 months. However, dairy futures liquidity is not as developed as many of the other commodities futures markets and, therefore, it can be difficult to hedge our costs for dairy products by entering into futures contracts or other derivative instruments to extend coverage for long periods of time. We use diesel swap futures contracts to minimize price fluctuations associated with our transportation costs. Our commodity procurement practices are intended to reduce the risk of future price increases and provide visibility to future costs, but also may potentially limit our ability to benefit from possible price decreases. Our costs for major raw materials will not necessarily reflect market price fluctuations primarily because of our forward purchasing and hedging practices.</w:t>
      </w:r>
    </w:p>
    <w:p>
      <w:pPr>
        <w:spacing w:after="0" w:line="113" w:lineRule="exact"/>
        <w:rPr>
          <w:sz w:val="20"/>
          <w:szCs w:val="20"/>
          <w:color w:val="auto"/>
        </w:rPr>
      </w:pPr>
    </w:p>
    <w:p>
      <w:pPr>
        <w:jc w:val="both"/>
        <w:ind w:right="300"/>
        <w:spacing w:after="0" w:line="312" w:lineRule="auto"/>
        <w:rPr>
          <w:sz w:val="20"/>
          <w:szCs w:val="20"/>
          <w:color w:val="auto"/>
        </w:rPr>
      </w:pPr>
      <w:r>
        <w:rPr>
          <w:rFonts w:ascii="Arial" w:cs="Arial" w:eastAsia="Arial" w:hAnsi="Arial"/>
          <w:sz w:val="16"/>
          <w:szCs w:val="16"/>
          <w:color w:val="auto"/>
        </w:rPr>
        <w:t>During 2016, average cocoa futures contract prices decreased compared with 2015 and traded in a range between $1.03 and $1.38 per pound, based on the Intercontinental Exchange futures contract. Cocoa production was lower during the 2015 to 2016 crop year and global demand was slightly higher, which produced a small reduction in global cocoa stocks over the past year. Despite the slight decrease in global cocoa inventories, prices started to decline in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746" w:right="239" w:bottom="1440" w:gutter="0" w:footer="0" w:header="0"/>
        </w:sectPr>
      </w:pPr>
    </w:p>
    <w:bookmarkStart w:id="44" w:name="page45"/>
    <w:bookmarkEnd w:id="44"/>
    <w:p>
      <w:pPr>
        <w:spacing w:after="0"/>
        <w:rPr>
          <w:sz w:val="20"/>
          <w:szCs w:val="20"/>
          <w:color w:val="auto"/>
        </w:rPr>
      </w:pPr>
      <w:r>
        <w:rPr>
          <w:rFonts w:ascii="Arial" w:cs="Arial" w:eastAsia="Arial" w:hAnsi="Arial"/>
          <w:sz w:val="17"/>
          <w:szCs w:val="17"/>
          <w:color w:val="auto"/>
        </w:rPr>
        <w:t>response to expectations that future cocoa supply increases were going to outpace demand and rebuild global stocks during the subsequent crop year.</w:t>
      </w:r>
    </w:p>
    <w:p>
      <w:pPr>
        <w:spacing w:after="0" w:line="183"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table below shows annual average cocoa futures prices and the highest and lowest monthly averages for each of the calendar years indicated. The prices reflect the monthly averages of the quotations at noon of the three active futures trading contracts closest to maturity on the Intercontinental Exchange.</w:t>
      </w:r>
    </w:p>
    <w:p>
      <w:pPr>
        <w:spacing w:after="0" w:line="139" w:lineRule="exact"/>
        <w:rPr>
          <w:sz w:val="20"/>
          <w:szCs w:val="20"/>
          <w:color w:val="auto"/>
        </w:rPr>
      </w:pPr>
    </w:p>
    <w:p>
      <w:pPr>
        <w:jc w:val="center"/>
        <w:ind w:left="5960"/>
        <w:spacing w:after="0"/>
        <w:rPr>
          <w:sz w:val="20"/>
          <w:szCs w:val="20"/>
          <w:color w:val="auto"/>
        </w:rPr>
      </w:pPr>
      <w:r>
        <w:rPr>
          <w:rFonts w:ascii="Arial" w:cs="Arial" w:eastAsia="Arial" w:hAnsi="Arial"/>
          <w:sz w:val="14"/>
          <w:szCs w:val="14"/>
          <w:b w:val="1"/>
          <w:bCs w:val="1"/>
          <w:color w:val="auto"/>
        </w:rPr>
        <w:t>Cocoa Futures Contract Prices</w:t>
      </w:r>
    </w:p>
    <w:p>
      <w:pPr>
        <w:spacing w:after="0" w:line="1" w:lineRule="exact"/>
        <w:rPr>
          <w:sz w:val="20"/>
          <w:szCs w:val="20"/>
          <w:color w:val="auto"/>
        </w:rPr>
      </w:pPr>
    </w:p>
    <w:p>
      <w:pPr>
        <w:jc w:val="center"/>
        <w:ind w:left="5940"/>
        <w:spacing w:after="0"/>
        <w:rPr>
          <w:sz w:val="20"/>
          <w:szCs w:val="20"/>
          <w:color w:val="auto"/>
        </w:rPr>
      </w:pPr>
      <w:r>
        <w:rPr>
          <w:rFonts w:ascii="Arial" w:cs="Arial" w:eastAsia="Arial" w:hAnsi="Arial"/>
          <w:sz w:val="14"/>
          <w:szCs w:val="14"/>
          <w:b w:val="1"/>
          <w:bCs w:val="1"/>
          <w:color w:val="auto"/>
        </w:rPr>
        <w:t>(dollars per pound)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8890</wp:posOffset>
            </wp:positionV>
            <wp:extent cx="35420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8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2012</w:t>
            </w: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Annual Average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1.06</w:t>
            </w: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High</w:t>
            </w:r>
          </w:p>
        </w:tc>
        <w:tc>
          <w:tcPr>
            <w:tcW w:w="280" w:type="dxa"/>
            <w:vAlign w:val="bottom"/>
          </w:tcPr>
          <w:p>
            <w:pPr>
              <w:spacing w:after="0"/>
              <w:rPr>
                <w:sz w:val="21"/>
                <w:szCs w:val="21"/>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6"/>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1.17</w:t>
            </w:r>
          </w:p>
        </w:tc>
      </w:tr>
      <w:tr>
        <w:trPr>
          <w:trHeight w:val="27"/>
        </w:trPr>
        <w:tc>
          <w:tcPr>
            <w:tcW w:w="5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43"/>
        </w:trPr>
        <w:tc>
          <w:tcPr>
            <w:tcW w:w="5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Low</w:t>
            </w:r>
          </w:p>
        </w:tc>
        <w:tc>
          <w:tcPr>
            <w:tcW w:w="28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0.97</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1.00</w:t>
            </w:r>
          </w:p>
        </w:tc>
      </w:tr>
      <w:tr>
        <w:trPr>
          <w:trHeight w:val="27"/>
        </w:trPr>
        <w:tc>
          <w:tcPr>
            <w:tcW w:w="58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ind w:left="900"/>
        <w:spacing w:after="0"/>
        <w:rPr>
          <w:sz w:val="20"/>
          <w:szCs w:val="20"/>
          <w:color w:val="auto"/>
        </w:rPr>
      </w:pPr>
      <w:r>
        <w:rPr>
          <w:rFonts w:ascii="Arial" w:cs="Arial" w:eastAsia="Arial" w:hAnsi="Arial"/>
          <w:sz w:val="16"/>
          <w:szCs w:val="16"/>
          <w:color w:val="auto"/>
        </w:rPr>
        <w:t>Source: International Cocoa Organization Quarterly Bulletin of Cocoa Statistics</w:t>
      </w:r>
    </w:p>
    <w:p>
      <w:pPr>
        <w:spacing w:after="0" w:line="153"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Our costs for cocoa products will not necessarily reflect market price fluctuations because of our forward purchasing and hedging practices, premiums and discounts reflective of varying delivery times, and supply and demand for our specific varieties and grades of cocoa liquor, cocoa butter and cocoa powder. As a result, the average futures contract prices are not necessarily indicative of our average costs.</w:t>
      </w:r>
    </w:p>
    <w:p>
      <w:pPr>
        <w:spacing w:after="0" w:line="12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During 2016, prices for fluid dairy milk ranged from a low of $0.13 per pound to a high of $0.15 per pound, on a Class IV milk basis. Dairy prices were lower than 2015, driven by increased production in Europe and the United States as well as larger dairy product inventories globally.</w:t>
      </w:r>
    </w:p>
    <w:p>
      <w:pPr>
        <w:spacing w:after="0" w:line="9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price of sugar is subject to price supports under U.S. farm legislation. Such legislation establishes import quotas and duties to support the price of sugar. As a result, sugar prices paid by users in the United States are currently higher than prices on the world sugar market. United States delivered east coast refined sugar prices traded in a range from $0.33 to $0.39 per pound during 2016.</w:t>
      </w:r>
    </w:p>
    <w:p>
      <w:pPr>
        <w:spacing w:after="0" w:line="12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 xml:space="preserve">Peanut prices in the United States began the year around $0.46 per pound and closed the year at $0.65 per pound. Drought conditions throughout 2016 in the key Southeast peanut growing region resulted in an estimated 5% smaller crop versus the 2015 crop and drove price increases. Almond prices began the year at $3.53 per pound and decreased to $2.84 per pound during 2016. Almond supply is ample to support U.S. demand heading into 2017 as the 2016 crop is expected to be approximately 11% larger than the 2015 crop. (Source: </w:t>
      </w:r>
      <w:r>
        <w:rPr>
          <w:rFonts w:ascii="Arial" w:cs="Arial" w:eastAsia="Arial" w:hAnsi="Arial"/>
          <w:sz w:val="17"/>
          <w:szCs w:val="17"/>
          <w:i w:val="1"/>
          <w:iCs w:val="1"/>
          <w:color w:val="auto"/>
        </w:rPr>
        <w:t>Almond Board of California</w:t>
      </w:r>
      <w:r>
        <w:rPr>
          <w:rFonts w:ascii="Arial" w:cs="Arial" w:eastAsia="Arial" w:hAnsi="Arial"/>
          <w:sz w:val="17"/>
          <w:szCs w:val="17"/>
          <w:color w:val="auto"/>
        </w:rPr>
        <w:t>)</w:t>
      </w:r>
    </w:p>
    <w:p>
      <w:pPr>
        <w:spacing w:after="0" w:line="11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make or receive cash transfers to or from commodity futures brokers on a daily basis reflecting changes in the value of futures contracts on the Intercontinental Exchange or various other exchanges. These changes in value represent unrealized gains and losses. The cash transfers offset higher or lower cash requirements for the payment of future invoice prices of raw materials, energy requirements and transportation costs.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Sensitivity Analysis</w:t>
      </w:r>
    </w:p>
    <w:p>
      <w:pPr>
        <w:spacing w:after="0" w:line="90"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Our open commodity derivative contracts had a notional value of $739.4 million as of December 31, 2016 and $374.8 million as of December 31, 2015. At the end of 2016, the potential change in fair value of commodity derivative instruments, assuming a 10% decrease in the underlying commodity price, would have increased our net unrealized losses in 2016 by $73.9 million, generally offset by a reduction in the cost of the underlying commodity purchases.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746" w:right="239" w:bottom="1440" w:gutter="0" w:footer="0" w:header="0"/>
        </w:sectPr>
      </w:pPr>
    </w:p>
    <w:bookmarkStart w:id="45" w:name="page46"/>
    <w:bookmarkEnd w:id="45"/>
    <w:p>
      <w:pPr>
        <w:spacing w:after="0"/>
        <w:tabs>
          <w:tab w:leader="none" w:pos="8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i w:val="1"/>
          <w:iCs w:val="1"/>
          <w:color w:val="auto"/>
        </w:rPr>
        <w:t>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380" w:type="dxa"/>
            <w:vAlign w:val="bottom"/>
            <w:gridSpan w:val="10"/>
            <w:shd w:val="clear" w:color="auto" w:fill="CCEEFF"/>
          </w:tcPr>
          <w:p>
            <w:pPr>
              <w:ind w:left="40"/>
              <w:spacing w:after="0"/>
              <w:rPr>
                <w:rFonts w:ascii="Arial" w:cs="Arial" w:eastAsia="Arial" w:hAnsi="Arial"/>
                <w:sz w:val="18"/>
                <w:szCs w:val="18"/>
                <w:color w:val="0000EE"/>
              </w:rPr>
            </w:pPr>
            <w:hyperlink w:anchor="page47">
              <w:r>
                <w:rPr>
                  <w:rFonts w:ascii="Arial" w:cs="Arial" w:eastAsia="Arial" w:hAnsi="Arial"/>
                  <w:sz w:val="18"/>
                  <w:szCs w:val="18"/>
                  <w:color w:val="0000EE"/>
                </w:rPr>
                <w:t>Responsibility for Financial Statements</w:t>
              </w:r>
            </w:hyperlink>
          </w:p>
        </w:tc>
        <w:tc>
          <w:tcPr>
            <w:tcW w:w="1740" w:type="dxa"/>
            <w:vAlign w:val="bottom"/>
            <w:gridSpan w:val="2"/>
            <w:shd w:val="clear" w:color="auto" w:fill="CCEEFF"/>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45</w:t>
              </w:r>
            </w:hyperlink>
          </w:p>
        </w:tc>
        <w:tc>
          <w:tcPr>
            <w:tcW w:w="3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8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9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r>
      <w:tr>
        <w:trPr>
          <w:trHeight w:val="203"/>
        </w:trPr>
        <w:tc>
          <w:tcPr>
            <w:tcW w:w="9380" w:type="dxa"/>
            <w:vAlign w:val="bottom"/>
            <w:gridSpan w:val="10"/>
          </w:tcPr>
          <w:p>
            <w:pPr>
              <w:ind w:left="40"/>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Report of Independent Registered Public Accounting Firm</w:t>
              </w:r>
            </w:hyperlink>
          </w:p>
        </w:tc>
        <w:tc>
          <w:tcPr>
            <w:tcW w:w="1740" w:type="dxa"/>
            <w:vAlign w:val="bottom"/>
            <w:gridSpan w:val="2"/>
          </w:tcPr>
          <w:p>
            <w:pPr>
              <w:jc w:val="right"/>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46</w:t>
              </w:r>
            </w:hyperlink>
          </w:p>
        </w:tc>
        <w:tc>
          <w:tcPr>
            <w:tcW w:w="3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8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c>
          <w:tcPr>
            <w:tcW w:w="19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r>
      <w:tr>
        <w:trPr>
          <w:trHeight w:val="203"/>
        </w:trPr>
        <w:tc>
          <w:tcPr>
            <w:tcW w:w="9380" w:type="dxa"/>
            <w:vAlign w:val="bottom"/>
            <w:gridSpan w:val="10"/>
            <w:shd w:val="clear" w:color="auto" w:fill="CCEEFF"/>
          </w:tcPr>
          <w:p>
            <w:pPr>
              <w:ind w:left="40"/>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Consolidated Statements of Income for the years ended December 31, 2016, 2015 and 2014</w:t>
              </w:r>
            </w:hyperlink>
          </w:p>
        </w:tc>
        <w:tc>
          <w:tcPr>
            <w:tcW w:w="174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48</w:t>
              </w:r>
            </w:hyperlink>
          </w:p>
        </w:tc>
        <w:tc>
          <w:tcPr>
            <w:tcW w:w="3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8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08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19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r>
      <w:tr>
        <w:trPr>
          <w:trHeight w:val="203"/>
        </w:trPr>
        <w:tc>
          <w:tcPr>
            <w:tcW w:w="9380" w:type="dxa"/>
            <w:vAlign w:val="bottom"/>
            <w:gridSpan w:val="10"/>
          </w:tcPr>
          <w:p>
            <w:pPr>
              <w:ind w:left="4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Consolidated Statements of Comprehensive Income for the years ended December 31, 2016, 2015 and 2014</w:t>
              </w:r>
            </w:hyperlink>
          </w:p>
        </w:tc>
        <w:tc>
          <w:tcPr>
            <w:tcW w:w="1740" w:type="dxa"/>
            <w:vAlign w:val="bottom"/>
            <w:gridSpan w:val="2"/>
          </w:tcPr>
          <w:p>
            <w:pPr>
              <w:jc w:val="right"/>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49</w:t>
              </w:r>
            </w:hyperlink>
          </w:p>
        </w:tc>
        <w:tc>
          <w:tcPr>
            <w:tcW w:w="3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8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9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5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r>
      <w:tr>
        <w:trPr>
          <w:trHeight w:val="203"/>
        </w:trPr>
        <w:tc>
          <w:tcPr>
            <w:tcW w:w="9380" w:type="dxa"/>
            <w:vAlign w:val="bottom"/>
            <w:gridSpan w:val="10"/>
            <w:shd w:val="clear" w:color="auto" w:fill="CCEEFF"/>
          </w:tcPr>
          <w:p>
            <w:pPr>
              <w:ind w:left="40"/>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Consolidated Balance Sheets as of December 31, 2016 and 2015</w:t>
              </w:r>
            </w:hyperlink>
          </w:p>
        </w:tc>
        <w:tc>
          <w:tcPr>
            <w:tcW w:w="174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50</w:t>
              </w:r>
            </w:hyperlink>
          </w:p>
        </w:tc>
        <w:tc>
          <w:tcPr>
            <w:tcW w:w="3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8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08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19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r>
      <w:tr>
        <w:trPr>
          <w:trHeight w:val="203"/>
        </w:trPr>
        <w:tc>
          <w:tcPr>
            <w:tcW w:w="9380" w:type="dxa"/>
            <w:vAlign w:val="bottom"/>
            <w:gridSpan w:val="10"/>
          </w:tcPr>
          <w:p>
            <w:pPr>
              <w:ind w:left="40"/>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Consolidated Statements of Cash Flows for the years ended December 31, 2016, 2015 and 2014</w:t>
              </w:r>
            </w:hyperlink>
          </w:p>
        </w:tc>
        <w:tc>
          <w:tcPr>
            <w:tcW w:w="1740" w:type="dxa"/>
            <w:vAlign w:val="bottom"/>
            <w:gridSpan w:val="2"/>
          </w:tcPr>
          <w:p>
            <w:pPr>
              <w:jc w:val="right"/>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51</w:t>
              </w:r>
            </w:hyperlink>
          </w:p>
        </w:tc>
        <w:tc>
          <w:tcPr>
            <w:tcW w:w="3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8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9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r>
      <w:tr>
        <w:trPr>
          <w:trHeight w:val="203"/>
        </w:trPr>
        <w:tc>
          <w:tcPr>
            <w:tcW w:w="9380" w:type="dxa"/>
            <w:vAlign w:val="bottom"/>
            <w:gridSpan w:val="10"/>
            <w:shd w:val="clear" w:color="auto" w:fill="CCEEFF"/>
          </w:tcPr>
          <w:p>
            <w:pPr>
              <w:ind w:left="40"/>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Consolidated Statements of Stockholders’ Equity for the years ended December 31, 2016, 2015 and 2014</w:t>
              </w:r>
            </w:hyperlink>
          </w:p>
        </w:tc>
        <w:tc>
          <w:tcPr>
            <w:tcW w:w="174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52</w:t>
              </w:r>
            </w:hyperlink>
          </w:p>
        </w:tc>
        <w:tc>
          <w:tcPr>
            <w:tcW w:w="3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8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08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19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r>
      <w:tr>
        <w:trPr>
          <w:trHeight w:val="203"/>
        </w:trPr>
        <w:tc>
          <w:tcPr>
            <w:tcW w:w="9380" w:type="dxa"/>
            <w:vAlign w:val="bottom"/>
            <w:gridSpan w:val="10"/>
          </w:tcPr>
          <w:p>
            <w:pPr>
              <w:ind w:left="40"/>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Notes to Consolidated Financial Statements</w:t>
              </w:r>
            </w:hyperlink>
          </w:p>
        </w:tc>
        <w:tc>
          <w:tcPr>
            <w:tcW w:w="1740" w:type="dxa"/>
            <w:vAlign w:val="bottom"/>
            <w:gridSpan w:val="2"/>
          </w:tcPr>
          <w:p>
            <w:pPr>
              <w:jc w:val="right"/>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53</w:t>
              </w:r>
            </w:hyperlink>
          </w:p>
        </w:tc>
        <w:tc>
          <w:tcPr>
            <w:tcW w:w="300" w:type="dxa"/>
            <w:vAlign w:val="bottom"/>
          </w:tcPr>
          <w:p>
            <w:pPr>
              <w:spacing w:after="0"/>
              <w:rPr>
                <w:sz w:val="17"/>
                <w:szCs w:val="17"/>
                <w:color w:val="auto"/>
              </w:rPr>
            </w:pPr>
          </w:p>
        </w:tc>
      </w:tr>
      <w:tr>
        <w:trPr>
          <w:trHeight w:val="723"/>
        </w:trPr>
        <w:tc>
          <w:tcPr>
            <w:tcW w:w="40" w:type="dxa"/>
            <w:vAlign w:val="bottom"/>
          </w:tcPr>
          <w:p>
            <w:pPr>
              <w:spacing w:after="0"/>
              <w:rPr>
                <w:sz w:val="24"/>
                <w:szCs w:val="24"/>
                <w:color w:val="auto"/>
              </w:rPr>
            </w:pPr>
          </w:p>
        </w:tc>
        <w:tc>
          <w:tcPr>
            <w:tcW w:w="3140" w:type="dxa"/>
            <w:vAlign w:val="bottom"/>
            <w:tcBorders>
              <w:top w:val="single" w:sz="8" w:color="0000EE"/>
            </w:tcBorders>
            <w:gridSpan w:val="2"/>
          </w:tcPr>
          <w:p>
            <w:pPr>
              <w:spacing w:after="0"/>
              <w:rPr>
                <w:sz w:val="24"/>
                <w:szCs w:val="24"/>
                <w:color w:val="auto"/>
              </w:rPr>
            </w:pPr>
          </w:p>
        </w:tc>
        <w:tc>
          <w:tcPr>
            <w:tcW w:w="3460" w:type="dxa"/>
            <w:vAlign w:val="bottom"/>
            <w:gridSpan w:val="3"/>
          </w:tcPr>
          <w:p>
            <w:pPr>
              <w:jc w:val="right"/>
              <w:ind w:right="840"/>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color w:val="auto"/>
        </w:rPr>
        <w:t>RESPONSIBILITY FOR FINANCIAL STATEMENTS</w:t>
      </w:r>
    </w:p>
    <w:p>
      <w:pPr>
        <w:spacing w:after="0" w:line="17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Hershey Company is responsible for the financial statements and other financial information contained in this report. We believe that the financial statements have been prepared in conformity with U.S. generally accepted accounting principles appropriate under the circumstances to reflect in all material respects the substance of applicable events and transactions. In preparing the financial statements, it is necessary that management make informed estimates and judgments. The other financial information in this annual report is consistent with the financial statements.</w:t>
      </w:r>
    </w:p>
    <w:p>
      <w:pPr>
        <w:spacing w:after="0" w:line="11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maintain a system of internal accounting controls designed to provide reasonable assurance that financial records are reliable for purposes of preparing financial statements and that assets are properly accounted for and safeguarded. The concept of reasonable assurance is based on the recognition that the cost of the system must be related to the benefits to be derived. We believe our system provides an appropriate balance in this regard. We maintain an Internal Audit Department which reviews the adequacy and tests the application of internal accounting controls.</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2016, 2015 and 2014 financial statements have been audited by KPMG LLP, an independent registered public accounting firm. KPMG LLP's report on our financial statements and internal controls over financial reporting is included herein.</w:t>
      </w:r>
    </w:p>
    <w:p>
      <w:pPr>
        <w:spacing w:after="0" w:line="11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Audit Committee of the Board of Directors of the Company, consisting solely of independent, non-management directors, meets regularly with the independent auditors, internal auditors and management to discuss, among other things, the audit scope and results. KPMG LLP and the internal auditors both have full and free access to the Audit Committee, with and without the presence of management.</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gridSpan w:val="2"/>
          </w:tcPr>
          <w:p>
            <w:pPr>
              <w:jc w:val="center"/>
              <w:ind w:right="680"/>
              <w:spacing w:after="0"/>
              <w:rPr>
                <w:sz w:val="20"/>
                <w:szCs w:val="20"/>
                <w:color w:val="auto"/>
              </w:rPr>
            </w:pPr>
            <w:r>
              <w:rPr>
                <w:rFonts w:ascii="Arial" w:cs="Arial" w:eastAsia="Arial" w:hAnsi="Arial"/>
                <w:sz w:val="18"/>
                <w:szCs w:val="18"/>
                <w:color w:val="auto"/>
                <w:w w:val="94"/>
              </w:rPr>
              <w:t>/s/ JOHN P. BILBREY</w:t>
            </w:r>
          </w:p>
        </w:tc>
        <w:tc>
          <w:tcPr>
            <w:tcW w:w="5360" w:type="dxa"/>
            <w:vAlign w:val="bottom"/>
          </w:tcPr>
          <w:p>
            <w:pPr>
              <w:jc w:val="center"/>
              <w:spacing w:after="0"/>
              <w:rPr>
                <w:sz w:val="20"/>
                <w:szCs w:val="20"/>
                <w:color w:val="auto"/>
              </w:rPr>
            </w:pPr>
            <w:r>
              <w:rPr>
                <w:rFonts w:ascii="Arial" w:cs="Arial" w:eastAsia="Arial" w:hAnsi="Arial"/>
                <w:sz w:val="18"/>
                <w:szCs w:val="18"/>
                <w:color w:val="auto"/>
                <w:w w:val="97"/>
              </w:rPr>
              <w:t>/s/ PATRICIA A. LITTLE</w:t>
            </w:r>
          </w:p>
        </w:tc>
      </w:tr>
      <w:tr>
        <w:trPr>
          <w:trHeight w:val="27"/>
        </w:trPr>
        <w:tc>
          <w:tcPr>
            <w:tcW w:w="538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150"/>
        </w:trPr>
        <w:tc>
          <w:tcPr>
            <w:tcW w:w="6060" w:type="dxa"/>
            <w:vAlign w:val="bottom"/>
            <w:gridSpan w:val="2"/>
          </w:tcPr>
          <w:p>
            <w:pPr>
              <w:jc w:val="center"/>
              <w:ind w:right="680"/>
              <w:spacing w:after="0" w:line="151" w:lineRule="exact"/>
              <w:rPr>
                <w:sz w:val="20"/>
                <w:szCs w:val="20"/>
                <w:color w:val="auto"/>
              </w:rPr>
            </w:pPr>
            <w:r>
              <w:rPr>
                <w:rFonts w:ascii="Arial" w:cs="Arial" w:eastAsia="Arial" w:hAnsi="Arial"/>
                <w:sz w:val="14"/>
                <w:szCs w:val="14"/>
                <w:b w:val="1"/>
                <w:bCs w:val="1"/>
                <w:color w:val="auto"/>
                <w:w w:val="92"/>
              </w:rPr>
              <w:t>John P. Bilbrey</w:t>
            </w:r>
          </w:p>
        </w:tc>
        <w:tc>
          <w:tcPr>
            <w:tcW w:w="536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98"/>
              </w:rPr>
              <w:t>Patricia A. Little</w:t>
            </w:r>
          </w:p>
        </w:tc>
      </w:tr>
      <w:tr>
        <w:trPr>
          <w:trHeight w:val="149"/>
        </w:trPr>
        <w:tc>
          <w:tcPr>
            <w:tcW w:w="60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i w:val="1"/>
                <w:iCs w:val="1"/>
                <w:color w:val="auto"/>
                <w:w w:val="91"/>
              </w:rPr>
              <w:t>Chief Executive Officer</w:t>
            </w:r>
          </w:p>
        </w:tc>
        <w:tc>
          <w:tcPr>
            <w:tcW w:w="536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94"/>
              </w:rPr>
              <w:t>Chief Financial Officer</w:t>
            </w:r>
          </w:p>
        </w:tc>
      </w:tr>
      <w:tr>
        <w:trPr>
          <w:trHeight w:val="182"/>
        </w:trPr>
        <w:tc>
          <w:tcPr>
            <w:tcW w:w="6060" w:type="dxa"/>
            <w:vAlign w:val="bottom"/>
            <w:gridSpan w:val="2"/>
          </w:tcPr>
          <w:p>
            <w:pPr>
              <w:jc w:val="center"/>
              <w:ind w:right="660"/>
              <w:spacing w:after="0"/>
              <w:rPr>
                <w:sz w:val="20"/>
                <w:szCs w:val="20"/>
                <w:color w:val="auto"/>
              </w:rPr>
            </w:pPr>
            <w:r>
              <w:rPr>
                <w:rFonts w:ascii="Arial" w:cs="Arial" w:eastAsia="Arial" w:hAnsi="Arial"/>
                <w:sz w:val="14"/>
                <w:szCs w:val="14"/>
                <w:b w:val="1"/>
                <w:bCs w:val="1"/>
                <w:i w:val="1"/>
                <w:iCs w:val="1"/>
                <w:color w:val="auto"/>
                <w:w w:val="92"/>
              </w:rPr>
              <w:t>(Principal Executive Officer)</w:t>
            </w:r>
          </w:p>
        </w:tc>
        <w:tc>
          <w:tcPr>
            <w:tcW w:w="536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94"/>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80" w:right="239" w:bottom="1440" w:gutter="0" w:footer="0" w:header="0"/>
        </w:sectPr>
      </w:pPr>
    </w:p>
    <w:bookmarkStart w:id="47" w:name="page48"/>
    <w:bookmarkEnd w:id="47"/>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Hershey Company:</w:t>
      </w:r>
    </w:p>
    <w:p>
      <w:pPr>
        <w:spacing w:after="0" w:line="224"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 xml:space="preserve">We have audited the accompanying consolidated balance sheets of The Hershey Company and subsidiaries (the “Company”) as of December 31, 2016 and 2015, and the related consolidated statements of income, comprehensive income, cash flows and stockholders’ equity for each of the years in the three-year period ended December 31, 2016. In connection with our audits of the consolidated financial statements, we also have audited the related consolidated financial statement schedule. We also have audited the Company’s internal control over financial reporting as of December 31, 2016, based on criteria established in </w:t>
      </w:r>
      <w:r>
        <w:rPr>
          <w:rFonts w:ascii="Arial" w:cs="Arial" w:eastAsia="Arial" w:hAnsi="Arial"/>
          <w:sz w:val="16"/>
          <w:szCs w:val="16"/>
          <w:i w:val="1"/>
          <w:iCs w:val="1"/>
          <w:color w:val="auto"/>
        </w:rPr>
        <w:t>Internal Control - Integrated Framework (2013 edition)</w:t>
      </w:r>
      <w:r>
        <w:rPr>
          <w:rFonts w:ascii="Arial" w:cs="Arial" w:eastAsia="Arial" w:hAnsi="Arial"/>
          <w:sz w:val="16"/>
          <w:szCs w:val="16"/>
          <w:color w:val="auto"/>
        </w:rPr>
        <w:t xml:space="preserve"> issued by the Committee of Sponsoring Organizations of the Treadway Commission (COSO). The Company’s management is responsible for these consolidated financial statements and financial statement schedule,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these consolidated financial statements and financial statement schedule, and an opinion on the Company’s internal control over financial reporting based on our audits.</w:t>
      </w:r>
    </w:p>
    <w:p>
      <w:pPr>
        <w:spacing w:after="0" w:line="111"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consolidated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11"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2"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1"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Hershey Company and subsidiaries as of December 31, 2016 and 2015, and the results of their operations and their cash flows for each of the years in the three-year period ended December 31, 2016, in conformity with U.S. generally accepted accounting principles. Also in our opinion, the related consolidated financial statement schedule, when considered in relation to the basic consolidated financial statements taken as a whole, presents fairly, in all material respects, the information set forth therein.</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607" w:right="279" w:bottom="1440" w:gutter="0" w:footer="0" w:header="0"/>
        </w:sectPr>
      </w:pPr>
    </w:p>
    <w:bookmarkStart w:id="48" w:name="page49"/>
    <w:bookmarkEnd w:id="48"/>
    <w:p>
      <w:pPr>
        <w:spacing w:after="0" w:line="264" w:lineRule="auto"/>
        <w:rPr>
          <w:sz w:val="20"/>
          <w:szCs w:val="20"/>
          <w:color w:val="auto"/>
        </w:rPr>
      </w:pPr>
      <w:r>
        <w:rPr>
          <w:rFonts w:ascii="Arial" w:cs="Arial" w:eastAsia="Arial" w:hAnsi="Arial"/>
          <w:sz w:val="18"/>
          <w:szCs w:val="18"/>
          <w:color w:val="auto"/>
        </w:rPr>
        <w:t xml:space="preserve">Also in our opinion, The Hershey Company and subsidiaries maintained, in all material respects, effective internal control over financial reporting as of December 31, 2016, based on criteria established in </w:t>
      </w:r>
      <w:r>
        <w:rPr>
          <w:rFonts w:ascii="Arial" w:cs="Arial" w:eastAsia="Arial" w:hAnsi="Arial"/>
          <w:sz w:val="18"/>
          <w:szCs w:val="18"/>
          <w:i w:val="1"/>
          <w:iCs w:val="1"/>
          <w:color w:val="auto"/>
        </w:rPr>
        <w:t>Internal Control – Integrated Framework (2013 edition)</w:t>
      </w:r>
      <w:r>
        <w:rPr>
          <w:rFonts w:ascii="Arial" w:cs="Arial" w:eastAsia="Arial" w:hAnsi="Arial"/>
          <w:sz w:val="18"/>
          <w:szCs w:val="18"/>
          <w:color w:val="auto"/>
        </w:rPr>
        <w:t xml:space="preserve"> issued by the Committee of Sponsoring Organizations of the Treadway Commission (COSO).</w:t>
      </w:r>
    </w:p>
    <w:p>
      <w:pPr>
        <w:spacing w:after="0" w:line="3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KPMG LLP</w:t>
      </w:r>
    </w:p>
    <w:p>
      <w:pPr>
        <w:spacing w:after="0" w:line="29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New York, New York</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21, 2017</w:t>
      </w:r>
    </w:p>
    <w:p>
      <w:pPr>
        <w:spacing w:after="0" w:line="279"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20"/>
          </w:cols>
          <w:pgMar w:left="240" w:top="584" w:right="7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the years ended December 31,</w:t>
            </w:r>
          </w:p>
        </w:tc>
        <w:tc>
          <w:tcPr>
            <w:tcW w:w="420" w:type="dxa"/>
            <w:vAlign w:val="bottom"/>
          </w:tcPr>
          <w:p>
            <w:pPr>
              <w:spacing w:after="0"/>
              <w:rPr>
                <w:sz w:val="20"/>
                <w:szCs w:val="20"/>
                <w:color w:val="auto"/>
              </w:rPr>
            </w:pPr>
          </w:p>
        </w:tc>
        <w:tc>
          <w:tcPr>
            <w:tcW w:w="1300" w:type="dxa"/>
            <w:vAlign w:val="bottom"/>
          </w:tcPr>
          <w:p>
            <w:pPr>
              <w:jc w:val="right"/>
              <w:ind w:right="5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r>
      <w:tr>
        <w:trPr>
          <w:trHeight w:val="27"/>
        </w:trPr>
        <w:tc>
          <w:tcPr>
            <w:tcW w:w="5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7,440,181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7,386,626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7,421,768</w:t>
            </w:r>
          </w:p>
        </w:tc>
      </w:tr>
      <w:tr>
        <w:trPr>
          <w:trHeight w:val="243"/>
        </w:trPr>
        <w:tc>
          <w:tcPr>
            <w:tcW w:w="6080" w:type="dxa"/>
            <w:vAlign w:val="bottom"/>
            <w:gridSpan w:val="2"/>
          </w:tcPr>
          <w:p>
            <w:pPr>
              <w:ind w:left="200"/>
              <w:spacing w:after="0"/>
              <w:rPr>
                <w:sz w:val="20"/>
                <w:szCs w:val="20"/>
                <w:color w:val="auto"/>
              </w:rPr>
            </w:pPr>
            <w:r>
              <w:rPr>
                <w:rFonts w:ascii="Arial" w:cs="Arial" w:eastAsia="Arial" w:hAnsi="Arial"/>
                <w:sz w:val="18"/>
                <w:szCs w:val="18"/>
                <w:color w:val="auto"/>
              </w:rPr>
              <w:t>Cost of sales</w:t>
            </w:r>
          </w:p>
        </w:tc>
        <w:tc>
          <w:tcPr>
            <w:tcW w:w="4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4,282,290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4,003,951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4,085,602</w:t>
            </w:r>
          </w:p>
        </w:tc>
      </w:tr>
      <w:tr>
        <w:trPr>
          <w:trHeight w:val="27"/>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3,157,891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3,382,675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3,336,166</w:t>
            </w:r>
          </w:p>
        </w:tc>
      </w:tr>
      <w:tr>
        <w:trPr>
          <w:trHeight w:val="243"/>
        </w:trPr>
        <w:tc>
          <w:tcPr>
            <w:tcW w:w="6080" w:type="dxa"/>
            <w:vAlign w:val="bottom"/>
            <w:gridSpan w:val="2"/>
          </w:tcPr>
          <w:p>
            <w:pPr>
              <w:ind w:left="200"/>
              <w:spacing w:after="0"/>
              <w:rPr>
                <w:sz w:val="20"/>
                <w:szCs w:val="20"/>
                <w:color w:val="auto"/>
              </w:rPr>
            </w:pPr>
            <w:r>
              <w:rPr>
                <w:rFonts w:ascii="Arial" w:cs="Arial" w:eastAsia="Arial" w:hAnsi="Arial"/>
                <w:sz w:val="18"/>
                <w:szCs w:val="18"/>
                <w:color w:val="auto"/>
              </w:rPr>
              <w:t>Selling, marketing and administrative expense</w:t>
            </w:r>
          </w:p>
        </w:tc>
        <w:tc>
          <w:tcPr>
            <w:tcW w:w="4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1,915,378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1,969,308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1,898,284</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Goodwill and other intangible asset impairment charges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280,802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15,900</w:t>
            </w:r>
          </w:p>
        </w:tc>
      </w:tr>
      <w:tr>
        <w:trPr>
          <w:trHeight w:val="243"/>
        </w:trPr>
        <w:tc>
          <w:tcPr>
            <w:tcW w:w="6080" w:type="dxa"/>
            <w:vAlign w:val="bottom"/>
            <w:gridSpan w:val="2"/>
          </w:tcPr>
          <w:p>
            <w:pPr>
              <w:ind w:left="200"/>
              <w:spacing w:after="0"/>
              <w:rPr>
                <w:sz w:val="20"/>
                <w:szCs w:val="20"/>
                <w:color w:val="auto"/>
              </w:rPr>
            </w:pPr>
            <w:r>
              <w:rPr>
                <w:rFonts w:ascii="Arial" w:cs="Arial" w:eastAsia="Arial" w:hAnsi="Arial"/>
                <w:sz w:val="18"/>
                <w:szCs w:val="18"/>
                <w:color w:val="auto"/>
              </w:rPr>
              <w:t>Business realignment costs</w:t>
            </w:r>
          </w:p>
        </w:tc>
        <w:tc>
          <w:tcPr>
            <w:tcW w:w="4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32,526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94,806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29,721</w:t>
            </w:r>
          </w:p>
        </w:tc>
      </w:tr>
      <w:tr>
        <w:trPr>
          <w:trHeight w:val="27"/>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profit</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1,205,783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1,037,759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1,392,261</w:t>
            </w:r>
          </w:p>
        </w:tc>
      </w:tr>
      <w:tr>
        <w:trPr>
          <w:trHeight w:val="243"/>
        </w:trPr>
        <w:tc>
          <w:tcPr>
            <w:tcW w:w="6080" w:type="dxa"/>
            <w:vAlign w:val="bottom"/>
            <w:gridSpan w:val="2"/>
          </w:tcPr>
          <w:p>
            <w:pPr>
              <w:ind w:left="200"/>
              <w:spacing w:after="0"/>
              <w:rPr>
                <w:sz w:val="20"/>
                <w:szCs w:val="20"/>
                <w:color w:val="auto"/>
              </w:rPr>
            </w:pPr>
            <w:r>
              <w:rPr>
                <w:rFonts w:ascii="Arial" w:cs="Arial" w:eastAsia="Arial" w:hAnsi="Arial"/>
                <w:sz w:val="18"/>
                <w:szCs w:val="18"/>
                <w:color w:val="auto"/>
              </w:rPr>
              <w:t>Interest expense, net</w:t>
            </w:r>
          </w:p>
        </w:tc>
        <w:tc>
          <w:tcPr>
            <w:tcW w:w="4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90,143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105,773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83,532</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0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Other (income) expense, net</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16,159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30,139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2,686</w:t>
            </w:r>
          </w:p>
        </w:tc>
      </w:tr>
      <w:tr>
        <w:trPr>
          <w:trHeight w:val="237"/>
        </w:trPr>
        <w:tc>
          <w:tcPr>
            <w:tcW w:w="6080" w:type="dxa"/>
            <w:vAlign w:val="bottom"/>
            <w:gridSpan w:val="2"/>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1,099,481</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901,847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1,306,043</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Provision for income taxes</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379,437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388,896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459,131</w:t>
            </w:r>
          </w:p>
        </w:tc>
      </w:tr>
      <w:tr>
        <w:trPr>
          <w:trHeight w:val="297"/>
        </w:trPr>
        <w:tc>
          <w:tcPr>
            <w:tcW w:w="60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b w:val="1"/>
                <w:bCs w:val="1"/>
                <w:color w:val="auto"/>
              </w:rPr>
              <w:t>Net income</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720,044</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512,951</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846,912</w:t>
            </w:r>
          </w:p>
        </w:tc>
      </w:tr>
      <w:tr>
        <w:trPr>
          <w:trHeight w:val="311"/>
        </w:trPr>
        <w:tc>
          <w:tcPr>
            <w:tcW w:w="5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income per share—basic:</w:t>
            </w: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w:t>
            </w:r>
          </w:p>
        </w:tc>
      </w:tr>
      <w:tr>
        <w:trPr>
          <w:trHeight w:val="243"/>
        </w:trPr>
        <w:tc>
          <w:tcPr>
            <w:tcW w:w="6080" w:type="dxa"/>
            <w:vAlign w:val="bottom"/>
            <w:gridSpan w:val="2"/>
          </w:tcPr>
          <w:p>
            <w:pPr>
              <w:ind w:left="200"/>
              <w:spacing w:after="0"/>
              <w:rPr>
                <w:sz w:val="20"/>
                <w:szCs w:val="20"/>
                <w:color w:val="auto"/>
              </w:rPr>
            </w:pPr>
            <w:r>
              <w:rPr>
                <w:rFonts w:ascii="Arial" w:cs="Arial" w:eastAsia="Arial" w:hAnsi="Arial"/>
                <w:sz w:val="18"/>
                <w:szCs w:val="18"/>
                <w:color w:val="auto"/>
              </w:rPr>
              <w:t>Class B common stock</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3.54</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324"/>
        </w:trPr>
        <w:tc>
          <w:tcPr>
            <w:tcW w:w="5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income per share—diluted:</w:t>
            </w: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w:t>
            </w:r>
          </w:p>
        </w:tc>
      </w:tr>
      <w:tr>
        <w:trPr>
          <w:trHeight w:val="243"/>
        </w:trPr>
        <w:tc>
          <w:tcPr>
            <w:tcW w:w="6080" w:type="dxa"/>
            <w:vAlign w:val="bottom"/>
            <w:gridSpan w:val="2"/>
          </w:tcPr>
          <w:p>
            <w:pPr>
              <w:ind w:left="200"/>
              <w:spacing w:after="0"/>
              <w:rPr>
                <w:sz w:val="20"/>
                <w:szCs w:val="20"/>
                <w:color w:val="auto"/>
              </w:rPr>
            </w:pPr>
            <w:r>
              <w:rPr>
                <w:rFonts w:ascii="Arial" w:cs="Arial" w:eastAsia="Arial" w:hAnsi="Arial"/>
                <w:sz w:val="18"/>
                <w:szCs w:val="18"/>
                <w:color w:val="auto"/>
              </w:rPr>
              <w:t>Class B common stock</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3.52</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324"/>
        </w:trPr>
        <w:tc>
          <w:tcPr>
            <w:tcW w:w="5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b w:val="1"/>
                <w:bCs w:val="1"/>
                <w:color w:val="auto"/>
              </w:rPr>
              <w:t>Dividends paid per share:</w:t>
            </w: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2.236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2.040</w:t>
            </w:r>
          </w:p>
        </w:tc>
      </w:tr>
      <w:tr>
        <w:trPr>
          <w:trHeight w:val="243"/>
        </w:trPr>
        <w:tc>
          <w:tcPr>
            <w:tcW w:w="6080" w:type="dxa"/>
            <w:vAlign w:val="bottom"/>
            <w:gridSpan w:val="2"/>
          </w:tcPr>
          <w:p>
            <w:pPr>
              <w:ind w:left="200"/>
              <w:spacing w:after="0"/>
              <w:rPr>
                <w:sz w:val="20"/>
                <w:szCs w:val="20"/>
                <w:color w:val="auto"/>
              </w:rPr>
            </w:pPr>
            <w:r>
              <w:rPr>
                <w:rFonts w:ascii="Arial" w:cs="Arial" w:eastAsia="Arial" w:hAnsi="Arial"/>
                <w:sz w:val="18"/>
                <w:szCs w:val="18"/>
                <w:color w:val="auto"/>
              </w:rPr>
              <w:t>Class B common stock</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2.184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2.032</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1.842</w:t>
            </w: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80"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7"/>
          </w:tcPr>
          <w:p>
            <w:pPr>
              <w:jc w:val="right"/>
              <w:ind w:right="228"/>
              <w:spacing w:after="0"/>
              <w:rPr>
                <w:sz w:val="20"/>
                <w:szCs w:val="20"/>
                <w:color w:val="auto"/>
              </w:rPr>
            </w:pPr>
            <w:r>
              <w:rPr>
                <w:rFonts w:ascii="Arial" w:cs="Arial" w:eastAsia="Arial" w:hAnsi="Arial"/>
                <w:sz w:val="14"/>
                <w:szCs w:val="14"/>
                <w:b w:val="1"/>
                <w:bCs w:val="1"/>
                <w:color w:val="auto"/>
                <w:w w:val="93"/>
              </w:rPr>
              <w:t>For the years ended December 31,</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Pre-Tax</w:t>
            </w:r>
          </w:p>
        </w:tc>
        <w:tc>
          <w:tcPr>
            <w:tcW w:w="100" w:type="dxa"/>
            <w:vAlign w:val="bottom"/>
          </w:tcPr>
          <w:p>
            <w:pPr>
              <w:spacing w:after="0"/>
              <w:rPr>
                <w:sz w:val="13"/>
                <w:szCs w:val="13"/>
                <w:color w:val="auto"/>
              </w:rPr>
            </w:pPr>
          </w:p>
        </w:tc>
        <w:tc>
          <w:tcPr>
            <w:tcW w:w="8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Tax</w:t>
            </w:r>
          </w:p>
        </w:tc>
        <w:tc>
          <w:tcPr>
            <w:tcW w:w="100" w:type="dxa"/>
            <w:vAlign w:val="bottom"/>
          </w:tcPr>
          <w:p>
            <w:pPr>
              <w:spacing w:after="0"/>
              <w:rPr>
                <w:sz w:val="13"/>
                <w:szCs w:val="13"/>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7"/>
              </w:rPr>
              <w:t>After-Tax</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Pre-Tax</w:t>
            </w:r>
          </w:p>
        </w:tc>
        <w:tc>
          <w:tcPr>
            <w:tcW w:w="120" w:type="dxa"/>
            <w:vAlign w:val="bottom"/>
          </w:tcPr>
          <w:p>
            <w:pPr>
              <w:spacing w:after="0"/>
              <w:rPr>
                <w:sz w:val="13"/>
                <w:szCs w:val="13"/>
                <w:color w:val="auto"/>
              </w:rPr>
            </w:pPr>
          </w:p>
        </w:tc>
        <w:tc>
          <w:tcPr>
            <w:tcW w:w="7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9"/>
              </w:rPr>
              <w:t>Tax</w:t>
            </w:r>
          </w:p>
        </w:tc>
        <w:tc>
          <w:tcPr>
            <w:tcW w:w="78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After-Tax</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Pre-Tax</w:t>
            </w:r>
          </w:p>
        </w:tc>
        <w:tc>
          <w:tcPr>
            <w:tcW w:w="140" w:type="dxa"/>
            <w:vAlign w:val="bottom"/>
          </w:tcPr>
          <w:p>
            <w:pPr>
              <w:spacing w:after="0"/>
              <w:rPr>
                <w:sz w:val="13"/>
                <w:szCs w:val="13"/>
                <w:color w:val="auto"/>
              </w:rPr>
            </w:pPr>
          </w:p>
        </w:tc>
        <w:tc>
          <w:tcPr>
            <w:tcW w:w="7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9"/>
              </w:rPr>
              <w:t>Tax</w:t>
            </w:r>
          </w:p>
        </w:tc>
        <w:tc>
          <w:tcPr>
            <w:tcW w:w="78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After-Tax</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(Expense)</w:t>
            </w: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(Expense)</w:t>
            </w: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(Expense)</w:t>
            </w: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Benefit</w:t>
            </w:r>
          </w:p>
        </w:tc>
        <w:tc>
          <w:tcPr>
            <w:tcW w:w="100" w:type="dxa"/>
            <w:vAlign w:val="bottom"/>
          </w:tcPr>
          <w:p>
            <w:pPr>
              <w:spacing w:after="0"/>
              <w:rPr>
                <w:sz w:val="16"/>
                <w:szCs w:val="16"/>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Benefit</w:t>
            </w:r>
          </w:p>
        </w:tc>
        <w:tc>
          <w:tcPr>
            <w:tcW w:w="12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6"/>
                <w:szCs w:val="16"/>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Benefit</w:t>
            </w:r>
          </w:p>
        </w:tc>
        <w:tc>
          <w:tcPr>
            <w:tcW w:w="12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70"/>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income</w:t>
            </w:r>
          </w:p>
        </w:tc>
        <w:tc>
          <w:tcPr>
            <w:tcW w:w="120" w:type="dxa"/>
            <w:vAlign w:val="bottom"/>
            <w:tcBorders>
              <w:top w:val="single" w:sz="8" w:color="auto"/>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720,044</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512,951</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846,912</w:t>
            </w:r>
          </w:p>
        </w:tc>
        <w:tc>
          <w:tcPr>
            <w:tcW w:w="0" w:type="dxa"/>
            <w:vAlign w:val="bottom"/>
          </w:tcPr>
          <w:p>
            <w:pPr>
              <w:spacing w:after="0"/>
              <w:rPr>
                <w:sz w:val="1"/>
                <w:szCs w:val="1"/>
                <w:color w:val="auto"/>
              </w:rPr>
            </w:pPr>
          </w:p>
        </w:tc>
      </w:tr>
      <w:tr>
        <w:trPr>
          <w:trHeight w:val="258"/>
        </w:trPr>
        <w:tc>
          <w:tcPr>
            <w:tcW w:w="3340" w:type="dxa"/>
            <w:vAlign w:val="bottom"/>
          </w:tcPr>
          <w:p>
            <w:pPr>
              <w:ind w:left="40"/>
              <w:spacing w:after="0"/>
              <w:rPr>
                <w:sz w:val="20"/>
                <w:szCs w:val="20"/>
                <w:color w:val="auto"/>
              </w:rPr>
            </w:pPr>
            <w:r>
              <w:rPr>
                <w:rFonts w:ascii="Arial" w:cs="Arial" w:eastAsia="Arial" w:hAnsi="Arial"/>
                <w:sz w:val="14"/>
                <w:szCs w:val="14"/>
                <w:b w:val="1"/>
                <w:bCs w:val="1"/>
                <w:color w:val="auto"/>
              </w:rPr>
              <w:t>Other comprehensive (loss) income, net of tax:</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Foreign currency translation adjustments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(13,041)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(13,041)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(59,707)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(59,707)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(26,851)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(26,851)</w:t>
            </w:r>
          </w:p>
        </w:tc>
        <w:tc>
          <w:tcPr>
            <w:tcW w:w="0" w:type="dxa"/>
            <w:vAlign w:val="bottom"/>
          </w:tcPr>
          <w:p>
            <w:pPr>
              <w:spacing w:after="0"/>
              <w:rPr>
                <w:sz w:val="1"/>
                <w:szCs w:val="1"/>
                <w:color w:val="auto"/>
              </w:rPr>
            </w:pPr>
          </w:p>
        </w:tc>
      </w:tr>
      <w:tr>
        <w:trPr>
          <w:trHeight w:val="264"/>
        </w:trPr>
        <w:tc>
          <w:tcPr>
            <w:tcW w:w="3340" w:type="dxa"/>
            <w:vAlign w:val="bottom"/>
          </w:tcPr>
          <w:p>
            <w:pPr>
              <w:ind w:left="180"/>
              <w:spacing w:after="0"/>
              <w:rPr>
                <w:sz w:val="20"/>
                <w:szCs w:val="20"/>
                <w:color w:val="auto"/>
              </w:rPr>
            </w:pPr>
            <w:r>
              <w:rPr>
                <w:rFonts w:ascii="Arial" w:cs="Arial" w:eastAsia="Arial" w:hAnsi="Arial"/>
                <w:sz w:val="14"/>
                <w:szCs w:val="14"/>
                <w:color w:val="auto"/>
              </w:rPr>
              <w:t>Pension and post-retirement benefit plans:</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actuarial gain (loss) and prior service cost</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20,304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(7,776)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12,528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(5,559)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2,002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(158,613)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59,004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(99,609)</w:t>
            </w:r>
          </w:p>
        </w:tc>
        <w:tc>
          <w:tcPr>
            <w:tcW w:w="0" w:type="dxa"/>
            <w:vAlign w:val="bottom"/>
          </w:tcPr>
          <w:p>
            <w:pPr>
              <w:spacing w:after="0"/>
              <w:rPr>
                <w:sz w:val="1"/>
                <w:szCs w:val="1"/>
                <w:color w:val="auto"/>
              </w:rPr>
            </w:pPr>
          </w:p>
        </w:tc>
      </w:tr>
      <w:tr>
        <w:trPr>
          <w:trHeight w:val="264"/>
        </w:trPr>
        <w:tc>
          <w:tcPr>
            <w:tcW w:w="3340" w:type="dxa"/>
            <w:vAlign w:val="bottom"/>
          </w:tcPr>
          <w:p>
            <w:pPr>
              <w:ind w:left="280"/>
              <w:spacing w:after="0"/>
              <w:rPr>
                <w:sz w:val="20"/>
                <w:szCs w:val="20"/>
                <w:color w:val="auto"/>
              </w:rPr>
            </w:pPr>
            <w:r>
              <w:rPr>
                <w:rFonts w:ascii="Arial" w:cs="Arial" w:eastAsia="Arial" w:hAnsi="Arial"/>
                <w:sz w:val="14"/>
                <w:szCs w:val="14"/>
                <w:color w:val="auto"/>
              </w:rPr>
              <w:t>Reclassification to earnings</w:t>
            </w:r>
          </w:p>
        </w:tc>
        <w:tc>
          <w:tcPr>
            <w:tcW w:w="1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56,604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(21,653)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34,951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52,469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(18,910)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33,559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23,252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(8,659)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14,593</w:t>
            </w: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flow hedges:</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280"/>
              <w:spacing w:after="0"/>
              <w:rPr>
                <w:sz w:val="20"/>
                <w:szCs w:val="20"/>
                <w:color w:val="auto"/>
              </w:rPr>
            </w:pPr>
            <w:r>
              <w:rPr>
                <w:rFonts w:ascii="Arial" w:cs="Arial" w:eastAsia="Arial" w:hAnsi="Arial"/>
                <w:sz w:val="14"/>
                <w:szCs w:val="14"/>
                <w:color w:val="auto"/>
              </w:rPr>
              <w:t>Gains (losses) on cash flow hedging derivatives</w:t>
            </w:r>
          </w:p>
        </w:tc>
        <w:tc>
          <w:tcPr>
            <w:tcW w:w="12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(52,708)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18,701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(34,007)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61,839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(23,520)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38,319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(61,358)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24,281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(37,077)</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Reclassification to earnings</w:t>
            </w: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(16,482)</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7,524</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(8,958)</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(36,634)</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13,416</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(23,218)</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(67,403)</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24,341</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(43,062)</w:t>
            </w:r>
          </w:p>
        </w:tc>
        <w:tc>
          <w:tcPr>
            <w:tcW w:w="0" w:type="dxa"/>
            <w:vAlign w:val="bottom"/>
          </w:tcPr>
          <w:p>
            <w:pPr>
              <w:spacing w:after="0"/>
              <w:rPr>
                <w:sz w:val="1"/>
                <w:szCs w:val="1"/>
                <w:color w:val="auto"/>
              </w:rPr>
            </w:pPr>
          </w:p>
        </w:tc>
      </w:tr>
      <w:tr>
        <w:trPr>
          <w:trHeight w:val="283"/>
        </w:trPr>
        <w:tc>
          <w:tcPr>
            <w:tcW w:w="3340" w:type="dxa"/>
            <w:vAlign w:val="bottom"/>
          </w:tcPr>
          <w:p>
            <w:pPr>
              <w:ind w:left="40"/>
              <w:spacing w:after="0"/>
              <w:rPr>
                <w:sz w:val="20"/>
                <w:szCs w:val="20"/>
                <w:color w:val="auto"/>
              </w:rPr>
            </w:pPr>
            <w:r>
              <w:rPr>
                <w:rFonts w:ascii="Arial" w:cs="Arial" w:eastAsia="Arial" w:hAnsi="Arial"/>
                <w:sz w:val="14"/>
                <w:szCs w:val="14"/>
                <w:b w:val="1"/>
                <w:bCs w:val="1"/>
                <w:color w:val="auto"/>
                <w:w w:val="95"/>
              </w:rPr>
              <w:t>Total other comprehensive (loss) income, net of tax</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(5,323)</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(3,204)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(8,527)</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12,408</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(27,012)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(14,604)</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w w:val="96"/>
              </w:rPr>
              <w:t>(290,973)</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98,967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(192,006)</w:t>
            </w:r>
          </w:p>
        </w:tc>
        <w:tc>
          <w:tcPr>
            <w:tcW w:w="0" w:type="dxa"/>
            <w:vAlign w:val="bottom"/>
          </w:tcPr>
          <w:p>
            <w:pPr>
              <w:spacing w:after="0"/>
              <w:rPr>
                <w:sz w:val="1"/>
                <w:szCs w:val="1"/>
                <w:color w:val="auto"/>
              </w:rPr>
            </w:pPr>
          </w:p>
        </w:tc>
      </w:tr>
      <w:tr>
        <w:trPr>
          <w:trHeight w:val="251"/>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comprehensive income</w:t>
            </w:r>
          </w:p>
        </w:tc>
        <w:tc>
          <w:tcPr>
            <w:tcW w:w="12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7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711,517</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498,347</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6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654,906</w:t>
            </w:r>
          </w:p>
        </w:tc>
        <w:tc>
          <w:tcPr>
            <w:tcW w:w="0" w:type="dxa"/>
            <w:vAlign w:val="bottom"/>
          </w:tcPr>
          <w:p>
            <w:pPr>
              <w:spacing w:after="0"/>
              <w:rPr>
                <w:sz w:val="1"/>
                <w:szCs w:val="1"/>
                <w:color w:val="auto"/>
              </w:rPr>
            </w:pPr>
          </w:p>
        </w:tc>
      </w:tr>
      <w:tr>
        <w:trPr>
          <w:trHeight w:val="137"/>
        </w:trPr>
        <w:tc>
          <w:tcPr>
            <w:tcW w:w="3340" w:type="dxa"/>
            <w:vAlign w:val="bottom"/>
          </w:tcPr>
          <w:p>
            <w:pPr>
              <w:ind w:left="180"/>
              <w:spacing w:after="0" w:line="137" w:lineRule="exact"/>
              <w:rPr>
                <w:sz w:val="20"/>
                <w:szCs w:val="20"/>
                <w:color w:val="auto"/>
              </w:rPr>
            </w:pPr>
            <w:r>
              <w:rPr>
                <w:rFonts w:ascii="Arial" w:cs="Arial" w:eastAsia="Arial" w:hAnsi="Arial"/>
                <w:sz w:val="14"/>
                <w:szCs w:val="14"/>
                <w:color w:val="auto"/>
              </w:rPr>
              <w:t>Comprehensive loss attributable to noncontrolling</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3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interests</w:t>
            </w:r>
          </w:p>
        </w:tc>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3,664</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2,152</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9"/>
        </w:trPr>
        <w:tc>
          <w:tcPr>
            <w:tcW w:w="3340" w:type="dxa"/>
            <w:vAlign w:val="bottom"/>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rPr>
              <w:t>Comprehensive income attributable to The</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715,181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500,499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654,906</w:t>
            </w:r>
          </w:p>
        </w:tc>
        <w:tc>
          <w:tcPr>
            <w:tcW w:w="0" w:type="dxa"/>
            <w:vAlign w:val="bottom"/>
          </w:tcPr>
          <w:p>
            <w:pPr>
              <w:spacing w:after="0"/>
              <w:rPr>
                <w:sz w:val="1"/>
                <w:szCs w:val="1"/>
                <w:color w:val="auto"/>
              </w:rPr>
            </w:pPr>
          </w:p>
        </w:tc>
      </w:tr>
      <w:tr>
        <w:trPr>
          <w:trHeight w:val="185"/>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Hershey Company</w:t>
            </w: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80" w:right="239" w:bottom="1440" w:gutter="0" w:footer="0" w:header="0"/>
        </w:sectPr>
      </w:pPr>
    </w:p>
    <w:bookmarkStart w:id="51" w:name="page52"/>
    <w:bookmarkEnd w:id="51"/>
    <w:p>
      <w:pPr>
        <w:jc w:val="center"/>
        <w:ind w:left="340"/>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CONSOLIDATED BALANCE SHEETS</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(in thousands, except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c>
          <w:tcPr>
            <w:tcW w:w="460" w:type="dxa"/>
            <w:vAlign w:val="bottom"/>
          </w:tcPr>
          <w:p>
            <w:pPr>
              <w:spacing w:after="0"/>
              <w:rPr>
                <w:sz w:val="20"/>
                <w:szCs w:val="20"/>
                <w:color w:val="auto"/>
              </w:rPr>
            </w:pPr>
          </w:p>
        </w:tc>
        <w:tc>
          <w:tcPr>
            <w:tcW w:w="1480" w:type="dxa"/>
            <w:vAlign w:val="bottom"/>
          </w:tcPr>
          <w:p>
            <w:pPr>
              <w:jc w:val="right"/>
              <w:ind w:right="7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7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b w:val="1"/>
                <w:bCs w:val="1"/>
                <w:color w:val="auto"/>
              </w:rPr>
              <w:t>Current assets:</w:t>
            </w: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296,967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346,529</w:t>
            </w:r>
          </w:p>
        </w:tc>
        <w:tc>
          <w:tcPr>
            <w:tcW w:w="0" w:type="dxa"/>
            <w:vAlign w:val="bottom"/>
          </w:tcPr>
          <w:p>
            <w:pPr>
              <w:spacing w:after="0"/>
              <w:rPr>
                <w:sz w:val="1"/>
                <w:szCs w:val="1"/>
                <w:color w:val="auto"/>
              </w:rPr>
            </w:pPr>
          </w:p>
        </w:tc>
      </w:tr>
      <w:tr>
        <w:trPr>
          <w:trHeight w:val="243"/>
        </w:trPr>
        <w:tc>
          <w:tcPr>
            <w:tcW w:w="7440" w:type="dxa"/>
            <w:vAlign w:val="bottom"/>
            <w:gridSpan w:val="2"/>
          </w:tcPr>
          <w:p>
            <w:pPr>
              <w:ind w:left="280"/>
              <w:spacing w:after="0"/>
              <w:rPr>
                <w:sz w:val="20"/>
                <w:szCs w:val="20"/>
                <w:color w:val="auto"/>
              </w:rPr>
            </w:pPr>
            <w:r>
              <w:rPr>
                <w:rFonts w:ascii="Arial" w:cs="Arial" w:eastAsia="Arial" w:hAnsi="Arial"/>
                <w:sz w:val="18"/>
                <w:szCs w:val="18"/>
                <w:color w:val="auto"/>
              </w:rPr>
              <w:t>Accounts receivable—trade, net</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581,381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599,073</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745,678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750,970</w:t>
            </w:r>
          </w:p>
        </w:tc>
        <w:tc>
          <w:tcPr>
            <w:tcW w:w="0" w:type="dxa"/>
            <w:vAlign w:val="bottom"/>
          </w:tcPr>
          <w:p>
            <w:pPr>
              <w:spacing w:after="0"/>
              <w:rPr>
                <w:sz w:val="1"/>
                <w:szCs w:val="1"/>
                <w:color w:val="auto"/>
              </w:rPr>
            </w:pPr>
          </w:p>
        </w:tc>
      </w:tr>
      <w:tr>
        <w:trPr>
          <w:trHeight w:val="243"/>
        </w:trPr>
        <w:tc>
          <w:tcPr>
            <w:tcW w:w="7440" w:type="dxa"/>
            <w:vAlign w:val="bottom"/>
            <w:gridSpan w:val="2"/>
          </w:tcPr>
          <w:p>
            <w:pPr>
              <w:ind w:left="280"/>
              <w:spacing w:after="0"/>
              <w:rPr>
                <w:sz w:val="20"/>
                <w:szCs w:val="20"/>
                <w:color w:val="auto"/>
              </w:rPr>
            </w:pPr>
            <w:r>
              <w:rPr>
                <w:rFonts w:ascii="Arial" w:cs="Arial" w:eastAsia="Arial" w:hAnsi="Arial"/>
                <w:sz w:val="18"/>
                <w:szCs w:val="18"/>
                <w:color w:val="auto"/>
              </w:rPr>
              <w:t>Prepaid expenses and other</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192,752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152,026</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1,816,778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1,848,598</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b w:val="1"/>
                <w:bCs w:val="1"/>
                <w:color w:val="auto"/>
              </w:rPr>
              <w:t>Property, plant and equipment, net</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2,177,248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2,240,460</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Goodwill</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812,344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684,252</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intangibles</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492,737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379,305</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168,365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155,366</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b w:val="1"/>
                <w:bCs w:val="1"/>
                <w:color w:val="auto"/>
              </w:rPr>
              <w:t>Deferred income taxes</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56,861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36,390</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5,524,333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5,344,371</w:t>
            </w: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440" w:type="dxa"/>
            <w:vAlign w:val="bottom"/>
            <w:gridSpan w:val="2"/>
            <w:vMerge w:val="continue"/>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gridSpan w:val="2"/>
          </w:tcPr>
          <w:p>
            <w:pPr>
              <w:ind w:left="280"/>
              <w:spacing w:after="0"/>
              <w:rPr>
                <w:sz w:val="20"/>
                <w:szCs w:val="20"/>
                <w:color w:val="auto"/>
              </w:rPr>
            </w:pPr>
            <w:r>
              <w:rPr>
                <w:rFonts w:ascii="Arial" w:cs="Arial" w:eastAsia="Arial" w:hAnsi="Arial"/>
                <w:sz w:val="18"/>
                <w:szCs w:val="18"/>
                <w:color w:val="auto"/>
              </w:rPr>
              <w:t>Accounts payable</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522,536</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474,266</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Accrued liabilities</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750,986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856,967</w:t>
            </w:r>
          </w:p>
        </w:tc>
        <w:tc>
          <w:tcPr>
            <w:tcW w:w="0" w:type="dxa"/>
            <w:vAlign w:val="bottom"/>
          </w:tcPr>
          <w:p>
            <w:pPr>
              <w:spacing w:after="0"/>
              <w:rPr>
                <w:sz w:val="1"/>
                <w:szCs w:val="1"/>
                <w:color w:val="auto"/>
              </w:rPr>
            </w:pPr>
          </w:p>
        </w:tc>
      </w:tr>
      <w:tr>
        <w:trPr>
          <w:trHeight w:val="243"/>
        </w:trPr>
        <w:tc>
          <w:tcPr>
            <w:tcW w:w="7440" w:type="dxa"/>
            <w:vAlign w:val="bottom"/>
            <w:gridSpan w:val="2"/>
          </w:tcPr>
          <w:p>
            <w:pPr>
              <w:ind w:left="280"/>
              <w:spacing w:after="0"/>
              <w:rPr>
                <w:sz w:val="20"/>
                <w:szCs w:val="20"/>
                <w:color w:val="auto"/>
              </w:rPr>
            </w:pPr>
            <w:r>
              <w:rPr>
                <w:rFonts w:ascii="Arial" w:cs="Arial" w:eastAsia="Arial" w:hAnsi="Arial"/>
                <w:sz w:val="18"/>
                <w:szCs w:val="18"/>
                <w:color w:val="auto"/>
              </w:rPr>
              <w:t>Accrued income taxes</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3,207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23,243</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Short-term debt</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632,471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363,513</w:t>
            </w:r>
          </w:p>
        </w:tc>
        <w:tc>
          <w:tcPr>
            <w:tcW w:w="0" w:type="dxa"/>
            <w:vAlign w:val="bottom"/>
          </w:tcPr>
          <w:p>
            <w:pPr>
              <w:spacing w:after="0"/>
              <w:rPr>
                <w:sz w:val="1"/>
                <w:szCs w:val="1"/>
                <w:color w:val="auto"/>
              </w:rPr>
            </w:pPr>
          </w:p>
        </w:tc>
      </w:tr>
      <w:tr>
        <w:trPr>
          <w:trHeight w:val="243"/>
        </w:trPr>
        <w:tc>
          <w:tcPr>
            <w:tcW w:w="7440" w:type="dxa"/>
            <w:vAlign w:val="bottom"/>
            <w:gridSpan w:val="2"/>
          </w:tcPr>
          <w:p>
            <w:pPr>
              <w:ind w:left="280"/>
              <w:spacing w:after="0"/>
              <w:rPr>
                <w:sz w:val="20"/>
                <w:szCs w:val="20"/>
                <w:color w:val="auto"/>
              </w:rPr>
            </w:pPr>
            <w:r>
              <w:rPr>
                <w:rFonts w:ascii="Arial" w:cs="Arial" w:eastAsia="Arial" w:hAnsi="Arial"/>
                <w:sz w:val="18"/>
                <w:szCs w:val="18"/>
                <w:color w:val="auto"/>
              </w:rPr>
              <w:t>Current portion of long-term debt</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499,923</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1,909,443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2,217,912</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b w:val="1"/>
                <w:bCs w:val="1"/>
                <w:color w:val="auto"/>
              </w:rPr>
              <w:t>Long-term debt</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2,347,455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1,557,091</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long-term liabilities</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400,161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468,718</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b w:val="1"/>
                <w:bCs w:val="1"/>
                <w:color w:val="auto"/>
              </w:rPr>
              <w:t>Deferred income taxes</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39,587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53,188</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4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4,696,646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4,296,909</w:t>
            </w:r>
          </w:p>
        </w:tc>
        <w:tc>
          <w:tcPr>
            <w:tcW w:w="0" w:type="dxa"/>
            <w:vAlign w:val="bottom"/>
          </w:tcPr>
          <w:p>
            <w:pPr>
              <w:spacing w:after="0"/>
              <w:rPr>
                <w:sz w:val="1"/>
                <w:szCs w:val="1"/>
                <w:color w:val="auto"/>
              </w:rPr>
            </w:pPr>
          </w:p>
        </w:tc>
      </w:tr>
      <w:tr>
        <w:trPr>
          <w:trHeight w:val="291"/>
        </w:trPr>
        <w:tc>
          <w:tcPr>
            <w:tcW w:w="7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The Hershey Company stockholders’ equity</w:t>
            </w: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Preferred stock, shares issued: none in 2016 and 2015</w:t>
            </w:r>
          </w:p>
        </w:tc>
        <w:tc>
          <w:tcPr>
            <w:tcW w:w="4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440" w:type="dxa"/>
            <w:vAlign w:val="bottom"/>
            <w:gridSpan w:val="2"/>
          </w:tcPr>
          <w:p>
            <w:pPr>
              <w:ind w:left="280"/>
              <w:spacing w:after="0"/>
              <w:rPr>
                <w:sz w:val="20"/>
                <w:szCs w:val="20"/>
                <w:color w:val="auto"/>
              </w:rPr>
            </w:pPr>
            <w:r>
              <w:rPr>
                <w:rFonts w:ascii="Arial" w:cs="Arial" w:eastAsia="Arial" w:hAnsi="Arial"/>
                <w:sz w:val="18"/>
                <w:szCs w:val="18"/>
                <w:color w:val="auto"/>
              </w:rPr>
              <w:t>Common stock, shares issued: 299,281,967 in 2016 and 2015</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299,281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299,281</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Class B common stock, shares issued: 60,619,777 in 2016 and 2015</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60,620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60,620</w:t>
            </w:r>
          </w:p>
        </w:tc>
        <w:tc>
          <w:tcPr>
            <w:tcW w:w="0" w:type="dxa"/>
            <w:vAlign w:val="bottom"/>
          </w:tcPr>
          <w:p>
            <w:pPr>
              <w:spacing w:after="0"/>
              <w:rPr>
                <w:sz w:val="1"/>
                <w:szCs w:val="1"/>
                <w:color w:val="auto"/>
              </w:rPr>
            </w:pPr>
          </w:p>
        </w:tc>
      </w:tr>
      <w:tr>
        <w:trPr>
          <w:trHeight w:val="243"/>
        </w:trPr>
        <w:tc>
          <w:tcPr>
            <w:tcW w:w="7440" w:type="dxa"/>
            <w:vAlign w:val="bottom"/>
            <w:gridSpan w:val="2"/>
          </w:tcPr>
          <w:p>
            <w:pPr>
              <w:ind w:left="280"/>
              <w:spacing w:after="0"/>
              <w:rPr>
                <w:sz w:val="20"/>
                <w:szCs w:val="20"/>
                <w:color w:val="auto"/>
              </w:rPr>
            </w:pPr>
            <w:r>
              <w:rPr>
                <w:rFonts w:ascii="Arial" w:cs="Arial" w:eastAsia="Arial" w:hAnsi="Arial"/>
                <w:sz w:val="18"/>
                <w:szCs w:val="18"/>
                <w:color w:val="auto"/>
              </w:rPr>
              <w:t>Additional paid-in capital</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869,857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783,877</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6,115,961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5,897,603</w:t>
            </w:r>
          </w:p>
        </w:tc>
        <w:tc>
          <w:tcPr>
            <w:tcW w:w="0" w:type="dxa"/>
            <w:vAlign w:val="bottom"/>
          </w:tcPr>
          <w:p>
            <w:pPr>
              <w:spacing w:after="0"/>
              <w:rPr>
                <w:sz w:val="1"/>
                <w:szCs w:val="1"/>
                <w:color w:val="auto"/>
              </w:rPr>
            </w:pPr>
          </w:p>
        </w:tc>
      </w:tr>
      <w:tr>
        <w:trPr>
          <w:trHeight w:val="243"/>
        </w:trPr>
        <w:tc>
          <w:tcPr>
            <w:tcW w:w="7440" w:type="dxa"/>
            <w:vAlign w:val="bottom"/>
            <w:gridSpan w:val="2"/>
          </w:tcPr>
          <w:p>
            <w:pPr>
              <w:ind w:left="280"/>
              <w:spacing w:after="0"/>
              <w:rPr>
                <w:sz w:val="20"/>
                <w:szCs w:val="20"/>
                <w:color w:val="auto"/>
              </w:rPr>
            </w:pPr>
            <w:r>
              <w:rPr>
                <w:rFonts w:ascii="Arial" w:cs="Arial" w:eastAsia="Arial" w:hAnsi="Arial"/>
                <w:sz w:val="18"/>
                <w:szCs w:val="18"/>
                <w:color w:val="auto"/>
              </w:rPr>
              <w:t>Treasury—common stock shares, at cost: 147,642,009 in 2016 and 143,124,384 in 2015</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(6,183,975)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(5,672,359)</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(375,888)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(371,025)</w:t>
            </w:r>
          </w:p>
        </w:tc>
        <w:tc>
          <w:tcPr>
            <w:tcW w:w="0" w:type="dxa"/>
            <w:vAlign w:val="bottom"/>
          </w:tcPr>
          <w:p>
            <w:pPr>
              <w:spacing w:after="0"/>
              <w:rPr>
                <w:sz w:val="1"/>
                <w:szCs w:val="1"/>
                <w:color w:val="auto"/>
              </w:rPr>
            </w:pPr>
          </w:p>
        </w:tc>
      </w:tr>
      <w:tr>
        <w:trPr>
          <w:trHeight w:val="237"/>
        </w:trPr>
        <w:tc>
          <w:tcPr>
            <w:tcW w:w="7440" w:type="dxa"/>
            <w:vAlign w:val="bottom"/>
            <w:gridSpan w:val="2"/>
          </w:tcPr>
          <w:p>
            <w:pPr>
              <w:ind w:left="380"/>
              <w:spacing w:after="0"/>
              <w:rPr>
                <w:sz w:val="20"/>
                <w:szCs w:val="20"/>
                <w:color w:val="auto"/>
              </w:rPr>
            </w:pPr>
            <w:r>
              <w:rPr>
                <w:rFonts w:ascii="Arial" w:cs="Arial" w:eastAsia="Arial" w:hAnsi="Arial"/>
                <w:sz w:val="18"/>
                <w:szCs w:val="18"/>
                <w:color w:val="auto"/>
              </w:rPr>
              <w:t>Total—The Hershey Company stockholders’ equity</w:t>
            </w: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785,856</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997,997</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Noncontrolling interests in subsidiaries</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41,831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49,465</w:t>
            </w:r>
          </w:p>
        </w:tc>
        <w:tc>
          <w:tcPr>
            <w:tcW w:w="0" w:type="dxa"/>
            <w:vAlign w:val="bottom"/>
          </w:tcPr>
          <w:p>
            <w:pPr>
              <w:spacing w:after="0"/>
              <w:rPr>
                <w:sz w:val="1"/>
                <w:szCs w:val="1"/>
                <w:color w:val="auto"/>
              </w:rPr>
            </w:pPr>
          </w:p>
        </w:tc>
      </w:tr>
      <w:tr>
        <w:trPr>
          <w:trHeight w:val="237"/>
        </w:trPr>
        <w:tc>
          <w:tcPr>
            <w:tcW w:w="7440" w:type="dxa"/>
            <w:vAlign w:val="bottom"/>
            <w:gridSpan w:val="2"/>
          </w:tcPr>
          <w:p>
            <w:pPr>
              <w:ind w:left="380"/>
              <w:spacing w:after="0"/>
              <w:rPr>
                <w:sz w:val="20"/>
                <w:szCs w:val="20"/>
                <w:color w:val="auto"/>
              </w:rPr>
            </w:pPr>
            <w:r>
              <w:rPr>
                <w:rFonts w:ascii="Arial" w:cs="Arial" w:eastAsia="Arial" w:hAnsi="Arial"/>
                <w:sz w:val="18"/>
                <w:szCs w:val="18"/>
                <w:color w:val="auto"/>
              </w:rPr>
              <w:t>Total stockholders’ equity</w:t>
            </w: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827,687</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1,047,462</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5,524,333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5,344,371</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80" w:right="239" w:bottom="1440" w:gutter="0" w:footer="0" w:header="0"/>
        </w:sectPr>
      </w:pPr>
    </w:p>
    <w:bookmarkStart w:id="52" w:name="page53"/>
    <w:bookmarkEnd w:id="52"/>
    <w:p>
      <w:pPr>
        <w:jc w:val="center"/>
        <w:ind w:left="340"/>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For the years ended December 31,</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Operating Activities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Net income</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720,044</w:t>
            </w:r>
          </w:p>
        </w:tc>
        <w:tc>
          <w:tcPr>
            <w:tcW w:w="120" w:type="dxa"/>
            <w:vAlign w:val="bottom"/>
          </w:tcPr>
          <w:p>
            <w:pPr>
              <w:spacing w:after="0"/>
              <w:rPr>
                <w:sz w:val="22"/>
                <w:szCs w:val="22"/>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512,951</w:t>
            </w:r>
          </w:p>
        </w:tc>
        <w:tc>
          <w:tcPr>
            <w:tcW w:w="10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846,912</w:t>
            </w:r>
          </w:p>
        </w:tc>
        <w:tc>
          <w:tcPr>
            <w:tcW w:w="0" w:type="dxa"/>
            <w:vAlign w:val="bottom"/>
          </w:tcPr>
          <w:p>
            <w:pPr>
              <w:spacing w:after="0"/>
              <w:rPr>
                <w:sz w:val="1"/>
                <w:szCs w:val="1"/>
                <w:color w:val="auto"/>
              </w:rPr>
            </w:pP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40" w:type="dxa"/>
            <w:vAlign w:val="bottom"/>
          </w:tcPr>
          <w:p>
            <w:pPr>
              <w:ind w:left="600"/>
              <w:spacing w:after="0"/>
              <w:rPr>
                <w:sz w:val="20"/>
                <w:szCs w:val="20"/>
                <w:color w:val="auto"/>
              </w:rPr>
            </w:pPr>
            <w:r>
              <w:rPr>
                <w:rFonts w:ascii="Arial" w:cs="Arial" w:eastAsia="Arial" w:hAnsi="Arial"/>
                <w:sz w:val="14"/>
                <w:szCs w:val="14"/>
                <w:color w:val="auto"/>
              </w:rPr>
              <w:t>Depreciation and amortization</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301,837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244,928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211,532</w:t>
            </w:r>
          </w:p>
        </w:tc>
        <w:tc>
          <w:tcPr>
            <w:tcW w:w="0" w:type="dxa"/>
            <w:vAlign w:val="bottom"/>
          </w:tcPr>
          <w:p>
            <w:pPr>
              <w:spacing w:after="0"/>
              <w:rPr>
                <w:sz w:val="1"/>
                <w:szCs w:val="1"/>
                <w:color w:val="auto"/>
              </w:rPr>
            </w:pPr>
          </w:p>
        </w:tc>
      </w:tr>
      <w:tr>
        <w:trPr>
          <w:trHeight w:val="276"/>
        </w:trPr>
        <w:tc>
          <w:tcPr>
            <w:tcW w:w="6740" w:type="dxa"/>
            <w:vAlign w:val="bottom"/>
            <w:shd w:val="clear" w:color="auto" w:fill="CCEEFF"/>
          </w:tcPr>
          <w:p>
            <w:pPr>
              <w:ind w:left="600"/>
              <w:spacing w:after="0"/>
              <w:rPr>
                <w:sz w:val="20"/>
                <w:szCs w:val="20"/>
                <w:color w:val="auto"/>
              </w:rPr>
            </w:pPr>
            <w:r>
              <w:rPr>
                <w:rFonts w:ascii="Arial" w:cs="Arial" w:eastAsia="Arial" w:hAnsi="Arial"/>
                <w:sz w:val="14"/>
                <w:szCs w:val="14"/>
                <w:color w:val="auto"/>
              </w:rPr>
              <w:t>Stock-based compensation expense</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54,785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51,533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54,068</w:t>
            </w:r>
          </w:p>
        </w:tc>
        <w:tc>
          <w:tcPr>
            <w:tcW w:w="0" w:type="dxa"/>
            <w:vAlign w:val="bottom"/>
          </w:tcPr>
          <w:p>
            <w:pPr>
              <w:spacing w:after="0"/>
              <w:rPr>
                <w:sz w:val="1"/>
                <w:szCs w:val="1"/>
                <w:color w:val="auto"/>
              </w:rPr>
            </w:pPr>
          </w:p>
        </w:tc>
      </w:tr>
      <w:tr>
        <w:trPr>
          <w:trHeight w:val="264"/>
        </w:trPr>
        <w:tc>
          <w:tcPr>
            <w:tcW w:w="6740" w:type="dxa"/>
            <w:vAlign w:val="bottom"/>
          </w:tcPr>
          <w:p>
            <w:pPr>
              <w:ind w:left="600"/>
              <w:spacing w:after="0"/>
              <w:rPr>
                <w:sz w:val="20"/>
                <w:szCs w:val="20"/>
                <w:color w:val="auto"/>
              </w:rPr>
            </w:pPr>
            <w:r>
              <w:rPr>
                <w:rFonts w:ascii="Arial" w:cs="Arial" w:eastAsia="Arial" w:hAnsi="Arial"/>
                <w:sz w:val="14"/>
                <w:szCs w:val="14"/>
                <w:color w:val="auto"/>
              </w:rPr>
              <w:t>Excess tax benefits from stock-based compensation</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(22,062)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(24,839)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(53,497)</w:t>
            </w:r>
          </w:p>
        </w:tc>
        <w:tc>
          <w:tcPr>
            <w:tcW w:w="0" w:type="dxa"/>
            <w:vAlign w:val="bottom"/>
          </w:tcPr>
          <w:p>
            <w:pPr>
              <w:spacing w:after="0"/>
              <w:rPr>
                <w:sz w:val="1"/>
                <w:szCs w:val="1"/>
                <w:color w:val="auto"/>
              </w:rPr>
            </w:pPr>
          </w:p>
        </w:tc>
      </w:tr>
      <w:tr>
        <w:trPr>
          <w:trHeight w:val="276"/>
        </w:trPr>
        <w:tc>
          <w:tcPr>
            <w:tcW w:w="6740" w:type="dxa"/>
            <w:vAlign w:val="bottom"/>
            <w:shd w:val="clear" w:color="auto" w:fill="CCEEFF"/>
          </w:tcPr>
          <w:p>
            <w:pPr>
              <w:ind w:left="600"/>
              <w:spacing w:after="0"/>
              <w:rPr>
                <w:sz w:val="20"/>
                <w:szCs w:val="20"/>
                <w:color w:val="auto"/>
              </w:rPr>
            </w:pPr>
            <w:r>
              <w:rPr>
                <w:rFonts w:ascii="Arial" w:cs="Arial" w:eastAsia="Arial" w:hAnsi="Arial"/>
                <w:sz w:val="14"/>
                <w:szCs w:val="14"/>
                <w:color w:val="auto"/>
              </w:rPr>
              <w:t>Deferred income taxes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(38,097)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(38,537)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18,796</w:t>
            </w:r>
          </w:p>
        </w:tc>
        <w:tc>
          <w:tcPr>
            <w:tcW w:w="0" w:type="dxa"/>
            <w:vAlign w:val="bottom"/>
          </w:tcPr>
          <w:p>
            <w:pPr>
              <w:spacing w:after="0"/>
              <w:rPr>
                <w:sz w:val="1"/>
                <w:szCs w:val="1"/>
                <w:color w:val="auto"/>
              </w:rPr>
            </w:pPr>
          </w:p>
        </w:tc>
      </w:tr>
      <w:tr>
        <w:trPr>
          <w:trHeight w:val="191"/>
        </w:trPr>
        <w:tc>
          <w:tcPr>
            <w:tcW w:w="6740" w:type="dxa"/>
            <w:vAlign w:val="bottom"/>
          </w:tcPr>
          <w:p>
            <w:pPr>
              <w:ind w:left="600"/>
              <w:spacing w:after="0"/>
              <w:rPr>
                <w:sz w:val="20"/>
                <w:szCs w:val="20"/>
                <w:color w:val="auto"/>
              </w:rPr>
            </w:pPr>
            <w:r>
              <w:rPr>
                <w:rFonts w:ascii="Arial" w:cs="Arial" w:eastAsia="Arial" w:hAnsi="Arial"/>
                <w:sz w:val="14"/>
                <w:szCs w:val="14"/>
                <w:color w:val="auto"/>
              </w:rPr>
              <w:t>Goodwill and other intangible asset impairment charges</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4,204</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280,802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15,900</w:t>
            </w:r>
          </w:p>
        </w:tc>
        <w:tc>
          <w:tcPr>
            <w:tcW w:w="0" w:type="dxa"/>
            <w:vAlign w:val="bottom"/>
          </w:tcPr>
          <w:p>
            <w:pPr>
              <w:spacing w:after="0"/>
              <w:rPr>
                <w:sz w:val="1"/>
                <w:szCs w:val="1"/>
                <w:color w:val="auto"/>
              </w:rPr>
            </w:pPr>
          </w:p>
        </w:tc>
      </w:tr>
      <w:tr>
        <w:trPr>
          <w:trHeight w:val="155"/>
        </w:trPr>
        <w:tc>
          <w:tcPr>
            <w:tcW w:w="6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6"/>
        </w:trPr>
        <w:tc>
          <w:tcPr>
            <w:tcW w:w="6740" w:type="dxa"/>
            <w:vAlign w:val="bottom"/>
            <w:shd w:val="clear" w:color="auto" w:fill="CCEEFF"/>
          </w:tcPr>
          <w:p>
            <w:pPr>
              <w:ind w:left="600"/>
              <w:spacing w:after="0"/>
              <w:rPr>
                <w:sz w:val="20"/>
                <w:szCs w:val="20"/>
                <w:color w:val="auto"/>
              </w:rPr>
            </w:pPr>
            <w:r>
              <w:rPr>
                <w:rFonts w:ascii="Arial" w:cs="Arial" w:eastAsia="Arial" w:hAnsi="Arial"/>
                <w:sz w:val="14"/>
                <w:szCs w:val="14"/>
                <w:color w:val="auto"/>
              </w:rPr>
              <w:t>Loss on early extinguishment of debt</w:t>
            </w:r>
          </w:p>
        </w:tc>
        <w:tc>
          <w:tcPr>
            <w:tcW w:w="36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28,326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6740" w:type="dxa"/>
            <w:vAlign w:val="bottom"/>
          </w:tcPr>
          <w:p>
            <w:pPr>
              <w:ind w:left="600"/>
              <w:spacing w:after="0"/>
              <w:rPr>
                <w:sz w:val="20"/>
                <w:szCs w:val="20"/>
                <w:color w:val="auto"/>
              </w:rPr>
            </w:pPr>
            <w:r>
              <w:rPr>
                <w:rFonts w:ascii="Arial" w:cs="Arial" w:eastAsia="Arial" w:hAnsi="Arial"/>
                <w:sz w:val="14"/>
                <w:szCs w:val="14"/>
                <w:color w:val="auto"/>
              </w:rPr>
              <w:t>Write-down of equity investments</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43,482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39,489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6740" w:type="dxa"/>
            <w:vAlign w:val="bottom"/>
            <w:shd w:val="clear" w:color="auto" w:fill="CCEEFF"/>
          </w:tcPr>
          <w:p>
            <w:pPr>
              <w:ind w:left="600"/>
              <w:spacing w:after="0"/>
              <w:rPr>
                <w:sz w:val="20"/>
                <w:szCs w:val="20"/>
                <w:color w:val="auto"/>
              </w:rPr>
            </w:pPr>
            <w:r>
              <w:rPr>
                <w:rFonts w:ascii="Arial" w:cs="Arial" w:eastAsia="Arial" w:hAnsi="Arial"/>
                <w:sz w:val="14"/>
                <w:szCs w:val="14"/>
                <w:color w:val="auto"/>
              </w:rPr>
              <w:t>Gain on settlement of SGM liability (see Note 2)</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(26,650)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6740" w:type="dxa"/>
            <w:vAlign w:val="bottom"/>
          </w:tcPr>
          <w:p>
            <w:pPr>
              <w:ind w:left="600"/>
              <w:spacing w:after="0"/>
              <w:rPr>
                <w:sz w:val="20"/>
                <w:szCs w:val="20"/>
                <w:color w:val="auto"/>
              </w:rPr>
            </w:pPr>
            <w:r>
              <w:rPr>
                <w:rFonts w:ascii="Arial" w:cs="Arial" w:eastAsia="Arial" w:hAnsi="Arial"/>
                <w:sz w:val="14"/>
                <w:szCs w:val="14"/>
                <w:color w:val="auto"/>
              </w:rPr>
              <w:t>Other</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51,375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28,467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(11,027)</w:t>
            </w:r>
          </w:p>
        </w:tc>
        <w:tc>
          <w:tcPr>
            <w:tcW w:w="0" w:type="dxa"/>
            <w:vAlign w:val="bottom"/>
          </w:tcPr>
          <w:p>
            <w:pPr>
              <w:spacing w:after="0"/>
              <w:rPr>
                <w:sz w:val="1"/>
                <w:szCs w:val="1"/>
                <w:color w:val="auto"/>
              </w:rPr>
            </w:pPr>
          </w:p>
        </w:tc>
      </w:tr>
      <w:tr>
        <w:trPr>
          <w:trHeight w:val="276"/>
        </w:trPr>
        <w:tc>
          <w:tcPr>
            <w:tcW w:w="6740" w:type="dxa"/>
            <w:vAlign w:val="bottom"/>
            <w:shd w:val="clear" w:color="auto" w:fill="CCEEFF"/>
          </w:tcPr>
          <w:p>
            <w:pPr>
              <w:ind w:left="600"/>
              <w:spacing w:after="0"/>
              <w:rPr>
                <w:sz w:val="20"/>
                <w:szCs w:val="20"/>
                <w:color w:val="auto"/>
              </w:rPr>
            </w:pPr>
            <w:r>
              <w:rPr>
                <w:rFonts w:ascii="Arial" w:cs="Arial" w:eastAsia="Arial" w:hAnsi="Arial"/>
                <w:sz w:val="14"/>
                <w:szCs w:val="14"/>
                <w:color w:val="auto"/>
              </w:rPr>
              <w:t>Changes in assets and liabilities, net of business acquisitions and divestitures: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40" w:type="dxa"/>
            <w:vAlign w:val="bottom"/>
          </w:tcPr>
          <w:p>
            <w:pPr>
              <w:ind w:left="820"/>
              <w:spacing w:after="0"/>
              <w:rPr>
                <w:sz w:val="20"/>
                <w:szCs w:val="20"/>
                <w:color w:val="auto"/>
              </w:rPr>
            </w:pPr>
            <w:r>
              <w:rPr>
                <w:rFonts w:ascii="Arial" w:cs="Arial" w:eastAsia="Arial" w:hAnsi="Arial"/>
                <w:sz w:val="14"/>
                <w:szCs w:val="14"/>
                <w:color w:val="auto"/>
              </w:rPr>
              <w:t>Accounts receivable—trade, net</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21,096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(24,440)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(67,464)</w:t>
            </w:r>
          </w:p>
        </w:tc>
        <w:tc>
          <w:tcPr>
            <w:tcW w:w="0" w:type="dxa"/>
            <w:vAlign w:val="bottom"/>
          </w:tcPr>
          <w:p>
            <w:pPr>
              <w:spacing w:after="0"/>
              <w:rPr>
                <w:sz w:val="1"/>
                <w:szCs w:val="1"/>
                <w:color w:val="auto"/>
              </w:rPr>
            </w:pPr>
          </w:p>
        </w:tc>
      </w:tr>
      <w:tr>
        <w:trPr>
          <w:trHeight w:val="276"/>
        </w:trPr>
        <w:tc>
          <w:tcPr>
            <w:tcW w:w="6740" w:type="dxa"/>
            <w:vAlign w:val="bottom"/>
            <w:shd w:val="clear" w:color="auto" w:fill="CCEEFF"/>
          </w:tcPr>
          <w:p>
            <w:pPr>
              <w:ind w:left="820"/>
              <w:spacing w:after="0"/>
              <w:rPr>
                <w:sz w:val="20"/>
                <w:szCs w:val="20"/>
                <w:color w:val="auto"/>
              </w:rPr>
            </w:pPr>
            <w:r>
              <w:rPr>
                <w:rFonts w:ascii="Arial" w:cs="Arial" w:eastAsia="Arial" w:hAnsi="Arial"/>
                <w:sz w:val="14"/>
                <w:szCs w:val="14"/>
                <w:color w:val="auto"/>
              </w:rPr>
              <w:t>Inventories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13,965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52,049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(88,497)</w:t>
            </w:r>
          </w:p>
        </w:tc>
        <w:tc>
          <w:tcPr>
            <w:tcW w:w="0" w:type="dxa"/>
            <w:vAlign w:val="bottom"/>
          </w:tcPr>
          <w:p>
            <w:pPr>
              <w:spacing w:after="0"/>
              <w:rPr>
                <w:sz w:val="1"/>
                <w:szCs w:val="1"/>
                <w:color w:val="auto"/>
              </w:rPr>
            </w:pPr>
          </w:p>
        </w:tc>
      </w:tr>
      <w:tr>
        <w:trPr>
          <w:trHeight w:val="264"/>
        </w:trPr>
        <w:tc>
          <w:tcPr>
            <w:tcW w:w="6740" w:type="dxa"/>
            <w:vAlign w:val="bottom"/>
          </w:tcPr>
          <w:p>
            <w:pPr>
              <w:ind w:left="820"/>
              <w:spacing w:after="0"/>
              <w:rPr>
                <w:sz w:val="20"/>
                <w:szCs w:val="20"/>
                <w:color w:val="auto"/>
              </w:rPr>
            </w:pPr>
            <w:r>
              <w:rPr>
                <w:rFonts w:ascii="Arial" w:cs="Arial" w:eastAsia="Arial" w:hAnsi="Arial"/>
                <w:sz w:val="14"/>
                <w:szCs w:val="14"/>
                <w:color w:val="auto"/>
              </w:rPr>
              <w:t>Prepaid expenses and other current assets</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(42,955)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118,007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(7,245)</w:t>
            </w:r>
          </w:p>
        </w:tc>
        <w:tc>
          <w:tcPr>
            <w:tcW w:w="0" w:type="dxa"/>
            <w:vAlign w:val="bottom"/>
          </w:tcPr>
          <w:p>
            <w:pPr>
              <w:spacing w:after="0"/>
              <w:rPr>
                <w:sz w:val="1"/>
                <w:szCs w:val="1"/>
                <w:color w:val="auto"/>
              </w:rPr>
            </w:pPr>
          </w:p>
        </w:tc>
      </w:tr>
      <w:tr>
        <w:trPr>
          <w:trHeight w:val="276"/>
        </w:trPr>
        <w:tc>
          <w:tcPr>
            <w:tcW w:w="6740" w:type="dxa"/>
            <w:vAlign w:val="bottom"/>
            <w:shd w:val="clear" w:color="auto" w:fill="CCEEFF"/>
          </w:tcPr>
          <w:p>
            <w:pPr>
              <w:ind w:left="820"/>
              <w:spacing w:after="0"/>
              <w:rPr>
                <w:sz w:val="20"/>
                <w:szCs w:val="20"/>
                <w:color w:val="auto"/>
              </w:rPr>
            </w:pPr>
            <w:r>
              <w:rPr>
                <w:rFonts w:ascii="Arial" w:cs="Arial" w:eastAsia="Arial" w:hAnsi="Arial"/>
                <w:sz w:val="14"/>
                <w:szCs w:val="14"/>
                <w:color w:val="auto"/>
              </w:rPr>
              <w:t>Accounts payable and accrued liabilities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(72,295)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29,406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(59,102)</w:t>
            </w:r>
          </w:p>
        </w:tc>
        <w:tc>
          <w:tcPr>
            <w:tcW w:w="0" w:type="dxa"/>
            <w:vAlign w:val="bottom"/>
          </w:tcPr>
          <w:p>
            <w:pPr>
              <w:spacing w:after="0"/>
              <w:rPr>
                <w:sz w:val="1"/>
                <w:szCs w:val="1"/>
                <w:color w:val="auto"/>
              </w:rPr>
            </w:pPr>
          </w:p>
        </w:tc>
      </w:tr>
      <w:tr>
        <w:trPr>
          <w:trHeight w:val="264"/>
        </w:trPr>
        <w:tc>
          <w:tcPr>
            <w:tcW w:w="6740" w:type="dxa"/>
            <w:vAlign w:val="bottom"/>
          </w:tcPr>
          <w:p>
            <w:pPr>
              <w:ind w:left="820"/>
              <w:spacing w:after="0"/>
              <w:rPr>
                <w:sz w:val="20"/>
                <w:szCs w:val="20"/>
                <w:color w:val="auto"/>
              </w:rPr>
            </w:pPr>
            <w:r>
              <w:rPr>
                <w:rFonts w:ascii="Arial" w:cs="Arial" w:eastAsia="Arial" w:hAnsi="Arial"/>
                <w:sz w:val="14"/>
                <w:szCs w:val="14"/>
                <w:color w:val="auto"/>
              </w:rPr>
              <w:t>Contributions to pension and other benefits plans</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(41,697)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(53,273)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(53,110)</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820"/>
              <w:spacing w:after="0"/>
              <w:rPr>
                <w:sz w:val="20"/>
                <w:szCs w:val="20"/>
                <w:color w:val="auto"/>
              </w:rPr>
            </w:pPr>
            <w:r>
              <w:rPr>
                <w:rFonts w:ascii="Arial" w:cs="Arial" w:eastAsia="Arial" w:hAnsi="Arial"/>
                <w:sz w:val="14"/>
                <w:szCs w:val="14"/>
                <w:color w:val="auto"/>
              </w:rPr>
              <w:t>Other assets and liabilities</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16,443</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(30,413)</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37,111</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983,475</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1,214,456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844,377</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Investing Activities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Capital additions (including software)</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(269,476)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(356,810)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(370,789)</w:t>
            </w:r>
          </w:p>
        </w:tc>
        <w:tc>
          <w:tcPr>
            <w:tcW w:w="0" w:type="dxa"/>
            <w:vAlign w:val="bottom"/>
          </w:tcPr>
          <w:p>
            <w:pPr>
              <w:spacing w:after="0"/>
              <w:rPr>
                <w:sz w:val="1"/>
                <w:szCs w:val="1"/>
                <w:color w:val="auto"/>
              </w:rPr>
            </w:pP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sales of property, plant and equipment</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3,651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1,612</w:t>
            </w:r>
          </w:p>
        </w:tc>
        <w:tc>
          <w:tcPr>
            <w:tcW w:w="0" w:type="dxa"/>
            <w:vAlign w:val="bottom"/>
          </w:tcPr>
          <w:p>
            <w:pPr>
              <w:spacing w:after="0"/>
              <w:rPr>
                <w:sz w:val="1"/>
                <w:szCs w:val="1"/>
                <w:color w:val="auto"/>
              </w:rPr>
            </w:pP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Proceeds from sale of business</w:t>
            </w:r>
          </w:p>
        </w:tc>
        <w:tc>
          <w:tcPr>
            <w:tcW w:w="360" w:type="dxa"/>
            <w:vAlign w:val="bottom"/>
          </w:tcPr>
          <w:p>
            <w:pPr>
              <w:spacing w:after="0"/>
              <w:rPr>
                <w:sz w:val="22"/>
                <w:szCs w:val="2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32,408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Equity investments in tax credit qualifying partnerships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(44,255)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(30,720)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Business acquisitions, net of cash and cash equivalents acquired</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(285,374)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(218,654)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(396,265)</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Sale (purchase) of short-term investments</w:t>
            </w:r>
          </w:p>
        </w:tc>
        <w:tc>
          <w:tcPr>
            <w:tcW w:w="36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95,316</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(97,131)</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used in investing activities</w:t>
            </w:r>
          </w:p>
        </w:tc>
        <w:tc>
          <w:tcPr>
            <w:tcW w:w="36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(595,454)</w:t>
            </w:r>
          </w:p>
        </w:tc>
        <w:tc>
          <w:tcPr>
            <w:tcW w:w="12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(477,255)</w:t>
            </w:r>
          </w:p>
        </w:tc>
        <w:tc>
          <w:tcPr>
            <w:tcW w:w="1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(862,573)</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Financing Activities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Net increase in short-term debt</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275,607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10,720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117,515</w:t>
            </w:r>
          </w:p>
        </w:tc>
        <w:tc>
          <w:tcPr>
            <w:tcW w:w="0" w:type="dxa"/>
            <w:vAlign w:val="bottom"/>
          </w:tcPr>
          <w:p>
            <w:pPr>
              <w:spacing w:after="0"/>
              <w:rPr>
                <w:sz w:val="1"/>
                <w:szCs w:val="1"/>
                <w:color w:val="auto"/>
              </w:rPr>
            </w:pP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Long-term borrowings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792,953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599,031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3,051</w:t>
            </w:r>
          </w:p>
        </w:tc>
        <w:tc>
          <w:tcPr>
            <w:tcW w:w="0" w:type="dxa"/>
            <w:vAlign w:val="bottom"/>
          </w:tcPr>
          <w:p>
            <w:pPr>
              <w:spacing w:after="0"/>
              <w:rPr>
                <w:sz w:val="1"/>
                <w:szCs w:val="1"/>
                <w:color w:val="auto"/>
              </w:rPr>
            </w:pP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Repayment of long-term debt</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(500,000)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(355,446)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(1,442)</w:t>
            </w:r>
          </w:p>
        </w:tc>
        <w:tc>
          <w:tcPr>
            <w:tcW w:w="0" w:type="dxa"/>
            <w:vAlign w:val="bottom"/>
          </w:tcPr>
          <w:p>
            <w:pPr>
              <w:spacing w:after="0"/>
              <w:rPr>
                <w:sz w:val="1"/>
                <w:szCs w:val="1"/>
                <w:color w:val="auto"/>
              </w:rPr>
            </w:pP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Payment of SGM liability (see Note 2)</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(35,762)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Cash dividends paid</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(499,475)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(476,132)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(440,414)</w:t>
            </w:r>
          </w:p>
        </w:tc>
        <w:tc>
          <w:tcPr>
            <w:tcW w:w="0" w:type="dxa"/>
            <w:vAlign w:val="bottom"/>
          </w:tcPr>
          <w:p>
            <w:pPr>
              <w:spacing w:after="0"/>
              <w:rPr>
                <w:sz w:val="1"/>
                <w:szCs w:val="1"/>
                <w:color w:val="auto"/>
              </w:rPr>
            </w:pP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Repurchase of common stock</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(592,550)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(582,623)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(576,755)</w:t>
            </w:r>
          </w:p>
        </w:tc>
        <w:tc>
          <w:tcPr>
            <w:tcW w:w="0" w:type="dxa"/>
            <w:vAlign w:val="bottom"/>
          </w:tcPr>
          <w:p>
            <w:pPr>
              <w:spacing w:after="0"/>
              <w:rPr>
                <w:sz w:val="1"/>
                <w:szCs w:val="1"/>
                <w:color w:val="auto"/>
              </w:rPr>
            </w:pP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Exercise of stock options</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102,722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72,719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122,306</w:t>
            </w:r>
          </w:p>
        </w:tc>
        <w:tc>
          <w:tcPr>
            <w:tcW w:w="0" w:type="dxa"/>
            <w:vAlign w:val="bottom"/>
          </w:tcPr>
          <w:p>
            <w:pPr>
              <w:spacing w:after="0"/>
              <w:rPr>
                <w:sz w:val="1"/>
                <w:szCs w:val="1"/>
                <w:color w:val="auto"/>
              </w:rPr>
            </w:pP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Excess tax benefits from stock-based compensation</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22,062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24,839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53,497</w:t>
            </w:r>
          </w:p>
        </w:tc>
        <w:tc>
          <w:tcPr>
            <w:tcW w:w="0" w:type="dxa"/>
            <w:vAlign w:val="bottom"/>
          </w:tcPr>
          <w:p>
            <w:pPr>
              <w:spacing w:after="0"/>
              <w:rPr>
                <w:sz w:val="1"/>
                <w:szCs w:val="1"/>
                <w:color w:val="auto"/>
              </w:rPr>
            </w:pP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Other</w:t>
            </w:r>
          </w:p>
        </w:tc>
        <w:tc>
          <w:tcPr>
            <w:tcW w:w="360" w:type="dxa"/>
            <w:vAlign w:val="bottom"/>
          </w:tcPr>
          <w:p>
            <w:pPr>
              <w:spacing w:after="0"/>
              <w:rPr>
                <w:sz w:val="22"/>
                <w:szCs w:val="2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(48,270)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2,940</w:t>
            </w: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cash used in financing activities</w:t>
            </w: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(434,443)</w:t>
            </w:r>
          </w:p>
        </w:tc>
        <w:tc>
          <w:tcPr>
            <w:tcW w:w="12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(755,162)</w:t>
            </w: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(719,302)</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(3,140)</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(10,364)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(6,156)</w:t>
            </w:r>
          </w:p>
        </w:tc>
        <w:tc>
          <w:tcPr>
            <w:tcW w:w="0" w:type="dxa"/>
            <w:vAlign w:val="bottom"/>
          </w:tcPr>
          <w:p>
            <w:pPr>
              <w:spacing w:after="0"/>
              <w:rPr>
                <w:sz w:val="1"/>
                <w:szCs w:val="1"/>
                <w:color w:val="auto"/>
              </w:rPr>
            </w:pP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Decrease in cash and cash equivalents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(49,562)</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(28,325)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(743,654)</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beginning of period</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346,529</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374,854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1,118,508</w:t>
            </w:r>
          </w:p>
        </w:tc>
        <w:tc>
          <w:tcPr>
            <w:tcW w:w="0" w:type="dxa"/>
            <w:vAlign w:val="bottom"/>
          </w:tcPr>
          <w:p>
            <w:pPr>
              <w:spacing w:after="0"/>
              <w:rPr>
                <w:sz w:val="1"/>
                <w:szCs w:val="1"/>
                <w:color w:val="auto"/>
              </w:rPr>
            </w:pPr>
          </w:p>
        </w:tc>
      </w:tr>
      <w:tr>
        <w:trPr>
          <w:trHeight w:val="243"/>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and cash equivalents, end of period</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296,967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346,529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374,854</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Supplemental Disclosure</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74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paid (excluding loss on early extinguishment of debt in 2015)</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90,951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88,448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87,801</w:t>
            </w:r>
          </w:p>
        </w:tc>
        <w:tc>
          <w:tcPr>
            <w:tcW w:w="0" w:type="dxa"/>
            <w:vAlign w:val="bottom"/>
          </w:tcPr>
          <w:p>
            <w:pPr>
              <w:spacing w:after="0"/>
              <w:rPr>
                <w:sz w:val="1"/>
                <w:szCs w:val="1"/>
                <w:color w:val="auto"/>
              </w:rPr>
            </w:pPr>
          </w:p>
        </w:tc>
      </w:tr>
      <w:tr>
        <w:trPr>
          <w:trHeight w:val="258"/>
        </w:trPr>
        <w:tc>
          <w:tcPr>
            <w:tcW w:w="6740" w:type="dxa"/>
            <w:vAlign w:val="bottom"/>
          </w:tcPr>
          <w:p>
            <w:pPr>
              <w:spacing w:after="0"/>
              <w:rPr>
                <w:sz w:val="20"/>
                <w:szCs w:val="20"/>
                <w:color w:val="auto"/>
              </w:rPr>
            </w:pPr>
            <w:r>
              <w:rPr>
                <w:rFonts w:ascii="Arial" w:cs="Arial" w:eastAsia="Arial" w:hAnsi="Arial"/>
                <w:sz w:val="14"/>
                <w:szCs w:val="14"/>
                <w:color w:val="auto"/>
              </w:rPr>
              <w:t>Income taxes paid</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425,539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368,926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384,318</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ectPr>
          <w:pgSz w:w="11900" w:h="16838" w:orient="portrait"/>
          <w:cols w:equalWidth="0" w:num="1">
            <w:col w:w="11420"/>
          </w:cols>
          <w:pgMar w:left="240" w:top="580" w:right="239" w:bottom="1440" w:gutter="0" w:footer="0" w:header="0"/>
        </w:sect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580" w:right="239" w:bottom="1440" w:gutter="0" w:footer="0" w:header="0"/>
          <w:type w:val="continuous"/>
        </w:sectPr>
      </w:pPr>
    </w:p>
    <w:bookmarkStart w:id="53" w:name="page54"/>
    <w:bookmarkEnd w:id="5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January 1, 2014</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Net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loss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Dividends:</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Common Stock, $2.04 per share</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2"/>
          <w:szCs w:val="12"/>
          <w:color w:val="auto"/>
        </w:rPr>
        <w:t>Class B Common Stock, $1.842 per share</w:t>
      </w:r>
    </w:p>
    <w:p>
      <w:pPr>
        <w:spacing w:after="0" w:line="65" w:lineRule="exact"/>
        <w:rPr>
          <w:sz w:val="20"/>
          <w:szCs w:val="20"/>
          <w:color w:val="auto"/>
        </w:rPr>
      </w:pPr>
    </w:p>
    <w:p>
      <w:pPr>
        <w:ind w:left="40" w:right="220"/>
        <w:spacing w:after="0" w:line="253" w:lineRule="auto"/>
        <w:rPr>
          <w:sz w:val="20"/>
          <w:szCs w:val="20"/>
          <w:color w:val="auto"/>
        </w:rPr>
      </w:pPr>
      <w:r>
        <w:rPr>
          <w:rFonts w:ascii="Arial" w:cs="Arial" w:eastAsia="Arial" w:hAnsi="Arial"/>
          <w:sz w:val="14"/>
          <w:szCs w:val="14"/>
          <w:color w:val="auto"/>
        </w:rPr>
        <w:t>Conversion of Class B common stock into common stock</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Stock-based compensation</w:t>
      </w:r>
    </w:p>
    <w:p>
      <w:pPr>
        <w:spacing w:after="0" w:line="42" w:lineRule="exact"/>
        <w:rPr>
          <w:sz w:val="20"/>
          <w:szCs w:val="20"/>
          <w:color w:val="auto"/>
        </w:rPr>
      </w:pPr>
    </w:p>
    <w:p>
      <w:pPr>
        <w:ind w:left="40" w:right="40"/>
        <w:spacing w:after="0" w:line="253" w:lineRule="auto"/>
        <w:rPr>
          <w:sz w:val="20"/>
          <w:szCs w:val="20"/>
          <w:color w:val="auto"/>
        </w:rPr>
      </w:pPr>
      <w:r>
        <w:rPr>
          <w:rFonts w:ascii="Arial" w:cs="Arial" w:eastAsia="Arial" w:hAnsi="Arial"/>
          <w:sz w:val="14"/>
          <w:szCs w:val="14"/>
          <w:color w:val="auto"/>
        </w:rPr>
        <w:t>Exercise of stock options and incentive-based transactions</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Repurchase of common stock</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Acquisition of Lotte Shanghai Foods Co., Ltd.</w:t>
      </w:r>
    </w:p>
    <w:p>
      <w:pPr>
        <w:spacing w:after="0" w:line="53" w:lineRule="exact"/>
        <w:rPr>
          <w:sz w:val="20"/>
          <w:szCs w:val="20"/>
          <w:color w:val="auto"/>
        </w:rPr>
      </w:pPr>
    </w:p>
    <w:p>
      <w:pPr>
        <w:ind w:left="40" w:right="640"/>
        <w:spacing w:after="0" w:line="291" w:lineRule="auto"/>
        <w:rPr>
          <w:sz w:val="20"/>
          <w:szCs w:val="20"/>
          <w:color w:val="auto"/>
        </w:rPr>
      </w:pPr>
      <w:r>
        <w:rPr>
          <w:rFonts w:ascii="Arial" w:cs="Arial" w:eastAsia="Arial" w:hAnsi="Arial"/>
          <w:sz w:val="13"/>
          <w:szCs w:val="13"/>
          <w:color w:val="auto"/>
        </w:rPr>
        <w:t>Earnings of and contributions from noncontrolling interests, net</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December 31, 2014</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loss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Dividends:</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Common Stock, $2.236 per share</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2"/>
          <w:szCs w:val="12"/>
          <w:color w:val="auto"/>
        </w:rPr>
        <w:t>Class B Common Stock, $2.032 per share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Stock-based compensation</w:t>
      </w:r>
    </w:p>
    <w:p>
      <w:pPr>
        <w:spacing w:after="0" w:line="42" w:lineRule="exact"/>
        <w:rPr>
          <w:sz w:val="20"/>
          <w:szCs w:val="20"/>
          <w:color w:val="auto"/>
        </w:rPr>
      </w:pPr>
    </w:p>
    <w:p>
      <w:pPr>
        <w:ind w:left="40" w:right="40"/>
        <w:spacing w:after="0" w:line="253" w:lineRule="auto"/>
        <w:rPr>
          <w:sz w:val="20"/>
          <w:szCs w:val="20"/>
          <w:color w:val="auto"/>
        </w:rPr>
      </w:pPr>
      <w:r>
        <w:rPr>
          <w:rFonts w:ascii="Arial" w:cs="Arial" w:eastAsia="Arial" w:hAnsi="Arial"/>
          <w:sz w:val="14"/>
          <w:szCs w:val="14"/>
          <w:color w:val="auto"/>
        </w:rPr>
        <w:t>Exercise of stock options and incentive-based transactions</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Repurchase of common stock</w:t>
      </w:r>
    </w:p>
    <w:p>
      <w:pPr>
        <w:spacing w:after="0" w:line="42" w:lineRule="exact"/>
        <w:rPr>
          <w:sz w:val="20"/>
          <w:szCs w:val="20"/>
          <w:color w:val="auto"/>
        </w:rPr>
      </w:pPr>
    </w:p>
    <w:p>
      <w:pPr>
        <w:ind w:left="40" w:right="100"/>
        <w:spacing w:after="0" w:line="291" w:lineRule="auto"/>
        <w:rPr>
          <w:sz w:val="20"/>
          <w:szCs w:val="20"/>
          <w:color w:val="auto"/>
        </w:rPr>
      </w:pPr>
      <w:r>
        <w:rPr>
          <w:rFonts w:ascii="Arial" w:cs="Arial" w:eastAsia="Arial" w:hAnsi="Arial"/>
          <w:sz w:val="13"/>
          <w:szCs w:val="13"/>
          <w:color w:val="auto"/>
        </w:rPr>
        <w:t>Impact of reclassification to and purchase of redeemable noncontrolling interest</w:t>
      </w:r>
    </w:p>
    <w:p>
      <w:pPr>
        <w:spacing w:after="0" w:line="56" w:lineRule="exact"/>
        <w:rPr>
          <w:sz w:val="20"/>
          <w:szCs w:val="20"/>
          <w:color w:val="auto"/>
        </w:rPr>
      </w:pPr>
    </w:p>
    <w:p>
      <w:pPr>
        <w:ind w:left="40"/>
        <w:spacing w:after="0"/>
        <w:rPr>
          <w:sz w:val="20"/>
          <w:szCs w:val="20"/>
          <w:color w:val="auto"/>
        </w:rPr>
      </w:pPr>
      <w:r>
        <w:rPr>
          <w:rFonts w:ascii="Arial" w:cs="Arial" w:eastAsia="Arial" w:hAnsi="Arial"/>
          <w:sz w:val="14"/>
          <w:szCs w:val="14"/>
          <w:color w:val="auto"/>
        </w:rPr>
        <w:t>Earnings of noncontrolling interests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December 31, 2015</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Net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loss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Dividends (including dividend equivalents):</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Common Stock, $2.402 per share</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2"/>
          <w:szCs w:val="12"/>
          <w:color w:val="auto"/>
          <w:shd w:val="clear" w:color="auto" w:fill="CCEEFF"/>
        </w:rPr>
        <w:t>Class B Common Stock, $2.184 per share</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color w:val="auto"/>
        </w:rPr>
        <w:t>Stock-based compensation</w:t>
      </w:r>
    </w:p>
    <w:p>
      <w:pPr>
        <w:spacing w:after="0" w:line="42" w:lineRule="exact"/>
        <w:rPr>
          <w:sz w:val="20"/>
          <w:szCs w:val="20"/>
          <w:color w:val="auto"/>
        </w:rPr>
      </w:pPr>
    </w:p>
    <w:p>
      <w:pPr>
        <w:ind w:left="40" w:right="40"/>
        <w:spacing w:after="0" w:line="253" w:lineRule="auto"/>
        <w:rPr>
          <w:sz w:val="20"/>
          <w:szCs w:val="20"/>
          <w:color w:val="auto"/>
        </w:rPr>
      </w:pPr>
      <w:r>
        <w:rPr>
          <w:rFonts w:ascii="Arial" w:cs="Arial" w:eastAsia="Arial" w:hAnsi="Arial"/>
          <w:sz w:val="14"/>
          <w:szCs w:val="14"/>
          <w:color w:val="auto"/>
        </w:rPr>
        <w:t>Exercise of stock options and incentive-based transactions</w:t>
      </w:r>
    </w:p>
    <w:p>
      <w:pPr>
        <w:spacing w:after="0" w:line="79" w:lineRule="exact"/>
        <w:rPr>
          <w:sz w:val="20"/>
          <w:szCs w:val="20"/>
          <w:color w:val="auto"/>
        </w:rPr>
      </w:pPr>
    </w:p>
    <w:p>
      <w:pPr>
        <w:ind w:left="40" w:right="840"/>
        <w:spacing w:after="0" w:line="430" w:lineRule="auto"/>
        <w:rPr>
          <w:sz w:val="20"/>
          <w:szCs w:val="20"/>
          <w:color w:val="auto"/>
        </w:rPr>
      </w:pPr>
      <w:r>
        <w:rPr>
          <w:rFonts w:ascii="Arial" w:cs="Arial" w:eastAsia="Arial" w:hAnsi="Arial"/>
          <w:sz w:val="13"/>
          <w:szCs w:val="13"/>
          <w:color w:val="auto"/>
        </w:rPr>
        <w:t>Repurchase of common stock Loss of noncontrolling interests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December 31, 2016</w:t>
      </w:r>
    </w:p>
    <w:p>
      <w:pPr>
        <w:spacing w:after="0" w:line="20" w:lineRule="exact"/>
        <w:rPr>
          <w:sz w:val="20"/>
          <w:szCs w:val="20"/>
          <w:color w:val="auto"/>
        </w:rPr>
      </w:pPr>
      <w:r>
        <w:rPr>
          <w:sz w:val="20"/>
          <w:szCs w:val="20"/>
          <w:color w:val="auto"/>
        </w:rPr>
        <w:br w:type="column"/>
      </w:r>
    </w:p>
    <w:p>
      <w:pPr>
        <w:ind w:left="1620"/>
        <w:spacing w:after="0"/>
        <w:rPr>
          <w:sz w:val="20"/>
          <w:szCs w:val="20"/>
          <w:color w:val="auto"/>
        </w:rPr>
      </w:pPr>
      <w:r>
        <w:rPr>
          <w:rFonts w:ascii="Arial" w:cs="Arial" w:eastAsia="Arial" w:hAnsi="Arial"/>
          <w:sz w:val="18"/>
          <w:szCs w:val="18"/>
          <w:b w:val="1"/>
          <w:bCs w:val="1"/>
          <w:color w:val="auto"/>
        </w:rPr>
        <w:t>THE HERSHEY COMPANY</w:t>
      </w:r>
    </w:p>
    <w:p>
      <w:pPr>
        <w:ind w:left="240"/>
        <w:spacing w:after="0" w:line="203" w:lineRule="auto"/>
        <w:rPr>
          <w:sz w:val="20"/>
          <w:szCs w:val="20"/>
          <w:color w:val="auto"/>
        </w:rPr>
      </w:pPr>
      <w:r>
        <w:rPr>
          <w:rFonts w:ascii="Arial" w:cs="Arial" w:eastAsia="Arial" w:hAnsi="Arial"/>
          <w:sz w:val="18"/>
          <w:szCs w:val="18"/>
          <w:b w:val="1"/>
          <w:bCs w:val="1"/>
          <w:color w:val="auto"/>
        </w:rPr>
        <w:t>CONSOLIDATED STATEMENTS OF STOCKHOLDERS’ EQUITY</w:t>
      </w:r>
    </w:p>
    <w:p>
      <w:pPr>
        <w:ind w:left="2200"/>
        <w:spacing w:after="0"/>
        <w:rPr>
          <w:sz w:val="20"/>
          <w:szCs w:val="20"/>
          <w:color w:val="auto"/>
        </w:rPr>
      </w:pPr>
      <w:r>
        <w:rPr>
          <w:rFonts w:ascii="Arial" w:cs="Arial" w:eastAsia="Arial" w:hAnsi="Arial"/>
          <w:sz w:val="18"/>
          <w:szCs w:val="18"/>
          <w:b w:val="1"/>
          <w:bCs w:val="1"/>
          <w:color w:val="auto"/>
        </w:rPr>
        <w:t>(in thousands)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Class B</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9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Additional</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Treasury</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11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2"/>
                <w:szCs w:val="12"/>
                <w:color w:val="auto"/>
              </w:rPr>
            </w:pPr>
          </w:p>
        </w:tc>
        <w:tc>
          <w:tcPr>
            <w:tcW w:w="7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7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Preferred</w:t>
            </w:r>
          </w:p>
        </w:tc>
        <w:tc>
          <w:tcPr>
            <w:tcW w:w="8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Common</w:t>
            </w:r>
          </w:p>
        </w:tc>
        <w:tc>
          <w:tcPr>
            <w:tcW w:w="76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2"/>
              </w:rPr>
              <w:t>Common</w:t>
            </w:r>
          </w:p>
        </w:tc>
        <w:tc>
          <w:tcPr>
            <w:tcW w:w="900" w:type="dxa"/>
            <w:vAlign w:val="bottom"/>
            <w:gridSpan w:val="3"/>
            <w:vMerge w:val="continue"/>
          </w:tcPr>
          <w:p>
            <w:pPr>
              <w:spacing w:after="0"/>
              <w:rPr>
                <w:sz w:val="12"/>
                <w:szCs w:val="12"/>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Retained</w:t>
            </w: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1"/>
              </w:rPr>
              <w:t>Comprehensive</w:t>
            </w:r>
          </w:p>
        </w:tc>
        <w:tc>
          <w:tcPr>
            <w:tcW w:w="11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gridSpan w:val="3"/>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2"/>
                <w:szCs w:val="12"/>
                <w:color w:val="auto"/>
              </w:rPr>
            </w:pPr>
          </w:p>
        </w:tc>
        <w:tc>
          <w:tcPr>
            <w:tcW w:w="7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Paid-in</w:t>
            </w:r>
          </w:p>
        </w:tc>
        <w:tc>
          <w:tcPr>
            <w:tcW w:w="900" w:type="dxa"/>
            <w:vAlign w:val="bottom"/>
            <w:gridSpan w:val="2"/>
            <w:vMerge w:val="continue"/>
          </w:tcPr>
          <w:p>
            <w:pPr>
              <w:spacing w:after="0"/>
              <w:rPr>
                <w:sz w:val="12"/>
                <w:szCs w:val="12"/>
                <w:color w:val="auto"/>
              </w:rPr>
            </w:pPr>
          </w:p>
        </w:tc>
        <w:tc>
          <w:tcPr>
            <w:tcW w:w="9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Income (Loss)</w:t>
            </w:r>
          </w:p>
        </w:tc>
        <w:tc>
          <w:tcPr>
            <w:tcW w:w="120" w:type="dxa"/>
            <w:vAlign w:val="bottom"/>
          </w:tcPr>
          <w:p>
            <w:pPr>
              <w:spacing w:after="0"/>
              <w:rPr>
                <w:sz w:val="12"/>
                <w:szCs w:val="12"/>
                <w:color w:val="auto"/>
              </w:rPr>
            </w:pPr>
          </w:p>
        </w:tc>
        <w:tc>
          <w:tcPr>
            <w:tcW w:w="10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Interests in</w:t>
            </w:r>
          </w:p>
        </w:tc>
        <w:tc>
          <w:tcPr>
            <w:tcW w:w="9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62"/>
        </w:trPr>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4"/>
                <w:szCs w:val="14"/>
                <w:color w:val="auto"/>
              </w:rPr>
            </w:pP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4"/>
                <w:szCs w:val="14"/>
                <w:color w:val="auto"/>
              </w:rPr>
            </w:pPr>
          </w:p>
        </w:tc>
        <w:tc>
          <w:tcPr>
            <w:tcW w:w="8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38"/>
        </w:trPr>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w w:val="95"/>
              </w:rPr>
              <w:t>$299,281</w:t>
            </w:r>
          </w:p>
        </w:tc>
        <w:tc>
          <w:tcPr>
            <w:tcW w:w="120" w:type="dxa"/>
            <w:vAlign w:val="bottom"/>
          </w:tcPr>
          <w:p>
            <w:pPr>
              <w:spacing w:after="0"/>
              <w:rPr>
                <w:sz w:val="20"/>
                <w:szCs w:val="20"/>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w w:val="95"/>
              </w:rPr>
              <w:t>$ 60,620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664,944</w:t>
            </w:r>
          </w:p>
        </w:tc>
        <w:tc>
          <w:tcPr>
            <w:tcW w:w="120" w:type="dxa"/>
            <w:vAlign w:val="bottom"/>
          </w:tcPr>
          <w:p>
            <w:pPr>
              <w:spacing w:after="0"/>
              <w:rPr>
                <w:sz w:val="20"/>
                <w:szCs w:val="20"/>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w w:val="94"/>
              </w:rPr>
              <w:t>$5,454,286</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w w:val="91"/>
              </w:rPr>
              <w:t>$ (4,707,730)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(166,567)</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11,218</w:t>
            </w:r>
          </w:p>
        </w:tc>
        <w:tc>
          <w:tcPr>
            <w:tcW w:w="100" w:type="dxa"/>
            <w:vAlign w:val="bottom"/>
          </w:tcPr>
          <w:p>
            <w:pPr>
              <w:spacing w:after="0"/>
              <w:rPr>
                <w:sz w:val="20"/>
                <w:szCs w:val="20"/>
                <w:color w:val="auto"/>
              </w:rPr>
            </w:pPr>
          </w:p>
        </w:tc>
        <w:tc>
          <w:tcPr>
            <w:tcW w:w="160" w:type="dxa"/>
            <w:vAlign w:val="bottom"/>
          </w:tcPr>
          <w:p>
            <w:pPr>
              <w:ind w:lef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w w:val="99"/>
              </w:rPr>
              <w:t>1,616,052</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846,912</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846,912</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(192,006)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(192,006)</w:t>
            </w:r>
          </w:p>
        </w:tc>
        <w:tc>
          <w:tcPr>
            <w:tcW w:w="0" w:type="dxa"/>
            <w:vAlign w:val="bottom"/>
          </w:tcPr>
          <w:p>
            <w:pPr>
              <w:spacing w:after="0"/>
              <w:rPr>
                <w:sz w:val="1"/>
                <w:szCs w:val="1"/>
                <w:color w:val="auto"/>
              </w:rPr>
            </w:pPr>
          </w:p>
        </w:tc>
      </w:tr>
      <w:tr>
        <w:trPr>
          <w:trHeight w:val="540"/>
        </w:trPr>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(328,752)</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(328,752)</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(111,662)</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(111,662)</w:t>
            </w:r>
          </w:p>
        </w:tc>
        <w:tc>
          <w:tcPr>
            <w:tcW w:w="0" w:type="dxa"/>
            <w:vAlign w:val="bottom"/>
          </w:tcPr>
          <w:p>
            <w:pPr>
              <w:spacing w:after="0"/>
              <w:rPr>
                <w:sz w:val="1"/>
                <w:szCs w:val="1"/>
                <w:color w:val="auto"/>
              </w:rPr>
            </w:pPr>
          </w:p>
        </w:tc>
      </w:tr>
      <w:tr>
        <w:trPr>
          <w:trHeight w:val="351"/>
        </w:trPr>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52,870</w:t>
            </w: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52,870</w:t>
            </w:r>
          </w:p>
        </w:tc>
        <w:tc>
          <w:tcPr>
            <w:tcW w:w="0" w:type="dxa"/>
            <w:vAlign w:val="bottom"/>
          </w:tcPr>
          <w:p>
            <w:pPr>
              <w:spacing w:after="0"/>
              <w:rPr>
                <w:sz w:val="1"/>
                <w:szCs w:val="1"/>
                <w:color w:val="auto"/>
              </w:rPr>
            </w:pPr>
          </w:p>
        </w:tc>
      </w:tr>
      <w:tr>
        <w:trPr>
          <w:trHeight w:val="351"/>
        </w:trPr>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36,372</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123,249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159,621</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(576,755)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(576,755)</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49,724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49,724</w:t>
            </w:r>
          </w:p>
        </w:tc>
        <w:tc>
          <w:tcPr>
            <w:tcW w:w="0" w:type="dxa"/>
            <w:vAlign w:val="bottom"/>
          </w:tcPr>
          <w:p>
            <w:pPr>
              <w:spacing w:after="0"/>
              <w:rPr>
                <w:sz w:val="1"/>
                <w:szCs w:val="1"/>
                <w:color w:val="auto"/>
              </w:rPr>
            </w:pPr>
          </w:p>
        </w:tc>
      </w:tr>
      <w:tr>
        <w:trPr>
          <w:trHeight w:val="357"/>
        </w:trPr>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3,526</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3,526</w:t>
            </w:r>
          </w:p>
        </w:tc>
        <w:tc>
          <w:tcPr>
            <w:tcW w:w="0" w:type="dxa"/>
            <w:vAlign w:val="bottom"/>
          </w:tcPr>
          <w:p>
            <w:pPr>
              <w:spacing w:after="0"/>
              <w:rPr>
                <w:sz w:val="1"/>
                <w:szCs w:val="1"/>
                <w:color w:val="auto"/>
              </w:rPr>
            </w:pPr>
          </w:p>
        </w:tc>
      </w:tr>
      <w:tr>
        <w:trPr>
          <w:trHeight w:val="244"/>
        </w:trPr>
        <w:tc>
          <w:tcPr>
            <w:tcW w:w="140" w:type="dxa"/>
            <w:vAlign w:val="bottom"/>
          </w:tcPr>
          <w:p>
            <w:pPr>
              <w:spacing w:after="0"/>
              <w:rPr>
                <w:sz w:val="21"/>
                <w:szCs w:val="21"/>
                <w:color w:val="auto"/>
              </w:rPr>
            </w:pPr>
          </w:p>
        </w:tc>
        <w:tc>
          <w:tcPr>
            <w:tcW w:w="6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299,281</w:t>
            </w:r>
          </w:p>
        </w:tc>
        <w:tc>
          <w:tcPr>
            <w:tcW w:w="120" w:type="dxa"/>
            <w:vAlign w:val="bottom"/>
          </w:tcPr>
          <w:p>
            <w:pPr>
              <w:spacing w:after="0"/>
              <w:rPr>
                <w:sz w:val="21"/>
                <w:szCs w:val="21"/>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60,620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754,186</w:t>
            </w:r>
          </w:p>
        </w:tc>
        <w:tc>
          <w:tcPr>
            <w:tcW w:w="12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5,860,784</w:t>
            </w: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(5,161,236)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(358,573)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64,468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w w:val="99"/>
              </w:rPr>
              <w:t>1,519,530</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512,951</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512,951</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(12,452)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(2,152)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(14,604)</w:t>
            </w:r>
          </w:p>
        </w:tc>
        <w:tc>
          <w:tcPr>
            <w:tcW w:w="0" w:type="dxa"/>
            <w:vAlign w:val="bottom"/>
          </w:tcPr>
          <w:p>
            <w:pPr>
              <w:spacing w:after="0"/>
              <w:rPr>
                <w:sz w:val="1"/>
                <w:szCs w:val="1"/>
                <w:color w:val="auto"/>
              </w:rPr>
            </w:pPr>
          </w:p>
        </w:tc>
      </w:tr>
      <w:tr>
        <w:trPr>
          <w:trHeight w:val="540"/>
        </w:trPr>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(352,953)</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(352,953)</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(123,179)</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(123,179)</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50,722</w:t>
            </w: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50,722</w:t>
            </w:r>
          </w:p>
        </w:tc>
        <w:tc>
          <w:tcPr>
            <w:tcW w:w="0" w:type="dxa"/>
            <w:vAlign w:val="bottom"/>
          </w:tcPr>
          <w:p>
            <w:pPr>
              <w:spacing w:after="0"/>
              <w:rPr>
                <w:sz w:val="1"/>
                <w:szCs w:val="1"/>
                <w:color w:val="auto"/>
              </w:rPr>
            </w:pPr>
          </w:p>
        </w:tc>
      </w:tr>
      <w:tr>
        <w:trPr>
          <w:trHeight w:val="351"/>
        </w:trPr>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8,204</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71,500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79,704</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(582,623)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(582,623)</w:t>
            </w:r>
          </w:p>
        </w:tc>
        <w:tc>
          <w:tcPr>
            <w:tcW w:w="0" w:type="dxa"/>
            <w:vAlign w:val="bottom"/>
          </w:tcPr>
          <w:p>
            <w:pPr>
              <w:spacing w:after="0"/>
              <w:rPr>
                <w:sz w:val="1"/>
                <w:szCs w:val="1"/>
                <w:color w:val="auto"/>
              </w:rPr>
            </w:pPr>
          </w:p>
        </w:tc>
      </w:tr>
      <w:tr>
        <w:trPr>
          <w:trHeight w:val="351"/>
        </w:trPr>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(29,235)</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(13,428)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(42,663)</w:t>
            </w:r>
          </w:p>
        </w:tc>
        <w:tc>
          <w:tcPr>
            <w:tcW w:w="0" w:type="dxa"/>
            <w:vAlign w:val="bottom"/>
          </w:tcPr>
          <w:p>
            <w:pPr>
              <w:spacing w:after="0"/>
              <w:rPr>
                <w:sz w:val="1"/>
                <w:szCs w:val="1"/>
                <w:color w:val="auto"/>
              </w:rPr>
            </w:pPr>
          </w:p>
        </w:tc>
      </w:tr>
      <w:tr>
        <w:trPr>
          <w:trHeight w:val="276"/>
        </w:trPr>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577</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577</w:t>
            </w:r>
          </w:p>
        </w:tc>
        <w:tc>
          <w:tcPr>
            <w:tcW w:w="0" w:type="dxa"/>
            <w:vAlign w:val="bottom"/>
          </w:tcPr>
          <w:p>
            <w:pPr>
              <w:spacing w:after="0"/>
              <w:rPr>
                <w:sz w:val="1"/>
                <w:szCs w:val="1"/>
                <w:color w:val="auto"/>
              </w:rPr>
            </w:pPr>
          </w:p>
        </w:tc>
      </w:tr>
      <w:tr>
        <w:trPr>
          <w:trHeight w:val="244"/>
        </w:trPr>
        <w:tc>
          <w:tcPr>
            <w:tcW w:w="140" w:type="dxa"/>
            <w:vAlign w:val="bottom"/>
          </w:tcPr>
          <w:p>
            <w:pPr>
              <w:spacing w:after="0"/>
              <w:rPr>
                <w:sz w:val="21"/>
                <w:szCs w:val="21"/>
                <w:color w:val="auto"/>
              </w:rPr>
            </w:pPr>
          </w:p>
        </w:tc>
        <w:tc>
          <w:tcPr>
            <w:tcW w:w="6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299,281</w:t>
            </w:r>
          </w:p>
        </w:tc>
        <w:tc>
          <w:tcPr>
            <w:tcW w:w="120" w:type="dxa"/>
            <w:vAlign w:val="bottom"/>
          </w:tcPr>
          <w:p>
            <w:pPr>
              <w:spacing w:after="0"/>
              <w:rPr>
                <w:sz w:val="21"/>
                <w:szCs w:val="21"/>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60,620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783,877</w:t>
            </w:r>
          </w:p>
        </w:tc>
        <w:tc>
          <w:tcPr>
            <w:tcW w:w="12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5,897,603</w:t>
            </w: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(5,672,359)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(371,025)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49,465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w w:val="99"/>
              </w:rPr>
              <w:t>1,047,462</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720,044</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720,044</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(4,863)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(3,664)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(8,527)</w:t>
            </w:r>
          </w:p>
        </w:tc>
        <w:tc>
          <w:tcPr>
            <w:tcW w:w="0" w:type="dxa"/>
            <w:vAlign w:val="bottom"/>
          </w:tcPr>
          <w:p>
            <w:pPr>
              <w:spacing w:after="0"/>
              <w:rPr>
                <w:sz w:val="1"/>
                <w:szCs w:val="1"/>
                <w:color w:val="auto"/>
              </w:rPr>
            </w:pPr>
          </w:p>
        </w:tc>
      </w:tr>
      <w:tr>
        <w:trPr>
          <w:trHeight w:val="540"/>
        </w:trPr>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(369,292)</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(369,292)</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(132,394)</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(132,394)</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54,429</w:t>
            </w: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54,429</w:t>
            </w:r>
          </w:p>
        </w:tc>
        <w:tc>
          <w:tcPr>
            <w:tcW w:w="0" w:type="dxa"/>
            <w:vAlign w:val="bottom"/>
          </w:tcPr>
          <w:p>
            <w:pPr>
              <w:spacing w:after="0"/>
              <w:rPr>
                <w:sz w:val="1"/>
                <w:szCs w:val="1"/>
                <w:color w:val="auto"/>
              </w:rPr>
            </w:pPr>
          </w:p>
        </w:tc>
      </w:tr>
      <w:tr>
        <w:trPr>
          <w:trHeight w:val="351"/>
        </w:trPr>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31,551</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80,934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112,485</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(592,550)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(592,550)</w:t>
            </w:r>
          </w:p>
        </w:tc>
        <w:tc>
          <w:tcPr>
            <w:tcW w:w="0" w:type="dxa"/>
            <w:vAlign w:val="bottom"/>
          </w:tcPr>
          <w:p>
            <w:pPr>
              <w:spacing w:after="0"/>
              <w:rPr>
                <w:sz w:val="1"/>
                <w:szCs w:val="1"/>
                <w:color w:val="auto"/>
              </w:rPr>
            </w:pPr>
          </w:p>
        </w:tc>
      </w:tr>
      <w:tr>
        <w:trPr>
          <w:trHeight w:val="276"/>
        </w:trPr>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(3,970)</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(3,970)</w:t>
            </w:r>
          </w:p>
        </w:tc>
        <w:tc>
          <w:tcPr>
            <w:tcW w:w="0" w:type="dxa"/>
            <w:vAlign w:val="bottom"/>
          </w:tcPr>
          <w:p>
            <w:pPr>
              <w:spacing w:after="0"/>
              <w:rPr>
                <w:sz w:val="1"/>
                <w:szCs w:val="1"/>
                <w:color w:val="auto"/>
              </w:rPr>
            </w:pPr>
          </w:p>
        </w:tc>
      </w:tr>
      <w:tr>
        <w:trPr>
          <w:trHeight w:val="237"/>
        </w:trPr>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w w:val="95"/>
              </w:rPr>
              <w:t>$299,281</w:t>
            </w:r>
          </w:p>
        </w:tc>
        <w:tc>
          <w:tcPr>
            <w:tcW w:w="120" w:type="dxa"/>
            <w:vAlign w:val="bottom"/>
          </w:tcPr>
          <w:p>
            <w:pPr>
              <w:spacing w:after="0"/>
              <w:rPr>
                <w:sz w:val="20"/>
                <w:szCs w:val="20"/>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w w:val="95"/>
              </w:rPr>
              <w:t>$ 60,620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869,857</w:t>
            </w:r>
          </w:p>
        </w:tc>
        <w:tc>
          <w:tcPr>
            <w:tcW w:w="120" w:type="dxa"/>
            <w:vAlign w:val="bottom"/>
          </w:tcPr>
          <w:p>
            <w:pPr>
              <w:spacing w:after="0"/>
              <w:rPr>
                <w:sz w:val="20"/>
                <w:szCs w:val="20"/>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w w:val="89"/>
              </w:rPr>
              <w:t>$ 6,115,961</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w w:val="91"/>
              </w:rPr>
              <w:t>$ (6,183,975)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(375,888)</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41,831</w:t>
            </w:r>
          </w:p>
        </w:tc>
        <w:tc>
          <w:tcPr>
            <w:tcW w:w="100" w:type="dxa"/>
            <w:vAlign w:val="bottom"/>
          </w:tcPr>
          <w:p>
            <w:pPr>
              <w:spacing w:after="0"/>
              <w:rPr>
                <w:sz w:val="20"/>
                <w:szCs w:val="20"/>
                <w:color w:val="auto"/>
              </w:rPr>
            </w:pPr>
          </w:p>
        </w:tc>
        <w:tc>
          <w:tcPr>
            <w:tcW w:w="160" w:type="dxa"/>
            <w:vAlign w:val="bottom"/>
          </w:tcPr>
          <w:p>
            <w:pPr>
              <w:ind w:lef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827,687</w:t>
            </w:r>
          </w:p>
        </w:tc>
        <w:tc>
          <w:tcPr>
            <w:tcW w:w="0" w:type="dxa"/>
            <w:vAlign w:val="bottom"/>
          </w:tcPr>
          <w:p>
            <w:pPr>
              <w:spacing w:after="0"/>
              <w:rPr>
                <w:sz w:val="1"/>
                <w:szCs w:val="1"/>
                <w:color w:val="auto"/>
              </w:rPr>
            </w:pP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-5814060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-5470525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-5127625</wp:posOffset>
            </wp:positionV>
            <wp:extent cx="7246620" cy="2228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-4733290</wp:posOffset>
            </wp:positionV>
            <wp:extent cx="7246620" cy="2228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-4338955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-3943985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-3601085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-3258185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-2915285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-2520950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-2125980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-1783080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-1440180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-1097280</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-753745</wp:posOffset>
            </wp:positionV>
            <wp:extent cx="7246620" cy="2228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-359410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-6156960</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10" w:lineRule="exact"/>
        <w:rPr>
          <w:sz w:val="20"/>
          <w:szCs w:val="20"/>
          <w:color w:val="auto"/>
        </w:rPr>
      </w:pPr>
    </w:p>
    <w:p>
      <w:pPr>
        <w:jc w:val="center"/>
        <w:ind w:right="2960"/>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2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52</w:t>
      </w:r>
    </w:p>
    <w:p>
      <w:pPr>
        <w:sectPr>
          <w:pgSz w:w="11900" w:h="16838" w:orient="portrait"/>
          <w:cols w:equalWidth="0" w:num="2">
            <w:col w:w="2700" w:space="260"/>
            <w:col w:w="8460"/>
          </w:cols>
          <w:pgMar w:left="240" w:top="555" w:right="239" w:bottom="1440" w:gutter="0" w:footer="0" w:header="0"/>
        </w:sectPr>
      </w:pPr>
    </w:p>
    <w:bookmarkStart w:id="54" w:name="page55"/>
    <w:bookmarkEnd w:id="54"/>
    <w:p>
      <w:pPr>
        <w:jc w:val="center"/>
        <w:ind w:right="-79"/>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9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The Hershey Company together with its wholly-owned subsidiaries and entities in which it has a controlling interest,(the “Company,” “Hershey,” “we” or “us”) is a global confectionery leader known for its branded portfolio of chocolate, sweets, mints and other great-tasting snacks. The Company has more than 80 brands worldwide including such iconic brand names as </w:t>
      </w:r>
      <w:r>
        <w:rPr>
          <w:rFonts w:ascii="Arial" w:cs="Arial" w:eastAsia="Arial" w:hAnsi="Arial"/>
          <w:sz w:val="16"/>
          <w:szCs w:val="16"/>
          <w:i w:val="1"/>
          <w:iCs w:val="1"/>
          <w:color w:val="auto"/>
        </w:rPr>
        <w:t>Hershey’s, Reese’s, Kisses, Jolly Rancher</w:t>
      </w:r>
      <w:r>
        <w:rPr>
          <w:rFonts w:ascii="Arial" w:cs="Arial" w:eastAsia="Arial" w:hAnsi="Arial"/>
          <w:sz w:val="16"/>
          <w:szCs w:val="16"/>
          <w:color w:val="auto"/>
        </w:rPr>
        <w:t xml:space="preserve"> and </w:t>
      </w:r>
      <w:r>
        <w:rPr>
          <w:rFonts w:ascii="Arial" w:cs="Arial" w:eastAsia="Arial" w:hAnsi="Arial"/>
          <w:sz w:val="16"/>
          <w:szCs w:val="16"/>
          <w:i w:val="1"/>
          <w:iCs w:val="1"/>
          <w:color w:val="auto"/>
        </w:rPr>
        <w:t>Ice Breakers,</w:t>
      </w:r>
      <w:r>
        <w:rPr>
          <w:rFonts w:ascii="Arial" w:cs="Arial" w:eastAsia="Arial" w:hAnsi="Arial"/>
          <w:sz w:val="16"/>
          <w:szCs w:val="16"/>
          <w:color w:val="auto"/>
        </w:rPr>
        <w:t xml:space="preserve"> which are marketed, sold and distributed in approximately 70 countries worldwide. Hershey is focused on growing its presence in key international markets while continuing to build its competitive advantage in North America. The Company currently operates through two reportable segments that are aligned with its management structure and the key markets it serves: North America and International and Other. For additional information on our segment presentation, see Note 11.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consolidated financial statements include the accounts of The Hershey Company and its majority-owned or controlled subsidiaries. Intercompany transactions and balances have been eliminated. We have a controlling financial interest if we own a majority of the outstanding voting common stock and minority shareholders do not have substantive participating rights, we have significant control through contractual or economic interests in which we are the primary beneficiary or we have the power to direct the activities that most significantly impact the entity's economic performance. Net income (loss) attributable to noncontrolling interests is not significant and is recorded within selling, marketing and administrative expense in the Consolidated Statements of Income. See Note 12 for additional information on our noncontrolling interests. We use the equity method of accounting when we have a 20% to 50% interest in other companies and exercise significant influence. In addition, we use the equity method of accounting for our investments in partnership entities which make equity investments in projects eligible to receive federal historic and energy tax credits. See Note 8 for additional information on our equity investments in partnership entities qualifying for tax credits.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(“GAAP”) requires management to make estimates and assumptions that affect the amounts reported in the consolidated financial statements and accompanying disclosures. Our significant estimates and assumptions include, among others, pension and other post-retirement benefit plan assumptions, valuation assumptions of goodwill and other intangible assets, useful lives of long-lived assets, marketing and trade promotion accruals and income taxes. These estimates and assumptions are based on management’s best judgment. Management evaluates its estimates and assumptions on an ongoing basis using historical experience and other factors, including the current economic environment, and the effects of any revisions are reflected in the consolidated financial statements in the period that they are determined. As future events and their effects cannot be determined with precision, actual results could differ significantly from these estimates.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record sales when all of the following criteria have been met:</w:t>
      </w:r>
    </w:p>
    <w:p>
      <w:pPr>
        <w:spacing w:after="0" w:line="68" w:lineRule="exact"/>
        <w:rPr>
          <w:sz w:val="20"/>
          <w:szCs w:val="20"/>
          <w:color w:val="auto"/>
        </w:rPr>
      </w:pPr>
    </w:p>
    <w:p>
      <w:pPr>
        <w:ind w:left="380" w:hanging="216"/>
        <w:spacing w:after="0"/>
        <w:tabs>
          <w:tab w:leader="none" w:pos="380" w:val="left"/>
        </w:tabs>
        <w:numPr>
          <w:ilvl w:val="0"/>
          <w:numId w:val="26"/>
        </w:numPr>
        <w:rPr>
          <w:rFonts w:ascii="Arial" w:cs="Arial" w:eastAsia="Arial" w:hAnsi="Arial"/>
          <w:sz w:val="29"/>
          <w:szCs w:val="29"/>
          <w:color w:val="auto"/>
          <w:vertAlign w:val="superscript"/>
        </w:rPr>
      </w:pPr>
      <w:r>
        <w:rPr>
          <w:rFonts w:ascii="Arial" w:cs="Arial" w:eastAsia="Arial" w:hAnsi="Arial"/>
          <w:sz w:val="18"/>
          <w:szCs w:val="18"/>
          <w:color w:val="auto"/>
        </w:rPr>
        <w:t>A valid customer order with a fixed price has been received;</w:t>
      </w:r>
    </w:p>
    <w:p>
      <w:pPr>
        <w:spacing w:after="0" w:line="55" w:lineRule="exact"/>
        <w:rPr>
          <w:rFonts w:ascii="Arial" w:cs="Arial" w:eastAsia="Arial" w:hAnsi="Arial"/>
          <w:sz w:val="29"/>
          <w:szCs w:val="29"/>
          <w:color w:val="auto"/>
          <w:vertAlign w:val="superscript"/>
        </w:rPr>
      </w:pPr>
    </w:p>
    <w:p>
      <w:pPr>
        <w:ind w:left="360" w:hanging="196"/>
        <w:spacing w:after="0" w:line="186" w:lineRule="auto"/>
        <w:tabs>
          <w:tab w:leader="none" w:pos="360" w:val="left"/>
        </w:tabs>
        <w:numPr>
          <w:ilvl w:val="0"/>
          <w:numId w:val="26"/>
        </w:numPr>
        <w:rPr>
          <w:rFonts w:ascii="Arial" w:cs="Arial" w:eastAsia="Arial" w:hAnsi="Arial"/>
          <w:sz w:val="24"/>
          <w:szCs w:val="24"/>
          <w:color w:val="auto"/>
          <w:vertAlign w:val="subscript"/>
        </w:rPr>
      </w:pPr>
      <w:r>
        <w:rPr>
          <w:rFonts w:ascii="Arial" w:cs="Arial" w:eastAsia="Arial" w:hAnsi="Arial"/>
          <w:sz w:val="15"/>
          <w:szCs w:val="15"/>
          <w:color w:val="auto"/>
        </w:rPr>
        <w:t>The product has been delivered to the customer;</w:t>
      </w:r>
    </w:p>
    <w:p>
      <w:pPr>
        <w:spacing w:after="0" w:line="15" w:lineRule="exact"/>
        <w:rPr>
          <w:rFonts w:ascii="Arial" w:cs="Arial" w:eastAsia="Arial" w:hAnsi="Arial"/>
          <w:sz w:val="24"/>
          <w:szCs w:val="24"/>
          <w:color w:val="auto"/>
          <w:vertAlign w:val="subscript"/>
        </w:rPr>
      </w:pPr>
    </w:p>
    <w:p>
      <w:pPr>
        <w:ind w:left="360" w:hanging="196"/>
        <w:spacing w:after="0" w:line="183" w:lineRule="auto"/>
        <w:tabs>
          <w:tab w:leader="none" w:pos="360" w:val="left"/>
        </w:tabs>
        <w:numPr>
          <w:ilvl w:val="0"/>
          <w:numId w:val="26"/>
        </w:numPr>
        <w:rPr>
          <w:rFonts w:ascii="Arial" w:cs="Arial" w:eastAsia="Arial" w:hAnsi="Arial"/>
          <w:sz w:val="29"/>
          <w:szCs w:val="29"/>
          <w:color w:val="auto"/>
          <w:vertAlign w:val="subscript"/>
        </w:rPr>
      </w:pPr>
      <w:r>
        <w:rPr>
          <w:rFonts w:ascii="Arial" w:cs="Arial" w:eastAsia="Arial" w:hAnsi="Arial"/>
          <w:sz w:val="18"/>
          <w:szCs w:val="18"/>
          <w:color w:val="auto"/>
        </w:rPr>
        <w:t>There is no further significant obligation to assist in the resale of the product; and</w:t>
      </w:r>
    </w:p>
    <w:p>
      <w:pPr>
        <w:spacing w:after="0" w:line="15" w:lineRule="exact"/>
        <w:rPr>
          <w:rFonts w:ascii="Arial" w:cs="Arial" w:eastAsia="Arial" w:hAnsi="Arial"/>
          <w:sz w:val="29"/>
          <w:szCs w:val="29"/>
          <w:color w:val="auto"/>
          <w:vertAlign w:val="subscript"/>
        </w:rPr>
      </w:pPr>
    </w:p>
    <w:p>
      <w:pPr>
        <w:ind w:left="360" w:hanging="196"/>
        <w:spacing w:after="0" w:line="183" w:lineRule="auto"/>
        <w:tabs>
          <w:tab w:leader="none" w:pos="360" w:val="left"/>
        </w:tabs>
        <w:numPr>
          <w:ilvl w:val="0"/>
          <w:numId w:val="26"/>
        </w:numPr>
        <w:rPr>
          <w:rFonts w:ascii="Arial" w:cs="Arial" w:eastAsia="Arial" w:hAnsi="Arial"/>
          <w:sz w:val="29"/>
          <w:szCs w:val="29"/>
          <w:color w:val="auto"/>
          <w:vertAlign w:val="subscript"/>
        </w:rPr>
      </w:pPr>
      <w:r>
        <w:rPr>
          <w:rFonts w:ascii="Arial" w:cs="Arial" w:eastAsia="Arial" w:hAnsi="Arial"/>
          <w:sz w:val="18"/>
          <w:szCs w:val="18"/>
          <w:color w:val="auto"/>
        </w:rPr>
        <w:t>Collectability is reasonably assured.</w:t>
      </w:r>
    </w:p>
    <w:p>
      <w:pPr>
        <w:spacing w:after="0" w:line="17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Net sales include revenue from the sale of finished goods and royalty income, net of allowances for trade promotions, consumer coupon programs and other sales incentives, and allowances and discounts associated with aged or potentially unsaleable products. Trade promotions and sales incentives primarily include reduced price features,</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40"/>
          </w:cols>
          <w:pgMar w:left="240" w:top="118" w:right="319" w:bottom="1440" w:gutter="0" w:footer="0" w:header="0"/>
        </w:sectPr>
      </w:pPr>
    </w:p>
    <w:bookmarkStart w:id="55" w:name="page56"/>
    <w:bookmarkEnd w:id="55"/>
    <w:p>
      <w:pPr>
        <w:jc w:val="center"/>
        <w:ind w:left="32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2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9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merchandising displays, sales growth incentives, new item allowances and cooperative advertising. Sales, use, value-added and other excise taxes are not recognized in revenue.</w:t>
      </w:r>
    </w:p>
    <w:p>
      <w:pPr>
        <w:spacing w:after="0" w:line="11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2016, 2015 and 2014, approximately 25%, 26% and 25%, respectively, of our consolidated net sales were made to McLane Company, Inc., one of the largest wholesale distributors in the United States to convenience stores, drug stores, wholesale clubs and mass merchandisers and the primary distributor of our products to Wal-Mart Stores, Inc.</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9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Cost of sales represents costs directly related to the manufacture and distribution of our products. Primary costs include raw materials, packaging, direct labor, overhead, shipping and handling, warehousing and the depreciation of manufacturing, warehousing and distribution facilities. Manufacturing overhead and related expenses include salaries, wages, employee benefits, utilities, maintenance and property taxes.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Marketing and Administrative Expense</w:t>
      </w:r>
    </w:p>
    <w:p>
      <w:pPr>
        <w:spacing w:after="0" w:line="94" w:lineRule="exact"/>
        <w:rPr>
          <w:sz w:val="20"/>
          <w:szCs w:val="20"/>
          <w:color w:val="auto"/>
        </w:rPr>
      </w:pPr>
    </w:p>
    <w:p>
      <w:pPr>
        <w:ind w:right="80"/>
        <w:spacing w:after="0" w:line="280" w:lineRule="auto"/>
        <w:rPr>
          <w:sz w:val="20"/>
          <w:szCs w:val="20"/>
          <w:color w:val="auto"/>
        </w:rPr>
      </w:pPr>
      <w:r>
        <w:rPr>
          <w:rFonts w:ascii="Arial" w:cs="Arial" w:eastAsia="Arial" w:hAnsi="Arial"/>
          <w:sz w:val="17"/>
          <w:szCs w:val="17"/>
          <w:color w:val="auto"/>
        </w:rPr>
        <w:t>Selling, marketing and administrative expense (“SM&amp;A”) represents costs incurred in generating revenues and in managing our business. Such costs include advertising and other marketing expenses, selling expenses, research and development, administrative and other indirect overhead costs, amortization of capitalized software and depreciation of administrative facilities. Research and development costs, charged to expense as incurred, totaled $47,268 in 2016, $49,281 in 2015 and $47,554 in 2014. Advertising expense is also charged to expense as incurred and totaled $521,479 in 2016, $561,644 in 2015 and $570,223 in 2014. Prepaid advertising expense was $651 and $3,924 as of December 31, 2016 and 2015,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9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Cash equivalents consist of highly liquid debt instruments, time deposits and money market funds with original maturities of three months or less. The fair value of cash and cash equivalents approximates the carrying amount.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Investments</w:t>
      </w:r>
    </w:p>
    <w:p>
      <w:pPr>
        <w:spacing w:after="0" w:line="9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Short-term investments consist of bank term deposits that have original maturity dates ranging from greater than three months to twelve months. Short-term investments are carried at cost, which approximates fair value.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Receivable—Trade</w:t>
      </w:r>
    </w:p>
    <w:p>
      <w:pPr>
        <w:spacing w:after="0" w:line="9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the normal course of business, we extend credit to customers that satisfy pre-defined credit criteria, based upon the results of our recurring financial account reviews and our evaluation of current and projected economic conditions. Our primary concentrations of credit risk are associated with Wal-Mart Stores, Inc. and McLane Company, Inc., two customers served principally by our North America segment. As of December 31, 2016, McLane Company, Inc. accounted for approximately 19% of our total accounts receivable. Wal-Mart Stores, Inc. accounted for approximately 14% of our total accounts receivable as of December 31, 2016. No other customer accounted for more than 10% of our year-end accounts receivable. We believe that we have little concentration of credit risk associated with the remainder of our customer base. Accounts receivable-trade in the Consolidated Balance Sheets is presented net of allowances and anticipated discounts of $40,153 and $32,638 at December 31, 2016 and 2015,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9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Inventories are valued at the lower of cost or market value, adjusted for the value of inventory that is estimated to be excess, obsolete or otherwise unsaleable. As of December 31, 2016, approximately 54% of our inventories, representing the majority of our U.S. inventories, were valued under the last-in, first-out (“LIFO”) method. The remainder of our inventories in the U.S. and inventories for our international businesses are valued at the lower of first-in, first-out (“FIFO”) cost or market. LIFO cost of inventories valued using the LIFO method was $402,919 as of December 31, 2016 and $410,865 as of December 31, 2015. The adjustment to LIFO, as shown in Note 16, approximates the excess of replacement cost over the stated LIFO inventory value. The net impact of LIFO acquisitions and liquidations was not material to 2016, 2015 or 2014.</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116" w:right="259" w:bottom="1440" w:gutter="0" w:footer="0" w:header="0"/>
        </w:sectPr>
      </w:pPr>
    </w:p>
    <w:bookmarkStart w:id="56" w:name="page57"/>
    <w:bookmarkEnd w:id="56"/>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94"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Property, plant and equipment are stated at cost and depreciated on a straight-line basis over the estimated useful lives of the assets, as follows: 3 to 15 years for machinery and equipment; and 25 to 40 years for buildings and related improvements. Total depreciation expense for the years ended December 31, 2016, 2015 and 2014 was $231,735, $197,054 and $176,312, respectively. Maintenance and repairs are expensed as incurred. We capitalize applicable interest charges incurred during the construction of new facilities and production lines and amortize these costs over the assets’ estimated useful lives.</w:t>
      </w:r>
    </w:p>
    <w:p>
      <w:pPr>
        <w:spacing w:after="0" w:line="10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review long-lived assets for impairment whenever events or changes in circumstances indicate that the carrying amount of such assets may not be recoverable. We measure the recoverability of assets to be held and used by a comparison of the carrying amount of long-lived assets to future undiscounted net cash flows expected to be generated. If these assets are considered to be impaired, we measure impairment as the amount by which the carrying amount of the assets exceeds the fair value of the assets. We report assets held for sale or disposal at the lower of the carrying amount or fair value less cost to sell.</w:t>
      </w:r>
    </w:p>
    <w:p>
      <w:pPr>
        <w:spacing w:after="0" w:line="10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We assess asset retirement obligations on a periodic basis and recognize the fair value of a liability for an asset retirement obligation in the period in which it is incurred if a reasonable estimate of fair value can be made. We capitalize associated asset retirement costs as part of the carrying amount of the long-lived asset.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Computer Software</w:t>
      </w:r>
    </w:p>
    <w:p>
      <w:pPr>
        <w:spacing w:after="0" w:line="9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capitalize costs associated with software developed or obtained for internal use when both the preliminary project stage is completed and it is probable the software being developed will be completed and placed in service. Capitalized costs include only (i) external direct costs of materials and services consumed in developing or obtaining internal-use software, (ii) payroll and other related costs for employees who are directly associated with and who devote time to the internal-use software project and (iii) interest costs incurred, when material, while developing internal-use software. We cease capitalization of such costs no later than the point at which the project is substantially complete and ready for its intended purpose.</w:t>
      </w:r>
    </w:p>
    <w:p>
      <w:pPr>
        <w:spacing w:after="0" w:line="11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unamortized amount of capitalized software totaled $95,301 and $68,004 at December 31, 2016 and 2015, respectively. We amortize software costs using the straight-line method over the expected life of the software, generally 3 to 5 years. Accumulated amortization of capitalized software was $322,807 and $304,057 as of December 31, 2016 and 2015, respectively. Such amounts are recorded within other assets in the Consolidated Balance Sheets.</w:t>
      </w:r>
    </w:p>
    <w:p>
      <w:pPr>
        <w:spacing w:after="0" w:line="9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review the carrying value of software and development costs for impairment in accordance with our policy pertaining to the impairment of long-lived assets.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Other Intangible Assets</w:t>
      </w:r>
    </w:p>
    <w:p>
      <w:pPr>
        <w:spacing w:after="0" w:line="94"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Goodwill and indefinite-lived intangible assets are not amortized, but are evaluated for impairment annually or more often if indicators of a potential impairment are present. Our annual impairment tests are conducted at the beginning of the fourth quarter. We test goodwill for impairment by performing a qualitative assessment or using a two-step quantitative process. If we choose to perform a qualitative assessment, we evaluate economic, industry and company-specific factors as an initial step in assessing the fair value of the related reporting unit. If we determine that it is more likely than not that the fair value of the reporting unit is less than its carrying value, the two-step process is then performed. Otherwise, no further testing is required. For those reporting units tested using the two-step process, we first compare the fair value of each reporting unit with the carrying amount of the reporting unit, including goodwill. If the estimated fair value of the reporting unit is less than the carrying amount of the reporting unit, we complete a second step to determine the amount of the goodwill impairment that we should record. In the second step, we determine an implied fair value of the reporting unit’s goodwill by allocating the reporting unit’s fair value to all of its assets and liabilities other than goodwill (including any unrecognized intangible assets). We compare the resulting implied fair value of the goodwill to the carrying amount and record an impairment charge for the difference. We test individual indefinite-lived intangible assets by comparing the estimated fair value with the book values of each asset.</w:t>
      </w:r>
    </w:p>
    <w:p>
      <w:pPr>
        <w:spacing w:after="0" w:line="1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determine the fair value of our reporting units and indefinite-lived intangible assets using an income approach. Under the income approach, we calculate the fair value of our reporting units and indefinite-lived intangible assets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16" w:right="259" w:bottom="1440" w:gutter="0" w:footer="0" w:header="0"/>
        </w:sectPr>
      </w:pPr>
    </w:p>
    <w:bookmarkStart w:id="57" w:name="page58"/>
    <w:bookmarkEnd w:id="57"/>
    <w:p>
      <w:pPr>
        <w:jc w:val="center"/>
        <w:ind w:left="32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2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9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based on the present value of estimated future cash flows. Considerable management judgment is necessary to evaluate the impact of operating and macroeconomic changes and to estimate the future cash flows used to measure fair value. Our estimates of future cash flows consider past performance, current and anticipated market conditions and internal projections and operating plans which incorporate estimates for sales growth and profitability, and cash flows associated with taxes and capital spending. Additional assumptions include forecasted growth rates, estimated discount rates, which may be risk-adjusted for the operating market of the reporting unit, and estimated royalty rates that would be charged for comparable branded licenses. We believe such assumptions also reflect current and anticipated market conditions and are consistent with those that would be used by other marketplace participants for similar valuation purposes. Such assumptions are subject to change due to changing economic and competitive conditions. See Note 3 for additional information regarding the results of impairment tests.</w:t>
      </w:r>
    </w:p>
    <w:p>
      <w:pPr>
        <w:spacing w:after="0" w:line="138"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cost of intangible assets with finite useful lives is amortized on a straight-line basis. Our finite-lived intangible assets consist primarily of certain trademarks, customer-related intangible assets and patents obtained through business acquisitions, which are amortized over estimated useful lives of approximately 25 years, 15 years, and 5 years, respectively. When certain events or changes in operating conditions indicate that the carrying value of these assets may not be recoverable, we perform an impairment assessment and may adjust the remaining useful lives.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Translation</w:t>
      </w:r>
    </w:p>
    <w:p>
      <w:pPr>
        <w:spacing w:after="0" w:line="94" w:lineRule="exact"/>
        <w:rPr>
          <w:sz w:val="20"/>
          <w:szCs w:val="20"/>
          <w:color w:val="auto"/>
        </w:rPr>
      </w:pPr>
    </w:p>
    <w:p>
      <w:pPr>
        <w:jc w:val="both"/>
        <w:ind w:right="580"/>
        <w:spacing w:after="0" w:line="312" w:lineRule="auto"/>
        <w:rPr>
          <w:sz w:val="20"/>
          <w:szCs w:val="20"/>
          <w:color w:val="auto"/>
        </w:rPr>
      </w:pPr>
      <w:r>
        <w:rPr>
          <w:rFonts w:ascii="Arial" w:cs="Arial" w:eastAsia="Arial" w:hAnsi="Arial"/>
          <w:sz w:val="16"/>
          <w:szCs w:val="16"/>
          <w:color w:val="auto"/>
        </w:rPr>
        <w:t>The financial statements of our foreign entities with functional currencies other than the U.S. dollar are translated into U.S. dollars, with the resulting translation adjustments recorded as a component of other comprehensive income (loss). Assets and liabilities are translated into U.S. dollars using the exchange rates in effect at the balance sheet date, while income and expense items are translated using the average exchange rates during the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w:t>
      </w:r>
    </w:p>
    <w:p>
      <w:pPr>
        <w:spacing w:after="0" w:line="94"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We use derivative instruments principally to offset exposure to market risks arising from changes in commodity prices, foreign currency exchange rates and interest rates. See Note 5 for additional information on our risk management strategy and the types of instruments we use.</w:t>
      </w:r>
    </w:p>
    <w:p>
      <w:pPr>
        <w:spacing w:after="0" w:line="93"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Derivative instruments are recognized on the balance sheet at their fair values. When we become party to a derivative instrument and intend to apply hedge accounting, we designate the instrument for financial reporting purposes as a cash flow or fair value hedge. The accounting for changes in fair value (gains or losses) of a derivative instrument depends on whether we have designated it and it qualified as part of a hedging relationship, as noted below:</w:t>
      </w:r>
    </w:p>
    <w:p>
      <w:pPr>
        <w:spacing w:after="0" w:line="39" w:lineRule="exact"/>
        <w:rPr>
          <w:sz w:val="20"/>
          <w:szCs w:val="20"/>
          <w:color w:val="auto"/>
        </w:rPr>
      </w:pPr>
    </w:p>
    <w:p>
      <w:pPr>
        <w:jc w:val="both"/>
        <w:ind w:left="660" w:right="40" w:hanging="328"/>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fair value of a derivative that is designated as a cash flow hedge are recorded in accumulated other comprehensive income (“AOCI”) to the extent effective and reclassified into earnings in the same period or periods during which the transaction hedged by that derivative also affects earnings.</w:t>
      </w:r>
    </w:p>
    <w:p>
      <w:pPr>
        <w:spacing w:after="0" w:line="73" w:lineRule="exact"/>
        <w:rPr>
          <w:rFonts w:ascii="Arial" w:cs="Arial" w:eastAsia="Arial" w:hAnsi="Arial"/>
          <w:sz w:val="18"/>
          <w:szCs w:val="18"/>
          <w:color w:val="auto"/>
        </w:rPr>
      </w:pPr>
    </w:p>
    <w:p>
      <w:pPr>
        <w:jc w:val="both"/>
        <w:ind w:left="660" w:right="40" w:hanging="328"/>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fair value of a derivative that is designated as a fair value hedge, along with the offsetting loss or gain on the hedged asset or liability that is attributable to the risk being hedged, are recorded in earnings, thereby reflecting in earnings the net extent to which the hedge is not effective in achieving offsetting changes in fair value.</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fair value of a derivative not designated as a hedging instrument are recognized in earnings in cost of sales or SM&amp;A, consistent with the related exposure.</w:t>
      </w:r>
    </w:p>
    <w:p>
      <w:pPr>
        <w:spacing w:after="0" w:line="116"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For derivatives designated as hedges, we assess, both at the hedge's inception and on an ongoing basis, whether they are highly effective in offsetting changes in fair values or cash flows of hedged items. The ineffective portion, if any, is recorded directly in earnings. In addition, if we determine that a derivative is not highly effective as a hedge or that it has ceased to be a highly effective hedge, we discontinue hedge accounting prospectively.</w:t>
      </w:r>
    </w:p>
    <w:p>
      <w:pPr>
        <w:spacing w:after="0" w:line="11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We do not hold or issue derivative instruments for trading or speculative purposes and are not a party to any instruments with leverage or prepayment features.</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Cash flows related to the derivative instruments we use to manage interest, commodity or other currency exposures are classified as operating activities.</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116" w:right="279" w:bottom="1440" w:gutter="0" w:footer="0" w:header="0"/>
        </w:sectPr>
      </w:pPr>
    </w:p>
    <w:bookmarkStart w:id="58" w:name="page59"/>
    <w:bookmarkEnd w:id="58"/>
    <w:p>
      <w:pPr>
        <w:jc w:val="center"/>
        <w:ind w:left="320"/>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ind w:left="32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9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Certain prior period amounts have been reclassified to conform to current year presentation. Specifically, this includes amounts reclassified to conform to the current year presentation in the Consolidated Statements of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 (“ASU”) No. 2014-09,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Customers</w:t>
      </w:r>
      <w:r>
        <w:rPr>
          <w:rFonts w:ascii="Arial" w:cs="Arial" w:eastAsia="Arial" w:hAnsi="Arial"/>
          <w:sz w:val="17"/>
          <w:szCs w:val="17"/>
          <w:color w:val="auto"/>
        </w:rPr>
        <w:t>, which outlines a single comprehensive model for entities to use in accounting for revenue arising from contracts with customers that supersedes</w:t>
      </w:r>
      <w:r>
        <w:rPr>
          <w:rFonts w:ascii="Arial" w:cs="Arial" w:eastAsia="Arial" w:hAnsi="Arial"/>
          <w:sz w:val="17"/>
          <w:szCs w:val="17"/>
          <w:i w:val="1"/>
          <w:iCs w:val="1"/>
          <w:color w:val="auto"/>
        </w:rPr>
        <w:t xml:space="preserve"> </w:t>
      </w:r>
      <w:r>
        <w:rPr>
          <w:rFonts w:ascii="Arial" w:cs="Arial" w:eastAsia="Arial" w:hAnsi="Arial"/>
          <w:sz w:val="17"/>
          <w:szCs w:val="17"/>
          <w:color w:val="auto"/>
        </w:rPr>
        <w:t>most current revenue recognition guidance. This guidance requires an entity to recognize revenue when it transfers promised goods or services to customers in an amount that reflects the consideration to which the entity expects to be entitled in exchange for those goods or services. The guidance also requires additional financial statement disclosures that will enable users to understand the nature, amount, timing and uncertainty of revenue and cash flows relating to customer contracts. The new standard was originally effective for us on January 1, 2017; however, in July 2015 the FASB decided to defer the effective date by one year. Early application is not permitted, but reporting entities may choose to adopt the standard as of the original effective date. The standard permits the use of either the retrospective or cumulative effect transition method.</w:t>
      </w:r>
    </w:p>
    <w:p>
      <w:pPr>
        <w:spacing w:after="0" w:line="1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2016, we continued our assessment of the new standard with a focus on identifying the performance obligations included within our revenue arrangements with customers and evaluating our methods of estimating the amount and timing of variable consideration. Based on our assessment to date, we do not currently expect adoption of the new standard to have a material impact on our consolidated financial statements. We currently plan to adopt the requirements of the new standard in the first quarter of 2018 utilizing the cumulative effect transition method. We are continuing our assessment, which may identify other impacts.</w:t>
      </w:r>
    </w:p>
    <w:p>
      <w:pPr>
        <w:spacing w:after="0" w:line="13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This ASU will require lessees to recognize a right-of-use asset and lease liability for all leases with terms of more than 12 months. Recognition, measurement and presentation of expenses will depend on classification as a finance or operating lease. This ASU also requires certain quantitative and qualitative disclosures. Accounting guidance for lessors is largely unchanged. The amendments should be applied on a modified retrospective basis. ASU 2016-02 is effective for us beginning January 1, 2019. We are in the process of developing an inventory of our lease arrangements in order to determine the impact that the adoption of ASU 2016-02 will have on our consolidated financial statements and related disclosures. Based on our assessment to date, we expect adoption of this standard to result in a material increase in lease-related assets and liabilities on our consolidated balance sheets; however, we do not expect it to have a significant impact on our consolidated statements of income or cash flows.</w:t>
      </w:r>
    </w:p>
    <w:p>
      <w:pPr>
        <w:spacing w:after="0" w:line="13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In March 2016, the FASB issued ASU No. 2016-09, </w:t>
      </w:r>
      <w:r>
        <w:rPr>
          <w:rFonts w:ascii="Arial" w:cs="Arial" w:eastAsia="Arial" w:hAnsi="Arial"/>
          <w:sz w:val="16"/>
          <w:szCs w:val="16"/>
          <w:i w:val="1"/>
          <w:iCs w:val="1"/>
          <w:color w:val="auto"/>
        </w:rPr>
        <w:t>Compensation—Stock Compensation (Topic 718): Improvements to 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w:t>
      </w:r>
      <w:r>
        <w:rPr>
          <w:rFonts w:ascii="Arial" w:cs="Arial" w:eastAsia="Arial" w:hAnsi="Arial"/>
          <w:sz w:val="16"/>
          <w:szCs w:val="16"/>
          <w:color w:val="auto"/>
        </w:rPr>
        <w:t>. This ASU is part of the FASB's simplification initiative. The areas for simplification in this ASU involve several aspects of the accounting for</w:t>
      </w:r>
      <w:r>
        <w:rPr>
          <w:rFonts w:ascii="Arial" w:cs="Arial" w:eastAsia="Arial" w:hAnsi="Arial"/>
          <w:sz w:val="16"/>
          <w:szCs w:val="16"/>
          <w:i w:val="1"/>
          <w:iCs w:val="1"/>
          <w:color w:val="auto"/>
        </w:rPr>
        <w:t xml:space="preserve"> </w:t>
      </w:r>
      <w:r>
        <w:rPr>
          <w:rFonts w:ascii="Arial" w:cs="Arial" w:eastAsia="Arial" w:hAnsi="Arial"/>
          <w:sz w:val="16"/>
          <w:szCs w:val="16"/>
          <w:color w:val="auto"/>
        </w:rPr>
        <w:t>share-based payment transactions, including the income tax consequences, classification of awards as either equity or liabilities and classification on the statement of cash flows. ASU 2016-09 is effective for annual periods beginning after December 15, 2016 and interim periods within those annual periods, with early adoption permitted. We are adopting this statement effective January 1, 2017 and we expect the revised classification of excess tax benefits to have a favorable impact on our 2017 net income. We do not expect it to have a significant impact on our consolidated balance sheets or statements of cash flows.</w:t>
      </w:r>
    </w:p>
    <w:p>
      <w:pPr>
        <w:spacing w:after="0" w:line="11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No other new accounting pronouncement issued or effective during the fiscal year had or is expected to have a material impact on our consolidated financial statements or disclosures.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118" w:right="279" w:bottom="1440" w:gutter="0" w:footer="0" w:header="0"/>
        </w:sectPr>
      </w:pPr>
    </w:p>
    <w:bookmarkStart w:id="59" w:name="page60"/>
    <w:bookmarkEnd w:id="59"/>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BUSINESS ACQUISITIONS AND DIVESTITURES</w:t>
      </w:r>
    </w:p>
    <w:p>
      <w:pPr>
        <w:spacing w:after="0" w:line="94"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Acquisitions of businesses are accounted for as purchases and, accordingly, the results of operations of the businesses acquired have been included in the consolidated financial statements since the respective dates of the acquisitions. The purchase price for each of the acquisitions is allocated to the assets acquired and liabilities assumed.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Acquisition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Ripple Brand Collective, LLC</w:t>
      </w:r>
    </w:p>
    <w:p>
      <w:pPr>
        <w:spacing w:after="0" w:line="90"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 xml:space="preserve">On April 26, 2016, we completed the acquisition of all of the outstanding shares of Ripple Brand Collective, LLC, a privately held company based in Congers, New York that owns the </w:t>
      </w:r>
      <w:r>
        <w:rPr>
          <w:rFonts w:ascii="Arial" w:cs="Arial" w:eastAsia="Arial" w:hAnsi="Arial"/>
          <w:sz w:val="18"/>
          <w:szCs w:val="18"/>
          <w:i w:val="1"/>
          <w:iCs w:val="1"/>
          <w:color w:val="auto"/>
        </w:rPr>
        <w:t>barkTHINS</w:t>
      </w:r>
      <w:r>
        <w:rPr>
          <w:rFonts w:ascii="Arial" w:cs="Arial" w:eastAsia="Arial" w:hAnsi="Arial"/>
          <w:sz w:val="18"/>
          <w:szCs w:val="18"/>
          <w:color w:val="auto"/>
        </w:rPr>
        <w:t xml:space="preserve"> mass premium chocolate snacking brand. The </w:t>
      </w:r>
      <w:r>
        <w:rPr>
          <w:rFonts w:ascii="Arial" w:cs="Arial" w:eastAsia="Arial" w:hAnsi="Arial"/>
          <w:sz w:val="18"/>
          <w:szCs w:val="18"/>
          <w:i w:val="1"/>
          <w:iCs w:val="1"/>
          <w:color w:val="auto"/>
        </w:rPr>
        <w:t>barkTHINS</w:t>
      </w:r>
      <w:r>
        <w:rPr>
          <w:rFonts w:ascii="Arial" w:cs="Arial" w:eastAsia="Arial" w:hAnsi="Arial"/>
          <w:sz w:val="18"/>
          <w:szCs w:val="18"/>
          <w:color w:val="auto"/>
        </w:rPr>
        <w:t xml:space="preserve"> brand is largely sold in the United States in take-home resealable packages and is available in the club channel, as well as select natural and conventional grocers. Our consolidated net sales for the year ended December 31, 2016 included approximately $35.6 million attributed to </w:t>
      </w:r>
      <w:r>
        <w:rPr>
          <w:rFonts w:ascii="Arial" w:cs="Arial" w:eastAsia="Arial" w:hAnsi="Arial"/>
          <w:sz w:val="18"/>
          <w:szCs w:val="18"/>
          <w:i w:val="1"/>
          <w:iCs w:val="1"/>
          <w:color w:val="auto"/>
        </w:rPr>
        <w:t>barkTHINS</w:t>
      </w:r>
      <w:r>
        <w:rPr>
          <w:rFonts w:ascii="Arial" w:cs="Arial" w:eastAsia="Arial" w:hAnsi="Arial"/>
          <w:sz w:val="18"/>
          <w:szCs w:val="18"/>
          <w:color w:val="auto"/>
        </w:rPr>
        <w:t>.</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The purchase consideration was allocated to assets acquired and liabilities assumed based on their respective fair values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128,110</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Trademarks</w:t>
            </w: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91,200</w:t>
            </w:r>
          </w:p>
        </w:tc>
      </w:tr>
      <w:tr>
        <w:trPr>
          <w:trHeight w:val="27"/>
        </w:trPr>
        <w:tc>
          <w:tcPr>
            <w:tcW w:w="9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60,900</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Other assets, primarily current assets, net of cash acquired totaling $674</w:t>
            </w: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12,375</w:t>
            </w:r>
          </w:p>
        </w:tc>
      </w:tr>
      <w:tr>
        <w:trPr>
          <w:trHeight w:val="27"/>
        </w:trPr>
        <w:tc>
          <w:tcPr>
            <w:tcW w:w="9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(7,211)</w:t>
            </w:r>
          </w:p>
        </w:tc>
      </w:tr>
      <w:tr>
        <w:trPr>
          <w:trHeight w:val="257"/>
        </w:trPr>
        <w:tc>
          <w:tcPr>
            <w:tcW w:w="9820" w:type="dxa"/>
            <w:vAlign w:val="bottom"/>
          </w:tcPr>
          <w:p>
            <w:pPr>
              <w:ind w:left="360"/>
              <w:spacing w:after="0"/>
              <w:rPr>
                <w:sz w:val="20"/>
                <w:szCs w:val="20"/>
                <w:color w:val="auto"/>
              </w:rPr>
            </w:pPr>
            <w:r>
              <w:rPr>
                <w:rFonts w:ascii="Arial" w:cs="Arial" w:eastAsia="Arial" w:hAnsi="Arial"/>
                <w:sz w:val="18"/>
                <w:szCs w:val="18"/>
                <w:color w:val="auto"/>
              </w:rPr>
              <w:t>Net assets acquired</w:t>
            </w: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285,374</w:t>
            </w:r>
          </w:p>
        </w:tc>
      </w:tr>
      <w:tr>
        <w:trPr>
          <w:trHeight w:val="20"/>
        </w:trPr>
        <w:tc>
          <w:tcPr>
            <w:tcW w:w="98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Goodwill is calculated as the excess of the purchase price over the fair value of the net assets acquired. The goodwill resulting from the acquisition is attributable primarily to the value of leveraging our brand building expertise, consumer insights, supply chain capabilities and retail relationships to accelerate growth and access to </w:t>
      </w:r>
      <w:r>
        <w:rPr>
          <w:rFonts w:ascii="Arial" w:cs="Arial" w:eastAsia="Arial" w:hAnsi="Arial"/>
          <w:sz w:val="18"/>
          <w:szCs w:val="18"/>
          <w:i w:val="1"/>
          <w:iCs w:val="1"/>
          <w:color w:val="auto"/>
        </w:rPr>
        <w:t>barkTHINS</w:t>
      </w:r>
      <w:r>
        <w:rPr>
          <w:rFonts w:ascii="Arial" w:cs="Arial" w:eastAsia="Arial" w:hAnsi="Arial"/>
          <w:sz w:val="18"/>
          <w:szCs w:val="18"/>
          <w:color w:val="auto"/>
        </w:rPr>
        <w:t xml:space="preserve"> products. Acquired trademarks were assigned estimated useful lives of 27 years, while other intangibles, including customer relationships and covenants not to compete, were assigned estimated useful lives ranging from 2 to 14 years. The recorded goodwill, trademarks and other intangibles are expected to be deductible for tax purposes.</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Acquisition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KRAVE Pure Foods</w:t>
      </w:r>
    </w:p>
    <w:p>
      <w:pPr>
        <w:spacing w:after="0" w:line="9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 xml:space="preserve">In March 2015, we completed the acquisition of all of the outstanding shares of KRAVE Pure Foods, Inc. (“Krave”), the Sonoma, California based manufacturer of </w:t>
      </w:r>
      <w:r>
        <w:rPr>
          <w:rFonts w:ascii="Arial" w:cs="Arial" w:eastAsia="Arial" w:hAnsi="Arial"/>
          <w:sz w:val="18"/>
          <w:szCs w:val="18"/>
          <w:i w:val="1"/>
          <w:iCs w:val="1"/>
          <w:color w:val="auto"/>
        </w:rPr>
        <w:t>Krave</w:t>
      </w:r>
      <w:r>
        <w:rPr>
          <w:rFonts w:ascii="Arial" w:cs="Arial" w:eastAsia="Arial" w:hAnsi="Arial"/>
          <w:sz w:val="18"/>
          <w:szCs w:val="18"/>
          <w:color w:val="auto"/>
        </w:rPr>
        <w:t>, a leading all-natural brand of premium meat snack products. The transaction was undertaken to allow Hershey to tap into the rapidly growing meat snacks category and further expand into the broader snacks space.</w:t>
      </w:r>
    </w:p>
    <w:p>
      <w:pPr>
        <w:spacing w:after="0" w:line="12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Total purchase consideration included cash consideration of $220,016, as well as agreement to pay additional cash consideration of up to $20,000 to the Krave shareholders if certain defined targets related to net sales and gross profit margin are met or exceeded during the twelve-month periods ending December 31, 2015 or March 31, 2016. The fair value of the contingent cash consideration was classified as a liability of $16,800 as of the acquisition date. Based on revised targets in a subsequent agreement with the Krave shareholders, the fair value was reduced over the second and third quarters of 2015 to $10,000, with the adjustment to fair value recorded within selling, marketing and administrative expenses. The remaining $10,000 was paid in December 2015.</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16"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0"/>
        </w:trPr>
        <w:tc>
          <w:tcPr>
            <w:tcW w:w="9820" w:type="dxa"/>
            <w:vAlign w:val="bottom"/>
          </w:tcPr>
          <w:p>
            <w:pPr>
              <w:ind w:left="4620"/>
              <w:spacing w:after="0"/>
              <w:rPr>
                <w:sz w:val="20"/>
                <w:szCs w:val="20"/>
                <w:color w:val="auto"/>
              </w:rPr>
            </w:pPr>
            <w:r>
              <w:rPr>
                <w:rFonts w:ascii="Arial" w:cs="Arial" w:eastAsia="Arial" w:hAnsi="Arial"/>
                <w:sz w:val="20"/>
                <w:szCs w:val="20"/>
                <w:b w:val="1"/>
                <w:bCs w:val="1"/>
                <w:color w:val="auto"/>
              </w:rPr>
              <w:t>THE HERSHEY COMPANY</w:t>
            </w: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4"/>
        </w:trPr>
        <w:tc>
          <w:tcPr>
            <w:tcW w:w="9820" w:type="dxa"/>
            <w:vAlign w:val="bottom"/>
          </w:tcPr>
          <w:p>
            <w:pPr>
              <w:ind w:left="2680"/>
              <w:spacing w:after="0"/>
              <w:rPr>
                <w:sz w:val="20"/>
                <w:szCs w:val="20"/>
                <w:color w:val="auto"/>
              </w:rPr>
            </w:pPr>
            <w:r>
              <w:rPr>
                <w:rFonts w:ascii="Arial" w:cs="Arial" w:eastAsia="Arial" w:hAnsi="Arial"/>
                <w:sz w:val="20"/>
                <w:szCs w:val="20"/>
                <w:b w:val="1"/>
                <w:bCs w:val="1"/>
                <w:color w:val="auto"/>
              </w:rPr>
              <w:t>NOTES TO CONSOLIDATED FINANCIAL STATEMENTS—(Continued)</w:t>
            </w: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34"/>
        </w:trPr>
        <w:tc>
          <w:tcPr>
            <w:tcW w:w="9820" w:type="dxa"/>
            <w:vAlign w:val="bottom"/>
          </w:tcPr>
          <w:p>
            <w:pPr>
              <w:ind w:left="3140"/>
              <w:spacing w:after="0"/>
              <w:rPr>
                <w:sz w:val="20"/>
                <w:szCs w:val="20"/>
                <w:color w:val="auto"/>
              </w:rPr>
            </w:pPr>
            <w:r>
              <w:rPr>
                <w:rFonts w:ascii="Arial" w:cs="Arial" w:eastAsia="Arial" w:hAnsi="Arial"/>
                <w:sz w:val="18"/>
                <w:szCs w:val="18"/>
                <w:b w:val="1"/>
                <w:bCs w:val="1"/>
                <w:color w:val="auto"/>
              </w:rPr>
              <w:t>(amounts in thousands, except share data or if otherwise indicated)</w:t>
            </w: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621"/>
        </w:trPr>
        <w:tc>
          <w:tcPr>
            <w:tcW w:w="9820" w:type="dxa"/>
            <w:vAlign w:val="bottom"/>
          </w:tcPr>
          <w:p>
            <w:pPr>
              <w:spacing w:after="0"/>
              <w:rPr>
                <w:sz w:val="20"/>
                <w:szCs w:val="20"/>
                <w:color w:val="auto"/>
              </w:rPr>
            </w:pPr>
            <w:r>
              <w:rPr>
                <w:rFonts w:ascii="Arial" w:cs="Arial" w:eastAsia="Arial" w:hAnsi="Arial"/>
                <w:sz w:val="18"/>
                <w:szCs w:val="18"/>
                <w:color w:val="auto"/>
                <w:w w:val="92"/>
              </w:rPr>
              <w:t>The purchase consideration was allocated to assets acquired and liabilities assumed based on their respective fair values as follows:</w:t>
            </w: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35"/>
        </w:trPr>
        <w:tc>
          <w:tcPr>
            <w:tcW w:w="9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147,089</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Trademarks</w:t>
            </w: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112,000</w:t>
            </w:r>
          </w:p>
        </w:tc>
      </w:tr>
      <w:tr>
        <w:trPr>
          <w:trHeight w:val="27"/>
        </w:trPr>
        <w:tc>
          <w:tcPr>
            <w:tcW w:w="9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17,000</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Other assets, primarily current assets, net of cash acquired totaling $1,362</w:t>
            </w: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9,465</w:t>
            </w:r>
          </w:p>
        </w:tc>
      </w:tr>
      <w:tr>
        <w:trPr>
          <w:trHeight w:val="27"/>
        </w:trPr>
        <w:tc>
          <w:tcPr>
            <w:tcW w:w="9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(2,756)</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Non-current deferred tax liabilities</w:t>
            </w: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(47,344)</w:t>
            </w:r>
          </w:p>
        </w:tc>
      </w:tr>
      <w:tr>
        <w:trPr>
          <w:trHeight w:val="27"/>
        </w:trPr>
        <w:tc>
          <w:tcPr>
            <w:tcW w:w="98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9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assets acquired</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235,454</w:t>
            </w:r>
          </w:p>
        </w:tc>
      </w:tr>
      <w:tr>
        <w:trPr>
          <w:trHeight w:val="20"/>
        </w:trPr>
        <w:tc>
          <w:tcPr>
            <w:tcW w:w="98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Goodwill was calculated as the excess of the purchase price over the fair value of the net assets acquired. The goodwill resulting from the acquisition was attributable primarily to the value of leveraging our brand building expertise, consumer insights, supply chain capabilities and retail relationships to accelerate growth and access to </w:t>
      </w:r>
      <w:r>
        <w:rPr>
          <w:rFonts w:ascii="Arial" w:cs="Arial" w:eastAsia="Arial" w:hAnsi="Arial"/>
          <w:sz w:val="18"/>
          <w:szCs w:val="18"/>
          <w:i w:val="1"/>
          <w:iCs w:val="1"/>
          <w:color w:val="auto"/>
        </w:rPr>
        <w:t>Krave</w:t>
      </w:r>
      <w:r>
        <w:rPr>
          <w:rFonts w:ascii="Arial" w:cs="Arial" w:eastAsia="Arial" w:hAnsi="Arial"/>
          <w:sz w:val="18"/>
          <w:szCs w:val="18"/>
          <w:color w:val="auto"/>
        </w:rPr>
        <w:t xml:space="preserve"> products. The recorded goodwill is not expected to be deductible for tax purposes.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Acquisitions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Shanghai Golden Monkey</w:t>
      </w:r>
    </w:p>
    <w:p>
      <w:pPr>
        <w:spacing w:after="0" w:line="9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 xml:space="preserve">On September 26, 2014 (the “Initial Acquisition”), our wholly-owned subsidiary, Hershey Netherlands B.V., acquired 80% of the total outstanding shares of Shanghai Golden Monkey Food Joint Stock Co., Ltd. (“SGM”), a privately held confectionery company based in Shanghai, China. The </w:t>
      </w:r>
      <w:r>
        <w:rPr>
          <w:rFonts w:ascii="Arial" w:cs="Arial" w:eastAsia="Arial" w:hAnsi="Arial"/>
          <w:sz w:val="17"/>
          <w:szCs w:val="17"/>
          <w:i w:val="1"/>
          <w:iCs w:val="1"/>
          <w:color w:val="auto"/>
        </w:rPr>
        <w:t>Golden Monkey</w:t>
      </w:r>
      <w:r>
        <w:rPr>
          <w:rFonts w:ascii="Arial" w:cs="Arial" w:eastAsia="Arial" w:hAnsi="Arial"/>
          <w:sz w:val="17"/>
          <w:szCs w:val="17"/>
          <w:color w:val="auto"/>
        </w:rPr>
        <w:t xml:space="preserve"> product line is primarily sold in China's traditional trade channels. The business complements our position in China, and was undertaken to enable us to take advantage of SGM's distribution and manufacturing capabilities to expand sales of our Hershey products in the China marketplace. Our consolidated net sales for the year ended December 31, 2014 included approximately $54 million generated by SGM since the date of acquisition.</w:t>
      </w:r>
    </w:p>
    <w:p>
      <w:pPr>
        <w:spacing w:after="0" w:line="119"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The Initial Acquisition was funded by cash consideration of $394,470, subject to working capital and net debt adjustments. At December 31, 2014, we had recorded a receivable of $37,860, reflecting our current best estimate of the amount due from the selling SGM shareholders for the working capital and net debt adjustments.</w:t>
      </w:r>
    </w:p>
    <w:p>
      <w:pPr>
        <w:spacing w:after="0" w:line="12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As part of the transaction, Hershey Netherlands B.V. contractually agreed to purchase the remaining 20% of the outstanding shares of SGM on the one-year anniversary of the Initial Acquisition, subject to the parties obtaining government and regulatory approvals and satisfaction of other closing conditions. At December 31, 2014, we had recorded a liability of $100,067, reflecting the acquisition date fair value of the future payment to be made to the SGM shareholders.</w:t>
      </w:r>
    </w:p>
    <w:p>
      <w:pPr>
        <w:spacing w:after="0" w:line="133" w:lineRule="exact"/>
        <w:rPr>
          <w:sz w:val="20"/>
          <w:szCs w:val="20"/>
          <w:color w:val="auto"/>
        </w:rPr>
      </w:pPr>
    </w:p>
    <w:p>
      <w:pPr>
        <w:jc w:val="both"/>
        <w:ind w:right="40"/>
        <w:spacing w:after="0" w:line="342" w:lineRule="auto"/>
        <w:rPr>
          <w:sz w:val="20"/>
          <w:szCs w:val="20"/>
          <w:color w:val="auto"/>
        </w:rPr>
      </w:pPr>
      <w:r>
        <w:rPr>
          <w:rFonts w:ascii="Arial" w:cs="Arial" w:eastAsia="Arial" w:hAnsi="Arial"/>
          <w:sz w:val="16"/>
          <w:szCs w:val="16"/>
          <w:color w:val="auto"/>
        </w:rPr>
        <w:t>The goodwill that resulted from the SGM acquisition was attributable primarily to the value of providing an established platform to leverage our brands in the China market, as well as expected synergies and other benefits from the combined brand portfolios. The recorded goodwill is not deductible for tax purposes.</w:t>
      </w:r>
    </w:p>
    <w:p>
      <w:pPr>
        <w:spacing w:after="0" w:line="7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During 2015, we recorded net increases to acquired goodwill for revisions to the acquired fair value of other assets and liabilities totaling $49,120, resulting primarily from 1) our procedures to assess the quality of acquired trade accounts receivable, 2) our procedures to further evaluate and quantify outstanding pre-acquisition trade promotion commitments to distributors, as well as allowances for returns and discounts related to excess and unsalable inventory held at distributors and sales branches as of the acquisition date, and 3) our procedures to estimate the value of pre-acquisition indirect tax contingencies. In addition, we came to an agreement with the selling SGM shareholders to revise the aforementioned receivable and liability balances to reflect partial settlement of the receivable, whereby the receivable was adjusted to $8,685 and the liability was adjusted to $76,815.</w:t>
      </w:r>
    </w:p>
    <w:p>
      <w:pPr>
        <w:spacing w:after="0" w:line="12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Based on the updated information obtained throughout 2015, we updated our estimates of the acquisition-date fair values of the net assets acquired as of September 26, 2015, the conclusion of the one-year measurement period. Any subsequent revisions to the valuation of acquired net assets have been reflected in current results.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16" w:right="239" w:bottom="1440" w:gutter="0" w:footer="0" w:header="0"/>
        </w:sectPr>
      </w:pPr>
    </w:p>
    <w:bookmarkStart w:id="61" w:name="page62"/>
    <w:bookmarkEnd w:id="61"/>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9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 roll-forward of the estimated acquisition-date fair values at December 31, 2014 to the final acquisition-date fair values as of September 26, 2015, the conclusion of the one-year measurement period, is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0" w:type="dxa"/>
            <w:vAlign w:val="bottom"/>
            <w:gridSpan w:val="7"/>
          </w:tcPr>
          <w:p>
            <w:pPr>
              <w:jc w:val="right"/>
              <w:ind w:right="611"/>
              <w:spacing w:after="0"/>
              <w:rPr>
                <w:sz w:val="20"/>
                <w:szCs w:val="20"/>
                <w:color w:val="auto"/>
              </w:rPr>
            </w:pPr>
            <w:r>
              <w:rPr>
                <w:rFonts w:ascii="Arial" w:cs="Arial" w:eastAsia="Arial" w:hAnsi="Arial"/>
                <w:sz w:val="16"/>
                <w:szCs w:val="16"/>
                <w:b w:val="1"/>
                <w:bCs w:val="1"/>
                <w:color w:val="auto"/>
              </w:rPr>
              <w:t>Acquisition date purchase price allocation*</w:t>
            </w:r>
          </w:p>
        </w:tc>
      </w:tr>
      <w:tr>
        <w:trPr>
          <w:trHeight w:val="33"/>
        </w:trPr>
        <w:tc>
          <w:tcPr>
            <w:tcW w:w="6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In millions of dollars</w:t>
            </w:r>
          </w:p>
        </w:tc>
        <w:tc>
          <w:tcPr>
            <w:tcW w:w="240" w:type="dxa"/>
            <w:vAlign w:val="bottom"/>
          </w:tcPr>
          <w:p>
            <w:pPr>
              <w:spacing w:after="0"/>
              <w:rPr>
                <w:sz w:val="20"/>
                <w:szCs w:val="20"/>
                <w:color w:val="auto"/>
              </w:rPr>
            </w:pPr>
          </w:p>
        </w:tc>
        <w:tc>
          <w:tcPr>
            <w:tcW w:w="1260" w:type="dxa"/>
            <w:vAlign w:val="bottom"/>
          </w:tcPr>
          <w:p>
            <w:pPr>
              <w:jc w:val="right"/>
              <w:ind w:right="251"/>
              <w:spacing w:after="0"/>
              <w:rPr>
                <w:sz w:val="20"/>
                <w:szCs w:val="20"/>
                <w:color w:val="auto"/>
              </w:rPr>
            </w:pPr>
            <w:r>
              <w:rPr>
                <w:rFonts w:ascii="Arial" w:cs="Arial" w:eastAsia="Arial" w:hAnsi="Arial"/>
                <w:sz w:val="16"/>
                <w:szCs w:val="16"/>
                <w:b w:val="1"/>
                <w:bCs w:val="1"/>
                <w:color w:val="auto"/>
              </w:rPr>
              <w:t>At 12/31/14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Adjustments</w:t>
            </w:r>
          </w:p>
        </w:tc>
        <w:tc>
          <w:tcPr>
            <w:tcW w:w="220" w:type="dxa"/>
            <w:vAlign w:val="bottom"/>
          </w:tcPr>
          <w:p>
            <w:pPr>
              <w:spacing w:after="0"/>
              <w:rPr>
                <w:sz w:val="20"/>
                <w:szCs w:val="20"/>
                <w:color w:val="auto"/>
              </w:rPr>
            </w:pPr>
          </w:p>
        </w:tc>
        <w:tc>
          <w:tcPr>
            <w:tcW w:w="1140" w:type="dxa"/>
            <w:vAlign w:val="bottom"/>
          </w:tcPr>
          <w:p>
            <w:pPr>
              <w:jc w:val="right"/>
              <w:ind w:right="231"/>
              <w:spacing w:after="0"/>
              <w:rPr>
                <w:sz w:val="20"/>
                <w:szCs w:val="20"/>
                <w:color w:val="auto"/>
              </w:rPr>
            </w:pPr>
            <w:r>
              <w:rPr>
                <w:rFonts w:ascii="Arial" w:cs="Arial" w:eastAsia="Arial" w:hAnsi="Arial"/>
                <w:sz w:val="16"/>
                <w:szCs w:val="16"/>
                <w:b w:val="1"/>
                <w:bCs w:val="1"/>
                <w:color w:val="auto"/>
              </w:rPr>
              <w:t>At 9/26/15</w:t>
            </w:r>
          </w:p>
        </w:tc>
      </w:tr>
      <w:tr>
        <w:trPr>
          <w:trHeight w:val="33"/>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 trade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41</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2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114</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2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145</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Current liabilities assumed</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debt assumed</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Other non-current liabilities assumed, principally deferred taxes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assets acquired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441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446</w:t>
            </w:r>
          </w:p>
        </w:tc>
      </w:tr>
      <w:tr>
        <w:trPr>
          <w:trHeight w:val="20"/>
        </w:trPr>
        <w:tc>
          <w:tcPr>
            <w:tcW w:w="6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340" w:right="540" w:hanging="332"/>
        <w:spacing w:after="0" w:line="281" w:lineRule="auto"/>
        <w:tabs>
          <w:tab w:leader="none" w:pos="340" w:val="left"/>
        </w:tabs>
        <w:numPr>
          <w:ilvl w:val="0"/>
          <w:numId w:val="28"/>
        </w:numPr>
        <w:rPr>
          <w:rFonts w:ascii="Arial" w:cs="Arial" w:eastAsia="Arial" w:hAnsi="Arial"/>
          <w:sz w:val="18"/>
          <w:szCs w:val="18"/>
          <w:i w:val="1"/>
          <w:iCs w:val="1"/>
          <w:color w:val="auto"/>
        </w:rPr>
      </w:pPr>
      <w:r>
        <w:rPr>
          <w:rFonts w:ascii="Arial" w:cs="Arial" w:eastAsia="Arial" w:hAnsi="Arial"/>
          <w:sz w:val="16"/>
          <w:szCs w:val="16"/>
          <w:color w:val="auto"/>
        </w:rPr>
        <w:t>Note that the final opening balance sheet value of goodwill presented in the schedule above differs from total write-off of $280.8 million due to changes in foreign currency exchange rates since the date of acquisition (see Note 3).</w:t>
      </w:r>
    </w:p>
    <w:p>
      <w:pPr>
        <w:spacing w:after="0" w:line="25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February 3, 2016, we completed the purchase of the remaining 20% of the outstanding shares of SGM for cash consideration totaling $35,762, pursuant to a new agreement entered into during the fourth quarter of 2015 with the selling SGM shareholders which revised the originally-agreed purchase price for these shares. For accounting purposes, we treated the acquisition as if we had acquired 100% at the initial acquisition date in 2014 and financed the payment for the remaining 20% of the outstanding shares. Therefore, the cash settlement of the liability for the purchase of these remaining shares is reflected within the financing section of the Consolidated Statements of Cash Flows.</w:t>
      </w:r>
    </w:p>
    <w:p>
      <w:pPr>
        <w:spacing w:after="0" w:line="13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final settlement also resulted in an extinguishment gain of $26,650 representing the net carrying amount of the recorded liability in excess of the cash paid to settle the obligation for the remaining 20% of the outstanding shares. This gain is recorded within non-operating other (income) expense, net within the Consolidated Statements of Income.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Allan Candy Company Limited</w:t>
      </w:r>
    </w:p>
    <w:p>
      <w:pPr>
        <w:spacing w:after="0" w:line="90" w:lineRule="exact"/>
        <w:rPr>
          <w:sz w:val="20"/>
          <w:szCs w:val="20"/>
          <w:color w:val="auto"/>
        </w:rPr>
      </w:pPr>
    </w:p>
    <w:p>
      <w:pPr>
        <w:ind w:right="280"/>
        <w:spacing w:after="0" w:line="297" w:lineRule="auto"/>
        <w:rPr>
          <w:sz w:val="20"/>
          <w:szCs w:val="20"/>
          <w:color w:val="auto"/>
        </w:rPr>
      </w:pPr>
      <w:r>
        <w:rPr>
          <w:rFonts w:ascii="Arial" w:cs="Arial" w:eastAsia="Arial" w:hAnsi="Arial"/>
          <w:sz w:val="16"/>
          <w:szCs w:val="16"/>
          <w:color w:val="auto"/>
        </w:rPr>
        <w:t>In December 2014, our wholly-owned subsidiary, Hershey Canada Inc., completed the acquisition of all of the outstanding shares of The Allan Candy Company Limited (“Allan”) for cash consideration of approximately $27,376. Allan is headquartered in Ontario, Canada and manufactures certain non-chocolate products on behalf of Hershey, in addition to manufacturing and distributing its own branded products, principally in Canada. The preliminary purchase price allocation includes fixed assets of $10,897, goodwill of $6,996, other intangible assets of $8,092, and other net assets of $1,391. During the first half of 2015, we increased goodwill by $1,820 to recognize revisions to the preliminary fair value of net assets acquired.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Lotte Shanghai Food Company</w:t>
      </w:r>
    </w:p>
    <w:p>
      <w:pPr>
        <w:spacing w:after="0" w:line="90" w:lineRule="exact"/>
        <w:rPr>
          <w:sz w:val="20"/>
          <w:szCs w:val="20"/>
          <w:color w:val="auto"/>
        </w:rPr>
      </w:pPr>
    </w:p>
    <w:p>
      <w:pPr>
        <w:ind w:right="400"/>
        <w:spacing w:after="0" w:line="297" w:lineRule="auto"/>
        <w:rPr>
          <w:sz w:val="20"/>
          <w:szCs w:val="20"/>
          <w:color w:val="auto"/>
        </w:rPr>
      </w:pPr>
      <w:r>
        <w:rPr>
          <w:rFonts w:ascii="Arial" w:cs="Arial" w:eastAsia="Arial" w:hAnsi="Arial"/>
          <w:sz w:val="16"/>
          <w:szCs w:val="16"/>
          <w:color w:val="auto"/>
        </w:rPr>
        <w:t>In March 2014, we acquired an additional 5.9% interest in Lotte Shanghai Foods Co., Ltd. (“LSFC”), a joint venture established in 2007 in China for the purpose of manufacturing and selling product to the venture partners. For this additional interest, we paid $5,580 in cash, increasing our ownership from 44.1% to 50%. At the same time, we also amended the LSFC shareholders' agreement resulting in our operational control over the venture. With the additional operational control, we reassessed our involvement with LSFC and concluded that we have a controlling financial interest. Therefore, we consolidated the venture as of the March 2014 acquisition date. We had previously accounted for our investment in LSFC using the equity method.</w:t>
      </w:r>
    </w:p>
    <w:p>
      <w:pPr>
        <w:spacing w:after="0" w:line="10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Total consideration transferred was approximately $99,161, including the $5,580 cash consideration paid, the estimated fair value of our previously held equity interest of $43,857 and the estimated fair value of the remaining noncontrolling interest in LSFC of $49,724, which fair values were determined using a market-based approach. The fair value of the LSFC assets acquired and liabilities assumed on the acquisition date was $99,449, including fixed assets of $106,253, short-term debt obligations of $13,292 and other net assets of $6,488.</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16" w:right="239" w:bottom="1440" w:gutter="0" w:footer="0" w:header="0"/>
        </w:sectPr>
      </w:pPr>
    </w:p>
    <w:bookmarkStart w:id="62" w:name="page63"/>
    <w:bookmarkEnd w:id="62"/>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98"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We recognized a gain of approximately $4,627 in connection with this transaction, primarily related to the remeasurement of the fair value of our equity interest immediately before the business combination. The gain is included in other (income) expense, net within our Consolidated Statement of Income for the year ended December 31, 2014. Additionally, cash acquired in the transaction exceeded the $5,580 paid for the controlling interest by $10,035, resulting in a positive cash impact from the acquisition as presented in the Consolidated Statement of Cash Flows for the year ended December 31, 2014.</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 Forma Presentation and Acquisition Costs</w:t>
      </w:r>
    </w:p>
    <w:p>
      <w:pPr>
        <w:spacing w:after="0" w:line="9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Pro forma results of operations have not been presented for these aforementioned acquisitions, as the impact to our consolidated financial statements was not material. In 2014, we incurred net acquisition-related costs primarily related to the SGM acquisition of $13,270. These costs primarily consisted of third-party advisory fees and are recorded within selling, marketing and administrative costs in the Consolidated Statements of Income, with the exception of the 2014 costs reflecting net foreign currency exchange losses relating to our strategy to cap the SGM acquisition price as denominated in U.S. dollars, which are recorded within other (income) expense, net. Acquisition costs incurred in 2016 and 2015 were not significant.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Divestiture</w:t>
      </w:r>
    </w:p>
    <w:p>
      <w:pPr>
        <w:spacing w:after="0" w:line="9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December 2014, we entered into an agreement to sell the Mauna Loa Macadamia Nut Corporation (“Mauna Loa”), a business that had historically been reported within our North America segment. The transaction closed in the first quarter of 2015, resulting in proceeds, net of selling expenses and an estimated working capital adjustment, of approximately $32,400. As a result of the expected sale, in 2014, we recorded an estimated loss on the anticipated sale of $22,256 to reflect the disposal entity at fair value, less an estimate of the selling costs. This amount included impairment charges totaling $18,531 to write down goodwill and the indefinite-lived trademark intangible asset, based on the valuation of these assets as implied by the agreed-upon sales price. The sale of Mauna Loa resulted in the recording of an additional loss on sale of $2,667 in the first quarter of 2015, based on updates to the selling expenses and tax benefits. The loss on the sale is reflected within business realignment costs in the Consolidated Statements of Income.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AND INTANGIBLE ASSETS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value of goodwill by reportable segment for the years ended December 31, 2016 and 2015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2"/>
          </w:tcPr>
          <w:p>
            <w:pPr>
              <w:ind w:left="180"/>
              <w:spacing w:after="0"/>
              <w:rPr>
                <w:sz w:val="20"/>
                <w:szCs w:val="20"/>
                <w:color w:val="auto"/>
              </w:rPr>
            </w:pPr>
            <w:r>
              <w:rPr>
                <w:rFonts w:ascii="Arial" w:cs="Arial" w:eastAsia="Arial" w:hAnsi="Arial"/>
                <w:sz w:val="16"/>
                <w:szCs w:val="16"/>
                <w:b w:val="1"/>
                <w:bCs w:val="1"/>
                <w:color w:val="auto"/>
              </w:rPr>
              <w:t>North America</w:t>
            </w:r>
          </w:p>
        </w:tc>
        <w:tc>
          <w:tcPr>
            <w:tcW w:w="180" w:type="dxa"/>
            <w:vAlign w:val="bottom"/>
          </w:tcPr>
          <w:p>
            <w:pPr>
              <w:spacing w:after="0"/>
              <w:rPr>
                <w:sz w:val="18"/>
                <w:szCs w:val="18"/>
                <w:color w:val="auto"/>
              </w:rPr>
            </w:pPr>
          </w:p>
        </w:tc>
        <w:tc>
          <w:tcPr>
            <w:tcW w:w="1860" w:type="dxa"/>
            <w:vAlign w:val="bottom"/>
            <w:gridSpan w:val="2"/>
          </w:tcPr>
          <w:p>
            <w:pPr>
              <w:ind w:left="40"/>
              <w:spacing w:after="0"/>
              <w:rPr>
                <w:sz w:val="20"/>
                <w:szCs w:val="20"/>
                <w:color w:val="auto"/>
              </w:rPr>
            </w:pPr>
            <w:r>
              <w:rPr>
                <w:rFonts w:ascii="Arial" w:cs="Arial" w:eastAsia="Arial" w:hAnsi="Arial"/>
                <w:sz w:val="16"/>
                <w:szCs w:val="16"/>
                <w:b w:val="1"/>
                <w:bCs w:val="1"/>
                <w:color w:val="auto"/>
              </w:rPr>
              <w:t>International and Other</w:t>
            </w:r>
          </w:p>
        </w:tc>
        <w:tc>
          <w:tcPr>
            <w:tcW w:w="460" w:type="dxa"/>
            <w:vAlign w:val="bottom"/>
          </w:tcPr>
          <w:p>
            <w:pPr>
              <w:spacing w:after="0"/>
              <w:rPr>
                <w:sz w:val="18"/>
                <w:szCs w:val="18"/>
                <w:color w:val="auto"/>
              </w:rPr>
            </w:pPr>
          </w:p>
        </w:tc>
        <w:tc>
          <w:tcPr>
            <w:tcW w:w="1480" w:type="dxa"/>
            <w:vAlign w:val="bottom"/>
          </w:tcPr>
          <w:p>
            <w:pPr>
              <w:jc w:val="right"/>
              <w:ind w:right="691"/>
              <w:spacing w:after="0"/>
              <w:rPr>
                <w:sz w:val="20"/>
                <w:szCs w:val="20"/>
                <w:color w:val="auto"/>
              </w:rPr>
            </w:pPr>
            <w:r>
              <w:rPr>
                <w:rFonts w:ascii="Arial" w:cs="Arial" w:eastAsia="Arial" w:hAnsi="Arial"/>
                <w:sz w:val="16"/>
                <w:szCs w:val="16"/>
                <w:b w:val="1"/>
                <w:bCs w:val="1"/>
                <w:color w:val="auto"/>
              </w:rPr>
              <w:t>Total</w:t>
            </w:r>
          </w:p>
        </w:tc>
      </w:tr>
      <w:tr>
        <w:trPr>
          <w:trHeight w:val="33"/>
        </w:trPr>
        <w:tc>
          <w:tcPr>
            <w:tcW w:w="5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538,322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336,179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874,501</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Accumulated impairment loss</w:t>
            </w:r>
          </w:p>
        </w:tc>
        <w:tc>
          <w:tcPr>
            <w:tcW w:w="2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(4,973)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(76,573)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(81,546)</w:t>
            </w:r>
          </w:p>
        </w:tc>
      </w:tr>
      <w:tr>
        <w:trPr>
          <w:trHeight w:val="27"/>
        </w:trPr>
        <w:tc>
          <w:tcPr>
            <w:tcW w:w="5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2015</w:t>
            </w:r>
          </w:p>
        </w:tc>
        <w:tc>
          <w:tcPr>
            <w:tcW w:w="28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533,349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259,606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792,955</w:t>
            </w: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Acquired during the period (see Note 2)</w:t>
            </w:r>
          </w:p>
        </w:tc>
        <w:tc>
          <w:tcPr>
            <w:tcW w:w="28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147,089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147,089</w:t>
            </w:r>
          </w:p>
        </w:tc>
      </w:tr>
      <w:tr>
        <w:trPr>
          <w:trHeight w:val="27"/>
        </w:trPr>
        <w:tc>
          <w:tcPr>
            <w:tcW w:w="5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(280,802)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(280,802)</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Purchase price allocation adjustments</w:t>
            </w:r>
          </w:p>
        </w:tc>
        <w:tc>
          <w:tcPr>
            <w:tcW w:w="28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1,820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1"/>
              <w:spacing w:after="0"/>
              <w:rPr>
                <w:sz w:val="20"/>
                <w:szCs w:val="20"/>
                <w:color w:val="auto"/>
              </w:rPr>
            </w:pPr>
            <w:r>
              <w:rPr>
                <w:rFonts w:ascii="Arial" w:cs="Arial" w:eastAsia="Arial" w:hAnsi="Arial"/>
                <w:sz w:val="18"/>
                <w:szCs w:val="18"/>
                <w:color w:val="auto"/>
              </w:rPr>
              <w:t>46,203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48,023</w:t>
            </w:r>
          </w:p>
        </w:tc>
      </w:tr>
      <w:tr>
        <w:trPr>
          <w:trHeight w:val="27"/>
        </w:trPr>
        <w:tc>
          <w:tcPr>
            <w:tcW w:w="5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2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(20,175)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(23,013)</w:t>
            </w: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Balance at December 31, 2015</w:t>
            </w:r>
          </w:p>
        </w:tc>
        <w:tc>
          <w:tcPr>
            <w:tcW w:w="28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662,083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22,169</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684,252</w:t>
            </w:r>
          </w:p>
        </w:tc>
      </w:tr>
      <w:tr>
        <w:trPr>
          <w:trHeight w:val="27"/>
        </w:trPr>
        <w:tc>
          <w:tcPr>
            <w:tcW w:w="5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during the period (see Note 2)</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128,110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128,110</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28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1,997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5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792,190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20,154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812,344</w:t>
            </w:r>
          </w:p>
        </w:tc>
      </w:tr>
      <w:tr>
        <w:trPr>
          <w:trHeight w:val="20"/>
        </w:trPr>
        <w:tc>
          <w:tcPr>
            <w:tcW w:w="5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$280,802 impairment charge recorded in 2015 resulted from our interim reassessment of the valuation of the SGM business, coupled with the write-down of goodwill attributed to the China chocolate business in connection with the SGM acquisition, as discussed below.</w:t>
      </w:r>
    </w:p>
    <w:p>
      <w:pPr>
        <w:spacing w:after="0" w:line="11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the second quarter of 2015, since the SGM business had been performing below expectations, with net sales and earnings levels well below pre-acquisition levels, we performed an interim impairment test of the SGM reporting unit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16" w:right="239" w:bottom="1440" w:gutter="0" w:footer="0" w:header="0"/>
        </w:sectPr>
      </w:pPr>
    </w:p>
    <w:bookmarkStart w:id="63" w:name="page64"/>
    <w:bookmarkEnd w:id="63"/>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9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as of July 5, 2015 using an income approach based on our estimates of future performance scenarios for the business. The results of this test indicated that the fair value of the reporting unit was less than the carrying amount as of the measurement date, suggesting that a goodwill impairment was probable, which required us to perform a second step analysis to confirm that an impairment exists and to determine the amount of the impairment based on our reassessed value of the reporting unit. Although preliminary, as a result of this reassessment, in the second quarter of 2015 we recorded an estimated $249,811 non-cash goodwill impairment charge, representing a write-down of all of the goodwill related to the SGM reporting unit as of July 5, 2015. During the third quarter of 2015, we increased the value of acquired goodwill by $16,599, with the corresponding offset principally represented by the establishment of additional opening balance sheet liabilities (see Note 2). We also finalized the impairment test of the goodwill relating to the SGM reporting unit, which resulted in a write-off of this additional goodwill in the third quarter, for a total impairment of $266,409. At this time, we also tested the other long-lived assets of SGM for recoverability by comparing the sum of the undiscounted cash flows to the carrying value of the asset group, and no impairment was indicated.</w:t>
      </w:r>
    </w:p>
    <w:p>
      <w:pPr>
        <w:spacing w:after="0" w:line="11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connection with the 2014 SGM acquisition, we assigned approximately $15 million of goodwill to our existing China chocolate business, as this reporting unit was expected to benefit from acquisition synergies relating to the sale of Golden Monkey-branded product through its Tier 1 and hypermarket distributor networks. As the net sales and earnings of our China business continued to be adversely impacted by macroeconomic challenges and changing consumer shopping behavior through the third quarter of 2015, we determined that an interim impairment test of the goodwill in this reporting unit was also required. We performed the first step of this test in the third quarter of 2015 using an income approach based on our estimates of future performance scenarios for the business. The results of this test suggested that a goodwill impairment was probable, and the conclusions of the second step analysis resulted in a write-down of $14,393, representing the full value of goodwill attributed to this reporting unit as of October 4, 2015.</w:t>
      </w:r>
    </w:p>
    <w:p>
      <w:pPr>
        <w:spacing w:after="0" w:line="24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2014, the annual impairment testing of our India reporting unit resulted in a $11,400 goodwill impairment charge and a $4,500 pre-tax write-down of a trademark associated with the India business. These impairment charges were largely a result of our decision to exit the oils portion of the India business and realign our approach to regional marketing and distribution in India.</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gross carrying amount and accumulated amortization for each major class of intangible asset: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6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w w:val="95"/>
              </w:rPr>
              <w:t>2016</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w w:val="95"/>
              </w:rPr>
              <w:t>2015</w:t>
            </w:r>
          </w:p>
        </w:tc>
        <w:tc>
          <w:tcPr>
            <w:tcW w:w="1340" w:type="dxa"/>
            <w:vAlign w:val="bottom"/>
          </w:tcPr>
          <w:p>
            <w:pPr>
              <w:spacing w:after="0"/>
              <w:rPr>
                <w:sz w:val="18"/>
                <w:szCs w:val="18"/>
                <w:color w:val="auto"/>
              </w:rPr>
            </w:pPr>
          </w:p>
        </w:tc>
      </w:tr>
      <w:tr>
        <w:trPr>
          <w:trHeight w:val="33"/>
        </w:trPr>
        <w:tc>
          <w:tcPr>
            <w:tcW w:w="4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9"/>
        </w:trPr>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32"/>
              <w:spacing w:after="0"/>
              <w:rPr>
                <w:sz w:val="20"/>
                <w:szCs w:val="20"/>
                <w:color w:val="auto"/>
              </w:rPr>
            </w:pPr>
            <w:r>
              <w:rPr>
                <w:rFonts w:ascii="Arial" w:cs="Arial" w:eastAsia="Arial" w:hAnsi="Arial"/>
                <w:sz w:val="16"/>
                <w:szCs w:val="16"/>
                <w:b w:val="1"/>
                <w:bCs w:val="1"/>
                <w:color w:val="auto"/>
                <w:w w:val="94"/>
              </w:rPr>
              <w:t>Gross Carrying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ind w:left="80"/>
              <w:spacing w:after="0"/>
              <w:rPr>
                <w:sz w:val="20"/>
                <w:szCs w:val="20"/>
                <w:color w:val="auto"/>
              </w:rPr>
            </w:pPr>
            <w:r>
              <w:rPr>
                <w:rFonts w:ascii="Arial" w:cs="Arial" w:eastAsia="Arial" w:hAnsi="Arial"/>
                <w:sz w:val="16"/>
                <w:szCs w:val="16"/>
                <w:b w:val="1"/>
                <w:bCs w:val="1"/>
                <w:color w:val="auto"/>
              </w:rPr>
              <w:t>Accumulated</w:t>
            </w:r>
          </w:p>
        </w:tc>
        <w:tc>
          <w:tcPr>
            <w:tcW w:w="160" w:type="dxa"/>
            <w:vAlign w:val="bottom"/>
          </w:tcPr>
          <w:p>
            <w:pPr>
              <w:spacing w:after="0"/>
              <w:rPr>
                <w:sz w:val="18"/>
                <w:szCs w:val="18"/>
                <w:color w:val="auto"/>
              </w:rPr>
            </w:pPr>
          </w:p>
        </w:tc>
        <w:tc>
          <w:tcPr>
            <w:tcW w:w="1240" w:type="dxa"/>
            <w:vAlign w:val="bottom"/>
          </w:tcPr>
          <w:p>
            <w:pPr>
              <w:jc w:val="right"/>
              <w:ind w:right="32"/>
              <w:spacing w:after="0"/>
              <w:rPr>
                <w:sz w:val="20"/>
                <w:szCs w:val="20"/>
                <w:color w:val="auto"/>
              </w:rPr>
            </w:pPr>
            <w:r>
              <w:rPr>
                <w:rFonts w:ascii="Arial" w:cs="Arial" w:eastAsia="Arial" w:hAnsi="Arial"/>
                <w:sz w:val="16"/>
                <w:szCs w:val="16"/>
                <w:b w:val="1"/>
                <w:bCs w:val="1"/>
                <w:color w:val="auto"/>
                <w:w w:val="94"/>
              </w:rPr>
              <w:t>Gross Carrying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ind w:right="253"/>
              <w:spacing w:after="0"/>
              <w:rPr>
                <w:sz w:val="20"/>
                <w:szCs w:val="20"/>
                <w:color w:val="auto"/>
              </w:rPr>
            </w:pPr>
            <w:r>
              <w:rPr>
                <w:rFonts w:ascii="Arial" w:cs="Arial" w:eastAsia="Arial" w:hAnsi="Arial"/>
                <w:sz w:val="16"/>
                <w:szCs w:val="16"/>
                <w:b w:val="1"/>
                <w:bCs w:val="1"/>
                <w:color w:val="auto"/>
                <w:w w:val="97"/>
              </w:rPr>
              <w:t>Accumulated</w:t>
            </w:r>
          </w:p>
        </w:tc>
      </w:tr>
      <w:tr>
        <w:trPr>
          <w:trHeight w:val="210"/>
        </w:trPr>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292"/>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ind w:left="80"/>
              <w:spacing w:after="0"/>
              <w:rPr>
                <w:sz w:val="20"/>
                <w:szCs w:val="20"/>
                <w:color w:val="auto"/>
              </w:rPr>
            </w:pPr>
            <w:r>
              <w:rPr>
                <w:rFonts w:ascii="Arial" w:cs="Arial" w:eastAsia="Arial" w:hAnsi="Arial"/>
                <w:sz w:val="16"/>
                <w:szCs w:val="16"/>
                <w:b w:val="1"/>
                <w:bCs w:val="1"/>
                <w:color w:val="auto"/>
              </w:rPr>
              <w:t>Amortization</w:t>
            </w:r>
          </w:p>
        </w:tc>
        <w:tc>
          <w:tcPr>
            <w:tcW w:w="160" w:type="dxa"/>
            <w:vAlign w:val="bottom"/>
          </w:tcPr>
          <w:p>
            <w:pPr>
              <w:spacing w:after="0"/>
              <w:rPr>
                <w:sz w:val="18"/>
                <w:szCs w:val="18"/>
                <w:color w:val="auto"/>
              </w:rPr>
            </w:pPr>
          </w:p>
        </w:tc>
        <w:tc>
          <w:tcPr>
            <w:tcW w:w="1240" w:type="dxa"/>
            <w:vAlign w:val="bottom"/>
          </w:tcPr>
          <w:p>
            <w:pPr>
              <w:jc w:val="right"/>
              <w:ind w:right="292"/>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ind w:right="253"/>
              <w:spacing w:after="0"/>
              <w:rPr>
                <w:sz w:val="20"/>
                <w:szCs w:val="20"/>
                <w:color w:val="auto"/>
              </w:rPr>
            </w:pPr>
            <w:r>
              <w:rPr>
                <w:rFonts w:ascii="Arial" w:cs="Arial" w:eastAsia="Arial" w:hAnsi="Arial"/>
                <w:sz w:val="16"/>
                <w:szCs w:val="16"/>
                <w:b w:val="1"/>
                <w:bCs w:val="1"/>
                <w:color w:val="auto"/>
              </w:rPr>
              <w:t>Amortization</w:t>
            </w:r>
          </w:p>
        </w:tc>
      </w:tr>
      <w:tr>
        <w:trPr>
          <w:trHeight w:val="33"/>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 subject to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gridSpan w:val="2"/>
          </w:tcPr>
          <w:p>
            <w:pPr>
              <w:ind w:left="360"/>
              <w:spacing w:after="0"/>
              <w:rPr>
                <w:sz w:val="20"/>
                <w:szCs w:val="20"/>
                <w:color w:val="auto"/>
              </w:rPr>
            </w:pPr>
            <w:r>
              <w:rPr>
                <w:rFonts w:ascii="Arial" w:cs="Arial" w:eastAsia="Arial" w:hAnsi="Arial"/>
                <w:sz w:val="18"/>
                <w:szCs w:val="18"/>
                <w:color w:val="auto"/>
              </w:rPr>
              <w:t>Trademarks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317,023</w:t>
            </w:r>
          </w:p>
        </w:tc>
        <w:tc>
          <w:tcPr>
            <w:tcW w:w="4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(30,458)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227,511</w:t>
            </w:r>
          </w:p>
        </w:tc>
        <w:tc>
          <w:tcPr>
            <w:tcW w:w="4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(16,246)</w:t>
            </w: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Customer-related</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200,409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146,532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(26,643)</w:t>
            </w:r>
          </w:p>
        </w:tc>
      </w:tr>
      <w:tr>
        <w:trPr>
          <w:trHeight w:val="243"/>
        </w:trPr>
        <w:tc>
          <w:tcPr>
            <w:tcW w:w="4920" w:type="dxa"/>
            <w:vAlign w:val="bottom"/>
            <w:gridSpan w:val="2"/>
          </w:tcPr>
          <w:p>
            <w:pPr>
              <w:ind w:left="360"/>
              <w:spacing w:after="0"/>
              <w:rPr>
                <w:sz w:val="20"/>
                <w:szCs w:val="20"/>
                <w:color w:val="auto"/>
              </w:rPr>
            </w:pPr>
            <w:r>
              <w:rPr>
                <w:rFonts w:ascii="Arial" w:cs="Arial" w:eastAsia="Arial" w:hAnsi="Arial"/>
                <w:sz w:val="18"/>
                <w:szCs w:val="18"/>
                <w:color w:val="auto"/>
              </w:rPr>
              <w:t>Patents</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16,426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(13,700)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16,857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(12,481)</w:t>
            </w: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533,858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(80,640)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390,900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(55,370)</w:t>
            </w:r>
          </w:p>
        </w:tc>
      </w:tr>
      <w:tr>
        <w:trPr>
          <w:trHeight w:val="324"/>
        </w:trPr>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 not subject to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gridSpan w:val="2"/>
          </w:tcPr>
          <w:p>
            <w:pPr>
              <w:ind w:left="360"/>
              <w:spacing w:after="0"/>
              <w:rPr>
                <w:sz w:val="20"/>
                <w:szCs w:val="20"/>
                <w:color w:val="auto"/>
              </w:rPr>
            </w:pPr>
            <w:r>
              <w:rPr>
                <w:rFonts w:ascii="Arial" w:cs="Arial" w:eastAsia="Arial" w:hAnsi="Arial"/>
                <w:sz w:val="18"/>
                <w:szCs w:val="18"/>
                <w:color w:val="auto"/>
              </w:rPr>
              <w:t>Trademarks</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39,519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43,775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r>
      <w:tr>
        <w:trPr>
          <w:trHeight w:val="257"/>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other intangible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492,737</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379,305</w:t>
            </w: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 connection with our annual impairment testing of indefinite lived intangible assets for 2016, we recognized a trademark impairment charge of $4,204, primarily resulting from plans to discontinue a brand sold in India.</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Total amortization expense for the years ended December 31, 2016, 2015 and 2014 was $26,687, $22,306 and $10,849, respectively.</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16" w:right="239" w:bottom="1440" w:gutter="0" w:footer="0" w:header="0"/>
        </w:sectPr>
      </w:pPr>
    </w:p>
    <w:bookmarkStart w:id="64" w:name="page65"/>
    <w:bookmarkEnd w:id="64"/>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the next five years, based on current intangible balances, is estimated to be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 ending December 31,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2021</w:t>
            </w:r>
          </w:p>
        </w:tc>
      </w:tr>
      <w:tr>
        <w:trPr>
          <w:trHeight w:val="243"/>
        </w:trPr>
        <w:tc>
          <w:tcPr>
            <w:tcW w:w="3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Amortization expense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28,780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27,240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27,133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26,894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26,862</w:t>
            </w:r>
          </w:p>
        </w:tc>
      </w:tr>
      <w:tr>
        <w:trPr>
          <w:trHeight w:val="27"/>
        </w:trPr>
        <w:tc>
          <w:tcPr>
            <w:tcW w:w="3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SHORT AND LONG-TERM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Debt</w:t>
      </w:r>
    </w:p>
    <w:p>
      <w:pPr>
        <w:spacing w:after="0" w:line="94"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As a source of short-term financing, we utilize cash on hand and commercial paper or bank loans with an original maturity of three months or less. We maintain a $1.0 billion unsecured revolving credit facility, which currently expires in November 2020. This agreement also includes an option to increase borrowings by an additional $400,000 with the consent of the lenders. On June 16, 2016, we entered into an additional unsecured revolving credit facility that provided for borrowings up to $500,000. We terminated this facility, which was scheduled to expire on June 15, 2017, effective October 24, 2016.</w:t>
      </w:r>
    </w:p>
    <w:p>
      <w:pPr>
        <w:spacing w:after="0" w:line="10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unsecured committed revolving credit agreement contains a financial covenant whereby the ratio of (a) pre-tax income from operations from the most recent four fiscal quarters to (b) consolidated interest expense for the most recent four fiscal quarters may not be less than 2.0 to 1.0 at the end of each fiscal quarter. The credit agreement also contains customary representations, warranties and events of default. Payment of outstanding advances may be accelerated, at the option of the lenders, should we default in our obligation under the credit agreement. As of December 31, 2016, we complied with all customary affirmative and negative covenants and the financial covenant pertaining to our credit agreement. There were no significant compensating balance agreements that legally restricted these funds.</w:t>
      </w:r>
    </w:p>
    <w:p>
      <w:pPr>
        <w:spacing w:after="0" w:line="13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to the revolving credit facility, we maintain lines of credit with domestic and international commercial banks. Our credit limit in various currencies was $504,237 at December 31, 2016 and $516,916 at December 31, 2015. These lines permit us to borrow at the respective banks’ prime commercial interest rates, or lower. We had short-term foreign bank loans against these lines of credit for $158,805 at December 31, 2016 and $313,520 at December 31, 2015. Commitment fees relating to our revolving credit facility and lines of credit are not material.</w:t>
      </w:r>
    </w:p>
    <w:p>
      <w:pPr>
        <w:spacing w:after="0" w:line="13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At December 31, 2016, we had outstanding commercial paper totaling $473,666, at a weighted average interest rate of 0.6%. At December 31, 2015, we had outstanding commercial paper totaling $49,993, at a weighted average interest rate of 0.4%.</w:t>
      </w:r>
    </w:p>
    <w:p>
      <w:pPr>
        <w:spacing w:after="0" w:line="11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maximum amount of short-term borrowings outstanding during 2016 was $997,120. The weighted-average interest rate on short-term borrowings outstanding was 1.0% as of December 31, 2016 and 3.0% as of December 31, 2015.</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18" w:right="239" w:bottom="1440" w:gutter="0" w:footer="0" w:header="0"/>
        </w:sectPr>
      </w:pPr>
    </w:p>
    <w:bookmarkStart w:id="65" w:name="page66"/>
    <w:bookmarkEnd w:id="65"/>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2015</w:t>
            </w: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5.45% Notes due 2016</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250,000</w:t>
            </w: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1.50% Notes due 2016</w:t>
            </w:r>
          </w:p>
        </w:tc>
        <w:tc>
          <w:tcPr>
            <w:tcW w:w="48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250,000</w:t>
            </w: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1.60% Notes due 2018</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300,000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300,000</w:t>
            </w: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4.125% Notes due 2020</w:t>
            </w:r>
          </w:p>
        </w:tc>
        <w:tc>
          <w:tcPr>
            <w:tcW w:w="48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350,000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350,000</w:t>
            </w: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8.8% Debentures due 2021</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84,715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84,715</w:t>
            </w: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2.625% Notes due 2023</w:t>
            </w:r>
          </w:p>
        </w:tc>
        <w:tc>
          <w:tcPr>
            <w:tcW w:w="48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250,000</w:t>
            </w: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3.20% Notes due 2025</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300,000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300,000</w:t>
            </w: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2.30% Notes due 2026</w:t>
            </w:r>
          </w:p>
        </w:tc>
        <w:tc>
          <w:tcPr>
            <w:tcW w:w="48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7.2% Debentures due 2027</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193,639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193,639</w:t>
            </w: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3.375% Notes due 2046</w:t>
            </w:r>
          </w:p>
        </w:tc>
        <w:tc>
          <w:tcPr>
            <w:tcW w:w="48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Lease obligations</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83,619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82,747</w:t>
            </w: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Net impact of interest rate swaps, debt issuance costs and unamortized debt discounts</w:t>
            </w:r>
          </w:p>
        </w:tc>
        <w:tc>
          <w:tcPr>
            <w:tcW w:w="4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(14,275)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(4,087)</w:t>
            </w:r>
          </w:p>
        </w:tc>
      </w:tr>
      <w:tr>
        <w:trPr>
          <w:trHeight w:val="27"/>
        </w:trPr>
        <w:tc>
          <w:tcPr>
            <w:tcW w:w="7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long-term debt</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2,347,698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2,057,014</w:t>
            </w: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Less—current portion</w:t>
            </w:r>
          </w:p>
        </w:tc>
        <w:tc>
          <w:tcPr>
            <w:tcW w:w="48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499,923</w:t>
            </w:r>
          </w:p>
        </w:tc>
      </w:tr>
      <w:tr>
        <w:trPr>
          <w:trHeight w:val="27"/>
        </w:trPr>
        <w:tc>
          <w:tcPr>
            <w:tcW w:w="7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portion</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2,347,455</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1,557,091</w:t>
            </w:r>
          </w:p>
        </w:tc>
      </w:tr>
      <w:tr>
        <w:trPr>
          <w:trHeight w:val="20"/>
        </w:trPr>
        <w:tc>
          <w:tcPr>
            <w:tcW w:w="7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September 2016, we repaid $250,000 of 5.45% Notes due in 2016 upon their maturity. In November 2016, we repaid $250,000 of 1.50% Notes due in 2016 upon their maturity. In August 2016, we issued $500,000 of 2.30% Notes due in 2026 and $300,000 of 3.375% Notes due in 2046 (the "Notes"). Proceeds from the issuance of the Notes, net of discounts and issuance costs, totaled $792,953. The Notes were issued under a shelf registration statement on Form S-3 filed in June 2015 that registered an indeterminate amount of debt securities.</w:t>
      </w:r>
    </w:p>
    <w:p>
      <w:pPr>
        <w:spacing w:after="0" w:line="214"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In August 2015, we paid $100,165 to repurchase $71,646 of our long-term debt as part of a cash tender offer, consisting of $15,285 of our 8.80% Debentures due in 2021 and $56,361 of our 7.20% Debentures due in 2027. We used a portion of the proceeds from the Notes issued in August 2015 to fund the repurchase. As a result of the repurchase, we recorded interest expense of $28,326 which represented the premium paid for the tender offer as well as the write-off of the related unamortized debt discount and debt issuance costs. Upon extinguishment of the debt, we unwound the fixed-to-floating interest rate swaps related to the tendered bonds and recognized a gain of $278 currently in interest expense resulting from the hedging instruments.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Aggregate annual maturities of long-term debt are as follows for the years ending December 31:</w:t>
            </w:r>
          </w:p>
        </w:tc>
        <w:tc>
          <w:tcPr>
            <w:tcW w:w="18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135"/>
        </w:trPr>
        <w:tc>
          <w:tcPr>
            <w:tcW w:w="83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8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2018</w:t>
            </w:r>
          </w:p>
        </w:tc>
        <w:tc>
          <w:tcPr>
            <w:tcW w:w="18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300,279</w:t>
            </w:r>
          </w:p>
        </w:tc>
      </w:tr>
      <w:tr>
        <w:trPr>
          <w:trHeight w:val="27"/>
        </w:trPr>
        <w:tc>
          <w:tcPr>
            <w:tcW w:w="83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8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2020</w:t>
            </w:r>
          </w:p>
        </w:tc>
        <w:tc>
          <w:tcPr>
            <w:tcW w:w="18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350,462</w:t>
            </w:r>
          </w:p>
        </w:tc>
      </w:tr>
      <w:tr>
        <w:trPr>
          <w:trHeight w:val="27"/>
        </w:trPr>
        <w:tc>
          <w:tcPr>
            <w:tcW w:w="83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8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85,279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8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1,611,068</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debt is principally unsecured and of equal priority. None of our debt is convertible into our Common Stock.</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16" w:right="239" w:bottom="1440" w:gutter="0" w:footer="0" w:header="0"/>
        </w:sectPr>
      </w:pPr>
    </w:p>
    <w:bookmarkStart w:id="66" w:name="page67"/>
    <w:bookmarkEnd w:id="66"/>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Net interest expense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For the years ended December 31,</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2014</w:t>
            </w: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97,851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93,520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93,777</w:t>
            </w:r>
          </w:p>
        </w:tc>
      </w:tr>
      <w:tr>
        <w:trPr>
          <w:trHeight w:val="243"/>
        </w:trPr>
        <w:tc>
          <w:tcPr>
            <w:tcW w:w="6400" w:type="dxa"/>
            <w:vAlign w:val="bottom"/>
            <w:gridSpan w:val="2"/>
          </w:tcPr>
          <w:p>
            <w:pPr>
              <w:spacing w:after="0"/>
              <w:rPr>
                <w:sz w:val="20"/>
                <w:szCs w:val="20"/>
                <w:color w:val="auto"/>
              </w:rPr>
            </w:pPr>
            <w:r>
              <w:rPr>
                <w:rFonts w:ascii="Arial" w:cs="Arial" w:eastAsia="Arial" w:hAnsi="Arial"/>
                <w:sz w:val="18"/>
                <w:szCs w:val="18"/>
                <w:color w:val="auto"/>
              </w:rPr>
              <w:t>Capitalized interest</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(12,537)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(6,179)</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on extinguishment of debt</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28,326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91,948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109,309</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87,598</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(4,066)</w:t>
            </w:r>
          </w:p>
        </w:tc>
      </w:tr>
      <w:tr>
        <w:trPr>
          <w:trHeight w:val="257"/>
        </w:trPr>
        <w:tc>
          <w:tcPr>
            <w:tcW w:w="640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90,143</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105,773</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83,532</w:t>
            </w:r>
          </w:p>
        </w:tc>
      </w:tr>
      <w:tr>
        <w:trPr>
          <w:trHeight w:val="20"/>
        </w:trPr>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INSTRUMENTS</w:t>
      </w:r>
    </w:p>
    <w:p>
      <w:pPr>
        <w:spacing w:after="0" w:line="175"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We are exposed to market risks arising principally from changes in foreign currency exchange rates, interest rates and commodity prices. We use certain derivative instruments to manage these risks. These include interest rate swaps to manage interest rate risk, foreign currency forward exchange contracts and options to manage foreign currency exchange rate risk, and commodities futures and options contracts to manage commodity market price risk exposures.</w:t>
      </w:r>
    </w:p>
    <w:p>
      <w:pPr>
        <w:spacing w:after="0" w:line="9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entering into these contracts, we have assumed the risk that might arise from the possible inability of counterparties to meet the terms of their contracts. We mitigate this risk by entering into exchanged-traded contracts with collateral posting requirements and/or by performing financial assessments prior to contract execution, conducting periodic evaluations of counterparty performance and maintaining a diverse portfolio of qualified counterparties. We do not expect any significant losses from counterparty defaults.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We enter into commodities futures and options contracts and other commodity derivative instruments to reduce the effect of future price fluctuations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associated with the purchase of raw materials, energy requirements and transportation services. We generally hedge commodity price risks for 3- to 24-month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periods. Our open commodity derivative contracts had a notional value, assuming year-end market prices, of $739,374 as of December 31, 2016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$374,873 as of December 31, 2015. Through 2015, we designated the majority of our commodity derivative instruments as cash flow hedges under the hedge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accounting requirements. Under hedge accounting, we account for the effective portion of mark-to-market gains and losses on commodity derivative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instruments in other comprehensive income, to be recognized in cost of sales in the same period that we record the hedged raw material requirements in cost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sales. The ineffective portion of gains and losses is recorded currently in cost of sales.</w:t>
      </w:r>
    </w:p>
    <w:p>
      <w:pPr>
        <w:spacing w:after="0" w:line="15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Effective July 6, 2015 for cocoa commodity derivatives and January 1, 2016 for other commodity derivatives, we discontinued the designation of any of our existing or new cocoa or other commodity derivatives for hedge accounting treatment. Since such dates, changes in the fair value of these derivatives have been recorded as incurred within cost of sales. Effective as of such dates, we also revised our definition of segment income to exclude gains and losses on commodity derivatives until the related inventory is sold. This change to our definition of segment income enables us to continue to align the derivative gains and losses with the underlying economic exposure being hedged and thereby eliminate the mark-to-market volatility within our reported segment income.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Price Risk</w:t>
      </w:r>
    </w:p>
    <w:p>
      <w:pPr>
        <w:spacing w:after="0" w:line="9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are exposed to foreign currency exchange rate risk related to our international operations, including non-functional currency intercompany debt and other non-functional currency transactions of certain subsidiaries. Principal currencies hedged include the euro, Canadian dollar, Japanese yen, and Brazilian real. We typically utilize foreign currency forward exchange contracts and options to hedge these exposures for periods ranging from 3 to 12 months. The contracts are either designated as cash flow hedges or are undesignated. The net notional amount of foreign exchange contracts accounted for as cash flow hedges was $68,263 at December 31, 2016 and $10,752 at December 31, 2015. The effective portion of the changes in fair value on these contracts is recorded in other comprehensive income and reclassified into earnings in the same period in which the hedged transactions affect earnings. The net notional amount of foreign exchange contracts that are not designated as accounting hedges was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16" w:right="239" w:bottom="1440" w:gutter="0" w:footer="0" w:header="0"/>
        </w:sectPr>
      </w:pPr>
    </w:p>
    <w:bookmarkStart w:id="67" w:name="page68"/>
    <w:bookmarkEnd w:id="67"/>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1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$2,791 at December 31, 2016 and December 31, 2015, respectively. The change in fair value on these instruments is recorded directly in cost of sales or selling, marketing and administrative expense, depending on the nature of the underlying exposure.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order to manage interest rate exposure, from time to time we enter into interest rate swap agreements to protect against unfavorable interest rate changes relating to forecasted debt transactions. These swaps are designated as cash flow hedges, with gains and losses deferred in other comprehensive income to be recognized as an adjustment to interest expense in the same period that the hedged interest payments affect earnings. We had one interest rate swap agreement in a cash flow hedging relationship with a notional amount of $500,000 at December 31, 2015. This interest rate swap agreement was settled in connection with the issuance of debt in August 2016, resulting in a payment of approximately $87,000 which is reflected as an operating cash flow within the Consolidated Statement of Cash Flows.</w:t>
      </w:r>
    </w:p>
    <w:p>
      <w:pPr>
        <w:spacing w:after="0" w:line="139"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We also manage our targeted mix of fixed and floating rate debt with debt issuances and by entering into fixed-to-floating interest rate swaps in order to mitigate fluctuations in earnings and cash flows that may result from interest rate volatility. These swaps are designated as fair value hedges, for which the gain or loss on the derivative and the offsetting loss or gain on the hedged item are recognized in current earnings as interest expense (income), net. We had one interest rate derivative instrument in a fair value hedging relationship with a notional amount of $350,000 at December 31, 2016 and 2015.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Price Risk</w:t>
      </w:r>
    </w:p>
    <w:p>
      <w:pPr>
        <w:spacing w:after="0" w:line="9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are exposed to market price changes in certain broad market indices related to our deferred compensation obligations to our employees. To mitigate this risk, we use equity swap contracts to hedge the portion of the exposure that is linked to market-level equity returns. These contracts are not designated as hedges for accounting purposes and are entered into for periods of 3 to 12 months. The change in fair value of these derivatives is recorded in selling, marketing and administrative expense, together with the change in the related liabilities. The notional amount of the contracts outstanding at December 31, 2016 was $22,099.</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116" w:right="259" w:bottom="1440" w:gutter="0" w:footer="0" w:header="0"/>
        </w:sectPr>
      </w:pPr>
    </w:p>
    <w:bookmarkStart w:id="68" w:name="page69"/>
    <w:bookmarkEnd w:id="68"/>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9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classification of derivative assets and liabilities within the Consolidated Balance Sheets as of December 31, 2016 and 2015:</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w:t>
            </w:r>
          </w:p>
        </w:tc>
        <w:tc>
          <w:tcPr>
            <w:tcW w:w="280" w:type="dxa"/>
            <w:vAlign w:val="bottom"/>
          </w:tcPr>
          <w:p>
            <w:pPr>
              <w:spacing w:after="0"/>
              <w:rPr>
                <w:sz w:val="18"/>
                <w:szCs w:val="18"/>
                <w:color w:val="auto"/>
              </w:rPr>
            </w:pPr>
          </w:p>
        </w:tc>
        <w:tc>
          <w:tcPr>
            <w:tcW w:w="1640" w:type="dxa"/>
            <w:vAlign w:val="bottom"/>
            <w:gridSpan w:val="3"/>
          </w:tcPr>
          <w:p>
            <w:pPr>
              <w:jc w:val="right"/>
              <w:ind w:right="50"/>
              <w:spacing w:after="0"/>
              <w:rPr>
                <w:sz w:val="20"/>
                <w:szCs w:val="20"/>
                <w:color w:val="auto"/>
              </w:rPr>
            </w:pPr>
            <w:r>
              <w:rPr>
                <w:rFonts w:ascii="Arial" w:cs="Arial" w:eastAsia="Arial" w:hAnsi="Arial"/>
                <w:sz w:val="16"/>
                <w:szCs w:val="16"/>
                <w:b w:val="1"/>
                <w:bCs w:val="1"/>
                <w:color w:val="auto"/>
              </w:rPr>
              <w:t>2016</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rPr>
              <w:t>2015</w:t>
            </w:r>
          </w:p>
        </w:tc>
        <w:tc>
          <w:tcPr>
            <w:tcW w:w="1300" w:type="dxa"/>
            <w:vAlign w:val="bottom"/>
          </w:tcPr>
          <w:p>
            <w:pPr>
              <w:spacing w:after="0"/>
              <w:rPr>
                <w:sz w:val="18"/>
                <w:szCs w:val="18"/>
                <w:color w:val="auto"/>
              </w:rPr>
            </w:pPr>
          </w:p>
        </w:tc>
      </w:tr>
      <w:tr>
        <w:trPr>
          <w:trHeight w:val="33"/>
        </w:trPr>
        <w:tc>
          <w:tcPr>
            <w:tcW w:w="4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gridSpan w:val="2"/>
          </w:tcPr>
          <w:p>
            <w:pPr>
              <w:ind w:left="180"/>
              <w:spacing w:after="0"/>
              <w:rPr>
                <w:sz w:val="20"/>
                <w:szCs w:val="20"/>
                <w:color w:val="auto"/>
              </w:rPr>
            </w:pPr>
            <w:r>
              <w:rPr>
                <w:rFonts w:ascii="Arial" w:cs="Arial" w:eastAsia="Arial" w:hAnsi="Arial"/>
                <w:sz w:val="18"/>
                <w:szCs w:val="18"/>
                <w:b w:val="1"/>
                <w:bCs w:val="1"/>
                <w:color w:val="auto"/>
              </w:rPr>
              <w:t>Assets (1)</w:t>
            </w:r>
          </w:p>
        </w:tc>
        <w:tc>
          <w:tcPr>
            <w:tcW w:w="18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 (1)</w:t>
            </w:r>
          </w:p>
        </w:tc>
        <w:tc>
          <w:tcPr>
            <w:tcW w:w="280" w:type="dxa"/>
            <w:vAlign w:val="bottom"/>
          </w:tcPr>
          <w:p>
            <w:pPr>
              <w:spacing w:after="0"/>
              <w:rPr>
                <w:sz w:val="20"/>
                <w:szCs w:val="20"/>
                <w:color w:val="auto"/>
              </w:rPr>
            </w:pPr>
          </w:p>
        </w:tc>
        <w:tc>
          <w:tcPr>
            <w:tcW w:w="1420" w:type="dxa"/>
            <w:vAlign w:val="bottom"/>
            <w:gridSpan w:val="2"/>
          </w:tcPr>
          <w:p>
            <w:pPr>
              <w:ind w:left="160"/>
              <w:spacing w:after="0"/>
              <w:rPr>
                <w:sz w:val="20"/>
                <w:szCs w:val="20"/>
                <w:color w:val="auto"/>
              </w:rPr>
            </w:pPr>
            <w:r>
              <w:rPr>
                <w:rFonts w:ascii="Arial" w:cs="Arial" w:eastAsia="Arial" w:hAnsi="Arial"/>
                <w:sz w:val="18"/>
                <w:szCs w:val="18"/>
                <w:b w:val="1"/>
                <w:bCs w:val="1"/>
                <w:color w:val="auto"/>
              </w:rPr>
              <w:t>Assets (1)</w:t>
            </w:r>
          </w:p>
        </w:tc>
        <w:tc>
          <w:tcPr>
            <w:tcW w:w="18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Liabilities (1)</w:t>
            </w: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97"/>
              </w:rPr>
              <w:t>Derivatives designated as cash flow hedging instruments:</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Commodities futures and options (2)</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479</w:t>
            </w: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exchange contracts</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475</w:t>
            </w: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Interest rate swap agreements</w:t>
            </w:r>
          </w:p>
        </w:tc>
        <w:tc>
          <w:tcPr>
            <w:tcW w:w="28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40,299</w:t>
            </w: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41,253</w:t>
            </w: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b w:val="1"/>
                <w:bCs w:val="1"/>
                <w:color w:val="auto"/>
                <w:w w:val="98"/>
              </w:rPr>
              <w:t>Derivatives designated as fair value hedging instruments:</w:t>
            </w: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324"/>
        </w:trPr>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Commodities futures and options (2)</w:t>
            </w:r>
          </w:p>
        </w:tc>
        <w:tc>
          <w:tcPr>
            <w:tcW w:w="28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2,348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1,574</w:t>
            </w: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compensation derivatives</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Foreign exchange contracts</w:t>
            </w:r>
          </w:p>
        </w:tc>
        <w:tc>
          <w:tcPr>
            <w:tcW w:w="28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4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3,065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10,016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1,574</w:t>
            </w:r>
          </w:p>
        </w:tc>
      </w:tr>
      <w:tr>
        <w:trPr>
          <w:trHeight w:val="257"/>
        </w:trPr>
        <w:tc>
          <w:tcPr>
            <w:tcW w:w="492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7,062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10,825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5,947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42,827</w:t>
            </w:r>
          </w:p>
        </w:tc>
      </w:tr>
      <w:tr>
        <w:trPr>
          <w:trHeight w:val="20"/>
        </w:trPr>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500" w:right="220" w:hanging="330"/>
        <w:spacing w:after="0" w:line="277"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Derivatives assets are classified on our balance sheet within prepaid expenses and other as well as other assets. Derivative liabilities are classified on our balance sheet within accrued liabilities and other long-term liabilities.</w:t>
      </w:r>
    </w:p>
    <w:p>
      <w:pPr>
        <w:spacing w:after="0" w:line="8" w:lineRule="exact"/>
        <w:rPr>
          <w:rFonts w:ascii="Arial" w:cs="Arial" w:eastAsia="Arial" w:hAnsi="Arial"/>
          <w:sz w:val="18"/>
          <w:szCs w:val="18"/>
          <w:color w:val="auto"/>
        </w:rPr>
      </w:pPr>
    </w:p>
    <w:p>
      <w:pPr>
        <w:ind w:left="500" w:right="280" w:hanging="330"/>
        <w:spacing w:after="0" w:line="257"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 of December 31, 2016, assets and liabilities include the net of assets of $140,885 and liabilities of $150,872 associated with cash transfers receivable or payable on commodities futures contracts reflecting the change in quoted market prices on the last trading day for the period. The comparable amounts reflected on a net basis in liabilities at December 31, 2015 were assets of $54,090 and liabilities of $54,860. At December 31, 2016 and 2015, the remaining amount reflected in assets and liabilities related to the fair value of other non-exchange traded derivative instruments, respectively.</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18" w:right="239" w:bottom="1440" w:gutter="0" w:footer="0" w:header="0"/>
        </w:sectPr>
      </w:pPr>
    </w:p>
    <w:bookmarkStart w:id="69" w:name="page70"/>
    <w:bookmarkEnd w:id="69"/>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 Impact of Derivative Instruments</w:t>
      </w:r>
    </w:p>
    <w:p>
      <w:pPr>
        <w:spacing w:after="0" w:line="12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effect of derivative instruments on the Consolidated Statements of Income for the years ended December 31, 2016 and December 31, 2015 was as follows: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80" w:type="dxa"/>
            <w:vAlign w:val="bottom"/>
            <w:gridSpan w:val="4"/>
          </w:tcPr>
          <w:p>
            <w:pPr>
              <w:jc w:val="center"/>
              <w:ind w:right="240"/>
              <w:spacing w:after="0"/>
              <w:rPr>
                <w:sz w:val="20"/>
                <w:szCs w:val="20"/>
                <w:color w:val="auto"/>
              </w:rPr>
            </w:pPr>
            <w:r>
              <w:rPr>
                <w:rFonts w:ascii="Arial" w:cs="Arial" w:eastAsia="Arial" w:hAnsi="Arial"/>
                <w:sz w:val="16"/>
                <w:szCs w:val="16"/>
                <w:b w:val="1"/>
                <w:bCs w:val="1"/>
                <w:color w:val="auto"/>
                <w:w w:val="88"/>
              </w:rPr>
              <w:t>Non-designated Hedges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4"/>
          </w:tcPr>
          <w:p>
            <w:pPr>
              <w:ind w:left="20"/>
              <w:spacing w:after="0"/>
              <w:rPr>
                <w:sz w:val="20"/>
                <w:szCs w:val="20"/>
                <w:color w:val="auto"/>
              </w:rPr>
            </w:pPr>
            <w:r>
              <w:rPr>
                <w:rFonts w:ascii="Arial" w:cs="Arial" w:eastAsia="Arial" w:hAnsi="Arial"/>
                <w:sz w:val="16"/>
                <w:szCs w:val="16"/>
                <w:b w:val="1"/>
                <w:bCs w:val="1"/>
                <w:color w:val="auto"/>
              </w:rPr>
              <w:t>Cash Flow Hedges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33"/>
        </w:trPr>
        <w:tc>
          <w:tcPr>
            <w:tcW w:w="30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9"/>
        </w:trPr>
        <w:tc>
          <w:tcPr>
            <w:tcW w:w="3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w w:val="87"/>
              </w:rPr>
              <w:t>Gains (losses) reclassified</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03"/>
        </w:trPr>
        <w:tc>
          <w:tcPr>
            <w:tcW w:w="3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w w:val="87"/>
              </w:rPr>
              <w:t>Gains (losses) recognized in</w:t>
            </w:r>
          </w:p>
        </w:tc>
        <w:tc>
          <w:tcPr>
            <w:tcW w:w="140" w:type="dxa"/>
            <w:vAlign w:val="bottom"/>
          </w:tcPr>
          <w:p>
            <w:pPr>
              <w:spacing w:after="0"/>
              <w:rPr>
                <w:sz w:val="17"/>
                <w:szCs w:val="17"/>
                <w:color w:val="auto"/>
              </w:rPr>
            </w:pPr>
          </w:p>
        </w:tc>
        <w:tc>
          <w:tcPr>
            <w:tcW w:w="190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w w:val="93"/>
              </w:rPr>
              <w:t>from accumulated OCI</w:t>
            </w:r>
          </w:p>
        </w:tc>
        <w:tc>
          <w:tcPr>
            <w:tcW w:w="160" w:type="dxa"/>
            <w:vAlign w:val="bottom"/>
          </w:tcPr>
          <w:p>
            <w:pPr>
              <w:spacing w:after="0"/>
              <w:rPr>
                <w:sz w:val="17"/>
                <w:szCs w:val="17"/>
                <w:color w:val="auto"/>
              </w:rPr>
            </w:pPr>
          </w:p>
        </w:tc>
        <w:tc>
          <w:tcPr>
            <w:tcW w:w="1640" w:type="dxa"/>
            <w:vAlign w:val="bottom"/>
            <w:gridSpan w:val="3"/>
          </w:tcPr>
          <w:p>
            <w:pPr>
              <w:ind w:left="60"/>
              <w:spacing w:after="0"/>
              <w:rPr>
                <w:sz w:val="20"/>
                <w:szCs w:val="20"/>
                <w:color w:val="auto"/>
              </w:rPr>
            </w:pPr>
            <w:r>
              <w:rPr>
                <w:rFonts w:ascii="Arial" w:cs="Arial" w:eastAsia="Arial" w:hAnsi="Arial"/>
                <w:sz w:val="16"/>
                <w:szCs w:val="16"/>
                <w:b w:val="1"/>
                <w:bCs w:val="1"/>
                <w:color w:val="auto"/>
              </w:rPr>
              <w:t>Gains recognized in</w:t>
            </w:r>
          </w:p>
        </w:tc>
      </w:tr>
      <w:tr>
        <w:trPr>
          <w:trHeight w:val="203"/>
        </w:trPr>
        <w:tc>
          <w:tcPr>
            <w:tcW w:w="3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80" w:type="dxa"/>
            <w:vAlign w:val="bottom"/>
            <w:gridSpan w:val="4"/>
          </w:tcPr>
          <w:p>
            <w:pPr>
              <w:jc w:val="center"/>
              <w:ind w:right="240"/>
              <w:spacing w:after="0"/>
              <w:rPr>
                <w:sz w:val="20"/>
                <w:szCs w:val="20"/>
                <w:color w:val="auto"/>
              </w:rPr>
            </w:pPr>
            <w:r>
              <w:rPr>
                <w:rFonts w:ascii="Arial" w:cs="Arial" w:eastAsia="Arial" w:hAnsi="Arial"/>
                <w:sz w:val="16"/>
                <w:szCs w:val="16"/>
                <w:b w:val="1"/>
                <w:bCs w:val="1"/>
                <w:color w:val="auto"/>
                <w:w w:val="87"/>
              </w:rPr>
              <w:t>Gains (losses) recognized in</w:t>
            </w:r>
          </w:p>
        </w:tc>
        <w:tc>
          <w:tcPr>
            <w:tcW w:w="226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w w:val="89"/>
              </w:rPr>
              <w:t>other comprehensive income</w:t>
            </w:r>
          </w:p>
        </w:tc>
        <w:tc>
          <w:tcPr>
            <w:tcW w:w="140" w:type="dxa"/>
            <w:vAlign w:val="bottom"/>
          </w:tcPr>
          <w:p>
            <w:pPr>
              <w:spacing w:after="0"/>
              <w:rPr>
                <w:sz w:val="17"/>
                <w:szCs w:val="17"/>
                <w:color w:val="auto"/>
              </w:rPr>
            </w:pPr>
          </w:p>
        </w:tc>
        <w:tc>
          <w:tcPr>
            <w:tcW w:w="190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w w:val="89"/>
              </w:rPr>
              <w:t>into income (effective</w:t>
            </w:r>
          </w:p>
        </w:tc>
        <w:tc>
          <w:tcPr>
            <w:tcW w:w="160" w:type="dxa"/>
            <w:vAlign w:val="bottom"/>
          </w:tcPr>
          <w:p>
            <w:pPr>
              <w:spacing w:after="0"/>
              <w:rPr>
                <w:sz w:val="17"/>
                <w:szCs w:val="17"/>
                <w:color w:val="auto"/>
              </w:rPr>
            </w:pPr>
          </w:p>
        </w:tc>
        <w:tc>
          <w:tcPr>
            <w:tcW w:w="1640" w:type="dxa"/>
            <w:vAlign w:val="bottom"/>
            <w:gridSpan w:val="3"/>
          </w:tcPr>
          <w:p>
            <w:pPr>
              <w:ind w:left="100"/>
              <w:spacing w:after="0"/>
              <w:rPr>
                <w:sz w:val="20"/>
                <w:szCs w:val="20"/>
                <w:color w:val="auto"/>
              </w:rPr>
            </w:pPr>
            <w:r>
              <w:rPr>
                <w:rFonts w:ascii="Arial" w:cs="Arial" w:eastAsia="Arial" w:hAnsi="Arial"/>
                <w:sz w:val="16"/>
                <w:szCs w:val="16"/>
                <w:b w:val="1"/>
                <w:bCs w:val="1"/>
                <w:color w:val="auto"/>
              </w:rPr>
              <w:t>income (ineffective</w:t>
            </w:r>
          </w:p>
        </w:tc>
      </w:tr>
      <w:tr>
        <w:trPr>
          <w:trHeight w:val="210"/>
        </w:trPr>
        <w:tc>
          <w:tcPr>
            <w:tcW w:w="3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left="493"/>
              <w:spacing w:after="0"/>
              <w:rPr>
                <w:sz w:val="20"/>
                <w:szCs w:val="20"/>
                <w:color w:val="auto"/>
              </w:rPr>
            </w:pPr>
            <w:r>
              <w:rPr>
                <w:rFonts w:ascii="Arial" w:cs="Arial" w:eastAsia="Arial" w:hAnsi="Arial"/>
                <w:sz w:val="16"/>
                <w:szCs w:val="16"/>
                <w:b w:val="1"/>
                <w:bCs w:val="1"/>
                <w:color w:val="auto"/>
                <w:w w:val="89"/>
              </w:rPr>
              <w:t>income (a)</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w w:val="95"/>
              </w:rPr>
              <w:t>(“OCI”) (effective portion)</w:t>
            </w:r>
          </w:p>
        </w:tc>
        <w:tc>
          <w:tcPr>
            <w:tcW w:w="140" w:type="dxa"/>
            <w:vAlign w:val="bottom"/>
          </w:tcPr>
          <w:p>
            <w:pPr>
              <w:spacing w:after="0"/>
              <w:rPr>
                <w:sz w:val="18"/>
                <w:szCs w:val="18"/>
                <w:color w:val="auto"/>
              </w:rPr>
            </w:pPr>
          </w:p>
        </w:tc>
        <w:tc>
          <w:tcPr>
            <w:tcW w:w="190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w w:val="93"/>
              </w:rPr>
              <w:t>portion) (b)</w:t>
            </w:r>
          </w:p>
        </w:tc>
        <w:tc>
          <w:tcPr>
            <w:tcW w:w="160" w:type="dxa"/>
            <w:vAlign w:val="bottom"/>
          </w:tcPr>
          <w:p>
            <w:pPr>
              <w:spacing w:after="0"/>
              <w:rPr>
                <w:sz w:val="18"/>
                <w:szCs w:val="18"/>
                <w:color w:val="auto"/>
              </w:rPr>
            </w:pPr>
          </w:p>
        </w:tc>
        <w:tc>
          <w:tcPr>
            <w:tcW w:w="1640" w:type="dxa"/>
            <w:vAlign w:val="bottom"/>
            <w:gridSpan w:val="3"/>
          </w:tcPr>
          <w:p>
            <w:pPr>
              <w:ind w:left="360"/>
              <w:spacing w:after="0"/>
              <w:rPr>
                <w:sz w:val="20"/>
                <w:szCs w:val="20"/>
                <w:color w:val="auto"/>
              </w:rPr>
            </w:pPr>
            <w:r>
              <w:rPr>
                <w:rFonts w:ascii="Arial" w:cs="Arial" w:eastAsia="Arial" w:hAnsi="Arial"/>
                <w:sz w:val="16"/>
                <w:szCs w:val="16"/>
                <w:b w:val="1"/>
                <w:bCs w:val="1"/>
                <w:color w:val="auto"/>
              </w:rPr>
              <w:t>portion) (c)</w:t>
            </w:r>
          </w:p>
        </w:tc>
      </w:tr>
      <w:tr>
        <w:trPr>
          <w:trHeight w:val="33"/>
        </w:trPr>
        <w:tc>
          <w:tcPr>
            <w:tcW w:w="30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426"/>
        </w:trPr>
        <w:tc>
          <w:tcPr>
            <w:tcW w:w="3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373"/>
              <w:spacing w:after="0"/>
              <w:rPr>
                <w:sz w:val="20"/>
                <w:szCs w:val="20"/>
                <w:color w:val="auto"/>
              </w:rPr>
            </w:pPr>
            <w:r>
              <w:rPr>
                <w:rFonts w:ascii="Arial" w:cs="Arial" w:eastAsia="Arial" w:hAnsi="Arial"/>
                <w:sz w:val="18"/>
                <w:szCs w:val="18"/>
                <w:b w:val="1"/>
                <w:bCs w:val="1"/>
                <w:color w:val="auto"/>
              </w:rPr>
              <w:t>2016</w:t>
            </w:r>
          </w:p>
        </w:tc>
        <w:tc>
          <w:tcPr>
            <w:tcW w:w="300" w:type="dxa"/>
            <w:vAlign w:val="bottom"/>
          </w:tcPr>
          <w:p>
            <w:pPr>
              <w:spacing w:after="0"/>
              <w:rPr>
                <w:sz w:val="24"/>
                <w:szCs w:val="24"/>
                <w:color w:val="auto"/>
              </w:rPr>
            </w:pPr>
          </w:p>
        </w:tc>
        <w:tc>
          <w:tcPr>
            <w:tcW w:w="68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2015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ind w:right="292"/>
              <w:spacing w:after="0"/>
              <w:rPr>
                <w:sz w:val="20"/>
                <w:szCs w:val="20"/>
                <w:color w:val="auto"/>
              </w:rPr>
            </w:pPr>
            <w:r>
              <w:rPr>
                <w:rFonts w:ascii="Arial" w:cs="Arial" w:eastAsia="Arial" w:hAnsi="Arial"/>
                <w:sz w:val="18"/>
                <w:szCs w:val="18"/>
                <w:b w:val="1"/>
                <w:bCs w:val="1"/>
                <w:color w:val="auto"/>
              </w:rPr>
              <w:t>2016</w:t>
            </w:r>
          </w:p>
        </w:tc>
        <w:tc>
          <w:tcPr>
            <w:tcW w:w="300" w:type="dxa"/>
            <w:vAlign w:val="bottom"/>
          </w:tcPr>
          <w:p>
            <w:pPr>
              <w:spacing w:after="0"/>
              <w:rPr>
                <w:sz w:val="24"/>
                <w:szCs w:val="24"/>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ind w:right="234"/>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24"/>
                <w:szCs w:val="24"/>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2015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b w:val="1"/>
                <w:bCs w:val="1"/>
                <w:color w:val="auto"/>
              </w:rPr>
              <w:t>2016</w:t>
            </w:r>
          </w:p>
        </w:tc>
        <w:tc>
          <w:tcPr>
            <w:tcW w:w="280" w:type="dxa"/>
            <w:vAlign w:val="bottom"/>
          </w:tcPr>
          <w:p>
            <w:pPr>
              <w:spacing w:after="0"/>
              <w:rPr>
                <w:sz w:val="24"/>
                <w:szCs w:val="24"/>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2015</w:t>
            </w:r>
          </w:p>
        </w:tc>
      </w:tr>
      <w:tr>
        <w:trPr>
          <w:trHeight w:val="27"/>
        </w:trPr>
        <w:tc>
          <w:tcPr>
            <w:tcW w:w="3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Commodities futures and options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(171,753)</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84,382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30,783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987</w:t>
            </w: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Foreign exchange contracts</w:t>
            </w:r>
          </w:p>
        </w:tc>
        <w:tc>
          <w:tcPr>
            <w:tcW w:w="14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(46)</w:t>
            </w:r>
          </w:p>
        </w:tc>
        <w:tc>
          <w:tcPr>
            <w:tcW w:w="30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487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(5,485)</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(5,625)</w:t>
            </w:r>
          </w:p>
        </w:tc>
        <w:tc>
          <w:tcPr>
            <w:tcW w:w="2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956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ind w:lef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(47,223)</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(8,676)</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Deferred compensation derivatives</w:t>
            </w:r>
          </w:p>
        </w:tc>
        <w:tc>
          <w:tcPr>
            <w:tcW w:w="140" w:type="dxa"/>
            <w:vAlign w:val="bottom"/>
          </w:tcPr>
          <w:p>
            <w:pPr>
              <w:spacing w:after="0"/>
              <w:rPr>
                <w:sz w:val="21"/>
                <w:szCs w:val="21"/>
                <w:color w:val="auto"/>
              </w:rPr>
            </w:pP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2,203</w:t>
            </w:r>
          </w:p>
        </w:tc>
        <w:tc>
          <w:tcPr>
            <w:tcW w:w="30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2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40" w:type="dxa"/>
            <w:vAlign w:val="bottom"/>
          </w:tcPr>
          <w:p>
            <w:pPr>
              <w:ind w:lef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7"/>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(169,596)</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(52,708)</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61,839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16,482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36,634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987</w:t>
            </w:r>
          </w:p>
        </w:tc>
      </w:tr>
      <w:tr>
        <w:trPr>
          <w:trHeight w:val="20"/>
        </w:trPr>
        <w:tc>
          <w:tcPr>
            <w:tcW w:w="3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40" w:right="220" w:hanging="332"/>
        <w:spacing w:after="0" w:line="264"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Gains (losses) recognized in income for non-designated commodities futures and options contracts were included in cost of sales. Gains (losses) recognized in income for non-designated foreign currency forward exchange contracts and deferred compensation derivatives were included in selling, marketing and administrative expenses.</w:t>
      </w:r>
    </w:p>
    <w:p>
      <w:pPr>
        <w:spacing w:after="0" w:line="19" w:lineRule="exact"/>
        <w:rPr>
          <w:rFonts w:ascii="Arial" w:cs="Arial" w:eastAsia="Arial" w:hAnsi="Arial"/>
          <w:sz w:val="18"/>
          <w:szCs w:val="18"/>
          <w:color w:val="auto"/>
        </w:rPr>
      </w:pPr>
    </w:p>
    <w:p>
      <w:pPr>
        <w:ind w:left="340" w:right="120" w:hanging="332"/>
        <w:spacing w:after="0" w:line="259"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Gains (losses) reclassified from AOCI into income were included in cost of sales for commodities futures and options contracts and for foreign currency forward exchange contracts designated as hedges of purchases of inventory or other productive assets. Other gains (losses) for foreign currency forward exchange contracts were included in selling, marketing and administrative expenses. Losses reclassified from AOCI into income for interest rate swap agreements were included in interest expense.</w:t>
      </w:r>
    </w:p>
    <w:p>
      <w:pPr>
        <w:spacing w:after="0" w:line="24"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Gains representing hedge ineffectiveness were included in cost of sales for commodities futures and options contracts.</w:t>
      </w:r>
    </w:p>
    <w:p>
      <w:pPr>
        <w:spacing w:after="0" w:line="17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amount of pretax net losses on derivative instruments, including interest rate swap agreements, foreign currency forward exchange contracts and options, commodities futures and options contracts, and other commodity derivative instruments expected to be reclassified into earnings in the next 12 months was approximately $7,824 as of December 31, 2016. This amount was primarily associated with interest rate swap agreements.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Hedges</w:t>
      </w:r>
    </w:p>
    <w:p>
      <w:pPr>
        <w:spacing w:after="0" w:line="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years ended December 31, 2016 and 2015, we recognized a net pretax benefit to interest expense of $4,365 and $6,905 relating to our fixed-to-floating interest swap arrangements.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9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Accounting guidance on fair value measurements requires that financial assets and liabilities be classified and disclosed in one of the following categories of the fair value hierarchy:</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Based on unadjusted quoted prices for identical assets or liabilities in an active market.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Based on observable market-based inputs or unobservable inputs that are corroborated by market data.</w:t>
      </w:r>
    </w:p>
    <w:p>
      <w:pPr>
        <w:spacing w:after="0" w:line="63" w:lineRule="exact"/>
        <w:rPr>
          <w:sz w:val="20"/>
          <w:szCs w:val="20"/>
          <w:color w:val="auto"/>
        </w:rPr>
      </w:pPr>
    </w:p>
    <w:p>
      <w:pPr>
        <w:ind w:left="40" w:right="2960"/>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Based on unobservable inputs that reflect the entity's own assumptions about the assumptions that a market</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would use in pricing the asset or liability.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any level 3 financial assets or liabilities, nor were there any transfers between levels during the periods presented.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16" w:right="239" w:bottom="1440" w:gutter="0" w:footer="0" w:header="0"/>
        </w:sectPr>
      </w:pPr>
    </w:p>
    <w:bookmarkStart w:id="70" w:name="page71"/>
    <w:bookmarkEnd w:id="70"/>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presents assets and liabilities that were measured at fair value in the Consolidated Balance Sheet on a recurring basis as of December 31, 2016 and 2015:</w:t>
      </w:r>
    </w:p>
    <w:p>
      <w:pPr>
        <w:spacing w:after="0" w:line="112" w:lineRule="exact"/>
        <w:rPr>
          <w:sz w:val="20"/>
          <w:szCs w:val="20"/>
          <w:color w:val="auto"/>
        </w:rPr>
      </w:pPr>
    </w:p>
    <w:p>
      <w:pPr>
        <w:ind w:left="7300"/>
        <w:spacing w:after="0"/>
        <w:rPr>
          <w:sz w:val="20"/>
          <w:szCs w:val="20"/>
          <w:color w:val="auto"/>
        </w:rPr>
      </w:pPr>
      <w:r>
        <w:rPr>
          <w:rFonts w:ascii="Arial" w:cs="Arial" w:eastAsia="Arial" w:hAnsi="Arial"/>
          <w:sz w:val="18"/>
          <w:szCs w:val="18"/>
          <w:b w:val="1"/>
          <w:bCs w:val="1"/>
          <w:color w:val="auto"/>
        </w:rPr>
        <w:t>Assets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34290</wp:posOffset>
            </wp:positionV>
            <wp:extent cx="43567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35673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gridSpan w:val="2"/>
          </w:tcPr>
          <w:p>
            <w:pPr>
              <w:ind w:left="220"/>
              <w:spacing w:after="0"/>
              <w:rPr>
                <w:sz w:val="20"/>
                <w:szCs w:val="20"/>
                <w:color w:val="auto"/>
              </w:rPr>
            </w:pPr>
            <w:r>
              <w:rPr>
                <w:rFonts w:ascii="Arial" w:cs="Arial" w:eastAsia="Arial" w:hAnsi="Arial"/>
                <w:sz w:val="18"/>
                <w:szCs w:val="18"/>
                <w:b w:val="1"/>
                <w:bCs w:val="1"/>
                <w:color w:val="auto"/>
              </w:rPr>
              <w:t>Level 1</w:t>
            </w:r>
          </w:p>
        </w:tc>
        <w:tc>
          <w:tcPr>
            <w:tcW w:w="320" w:type="dxa"/>
            <w:vAlign w:val="bottom"/>
          </w:tcPr>
          <w:p>
            <w:pPr>
              <w:spacing w:after="0"/>
              <w:rPr>
                <w:sz w:val="20"/>
                <w:szCs w:val="20"/>
                <w:color w:val="auto"/>
              </w:rPr>
            </w:pPr>
          </w:p>
        </w:tc>
        <w:tc>
          <w:tcPr>
            <w:tcW w:w="1420" w:type="dxa"/>
            <w:vAlign w:val="bottom"/>
            <w:gridSpan w:val="2"/>
          </w:tcPr>
          <w:p>
            <w:pPr>
              <w:ind w:left="220"/>
              <w:spacing w:after="0"/>
              <w:rPr>
                <w:sz w:val="20"/>
                <w:szCs w:val="20"/>
                <w:color w:val="auto"/>
              </w:rPr>
            </w:pPr>
            <w:r>
              <w:rPr>
                <w:rFonts w:ascii="Arial" w:cs="Arial" w:eastAsia="Arial" w:hAnsi="Arial"/>
                <w:sz w:val="18"/>
                <w:szCs w:val="18"/>
                <w:b w:val="1"/>
                <w:bCs w:val="1"/>
                <w:color w:val="auto"/>
              </w:rPr>
              <w:t>Level 2</w:t>
            </w:r>
          </w:p>
        </w:tc>
        <w:tc>
          <w:tcPr>
            <w:tcW w:w="340" w:type="dxa"/>
            <w:vAlign w:val="bottom"/>
          </w:tcPr>
          <w:p>
            <w:pPr>
              <w:spacing w:after="0"/>
              <w:rPr>
                <w:sz w:val="20"/>
                <w:szCs w:val="20"/>
                <w:color w:val="auto"/>
              </w:rPr>
            </w:pPr>
          </w:p>
        </w:tc>
        <w:tc>
          <w:tcPr>
            <w:tcW w:w="140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3</w:t>
            </w:r>
          </w:p>
        </w:tc>
        <w:tc>
          <w:tcPr>
            <w:tcW w:w="380" w:type="dxa"/>
            <w:vAlign w:val="bottom"/>
          </w:tcPr>
          <w:p>
            <w:pPr>
              <w:spacing w:after="0"/>
              <w:rPr>
                <w:sz w:val="20"/>
                <w:szCs w:val="20"/>
                <w:color w:val="auto"/>
              </w:rPr>
            </w:pPr>
          </w:p>
        </w:tc>
        <w:tc>
          <w:tcPr>
            <w:tcW w:w="1260" w:type="dxa"/>
            <w:vAlign w:val="bottom"/>
          </w:tcPr>
          <w:p>
            <w:pPr>
              <w:jc w:val="right"/>
              <w:ind w:right="530"/>
              <w:spacing w:after="0"/>
              <w:rPr>
                <w:sz w:val="20"/>
                <w:szCs w:val="20"/>
                <w:color w:val="auto"/>
              </w:rPr>
            </w:pPr>
            <w:r>
              <w:rPr>
                <w:rFonts w:ascii="Arial" w:cs="Arial" w:eastAsia="Arial" w:hAnsi="Arial"/>
                <w:sz w:val="18"/>
                <w:szCs w:val="18"/>
                <w:b w:val="1"/>
                <w:bCs w:val="1"/>
                <w:color w:val="auto"/>
              </w:rPr>
              <w:t>Total</w:t>
            </w:r>
          </w:p>
        </w:tc>
      </w:tr>
      <w:tr>
        <w:trPr>
          <w:trHeight w:val="27"/>
        </w:trPr>
        <w:tc>
          <w:tcPr>
            <w:tcW w:w="4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2016:</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gridSpan w:val="2"/>
          </w:tcPr>
          <w:p>
            <w:pPr>
              <w:ind w:left="40"/>
              <w:spacing w:after="0"/>
              <w:rPr>
                <w:sz w:val="20"/>
                <w:szCs w:val="20"/>
                <w:color w:val="auto"/>
              </w:rPr>
            </w:pPr>
            <w:r>
              <w:rPr>
                <w:rFonts w:ascii="Arial" w:cs="Arial" w:eastAsia="Arial" w:hAnsi="Arial"/>
                <w:sz w:val="18"/>
                <w:szCs w:val="18"/>
                <w:color w:val="auto"/>
              </w:rPr>
              <w:t>Derivative Instruments:</w:t>
            </w: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Assets:</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gridSpan w:val="2"/>
          </w:tcPr>
          <w:p>
            <w:pPr>
              <w:ind w:left="540"/>
              <w:spacing w:after="0"/>
              <w:rPr>
                <w:sz w:val="20"/>
                <w:szCs w:val="20"/>
                <w:color w:val="auto"/>
              </w:rPr>
            </w:pPr>
            <w:r>
              <w:rPr>
                <w:rFonts w:ascii="Arial" w:cs="Arial" w:eastAsia="Arial" w:hAnsi="Arial"/>
                <w:sz w:val="18"/>
                <w:szCs w:val="18"/>
                <w:color w:val="auto"/>
              </w:rPr>
              <w:t>Foreign exchange contracts (1)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2,229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2,229</w:t>
            </w: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Interest rate swap agreements (2)</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1,768</w:t>
            </w:r>
          </w:p>
        </w:tc>
      </w:tr>
      <w:tr>
        <w:trPr>
          <w:trHeight w:val="243"/>
        </w:trPr>
        <w:tc>
          <w:tcPr>
            <w:tcW w:w="4560" w:type="dxa"/>
            <w:vAlign w:val="bottom"/>
            <w:gridSpan w:val="2"/>
          </w:tcPr>
          <w:p>
            <w:pPr>
              <w:ind w:left="540"/>
              <w:spacing w:after="0"/>
              <w:rPr>
                <w:sz w:val="20"/>
                <w:szCs w:val="20"/>
                <w:color w:val="auto"/>
              </w:rPr>
            </w:pPr>
            <w:r>
              <w:rPr>
                <w:rFonts w:ascii="Arial" w:cs="Arial" w:eastAsia="Arial" w:hAnsi="Arial"/>
                <w:sz w:val="18"/>
                <w:szCs w:val="18"/>
                <w:color w:val="auto"/>
              </w:rPr>
              <w:t>Deferred compensation derivatives (3)</w:t>
            </w:r>
          </w:p>
        </w:tc>
        <w:tc>
          <w:tcPr>
            <w:tcW w:w="32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717</w:t>
            </w: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Commodities futures and options (4)</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2,348</w:t>
            </w:r>
          </w:p>
        </w:tc>
      </w:tr>
      <w:tr>
        <w:trPr>
          <w:trHeight w:val="243"/>
        </w:trPr>
        <w:tc>
          <w:tcPr>
            <w:tcW w:w="4560" w:type="dxa"/>
            <w:vAlign w:val="bottom"/>
            <w:gridSpan w:val="2"/>
          </w:tcPr>
          <w:p>
            <w:pPr>
              <w:ind w:left="260"/>
              <w:spacing w:after="0"/>
              <w:rPr>
                <w:sz w:val="20"/>
                <w:szCs w:val="20"/>
                <w:color w:val="auto"/>
              </w:rPr>
            </w:pPr>
            <w:r>
              <w:rPr>
                <w:rFonts w:ascii="Arial" w:cs="Arial" w:eastAsia="Arial" w:hAnsi="Arial"/>
                <w:sz w:val="18"/>
                <w:szCs w:val="18"/>
                <w:color w:val="auto"/>
              </w:rPr>
              <w:t>Liabilities:</w:t>
            </w: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Foreign exchange contracts (1)</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825</w:t>
            </w:r>
          </w:p>
        </w:tc>
      </w:tr>
      <w:tr>
        <w:trPr>
          <w:trHeight w:val="243"/>
        </w:trPr>
        <w:tc>
          <w:tcPr>
            <w:tcW w:w="4560" w:type="dxa"/>
            <w:vAlign w:val="bottom"/>
            <w:gridSpan w:val="2"/>
          </w:tcPr>
          <w:p>
            <w:pPr>
              <w:ind w:left="580"/>
              <w:spacing w:after="0"/>
              <w:rPr>
                <w:sz w:val="20"/>
                <w:szCs w:val="20"/>
                <w:color w:val="auto"/>
              </w:rPr>
            </w:pPr>
            <w:r>
              <w:rPr>
                <w:rFonts w:ascii="Arial" w:cs="Arial" w:eastAsia="Arial" w:hAnsi="Arial"/>
                <w:sz w:val="18"/>
                <w:szCs w:val="18"/>
                <w:color w:val="auto"/>
              </w:rPr>
              <w:t>Interest rate swap agreements (2)</w:t>
            </w:r>
          </w:p>
        </w:tc>
        <w:tc>
          <w:tcPr>
            <w:tcW w:w="32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Commodities futures and options (4)</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r>
      <w:tr>
        <w:trPr>
          <w:trHeight w:val="243"/>
        </w:trPr>
        <w:tc>
          <w:tcPr>
            <w:tcW w:w="456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 2015:</w:t>
            </w: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Assets:</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gridSpan w:val="2"/>
          </w:tcPr>
          <w:p>
            <w:pPr>
              <w:ind w:left="540"/>
              <w:spacing w:after="0"/>
              <w:rPr>
                <w:sz w:val="20"/>
                <w:szCs w:val="20"/>
                <w:color w:val="auto"/>
              </w:rPr>
            </w:pPr>
            <w:r>
              <w:rPr>
                <w:rFonts w:ascii="Arial" w:cs="Arial" w:eastAsia="Arial" w:hAnsi="Arial"/>
                <w:sz w:val="18"/>
                <w:szCs w:val="18"/>
                <w:color w:val="auto"/>
              </w:rPr>
              <w:t>Foreign exchange contracts (1)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436</w:t>
            </w: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Interest rate swap agreements (2)</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4,313</w:t>
            </w:r>
          </w:p>
        </w:tc>
      </w:tr>
      <w:tr>
        <w:trPr>
          <w:trHeight w:val="243"/>
        </w:trPr>
        <w:tc>
          <w:tcPr>
            <w:tcW w:w="4560" w:type="dxa"/>
            <w:vAlign w:val="bottom"/>
            <w:gridSpan w:val="2"/>
          </w:tcPr>
          <w:p>
            <w:pPr>
              <w:ind w:left="540"/>
              <w:spacing w:after="0"/>
              <w:rPr>
                <w:sz w:val="20"/>
                <w:szCs w:val="20"/>
                <w:color w:val="auto"/>
              </w:rPr>
            </w:pPr>
            <w:r>
              <w:rPr>
                <w:rFonts w:ascii="Arial" w:cs="Arial" w:eastAsia="Arial" w:hAnsi="Arial"/>
                <w:sz w:val="18"/>
                <w:szCs w:val="18"/>
                <w:color w:val="auto"/>
              </w:rPr>
              <w:t>Deferred compensation derivatives (3)</w:t>
            </w:r>
          </w:p>
        </w:tc>
        <w:tc>
          <w:tcPr>
            <w:tcW w:w="32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1,198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1,198</w:t>
            </w: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gridSpan w:val="2"/>
          </w:tcPr>
          <w:p>
            <w:pPr>
              <w:ind w:left="540"/>
              <w:spacing w:after="0"/>
              <w:rPr>
                <w:sz w:val="20"/>
                <w:szCs w:val="20"/>
                <w:color w:val="auto"/>
              </w:rPr>
            </w:pPr>
            <w:r>
              <w:rPr>
                <w:rFonts w:ascii="Arial" w:cs="Arial" w:eastAsia="Arial" w:hAnsi="Arial"/>
                <w:sz w:val="18"/>
                <w:szCs w:val="18"/>
                <w:color w:val="auto"/>
              </w:rPr>
              <w:t>Foreign exchange contracts (1)</w:t>
            </w:r>
          </w:p>
        </w:tc>
        <w:tc>
          <w:tcPr>
            <w:tcW w:w="32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475</w:t>
            </w: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Interest rate swap agreements (2)</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40,299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40,299</w:t>
            </w:r>
          </w:p>
        </w:tc>
      </w:tr>
      <w:tr>
        <w:trPr>
          <w:trHeight w:val="243"/>
        </w:trPr>
        <w:tc>
          <w:tcPr>
            <w:tcW w:w="4560" w:type="dxa"/>
            <w:vAlign w:val="bottom"/>
            <w:gridSpan w:val="2"/>
          </w:tcPr>
          <w:p>
            <w:pPr>
              <w:ind w:left="540"/>
              <w:spacing w:after="0"/>
              <w:rPr>
                <w:sz w:val="20"/>
                <w:szCs w:val="20"/>
                <w:color w:val="auto"/>
              </w:rPr>
            </w:pPr>
            <w:r>
              <w:rPr>
                <w:rFonts w:ascii="Arial" w:cs="Arial" w:eastAsia="Arial" w:hAnsi="Arial"/>
                <w:sz w:val="18"/>
                <w:szCs w:val="18"/>
                <w:color w:val="auto"/>
              </w:rPr>
              <w:t>Commodities futures and options (4)</w:t>
            </w:r>
          </w:p>
        </w:tc>
        <w:tc>
          <w:tcPr>
            <w:tcW w:w="3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2,053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2,053</w:t>
            </w:r>
          </w:p>
        </w:tc>
      </w:tr>
    </w:tbl>
    <w:p>
      <w:pPr>
        <w:spacing w:after="0" w:line="148" w:lineRule="exact"/>
        <w:rPr>
          <w:sz w:val="20"/>
          <w:szCs w:val="20"/>
          <w:color w:val="auto"/>
        </w:rPr>
      </w:pPr>
    </w:p>
    <w:p>
      <w:pPr>
        <w:ind w:left="660" w:right="180" w:hanging="328"/>
        <w:spacing w:after="0" w:line="286"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fair value of foreign currency forward exchange contracts is the difference between the contract and current market foreign currency exchange rates at the end of the period. We estimate the fair value of foreign currency forward exchange contracts on a quarterly basis by obtaining market quotes of spot and forward rates for contracts with similar terms, adjusted where necessary for maturity differences.</w:t>
      </w:r>
    </w:p>
    <w:p>
      <w:pPr>
        <w:spacing w:after="0" w:line="84" w:lineRule="exact"/>
        <w:rPr>
          <w:rFonts w:ascii="Arial" w:cs="Arial" w:eastAsia="Arial" w:hAnsi="Arial"/>
          <w:sz w:val="17"/>
          <w:szCs w:val="17"/>
          <w:color w:val="auto"/>
        </w:rPr>
      </w:pPr>
    </w:p>
    <w:p>
      <w:pPr>
        <w:ind w:left="660" w:right="20" w:hanging="328"/>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fair value of interest rate swap agreements represents the difference in the present value of cash flows calculated at the contracted interest rates and at current market interest rates at the end of the period. We calculate the fair value of interest rate swap agreements quarterly based on the quoted market price for the same or similar financial instruments.</w:t>
      </w:r>
    </w:p>
    <w:p>
      <w:pPr>
        <w:spacing w:after="0" w:line="100"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fair value of deferred compensation derivatives is based on quoted prices for market interest rates and a broad market equity index.</w:t>
      </w:r>
    </w:p>
    <w:p>
      <w:pPr>
        <w:spacing w:after="0" w:line="155" w:lineRule="exact"/>
        <w:rPr>
          <w:rFonts w:ascii="Arial" w:cs="Arial" w:eastAsia="Arial" w:hAnsi="Arial"/>
          <w:sz w:val="17"/>
          <w:szCs w:val="17"/>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fair value of commodities futures and options contracts is based on quoted market prices.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Instruments</w:t>
      </w:r>
    </w:p>
    <w:p>
      <w:pPr>
        <w:spacing w:after="0" w:line="14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carrying amounts of cash and cash equivalents, short-term investments, accounts receivable, accounts payable and short-term debt approximated fair values as of December 31, 2016 and December 31, 2015 because of the relatively short maturity of these instruments.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18" w:right="239" w:bottom="1440" w:gutter="0" w:footer="0" w:header="0"/>
        </w:sectPr>
      </w:pPr>
    </w:p>
    <w:bookmarkStart w:id="71" w:name="page72"/>
    <w:bookmarkEnd w:id="71"/>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36"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The estimated fair value of our long-term debt is based on quoted market prices for similar debt issues and is, therefore, classified as Level 2 within the valuation hierarchy. The fair values and carrying values of long-term debt, including the current portion, were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Fair Value</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60" w:type="dxa"/>
            <w:vAlign w:val="bottom"/>
            <w:gridSpan w:val="3"/>
          </w:tcPr>
          <w:p>
            <w:pPr>
              <w:jc w:val="right"/>
              <w:spacing w:after="0"/>
              <w:rPr>
                <w:sz w:val="20"/>
                <w:szCs w:val="20"/>
                <w:color w:val="auto"/>
              </w:rPr>
            </w:pPr>
            <w:r>
              <w:rPr>
                <w:rFonts w:ascii="Arial" w:cs="Arial" w:eastAsia="Arial" w:hAnsi="Arial"/>
                <w:sz w:val="18"/>
                <w:szCs w:val="18"/>
                <w:b w:val="1"/>
                <w:bCs w:val="1"/>
                <w:color w:val="auto"/>
              </w:rPr>
              <w:t>Carrying Value</w:t>
            </w:r>
          </w:p>
        </w:tc>
        <w:tc>
          <w:tcPr>
            <w:tcW w:w="1040" w:type="dxa"/>
            <w:vAlign w:val="bottom"/>
          </w:tcPr>
          <w:p>
            <w:pPr>
              <w:spacing w:after="0"/>
              <w:rPr>
                <w:sz w:val="20"/>
                <w:szCs w:val="20"/>
                <w:color w:val="auto"/>
              </w:rPr>
            </w:pPr>
          </w:p>
        </w:tc>
      </w:tr>
      <w:tr>
        <w:trPr>
          <w:trHeight w:val="27"/>
        </w:trPr>
        <w:tc>
          <w:tcPr>
            <w:tcW w:w="4520" w:type="dxa"/>
            <w:vAlign w:val="bottom"/>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520" w:type="dxa"/>
            <w:vAlign w:val="bottom"/>
            <w:gridSpan w:val="2"/>
          </w:tcPr>
          <w:p>
            <w:pPr>
              <w:ind w:left="40"/>
              <w:spacing w:after="0"/>
              <w:rPr>
                <w:sz w:val="20"/>
                <w:szCs w:val="20"/>
                <w:color w:val="auto"/>
              </w:rPr>
            </w:pPr>
            <w:r>
              <w:rPr>
                <w:rFonts w:ascii="Arial" w:cs="Arial" w:eastAsia="Arial" w:hAnsi="Arial"/>
                <w:sz w:val="18"/>
                <w:szCs w:val="18"/>
                <w:b w:val="1"/>
                <w:bCs w:val="1"/>
                <w:color w:val="auto"/>
              </w:rPr>
              <w:t>At December 31,</w:t>
            </w:r>
          </w:p>
        </w:tc>
        <w:tc>
          <w:tcPr>
            <w:tcW w:w="40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0" w:type="dxa"/>
            <w:vAlign w:val="bottom"/>
          </w:tcPr>
          <w:p>
            <w:pPr>
              <w:jc w:val="right"/>
              <w:ind w:right="550"/>
              <w:spacing w:after="0"/>
              <w:rPr>
                <w:sz w:val="20"/>
                <w:szCs w:val="20"/>
                <w:color w:val="auto"/>
              </w:rPr>
            </w:pPr>
            <w:r>
              <w:rPr>
                <w:rFonts w:ascii="Arial" w:cs="Arial" w:eastAsia="Arial" w:hAnsi="Arial"/>
                <w:sz w:val="18"/>
                <w:szCs w:val="18"/>
                <w:b w:val="1"/>
                <w:bCs w:val="1"/>
                <w:color w:val="auto"/>
                <w:w w:val="94"/>
              </w:rPr>
              <w:t>2015</w:t>
            </w:r>
          </w:p>
        </w:tc>
      </w:tr>
      <w:tr>
        <w:trPr>
          <w:trHeight w:val="27"/>
        </w:trPr>
        <w:tc>
          <w:tcPr>
            <w:tcW w:w="4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portion of long-term debt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509,580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499,923</w:t>
            </w:r>
          </w:p>
        </w:tc>
      </w:tr>
      <w:tr>
        <w:trPr>
          <w:trHeight w:val="243"/>
        </w:trPr>
        <w:tc>
          <w:tcPr>
            <w:tcW w:w="4520" w:type="dxa"/>
            <w:vAlign w:val="bottom"/>
            <w:gridSpan w:val="2"/>
          </w:tcPr>
          <w:p>
            <w:pPr>
              <w:ind w:left="40"/>
              <w:spacing w:after="0"/>
              <w:rPr>
                <w:sz w:val="20"/>
                <w:szCs w:val="20"/>
                <w:color w:val="auto"/>
              </w:rPr>
            </w:pPr>
            <w:r>
              <w:rPr>
                <w:rFonts w:ascii="Arial" w:cs="Arial" w:eastAsia="Arial" w:hAnsi="Arial"/>
                <w:sz w:val="18"/>
                <w:szCs w:val="18"/>
                <w:color w:val="auto"/>
              </w:rPr>
              <w:t>Long-term debt</w:t>
            </w:r>
          </w:p>
        </w:tc>
        <w:tc>
          <w:tcPr>
            <w:tcW w:w="40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2,379,054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1,668,379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2,347,455</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1,557,091</w:t>
            </w:r>
          </w:p>
        </w:tc>
      </w:tr>
      <w:tr>
        <w:trPr>
          <w:trHeight w:val="27"/>
        </w:trPr>
        <w:tc>
          <w:tcPr>
            <w:tcW w:w="4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4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2,379,297</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2,177,959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2,347,698</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2,057,014</w:t>
            </w:r>
          </w:p>
        </w:tc>
      </w:tr>
      <w:tr>
        <w:trPr>
          <w:trHeight w:val="20"/>
        </w:trPr>
        <w:tc>
          <w:tcPr>
            <w:tcW w:w="4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Fair Value Measurements</w:t>
      </w:r>
    </w:p>
    <w:p>
      <w:pPr>
        <w:spacing w:after="0" w:line="14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addition to assets and liabilities that are recorded at fair value on a recurring basis, GAAP requires that, under certain circumstances, we also record assets and liabilities at fair value on a nonrecurring basis. Generally, assets are recorded at fair value on a nonrecurring basis as a result of impairment charges. As discussed in Note 3, we conducted an interim impairment test on the goodwill generated by the SGM acquisition, which resulted in impairment charges totaling $280,802. In 2016 and 2014, as discussed in Note 3, in connection with our annual impairment testing of goodwill and indefinite-lived intangible assets, we recorded impairment charges totaling $4,204 and $15,900, respectively. These charges were determined by comparing the fair value of the assets to their carrying value. The fair value of the assets was derived using discounted cash flow analyses based on Level 3 inputs.</w:t>
      </w:r>
    </w:p>
    <w:p>
      <w:pPr>
        <w:spacing w:after="0" w:line="8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 discussed in Note 2, in connection with the planned Mauna Loa divestiture, we classified the net assets as held for sale as of December 31, 2014, resulting in a write down of $18,531 based upon the agreed-upon sales price and related transaction costs. The loss was calculated based on Level 3 inputs and included in 2014 earnings.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BUSINESS REALIGNMENT ACTIVITIES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We are currently pursuing several business realignment activities designed to increase our efficiency and focus our business behind our key growth strategies.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Costs recorded in 2016, 2015 and 2014 related to these activities are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80" w:type="dxa"/>
            <w:vAlign w:val="bottom"/>
            <w:gridSpan w:val="2"/>
          </w:tcPr>
          <w:p>
            <w:pPr>
              <w:ind w:left="40"/>
              <w:spacing w:after="0"/>
              <w:rPr>
                <w:sz w:val="20"/>
                <w:szCs w:val="20"/>
                <w:color w:val="auto"/>
              </w:rPr>
            </w:pPr>
            <w:r>
              <w:rPr>
                <w:rFonts w:ascii="Arial" w:cs="Arial" w:eastAsia="Arial" w:hAnsi="Arial"/>
                <w:sz w:val="16"/>
                <w:szCs w:val="16"/>
                <w:b w:val="1"/>
                <w:bCs w:val="1"/>
                <w:color w:val="auto"/>
              </w:rPr>
              <w:t>For the years ended December 31,</w:t>
            </w:r>
          </w:p>
        </w:tc>
        <w:tc>
          <w:tcPr>
            <w:tcW w:w="480" w:type="dxa"/>
            <w:vAlign w:val="bottom"/>
          </w:tcPr>
          <w:p>
            <w:pPr>
              <w:spacing w:after="0"/>
              <w:rPr>
                <w:sz w:val="18"/>
                <w:szCs w:val="18"/>
                <w:color w:val="auto"/>
              </w:rPr>
            </w:pPr>
          </w:p>
        </w:tc>
        <w:tc>
          <w:tcPr>
            <w:tcW w:w="1480" w:type="dxa"/>
            <w:vAlign w:val="bottom"/>
          </w:tcPr>
          <w:p>
            <w:pPr>
              <w:jc w:val="right"/>
              <w:ind w:right="73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ind w:right="71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ind w:right="711"/>
              <w:spacing w:after="0"/>
              <w:rPr>
                <w:sz w:val="20"/>
                <w:szCs w:val="20"/>
                <w:color w:val="auto"/>
              </w:rPr>
            </w:pPr>
            <w:r>
              <w:rPr>
                <w:rFonts w:ascii="Arial" w:cs="Arial" w:eastAsia="Arial" w:hAnsi="Arial"/>
                <w:sz w:val="16"/>
                <w:szCs w:val="16"/>
                <w:b w:val="1"/>
                <w:bCs w:val="1"/>
                <w:color w:val="auto"/>
              </w:rPr>
              <w:t>2014</w:t>
            </w:r>
          </w:p>
        </w:tc>
      </w:tr>
      <w:tr>
        <w:trPr>
          <w:trHeight w:val="33"/>
        </w:trPr>
        <w:tc>
          <w:tcPr>
            <w:tcW w:w="5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Operational Optimization Program:</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gridSpan w:val="2"/>
          </w:tcPr>
          <w:p>
            <w:pPr>
              <w:ind w:left="280"/>
              <w:spacing w:after="0"/>
              <w:rPr>
                <w:sz w:val="20"/>
                <w:szCs w:val="20"/>
                <w:color w:val="auto"/>
              </w:rPr>
            </w:pPr>
            <w:r>
              <w:rPr>
                <w:rFonts w:ascii="Arial" w:cs="Arial" w:eastAsia="Arial" w:hAnsi="Arial"/>
                <w:sz w:val="18"/>
                <w:szCs w:val="18"/>
                <w:color w:val="auto"/>
              </w:rPr>
              <w:t>Severance</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17,872</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Accelerated depreciation</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48,590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gridSpan w:val="2"/>
          </w:tcPr>
          <w:p>
            <w:pPr>
              <w:ind w:left="280"/>
              <w:spacing w:after="0"/>
              <w:rPr>
                <w:sz w:val="20"/>
                <w:szCs w:val="20"/>
                <w:color w:val="auto"/>
              </w:rPr>
            </w:pPr>
            <w:r>
              <w:rPr>
                <w:rFonts w:ascii="Arial" w:cs="Arial" w:eastAsia="Arial" w:hAnsi="Arial"/>
                <w:sz w:val="18"/>
                <w:szCs w:val="18"/>
                <w:color w:val="auto"/>
              </w:rPr>
              <w:t>Other program costs</w:t>
            </w:r>
          </w:p>
        </w:tc>
        <w:tc>
          <w:tcPr>
            <w:tcW w:w="48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21,831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2015 Productivity Initiative:</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gridSpan w:val="2"/>
          </w:tcPr>
          <w:p>
            <w:pPr>
              <w:ind w:left="280"/>
              <w:spacing w:after="0"/>
              <w:rPr>
                <w:sz w:val="20"/>
                <w:szCs w:val="20"/>
                <w:color w:val="auto"/>
              </w:rPr>
            </w:pPr>
            <w:r>
              <w:rPr>
                <w:rFonts w:ascii="Arial" w:cs="Arial" w:eastAsia="Arial" w:hAnsi="Arial"/>
                <w:sz w:val="18"/>
                <w:szCs w:val="18"/>
                <w:color w:val="auto"/>
              </w:rPr>
              <w:t>Severance</w:t>
            </w:r>
          </w:p>
        </w:tc>
        <w:tc>
          <w:tcPr>
            <w:tcW w:w="48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81,290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Pension settlement charges</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13,669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10,178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gridSpan w:val="2"/>
          </w:tcPr>
          <w:p>
            <w:pPr>
              <w:ind w:left="280"/>
              <w:spacing w:after="0"/>
              <w:rPr>
                <w:sz w:val="20"/>
                <w:szCs w:val="20"/>
                <w:color w:val="auto"/>
              </w:rPr>
            </w:pPr>
            <w:r>
              <w:rPr>
                <w:rFonts w:ascii="Arial" w:cs="Arial" w:eastAsia="Arial" w:hAnsi="Arial"/>
                <w:sz w:val="18"/>
                <w:szCs w:val="18"/>
                <w:color w:val="auto"/>
              </w:rPr>
              <w:t>Other program costs</w:t>
            </w:r>
          </w:p>
        </w:tc>
        <w:tc>
          <w:tcPr>
            <w:tcW w:w="48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5,609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14,285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international restructuring programs:</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gridSpan w:val="2"/>
          </w:tcPr>
          <w:p>
            <w:pPr>
              <w:ind w:left="280"/>
              <w:spacing w:after="0"/>
              <w:rPr>
                <w:sz w:val="20"/>
                <w:szCs w:val="20"/>
                <w:color w:val="auto"/>
              </w:rPr>
            </w:pPr>
            <w:r>
              <w:rPr>
                <w:rFonts w:ascii="Arial" w:cs="Arial" w:eastAsia="Arial" w:hAnsi="Arial"/>
                <w:sz w:val="18"/>
                <w:szCs w:val="18"/>
                <w:color w:val="auto"/>
              </w:rPr>
              <w:t>Severance</w:t>
            </w:r>
          </w:p>
        </w:tc>
        <w:tc>
          <w:tcPr>
            <w:tcW w:w="48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6,651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2,947</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Accelerated depreciation and amortization</w:t>
            </w: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5,904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Mauna Loa Divestiture (see Note 2)</w:t>
            </w:r>
          </w:p>
        </w:tc>
        <w:tc>
          <w:tcPr>
            <w:tcW w:w="48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2,667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22,256</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Project Next Century</w:t>
            </w:r>
          </w:p>
        </w:tc>
        <w:tc>
          <w:tcPr>
            <w:tcW w:w="4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9,087</w:t>
            </w:r>
          </w:p>
        </w:tc>
      </w:tr>
      <w:tr>
        <w:trPr>
          <w:trHeight w:val="257"/>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107,571</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120,975</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34,290</w:t>
            </w:r>
          </w:p>
        </w:tc>
      </w:tr>
      <w:tr>
        <w:trPr>
          <w:trHeight w:val="20"/>
        </w:trPr>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costs and related benefits of the Operational Optimization Program relate approximately 25% to the North America segment and 75% to the International and Other segment. The costs and related benefits to be derived from the 2015 Productivity Initiative relate primarily to the North American segment, while the costs and related benefits of the other international programs relate primary to the International and Other segment. However, segment operating</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16" w:right="239" w:bottom="1440" w:gutter="0" w:footer="0" w:header="0"/>
        </w:sectPr>
      </w:pPr>
    </w:p>
    <w:bookmarkStart w:id="72" w:name="page73"/>
    <w:bookmarkEnd w:id="72"/>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results do not include these business realignment expenses because we evaluate segment performance excluding such costs.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2016 Operational Optimization Program</w:t>
      </w:r>
    </w:p>
    <w:p>
      <w:pPr>
        <w:spacing w:after="0" w:line="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In the second quarter of 2016, we commenced a program (the “Operational Optimization Program”) to optimize our production and supply chain network, which includes select facility consolidations. The program encompasses the continued transition of our China chocolate and SGM operations into a united </w:t>
      </w:r>
      <w:r>
        <w:rPr>
          <w:rFonts w:ascii="Arial" w:cs="Arial" w:eastAsia="Arial" w:hAnsi="Arial"/>
          <w:sz w:val="18"/>
          <w:szCs w:val="18"/>
          <w:i w:val="1"/>
          <w:iCs w:val="1"/>
          <w:color w:val="auto"/>
        </w:rPr>
        <w:t xml:space="preserve">Golden Hershey </w:t>
      </w:r>
      <w:r>
        <w:rPr>
          <w:rFonts w:ascii="Arial" w:cs="Arial" w:eastAsia="Arial" w:hAnsi="Arial"/>
          <w:sz w:val="18"/>
          <w:szCs w:val="18"/>
          <w:color w:val="auto"/>
        </w:rPr>
        <w:t>platform, including the integration of the China sales force, as well as workforce planning efforts and the consolidation of production within</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facilities in China and North America.</w:t>
      </w:r>
    </w:p>
    <w:p>
      <w:pPr>
        <w:spacing w:after="0" w:line="133"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We have incurred pre-tax costs of $88,293 to date, including non-cash asset-related incremental depreciation costs, severance and employee benefit costs, costs to consolidate and relocate production, and third-party costs incurred to execute these activities. We currently expect to incur additional cash costs of approximately $37 million over the next two years to complete this program.</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2015 Productivity Initiative</w:t>
      </w:r>
    </w:p>
    <w:p>
      <w:pPr>
        <w:spacing w:after="0" w:line="9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In mid-2015, we initiated a productivity initiative (the “2015 Productivity Initiative”) intended to move decision making closer to the customer and the consumer, to enable a more enterprise-wide approach to innovation, to more swiftly advance our knowledge agenda, and to provide for a more efficient cost structure, while ensuring that we effectively allocate resources to future growth areas. Overall, the 2015 Productivity Initiative was undertaken to simplify the organizational structure to enhance the Company's ability to rapidly anticipate and respond to the changing demands of the global consumer.</w:t>
      </w:r>
    </w:p>
    <w:p>
      <w:pPr>
        <w:spacing w:after="0" w:line="100"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2015 Productivity Initiative was executed throughout the third and fourth quarters of 2015, resulting in a net reduction of approximately 300 positions, with the majority of the departures taking place by the end of 2015. For the year ended December 31, 2016, we incurred charges totaling $19,278, representing pension settlement charges, adjustments to estimated severance benefits and incremental third-party costs related to the design and implementation of the new organizational structure. The 2015 Productivity Initiative was completed during the third quarter 2016. We incurred total costs of $125,031 relating to this program, including pension settlement charges of $13,669 recorded in 2016 and $10,178 recorded in 2015 relating to lump sum withdrawals by employees retiring or leaving the Company as a result of this program.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international restructuring programs</w:t>
      </w:r>
    </w:p>
    <w:p>
      <w:pPr>
        <w:spacing w:after="0" w:line="90"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Costs incurred for the year ended December 31, 2015 related principally to accelerated depreciation and amortization and employee severance costs for a couple of programs commenced in 2014 to rationalize certain non-U.S. manufacturing and distribution activities and to establish our own sales and distribution teams in Brazil in connection with our exit from the Bauducco joint venture.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Project Next Century</w:t>
      </w:r>
    </w:p>
    <w:p>
      <w:pPr>
        <w:spacing w:after="0" w:line="9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2014 costs shown relate primarily to the demolition of the Company’s former manufacturing facility, representing the final phase of the Project Next Century program. As of December 31, 2014, we have concluded the Project Next Century.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Total costs associated with business realignment activities are classified in our Consolidated Statements of Income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For the years ended December 31,</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ind w:right="61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jc w:val="right"/>
              <w:ind w:right="612"/>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ind w:right="592"/>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49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1560" w:type="dxa"/>
            <w:vAlign w:val="bottom"/>
            <w:tcBorders>
              <w:bottom w:val="single" w:sz="8" w:color="CCEEFF"/>
            </w:tcBorders>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58,106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8,801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Selling, marketing and administrative expense</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16,939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17,368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2,947</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realignment costs</w:t>
            </w: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32,526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94,806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29,721</w:t>
            </w:r>
          </w:p>
        </w:tc>
        <w:tc>
          <w:tcPr>
            <w:tcW w:w="0" w:type="dxa"/>
            <w:vAlign w:val="bottom"/>
          </w:tcPr>
          <w:p>
            <w:pPr>
              <w:spacing w:after="0"/>
              <w:rPr>
                <w:sz w:val="1"/>
                <w:szCs w:val="1"/>
                <w:color w:val="auto"/>
              </w:rPr>
            </w:pPr>
          </w:p>
        </w:tc>
      </w:tr>
      <w:tr>
        <w:trPr>
          <w:trHeight w:val="257"/>
        </w:trPr>
        <w:tc>
          <w:tcPr>
            <w:tcW w:w="4920" w:type="dxa"/>
            <w:vAlign w:val="bottom"/>
          </w:tcPr>
          <w:p>
            <w:pPr>
              <w:ind w:left="40"/>
              <w:spacing w:after="0"/>
              <w:rPr>
                <w:sz w:val="20"/>
                <w:szCs w:val="20"/>
                <w:color w:val="auto"/>
              </w:rPr>
            </w:pPr>
            <w:r>
              <w:rPr>
                <w:rFonts w:ascii="Arial" w:cs="Arial" w:eastAsia="Arial" w:hAnsi="Arial"/>
                <w:sz w:val="18"/>
                <w:szCs w:val="18"/>
                <w:color w:val="auto"/>
              </w:rPr>
              <w:t>Total costs associated with business realignment activities</w:t>
            </w:r>
          </w:p>
        </w:tc>
        <w:tc>
          <w:tcPr>
            <w:tcW w:w="1160" w:type="dxa"/>
            <w:vAlign w:val="bottom"/>
            <w:gridSpan w:val="2"/>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107,571</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120,975</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34,290</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040" w:type="dxa"/>
            <w:vAlign w:val="bottom"/>
            <w:vMerge w:val="restart"/>
          </w:tcPr>
          <w:p>
            <w:pPr>
              <w:jc w:val="right"/>
              <w:ind w:right="7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92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6" w:right="239" w:bottom="1440" w:gutter="0" w:footer="0" w:header="0"/>
        </w:sectPr>
      </w:pPr>
    </w:p>
    <w:bookmarkStart w:id="73" w:name="page74"/>
    <w:bookmarkEnd w:id="73"/>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liability activity for employee-related costs qualifying as exit and disposal costs for the year ended December 31, 2016:</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ind w:right="611"/>
              <w:spacing w:after="0"/>
              <w:rPr>
                <w:sz w:val="20"/>
                <w:szCs w:val="20"/>
                <w:color w:val="auto"/>
              </w:rPr>
            </w:pPr>
            <w:r>
              <w:rPr>
                <w:rFonts w:ascii="Arial" w:cs="Arial" w:eastAsia="Arial" w:hAnsi="Arial"/>
                <w:sz w:val="16"/>
                <w:szCs w:val="16"/>
                <w:b w:val="1"/>
                <w:bCs w:val="1"/>
                <w:color w:val="auto"/>
              </w:rPr>
              <w:t>Total</w:t>
            </w:r>
          </w:p>
        </w:tc>
      </w:tr>
      <w:tr>
        <w:trPr>
          <w:trHeight w:val="33"/>
        </w:trPr>
        <w:tc>
          <w:tcPr>
            <w:tcW w:w="96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Liability balance at December 31, 2015</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16,310</w:t>
            </w: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2016 business realignment charges (1)</w:t>
            </w:r>
          </w:p>
        </w:tc>
        <w:tc>
          <w:tcPr>
            <w:tcW w:w="400" w:type="dxa"/>
            <w:vAlign w:val="bottom"/>
          </w:tcPr>
          <w:p>
            <w:pPr>
              <w:spacing w:after="0"/>
              <w:rPr>
                <w:sz w:val="21"/>
                <w:szCs w:val="21"/>
                <w:color w:val="auto"/>
              </w:rPr>
            </w:pP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18,857</w:t>
            </w:r>
          </w:p>
        </w:tc>
      </w:tr>
      <w:tr>
        <w:trPr>
          <w:trHeight w:val="27"/>
        </w:trPr>
        <w:tc>
          <w:tcPr>
            <w:tcW w:w="9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(31,522)</w:t>
            </w: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Other, net</w:t>
            </w:r>
          </w:p>
        </w:tc>
        <w:tc>
          <w:tcPr>
            <w:tcW w:w="400" w:type="dxa"/>
            <w:vAlign w:val="bottom"/>
          </w:tcPr>
          <w:p>
            <w:pPr>
              <w:spacing w:after="0"/>
              <w:rPr>
                <w:sz w:val="21"/>
                <w:szCs w:val="21"/>
                <w:color w:val="auto"/>
              </w:rPr>
            </w:pP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80</w:t>
            </w:r>
          </w:p>
        </w:tc>
      </w:tr>
      <w:tr>
        <w:trPr>
          <w:trHeight w:val="27"/>
        </w:trPr>
        <w:tc>
          <w:tcPr>
            <w:tcW w:w="96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Liability balance at December 31, 2016 (reported within accrued liabilities)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3,725</w:t>
            </w:r>
          </w:p>
        </w:tc>
      </w:tr>
      <w:tr>
        <w:trPr>
          <w:trHeight w:val="20"/>
        </w:trPr>
        <w:tc>
          <w:tcPr>
            <w:tcW w:w="96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500" w:right="160" w:hanging="330"/>
        <w:spacing w:after="0" w:line="264" w:lineRule="auto"/>
        <w:tabs>
          <w:tab w:leader="none" w:pos="5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costs reflected in the liability roll-forward above do not include items charged directly to expense, such as accelerated depreciation and amortization and the loss on the Mauna Loa divestiture and certain of the third-party charges associated with various programs, as those items are not reflected in the business realignment liability in our Consolidated Balance Sheets.</w:t>
      </w:r>
    </w:p>
    <w:p>
      <w:pPr>
        <w:spacing w:after="0" w:line="204" w:lineRule="exact"/>
        <w:rPr>
          <w:rFonts w:ascii="Arial" w:cs="Arial" w:eastAsia="Arial" w:hAnsi="Arial"/>
          <w:sz w:val="18"/>
          <w:szCs w:val="18"/>
          <w:color w:val="auto"/>
        </w:rPr>
      </w:pPr>
    </w:p>
    <w:p>
      <w:pPr>
        <w:ind w:left="180" w:hanging="172"/>
        <w:spacing w:after="0"/>
        <w:tabs>
          <w:tab w:leader="none" w:pos="1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income (loss) before income taxes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For the years ended December 31,</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5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1,395,440</w:t>
            </w: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1,357,618</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1,320,738</w:t>
            </w:r>
          </w:p>
        </w:tc>
        <w:tc>
          <w:tcPr>
            <w:tcW w:w="0" w:type="dxa"/>
            <w:vAlign w:val="bottom"/>
          </w:tcPr>
          <w:p>
            <w:pPr>
              <w:spacing w:after="0"/>
              <w:rPr>
                <w:sz w:val="1"/>
                <w:szCs w:val="1"/>
                <w:color w:val="auto"/>
              </w:rPr>
            </w:pPr>
          </w:p>
        </w:tc>
      </w:tr>
      <w:tr>
        <w:trPr>
          <w:trHeight w:val="243"/>
        </w:trPr>
        <w:tc>
          <w:tcPr>
            <w:tcW w:w="5960" w:type="dxa"/>
            <w:vAlign w:val="bottom"/>
            <w:gridSpan w:val="2"/>
          </w:tcPr>
          <w:p>
            <w:pPr>
              <w:spacing w:after="0"/>
              <w:rPr>
                <w:sz w:val="20"/>
                <w:szCs w:val="20"/>
                <w:color w:val="auto"/>
              </w:rPr>
            </w:pPr>
            <w:r>
              <w:rPr>
                <w:rFonts w:ascii="Arial" w:cs="Arial" w:eastAsia="Arial" w:hAnsi="Arial"/>
                <w:sz w:val="18"/>
                <w:szCs w:val="18"/>
                <w:color w:val="auto"/>
              </w:rPr>
              <w:t>Foreign</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(295,959)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(455,771)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(14,695)</w:t>
            </w:r>
          </w:p>
        </w:tc>
        <w:tc>
          <w:tcPr>
            <w:tcW w:w="0" w:type="dxa"/>
            <w:vAlign w:val="bottom"/>
          </w:tcPr>
          <w:p>
            <w:pPr>
              <w:spacing w:after="0"/>
              <w:rPr>
                <w:sz w:val="1"/>
                <w:szCs w:val="1"/>
                <w:color w:val="auto"/>
              </w:rPr>
            </w:pPr>
          </w:p>
        </w:tc>
      </w:tr>
      <w:tr>
        <w:trPr>
          <w:trHeight w:val="27"/>
        </w:trPr>
        <w:tc>
          <w:tcPr>
            <w:tcW w:w="5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1,099,481</w:t>
            </w:r>
          </w:p>
        </w:tc>
        <w:tc>
          <w:tcPr>
            <w:tcW w:w="20" w:type="dxa"/>
            <w:vAlign w:val="bottom"/>
            <w:shd w:val="clear" w:color="auto" w:fill="CCEEFF"/>
          </w:tcPr>
          <w:p>
            <w:pPr>
              <w:spacing w:after="0"/>
              <w:rPr>
                <w:sz w:val="22"/>
                <w:szCs w:val="22"/>
                <w:color w:val="auto"/>
              </w:rPr>
            </w:pPr>
          </w:p>
        </w:tc>
        <w:tc>
          <w:tcPr>
            <w:tcW w:w="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901,847</w:t>
            </w:r>
          </w:p>
        </w:tc>
        <w:tc>
          <w:tcPr>
            <w:tcW w:w="80" w:type="dxa"/>
            <w:vAlign w:val="bottom"/>
            <w:shd w:val="clear" w:color="auto" w:fill="CCEEFF"/>
          </w:tcPr>
          <w:p>
            <w:pPr>
              <w:spacing w:after="0"/>
              <w:rPr>
                <w:sz w:val="22"/>
                <w:szCs w:val="22"/>
                <w:color w:val="auto"/>
              </w:rPr>
            </w:pPr>
          </w:p>
        </w:tc>
        <w:tc>
          <w:tcPr>
            <w:tcW w:w="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1,306,043</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The components of our provision for income taxes are as follows:</w:t>
            </w: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59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For the years ended December 31,</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Federal</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ind w:right="93"/>
              <w:spacing w:after="0"/>
              <w:rPr>
                <w:sz w:val="20"/>
                <w:szCs w:val="20"/>
                <w:color w:val="auto"/>
              </w:rPr>
            </w:pPr>
            <w:r>
              <w:rPr>
                <w:rFonts w:ascii="Arial" w:cs="Arial" w:eastAsia="Arial" w:hAnsi="Arial"/>
                <w:sz w:val="18"/>
                <w:szCs w:val="18"/>
                <w:color w:val="auto"/>
              </w:rPr>
              <w:t>391,705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3"/>
              <w:spacing w:after="0"/>
              <w:rPr>
                <w:sz w:val="20"/>
                <w:szCs w:val="20"/>
                <w:color w:val="auto"/>
              </w:rPr>
            </w:pPr>
            <w:r>
              <w:rPr>
                <w:rFonts w:ascii="Arial" w:cs="Arial" w:eastAsia="Arial" w:hAnsi="Arial"/>
                <w:sz w:val="18"/>
                <w:szCs w:val="18"/>
                <w:color w:val="auto"/>
              </w:rPr>
              <w:t>409,060</w:t>
            </w:r>
          </w:p>
        </w:tc>
        <w:tc>
          <w:tcPr>
            <w:tcW w:w="80" w:type="dxa"/>
            <w:vAlign w:val="bottom"/>
          </w:tcPr>
          <w:p>
            <w:pPr>
              <w:spacing w:after="0"/>
              <w:rPr>
                <w:sz w:val="21"/>
                <w:szCs w:val="21"/>
                <w:color w:val="auto"/>
              </w:rPr>
            </w:pPr>
          </w:p>
        </w:tc>
        <w:tc>
          <w:tcPr>
            <w:tcW w:w="5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385,642</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State</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51,706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47,978</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52,331</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Foreign</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(25,877)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(29,605)</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2,362</w:t>
            </w:r>
          </w:p>
        </w:tc>
        <w:tc>
          <w:tcPr>
            <w:tcW w:w="0" w:type="dxa"/>
            <w:vAlign w:val="bottom"/>
          </w:tcPr>
          <w:p>
            <w:pPr>
              <w:spacing w:after="0"/>
              <w:rPr>
                <w:sz w:val="1"/>
                <w:szCs w:val="1"/>
                <w:color w:val="auto"/>
              </w:rPr>
            </w:pPr>
          </w:p>
        </w:tc>
      </w:tr>
      <w:tr>
        <w:trPr>
          <w:trHeight w:val="27"/>
        </w:trPr>
        <w:tc>
          <w:tcPr>
            <w:tcW w:w="5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417,534</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427,433</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440,335</w:t>
            </w:r>
          </w:p>
        </w:tc>
        <w:tc>
          <w:tcPr>
            <w:tcW w:w="0" w:type="dxa"/>
            <w:vAlign w:val="bottom"/>
          </w:tcPr>
          <w:p>
            <w:pPr>
              <w:spacing w:after="0"/>
              <w:rPr>
                <w:sz w:val="1"/>
                <w:szCs w:val="1"/>
                <w:color w:val="auto"/>
              </w:rPr>
            </w:pPr>
          </w:p>
        </w:tc>
      </w:tr>
      <w:tr>
        <w:trPr>
          <w:trHeight w:val="237"/>
        </w:trPr>
        <w:tc>
          <w:tcPr>
            <w:tcW w:w="596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Federal</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(7,706)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(31,153)</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20,649</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State</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(2,346)</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2,725</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Foreign</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(29,939)</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(5,038)</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(4,578)</w:t>
            </w:r>
          </w:p>
        </w:tc>
        <w:tc>
          <w:tcPr>
            <w:tcW w:w="0" w:type="dxa"/>
            <w:vAlign w:val="bottom"/>
          </w:tcPr>
          <w:p>
            <w:pPr>
              <w:spacing w:after="0"/>
              <w:rPr>
                <w:sz w:val="1"/>
                <w:szCs w:val="1"/>
                <w:color w:val="auto"/>
              </w:rPr>
            </w:pPr>
          </w:p>
        </w:tc>
      </w:tr>
      <w:tr>
        <w:trPr>
          <w:trHeight w:val="237"/>
        </w:trPr>
        <w:tc>
          <w:tcPr>
            <w:tcW w:w="5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(38,097)</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(38,537)</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18,796</w:t>
            </w:r>
          </w:p>
        </w:tc>
        <w:tc>
          <w:tcPr>
            <w:tcW w:w="0" w:type="dxa"/>
            <w:vAlign w:val="bottom"/>
          </w:tcPr>
          <w:p>
            <w:pPr>
              <w:spacing w:after="0"/>
              <w:rPr>
                <w:sz w:val="1"/>
                <w:szCs w:val="1"/>
                <w:color w:val="auto"/>
              </w:rPr>
            </w:pPr>
          </w:p>
        </w:tc>
      </w:tr>
      <w:tr>
        <w:trPr>
          <w:trHeight w:val="27"/>
        </w:trPr>
        <w:tc>
          <w:tcPr>
            <w:tcW w:w="5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provision for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379,437</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388,896</w:t>
            </w:r>
          </w:p>
        </w:tc>
        <w:tc>
          <w:tcPr>
            <w:tcW w:w="80" w:type="dxa"/>
            <w:vAlign w:val="bottom"/>
            <w:shd w:val="clear" w:color="auto" w:fill="CCEEFF"/>
          </w:tcPr>
          <w:p>
            <w:pPr>
              <w:spacing w:after="0"/>
              <w:rPr>
                <w:sz w:val="22"/>
                <w:szCs w:val="22"/>
                <w:color w:val="auto"/>
              </w:rPr>
            </w:pPr>
          </w:p>
        </w:tc>
        <w:tc>
          <w:tcPr>
            <w:tcW w:w="5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459,131</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The income tax benefit associated with stock-based compensation of $17,814 and $24,839 for the years ended December 31, 2016 and 2015, respectively, reduced accrued income taxes on the Consolidated Balance Sheets. We credited additional paid-in capital to reflect the net excess income tax benefits.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16" w:right="239" w:bottom="1440" w:gutter="0" w:footer="0" w:header="0"/>
        </w:sectPr>
      </w:pPr>
    </w:p>
    <w:bookmarkStart w:id="74" w:name="page75"/>
    <w:bookmarkEnd w:id="74"/>
    <w:p>
      <w:pPr>
        <w:jc w:val="center"/>
        <w:ind w:left="32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2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Deferred taxes reflect temporary differences between the tax basis and financial statement carrying value of assets and liabilities. The significant temporary differences that comprised the deferred tax assets and liabilities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320" w:type="dxa"/>
            <w:vAlign w:val="bottom"/>
            <w:gridSpan w:val="2"/>
          </w:tcPr>
          <w:p>
            <w:pPr>
              <w:ind w:left="380"/>
              <w:spacing w:after="0"/>
              <w:rPr>
                <w:sz w:val="20"/>
                <w:szCs w:val="20"/>
                <w:color w:val="auto"/>
              </w:rPr>
            </w:pPr>
            <w:r>
              <w:rPr>
                <w:rFonts w:ascii="Arial" w:cs="Arial" w:eastAsia="Arial" w:hAnsi="Arial"/>
                <w:sz w:val="18"/>
                <w:szCs w:val="18"/>
                <w:color w:val="auto"/>
              </w:rPr>
              <w:t>Post-retirement benefit obligations</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1"/>
              <w:spacing w:after="0"/>
              <w:rPr>
                <w:sz w:val="20"/>
                <w:szCs w:val="20"/>
                <w:color w:val="auto"/>
              </w:rPr>
            </w:pPr>
            <w:r>
              <w:rPr>
                <w:rFonts w:ascii="Arial" w:cs="Arial" w:eastAsia="Arial" w:hAnsi="Arial"/>
                <w:sz w:val="18"/>
                <w:szCs w:val="18"/>
                <w:color w:val="auto"/>
              </w:rPr>
              <w:t>90,584</w:t>
            </w:r>
          </w:p>
        </w:tc>
        <w:tc>
          <w:tcPr>
            <w:tcW w:w="100" w:type="dxa"/>
            <w:vAlign w:val="bottom"/>
          </w:tcPr>
          <w:p>
            <w:pPr>
              <w:spacing w:after="0"/>
              <w:rPr>
                <w:sz w:val="22"/>
                <w:szCs w:val="22"/>
                <w:color w:val="auto"/>
              </w:rPr>
            </w:pPr>
          </w:p>
        </w:tc>
        <w:tc>
          <w:tcPr>
            <w:tcW w:w="5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11"/>
              <w:spacing w:after="0"/>
              <w:rPr>
                <w:sz w:val="20"/>
                <w:szCs w:val="20"/>
                <w:color w:val="auto"/>
              </w:rPr>
            </w:pPr>
            <w:r>
              <w:rPr>
                <w:rFonts w:ascii="Arial" w:cs="Arial" w:eastAsia="Arial" w:hAnsi="Arial"/>
                <w:sz w:val="18"/>
                <w:szCs w:val="18"/>
                <w:color w:val="auto"/>
              </w:rPr>
              <w:t>95,763</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Accrued expenses and other reserves</w:t>
            </w: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141,228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163,908</w:t>
            </w:r>
          </w:p>
        </w:tc>
        <w:tc>
          <w:tcPr>
            <w:tcW w:w="0" w:type="dxa"/>
            <w:vAlign w:val="bottom"/>
          </w:tcPr>
          <w:p>
            <w:pPr>
              <w:spacing w:after="0"/>
              <w:rPr>
                <w:sz w:val="1"/>
                <w:szCs w:val="1"/>
                <w:color w:val="auto"/>
              </w:rPr>
            </w:pPr>
          </w:p>
        </w:tc>
      </w:tr>
      <w:tr>
        <w:trPr>
          <w:trHeight w:val="243"/>
        </w:trPr>
        <w:tc>
          <w:tcPr>
            <w:tcW w:w="7320" w:type="dxa"/>
            <w:vAlign w:val="bottom"/>
            <w:gridSpan w:val="2"/>
          </w:tcPr>
          <w:p>
            <w:pPr>
              <w:ind w:left="380"/>
              <w:spacing w:after="0"/>
              <w:rPr>
                <w:sz w:val="20"/>
                <w:szCs w:val="20"/>
                <w:color w:val="auto"/>
              </w:rPr>
            </w:pPr>
            <w:r>
              <w:rPr>
                <w:rFonts w:ascii="Arial" w:cs="Arial" w:eastAsia="Arial" w:hAnsi="Arial"/>
                <w:sz w:val="18"/>
                <w:szCs w:val="18"/>
                <w:color w:val="auto"/>
              </w:rPr>
              <w:t>Stock-based compensation</w:t>
            </w:r>
          </w:p>
        </w:tc>
        <w:tc>
          <w:tcPr>
            <w:tcW w:w="540" w:type="dxa"/>
            <w:vAlign w:val="bottom"/>
          </w:tcPr>
          <w:p>
            <w:pPr>
              <w:spacing w:after="0"/>
              <w:rPr>
                <w:sz w:val="21"/>
                <w:szCs w:val="21"/>
                <w:color w:val="auto"/>
              </w:rPr>
            </w:pPr>
          </w:p>
        </w:tc>
        <w:tc>
          <w:tcPr>
            <w:tcW w:w="1400" w:type="dxa"/>
            <w:vAlign w:val="bottom"/>
          </w:tcPr>
          <w:p>
            <w:pPr>
              <w:jc w:val="right"/>
              <w:ind w:right="91"/>
              <w:spacing w:after="0"/>
              <w:rPr>
                <w:sz w:val="20"/>
                <w:szCs w:val="20"/>
                <w:color w:val="auto"/>
              </w:rPr>
            </w:pPr>
            <w:r>
              <w:rPr>
                <w:rFonts w:ascii="Arial" w:cs="Arial" w:eastAsia="Arial" w:hAnsi="Arial"/>
                <w:sz w:val="18"/>
                <w:szCs w:val="18"/>
                <w:color w:val="auto"/>
              </w:rPr>
              <w:t>48,500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0" w:type="dxa"/>
            <w:vAlign w:val="bottom"/>
          </w:tcPr>
          <w:p>
            <w:pPr>
              <w:jc w:val="right"/>
              <w:ind w:right="111"/>
              <w:spacing w:after="0"/>
              <w:rPr>
                <w:sz w:val="20"/>
                <w:szCs w:val="20"/>
                <w:color w:val="auto"/>
              </w:rPr>
            </w:pPr>
            <w:r>
              <w:rPr>
                <w:rFonts w:ascii="Arial" w:cs="Arial" w:eastAsia="Arial" w:hAnsi="Arial"/>
                <w:sz w:val="18"/>
                <w:szCs w:val="18"/>
                <w:color w:val="auto"/>
              </w:rPr>
              <w:t>46,665</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Derivative instruments</w:t>
            </w: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44,010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8,858</w:t>
            </w:r>
          </w:p>
        </w:tc>
        <w:tc>
          <w:tcPr>
            <w:tcW w:w="0" w:type="dxa"/>
            <w:vAlign w:val="bottom"/>
          </w:tcPr>
          <w:p>
            <w:pPr>
              <w:spacing w:after="0"/>
              <w:rPr>
                <w:sz w:val="1"/>
                <w:szCs w:val="1"/>
                <w:color w:val="auto"/>
              </w:rPr>
            </w:pPr>
          </w:p>
        </w:tc>
      </w:tr>
      <w:tr>
        <w:trPr>
          <w:trHeight w:val="243"/>
        </w:trPr>
        <w:tc>
          <w:tcPr>
            <w:tcW w:w="7320" w:type="dxa"/>
            <w:vAlign w:val="bottom"/>
            <w:gridSpan w:val="2"/>
          </w:tcPr>
          <w:p>
            <w:pPr>
              <w:ind w:left="380"/>
              <w:spacing w:after="0"/>
              <w:rPr>
                <w:sz w:val="20"/>
                <w:szCs w:val="20"/>
                <w:color w:val="auto"/>
              </w:rPr>
            </w:pPr>
            <w:r>
              <w:rPr>
                <w:rFonts w:ascii="Arial" w:cs="Arial" w:eastAsia="Arial" w:hAnsi="Arial"/>
                <w:sz w:val="18"/>
                <w:szCs w:val="18"/>
                <w:color w:val="auto"/>
              </w:rPr>
              <w:t>Pension</w:t>
            </w:r>
          </w:p>
        </w:tc>
        <w:tc>
          <w:tcPr>
            <w:tcW w:w="540" w:type="dxa"/>
            <w:vAlign w:val="bottom"/>
          </w:tcPr>
          <w:p>
            <w:pPr>
              <w:spacing w:after="0"/>
              <w:rPr>
                <w:sz w:val="21"/>
                <w:szCs w:val="21"/>
                <w:color w:val="auto"/>
              </w:rPr>
            </w:pPr>
          </w:p>
        </w:tc>
        <w:tc>
          <w:tcPr>
            <w:tcW w:w="1400" w:type="dxa"/>
            <w:vAlign w:val="bottom"/>
          </w:tcPr>
          <w:p>
            <w:pPr>
              <w:jc w:val="right"/>
              <w:ind w:right="91"/>
              <w:spacing w:after="0"/>
              <w:rPr>
                <w:sz w:val="20"/>
                <w:szCs w:val="20"/>
                <w:color w:val="auto"/>
              </w:rPr>
            </w:pPr>
            <w:r>
              <w:rPr>
                <w:rFonts w:ascii="Arial" w:cs="Arial" w:eastAsia="Arial" w:hAnsi="Arial"/>
                <w:sz w:val="18"/>
                <w:szCs w:val="18"/>
                <w:color w:val="auto"/>
              </w:rPr>
              <w:t>14,662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0" w:type="dxa"/>
            <w:vAlign w:val="bottom"/>
          </w:tcPr>
          <w:p>
            <w:pPr>
              <w:jc w:val="right"/>
              <w:ind w:right="111"/>
              <w:spacing w:after="0"/>
              <w:rPr>
                <w:sz w:val="20"/>
                <w:szCs w:val="20"/>
                <w:color w:val="auto"/>
              </w:rPr>
            </w:pPr>
            <w:r>
              <w:rPr>
                <w:rFonts w:ascii="Arial" w:cs="Arial" w:eastAsia="Arial" w:hAnsi="Arial"/>
                <w:sz w:val="18"/>
                <w:szCs w:val="18"/>
                <w:color w:val="auto"/>
              </w:rPr>
              <w:t>28,940</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Lease financing obligation</w:t>
            </w: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18,950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18,947</w:t>
            </w:r>
          </w:p>
        </w:tc>
        <w:tc>
          <w:tcPr>
            <w:tcW w:w="0" w:type="dxa"/>
            <w:vAlign w:val="bottom"/>
          </w:tcPr>
          <w:p>
            <w:pPr>
              <w:spacing w:after="0"/>
              <w:rPr>
                <w:sz w:val="1"/>
                <w:szCs w:val="1"/>
                <w:color w:val="auto"/>
              </w:rPr>
            </w:pPr>
          </w:p>
        </w:tc>
      </w:tr>
      <w:tr>
        <w:trPr>
          <w:trHeight w:val="243"/>
        </w:trPr>
        <w:tc>
          <w:tcPr>
            <w:tcW w:w="7320" w:type="dxa"/>
            <w:vAlign w:val="bottom"/>
            <w:gridSpan w:val="2"/>
          </w:tcPr>
          <w:p>
            <w:pPr>
              <w:ind w:left="380"/>
              <w:spacing w:after="0"/>
              <w:rPr>
                <w:sz w:val="20"/>
                <w:szCs w:val="20"/>
                <w:color w:val="auto"/>
              </w:rPr>
            </w:pPr>
            <w:r>
              <w:rPr>
                <w:rFonts w:ascii="Arial" w:cs="Arial" w:eastAsia="Arial" w:hAnsi="Arial"/>
                <w:sz w:val="18"/>
                <w:szCs w:val="18"/>
                <w:color w:val="auto"/>
              </w:rPr>
              <w:t>Accrued trade promotion reserves</w:t>
            </w:r>
          </w:p>
        </w:tc>
        <w:tc>
          <w:tcPr>
            <w:tcW w:w="540" w:type="dxa"/>
            <w:vAlign w:val="bottom"/>
          </w:tcPr>
          <w:p>
            <w:pPr>
              <w:spacing w:after="0"/>
              <w:rPr>
                <w:sz w:val="21"/>
                <w:szCs w:val="21"/>
                <w:color w:val="auto"/>
              </w:rPr>
            </w:pPr>
          </w:p>
        </w:tc>
        <w:tc>
          <w:tcPr>
            <w:tcW w:w="1400" w:type="dxa"/>
            <w:vAlign w:val="bottom"/>
          </w:tcPr>
          <w:p>
            <w:pPr>
              <w:jc w:val="right"/>
              <w:ind w:right="91"/>
              <w:spacing w:after="0"/>
              <w:rPr>
                <w:sz w:val="20"/>
                <w:szCs w:val="20"/>
                <w:color w:val="auto"/>
              </w:rPr>
            </w:pPr>
            <w:r>
              <w:rPr>
                <w:rFonts w:ascii="Arial" w:cs="Arial" w:eastAsia="Arial" w:hAnsi="Arial"/>
                <w:sz w:val="18"/>
                <w:szCs w:val="18"/>
                <w:color w:val="auto"/>
              </w:rPr>
              <w:t>50,463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0" w:type="dxa"/>
            <w:vAlign w:val="bottom"/>
          </w:tcPr>
          <w:p>
            <w:pPr>
              <w:jc w:val="right"/>
              <w:ind w:right="111"/>
              <w:spacing w:after="0"/>
              <w:rPr>
                <w:sz w:val="20"/>
                <w:szCs w:val="20"/>
                <w:color w:val="auto"/>
              </w:rPr>
            </w:pPr>
            <w:r>
              <w:rPr>
                <w:rFonts w:ascii="Arial" w:cs="Arial" w:eastAsia="Arial" w:hAnsi="Arial"/>
                <w:sz w:val="18"/>
                <w:szCs w:val="18"/>
                <w:color w:val="auto"/>
              </w:rPr>
              <w:t>36,501</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operating loss carryforwards</w:t>
            </w: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143,085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99,155</w:t>
            </w:r>
          </w:p>
        </w:tc>
        <w:tc>
          <w:tcPr>
            <w:tcW w:w="0" w:type="dxa"/>
            <w:vAlign w:val="bottom"/>
          </w:tcPr>
          <w:p>
            <w:pPr>
              <w:spacing w:after="0"/>
              <w:rPr>
                <w:sz w:val="1"/>
                <w:szCs w:val="1"/>
                <w:color w:val="auto"/>
              </w:rPr>
            </w:pPr>
          </w:p>
        </w:tc>
      </w:tr>
      <w:tr>
        <w:trPr>
          <w:trHeight w:val="243"/>
        </w:trPr>
        <w:tc>
          <w:tcPr>
            <w:tcW w:w="7320" w:type="dxa"/>
            <w:vAlign w:val="bottom"/>
            <w:gridSpan w:val="2"/>
          </w:tcPr>
          <w:p>
            <w:pPr>
              <w:ind w:left="380"/>
              <w:spacing w:after="0"/>
              <w:rPr>
                <w:sz w:val="20"/>
                <w:szCs w:val="20"/>
                <w:color w:val="auto"/>
              </w:rPr>
            </w:pPr>
            <w:r>
              <w:rPr>
                <w:rFonts w:ascii="Arial" w:cs="Arial" w:eastAsia="Arial" w:hAnsi="Arial"/>
                <w:sz w:val="18"/>
                <w:szCs w:val="18"/>
                <w:color w:val="auto"/>
              </w:rPr>
              <w:t>Capital loss carryforwards</w:t>
            </w:r>
          </w:p>
        </w:tc>
        <w:tc>
          <w:tcPr>
            <w:tcW w:w="540" w:type="dxa"/>
            <w:vAlign w:val="bottom"/>
          </w:tcPr>
          <w:p>
            <w:pPr>
              <w:spacing w:after="0"/>
              <w:rPr>
                <w:sz w:val="21"/>
                <w:szCs w:val="21"/>
                <w:color w:val="auto"/>
              </w:rPr>
            </w:pPr>
          </w:p>
        </w:tc>
        <w:tc>
          <w:tcPr>
            <w:tcW w:w="1400" w:type="dxa"/>
            <w:vAlign w:val="bottom"/>
          </w:tcPr>
          <w:p>
            <w:pPr>
              <w:jc w:val="right"/>
              <w:ind w:right="91"/>
              <w:spacing w:after="0"/>
              <w:rPr>
                <w:sz w:val="20"/>
                <w:szCs w:val="20"/>
                <w:color w:val="auto"/>
              </w:rPr>
            </w:pPr>
            <w:r>
              <w:rPr>
                <w:rFonts w:ascii="Arial" w:cs="Arial" w:eastAsia="Arial" w:hAnsi="Arial"/>
                <w:sz w:val="18"/>
                <w:szCs w:val="18"/>
                <w:color w:val="auto"/>
              </w:rPr>
              <w:t>38,691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0" w:type="dxa"/>
            <w:vAlign w:val="bottom"/>
          </w:tcPr>
          <w:p>
            <w:pPr>
              <w:jc w:val="right"/>
              <w:ind w:right="111"/>
              <w:spacing w:after="0"/>
              <w:rPr>
                <w:sz w:val="20"/>
                <w:szCs w:val="20"/>
                <w:color w:val="auto"/>
              </w:rPr>
            </w:pPr>
            <w:r>
              <w:rPr>
                <w:rFonts w:ascii="Arial" w:cs="Arial" w:eastAsia="Arial" w:hAnsi="Arial"/>
                <w:sz w:val="18"/>
                <w:szCs w:val="18"/>
                <w:color w:val="auto"/>
              </w:rPr>
              <w:t>44,546</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14,452</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14,444</w:t>
            </w:r>
          </w:p>
        </w:tc>
        <w:tc>
          <w:tcPr>
            <w:tcW w:w="0" w:type="dxa"/>
            <w:vAlign w:val="bottom"/>
          </w:tcPr>
          <w:p>
            <w:pPr>
              <w:spacing w:after="0"/>
              <w:rPr>
                <w:sz w:val="1"/>
                <w:szCs w:val="1"/>
                <w:color w:val="auto"/>
              </w:rPr>
            </w:pPr>
          </w:p>
        </w:tc>
      </w:tr>
      <w:tr>
        <w:trPr>
          <w:trHeight w:val="237"/>
        </w:trPr>
        <w:tc>
          <w:tcPr>
            <w:tcW w:w="7320" w:type="dxa"/>
            <w:vAlign w:val="bottom"/>
            <w:gridSpan w:val="2"/>
          </w:tcPr>
          <w:p>
            <w:pPr>
              <w:ind w:left="380"/>
              <w:spacing w:after="0"/>
              <w:rPr>
                <w:sz w:val="20"/>
                <w:szCs w:val="20"/>
                <w:color w:val="auto"/>
              </w:rPr>
            </w:pPr>
            <w:r>
              <w:rPr>
                <w:rFonts w:ascii="Arial" w:cs="Arial" w:eastAsia="Arial" w:hAnsi="Arial"/>
                <w:sz w:val="18"/>
                <w:szCs w:val="18"/>
                <w:color w:val="auto"/>
              </w:rPr>
              <w:t>Gross deferred tax assets</w:t>
            </w:r>
          </w:p>
        </w:tc>
        <w:tc>
          <w:tcPr>
            <w:tcW w:w="5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604,625</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557,727</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Valuation allowance</w:t>
            </w:r>
          </w:p>
        </w:tc>
        <w:tc>
          <w:tcPr>
            <w:tcW w:w="5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(235,485)</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(207,055)</w:t>
            </w:r>
          </w:p>
        </w:tc>
        <w:tc>
          <w:tcPr>
            <w:tcW w:w="0" w:type="dxa"/>
            <w:vAlign w:val="bottom"/>
          </w:tcPr>
          <w:p>
            <w:pPr>
              <w:spacing w:after="0"/>
              <w:rPr>
                <w:sz w:val="1"/>
                <w:szCs w:val="1"/>
                <w:color w:val="auto"/>
              </w:rPr>
            </w:pPr>
          </w:p>
        </w:tc>
      </w:tr>
      <w:tr>
        <w:trPr>
          <w:trHeight w:val="237"/>
        </w:trPr>
        <w:tc>
          <w:tcPr>
            <w:tcW w:w="7320" w:type="dxa"/>
            <w:vAlign w:val="bottom"/>
            <w:gridSpan w:val="2"/>
          </w:tcPr>
          <w:p>
            <w:pPr>
              <w:ind w:left="820"/>
              <w:spacing w:after="0"/>
              <w:rPr>
                <w:sz w:val="20"/>
                <w:szCs w:val="20"/>
                <w:color w:val="auto"/>
              </w:rPr>
            </w:pPr>
            <w:r>
              <w:rPr>
                <w:rFonts w:ascii="Arial" w:cs="Arial" w:eastAsia="Arial" w:hAnsi="Arial"/>
                <w:sz w:val="18"/>
                <w:szCs w:val="18"/>
                <w:color w:val="auto"/>
              </w:rPr>
              <w:t>Total deferred tax assets</w:t>
            </w:r>
          </w:p>
        </w:tc>
        <w:tc>
          <w:tcPr>
            <w:tcW w:w="5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369,140</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350,672</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20" w:type="dxa"/>
            <w:vAlign w:val="bottom"/>
            <w:gridSpan w:val="2"/>
          </w:tcPr>
          <w:p>
            <w:pPr>
              <w:ind w:left="380"/>
              <w:spacing w:after="0"/>
              <w:rPr>
                <w:sz w:val="20"/>
                <w:szCs w:val="20"/>
                <w:color w:val="auto"/>
              </w:rPr>
            </w:pPr>
            <w:r>
              <w:rPr>
                <w:rFonts w:ascii="Arial" w:cs="Arial" w:eastAsia="Arial" w:hAnsi="Arial"/>
                <w:sz w:val="18"/>
                <w:szCs w:val="18"/>
                <w:color w:val="auto"/>
              </w:rPr>
              <w:t>Property, plant and equipment, net</w:t>
            </w:r>
          </w:p>
        </w:tc>
        <w:tc>
          <w:tcPr>
            <w:tcW w:w="540" w:type="dxa"/>
            <w:vAlign w:val="bottom"/>
          </w:tcPr>
          <w:p>
            <w:pPr>
              <w:spacing w:after="0"/>
              <w:rPr>
                <w:sz w:val="21"/>
                <w:szCs w:val="21"/>
                <w:color w:val="auto"/>
              </w:rPr>
            </w:pPr>
          </w:p>
        </w:tc>
        <w:tc>
          <w:tcPr>
            <w:tcW w:w="1400" w:type="dxa"/>
            <w:vAlign w:val="bottom"/>
          </w:tcPr>
          <w:p>
            <w:pPr>
              <w:jc w:val="right"/>
              <w:ind w:right="91"/>
              <w:spacing w:after="0"/>
              <w:rPr>
                <w:sz w:val="20"/>
                <w:szCs w:val="20"/>
                <w:color w:val="auto"/>
              </w:rPr>
            </w:pPr>
            <w:r>
              <w:rPr>
                <w:rFonts w:ascii="Arial" w:cs="Arial" w:eastAsia="Arial" w:hAnsi="Arial"/>
                <w:sz w:val="18"/>
                <w:szCs w:val="18"/>
                <w:color w:val="auto"/>
              </w:rPr>
              <w:t>202,300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0" w:type="dxa"/>
            <w:vAlign w:val="bottom"/>
          </w:tcPr>
          <w:p>
            <w:pPr>
              <w:jc w:val="right"/>
              <w:ind w:right="111"/>
              <w:spacing w:after="0"/>
              <w:rPr>
                <w:sz w:val="20"/>
                <w:szCs w:val="20"/>
                <w:color w:val="auto"/>
              </w:rPr>
            </w:pPr>
            <w:r>
              <w:rPr>
                <w:rFonts w:ascii="Arial" w:cs="Arial" w:eastAsia="Arial" w:hAnsi="Arial"/>
                <w:sz w:val="18"/>
                <w:szCs w:val="18"/>
                <w:color w:val="auto"/>
              </w:rPr>
              <w:t>218,729</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Acquired intangibles</w:t>
            </w: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113,074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120,420</w:t>
            </w:r>
          </w:p>
        </w:tc>
        <w:tc>
          <w:tcPr>
            <w:tcW w:w="0" w:type="dxa"/>
            <w:vAlign w:val="bottom"/>
          </w:tcPr>
          <w:p>
            <w:pPr>
              <w:spacing w:after="0"/>
              <w:rPr>
                <w:sz w:val="1"/>
                <w:szCs w:val="1"/>
                <w:color w:val="auto"/>
              </w:rPr>
            </w:pPr>
          </w:p>
        </w:tc>
      </w:tr>
      <w:tr>
        <w:trPr>
          <w:trHeight w:val="243"/>
        </w:trPr>
        <w:tc>
          <w:tcPr>
            <w:tcW w:w="7320" w:type="dxa"/>
            <w:vAlign w:val="bottom"/>
            <w:gridSpan w:val="2"/>
          </w:tcPr>
          <w:p>
            <w:pPr>
              <w:ind w:left="380"/>
              <w:spacing w:after="0"/>
              <w:rPr>
                <w:sz w:val="20"/>
                <w:szCs w:val="20"/>
                <w:color w:val="auto"/>
              </w:rPr>
            </w:pPr>
            <w:r>
              <w:rPr>
                <w:rFonts w:ascii="Arial" w:cs="Arial" w:eastAsia="Arial" w:hAnsi="Arial"/>
                <w:sz w:val="18"/>
                <w:szCs w:val="18"/>
                <w:color w:val="auto"/>
              </w:rPr>
              <w:t>Inventories</w:t>
            </w:r>
          </w:p>
        </w:tc>
        <w:tc>
          <w:tcPr>
            <w:tcW w:w="540" w:type="dxa"/>
            <w:vAlign w:val="bottom"/>
          </w:tcPr>
          <w:p>
            <w:pPr>
              <w:spacing w:after="0"/>
              <w:rPr>
                <w:sz w:val="21"/>
                <w:szCs w:val="21"/>
                <w:color w:val="auto"/>
              </w:rPr>
            </w:pPr>
          </w:p>
        </w:tc>
        <w:tc>
          <w:tcPr>
            <w:tcW w:w="1400" w:type="dxa"/>
            <w:vAlign w:val="bottom"/>
          </w:tcPr>
          <w:p>
            <w:pPr>
              <w:jc w:val="right"/>
              <w:ind w:right="91"/>
              <w:spacing w:after="0"/>
              <w:rPr>
                <w:sz w:val="20"/>
                <w:szCs w:val="20"/>
                <w:color w:val="auto"/>
              </w:rPr>
            </w:pPr>
            <w:r>
              <w:rPr>
                <w:rFonts w:ascii="Arial" w:cs="Arial" w:eastAsia="Arial" w:hAnsi="Arial"/>
                <w:sz w:val="18"/>
                <w:szCs w:val="18"/>
                <w:color w:val="auto"/>
              </w:rPr>
              <w:t>27,608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0" w:type="dxa"/>
            <w:vAlign w:val="bottom"/>
          </w:tcPr>
          <w:p>
            <w:pPr>
              <w:jc w:val="right"/>
              <w:ind w:right="111"/>
              <w:spacing w:after="0"/>
              <w:rPr>
                <w:sz w:val="20"/>
                <w:szCs w:val="20"/>
                <w:color w:val="auto"/>
              </w:rPr>
            </w:pPr>
            <w:r>
              <w:rPr>
                <w:rFonts w:ascii="Arial" w:cs="Arial" w:eastAsia="Arial" w:hAnsi="Arial"/>
                <w:sz w:val="18"/>
                <w:szCs w:val="18"/>
                <w:color w:val="auto"/>
              </w:rPr>
              <w:t>20,063</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8,884</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8,258</w:t>
            </w:r>
          </w:p>
        </w:tc>
        <w:tc>
          <w:tcPr>
            <w:tcW w:w="0" w:type="dxa"/>
            <w:vAlign w:val="bottom"/>
          </w:tcPr>
          <w:p>
            <w:pPr>
              <w:spacing w:after="0"/>
              <w:rPr>
                <w:sz w:val="1"/>
                <w:szCs w:val="1"/>
                <w:color w:val="auto"/>
              </w:rPr>
            </w:pPr>
          </w:p>
        </w:tc>
      </w:tr>
      <w:tr>
        <w:trPr>
          <w:trHeight w:val="237"/>
        </w:trPr>
        <w:tc>
          <w:tcPr>
            <w:tcW w:w="7320" w:type="dxa"/>
            <w:vAlign w:val="bottom"/>
            <w:gridSpan w:val="2"/>
          </w:tcPr>
          <w:p>
            <w:pPr>
              <w:ind w:left="820"/>
              <w:spacing w:after="0"/>
              <w:rPr>
                <w:sz w:val="20"/>
                <w:szCs w:val="20"/>
                <w:color w:val="auto"/>
              </w:rPr>
            </w:pPr>
            <w:r>
              <w:rPr>
                <w:rFonts w:ascii="Arial" w:cs="Arial" w:eastAsia="Arial" w:hAnsi="Arial"/>
                <w:sz w:val="18"/>
                <w:szCs w:val="18"/>
                <w:color w:val="auto"/>
              </w:rPr>
              <w:t>Total deferred tax liabilities</w:t>
            </w:r>
          </w:p>
        </w:tc>
        <w:tc>
          <w:tcPr>
            <w:tcW w:w="5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351,866</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367,470</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deferred tax assets (liabilities)</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17,274</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(16,798)</w:t>
            </w: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ind w:left="40"/>
              <w:spacing w:after="0"/>
              <w:rPr>
                <w:sz w:val="20"/>
                <w:szCs w:val="20"/>
                <w:color w:val="auto"/>
              </w:rPr>
            </w:pPr>
            <w:r>
              <w:rPr>
                <w:rFonts w:ascii="Arial" w:cs="Arial" w:eastAsia="Arial" w:hAnsi="Arial"/>
                <w:sz w:val="18"/>
                <w:szCs w:val="18"/>
                <w:color w:val="auto"/>
              </w:rPr>
              <w:t>Included in:</w:t>
            </w:r>
          </w:p>
        </w:tc>
        <w:tc>
          <w:tcPr>
            <w:tcW w:w="5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7320" w:type="dxa"/>
            <w:vAlign w:val="bottom"/>
            <w:gridSpan w:val="2"/>
            <w:vMerge w:val="continue"/>
          </w:tcPr>
          <w:p>
            <w:pPr>
              <w:spacing w:after="0"/>
              <w:rPr>
                <w:sz w:val="22"/>
                <w:szCs w:val="22"/>
                <w:color w:val="auto"/>
              </w:rPr>
            </w:pPr>
          </w:p>
        </w:tc>
        <w:tc>
          <w:tcPr>
            <w:tcW w:w="5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7320" w:type="dxa"/>
            <w:vAlign w:val="bottom"/>
            <w:gridSpan w:val="2"/>
          </w:tcPr>
          <w:p>
            <w:pPr>
              <w:ind w:left="380"/>
              <w:spacing w:after="0"/>
              <w:rPr>
                <w:sz w:val="20"/>
                <w:szCs w:val="20"/>
                <w:color w:val="auto"/>
              </w:rPr>
            </w:pPr>
            <w:r>
              <w:rPr>
                <w:rFonts w:ascii="Arial" w:cs="Arial" w:eastAsia="Arial" w:hAnsi="Arial"/>
                <w:sz w:val="18"/>
                <w:szCs w:val="18"/>
                <w:color w:val="auto"/>
              </w:rPr>
              <w:t>Non-current deferred tax assets, net</w:t>
            </w:r>
          </w:p>
        </w:tc>
        <w:tc>
          <w:tcPr>
            <w:tcW w:w="540" w:type="dxa"/>
            <w:vAlign w:val="bottom"/>
          </w:tcPr>
          <w:p>
            <w:pPr>
              <w:spacing w:after="0"/>
              <w:rPr>
                <w:sz w:val="24"/>
                <w:szCs w:val="24"/>
                <w:color w:val="auto"/>
              </w:rPr>
            </w:pPr>
          </w:p>
        </w:tc>
        <w:tc>
          <w:tcPr>
            <w:tcW w:w="1400" w:type="dxa"/>
            <w:vAlign w:val="bottom"/>
          </w:tcPr>
          <w:p>
            <w:pPr>
              <w:jc w:val="right"/>
              <w:ind w:right="91"/>
              <w:spacing w:after="0"/>
              <w:rPr>
                <w:sz w:val="20"/>
                <w:szCs w:val="20"/>
                <w:color w:val="auto"/>
              </w:rPr>
            </w:pPr>
            <w:r>
              <w:rPr>
                <w:rFonts w:ascii="Arial" w:cs="Arial" w:eastAsia="Arial" w:hAnsi="Arial"/>
                <w:sz w:val="18"/>
                <w:szCs w:val="18"/>
                <w:color w:val="auto"/>
              </w:rPr>
              <w:t>56,861</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0" w:type="dxa"/>
            <w:vAlign w:val="bottom"/>
          </w:tcPr>
          <w:p>
            <w:pPr>
              <w:jc w:val="right"/>
              <w:ind w:right="111"/>
              <w:spacing w:after="0"/>
              <w:rPr>
                <w:sz w:val="20"/>
                <w:szCs w:val="20"/>
                <w:color w:val="auto"/>
              </w:rPr>
            </w:pPr>
            <w:r>
              <w:rPr>
                <w:rFonts w:ascii="Arial" w:cs="Arial" w:eastAsia="Arial" w:hAnsi="Arial"/>
                <w:sz w:val="18"/>
                <w:szCs w:val="18"/>
                <w:color w:val="auto"/>
              </w:rPr>
              <w:t>36,390</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Non-current deferred tax liabilities, net</w:t>
            </w:r>
          </w:p>
        </w:tc>
        <w:tc>
          <w:tcPr>
            <w:tcW w:w="5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(39,587)</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(53,188)</w:t>
            </w:r>
          </w:p>
        </w:tc>
        <w:tc>
          <w:tcPr>
            <w:tcW w:w="0" w:type="dxa"/>
            <w:vAlign w:val="bottom"/>
          </w:tcPr>
          <w:p>
            <w:pPr>
              <w:spacing w:after="0"/>
              <w:rPr>
                <w:sz w:val="1"/>
                <w:szCs w:val="1"/>
                <w:color w:val="auto"/>
              </w:rPr>
            </w:pPr>
          </w:p>
        </w:tc>
      </w:tr>
      <w:tr>
        <w:trPr>
          <w:trHeight w:val="271"/>
        </w:trPr>
        <w:tc>
          <w:tcPr>
            <w:tcW w:w="7320" w:type="dxa"/>
            <w:vAlign w:val="bottom"/>
            <w:gridSpan w:val="2"/>
          </w:tcPr>
          <w:p>
            <w:pPr>
              <w:ind w:left="380"/>
              <w:spacing w:after="0"/>
              <w:rPr>
                <w:sz w:val="20"/>
                <w:szCs w:val="20"/>
                <w:color w:val="auto"/>
              </w:rPr>
            </w:pPr>
            <w:r>
              <w:rPr>
                <w:rFonts w:ascii="Arial" w:cs="Arial" w:eastAsia="Arial" w:hAnsi="Arial"/>
                <w:sz w:val="18"/>
                <w:szCs w:val="18"/>
                <w:color w:val="auto"/>
              </w:rPr>
              <w:t>Net deferred tax assets (liabilities)</w:t>
            </w:r>
          </w:p>
        </w:tc>
        <w:tc>
          <w:tcPr>
            <w:tcW w:w="5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17,274</w:t>
            </w:r>
          </w:p>
        </w:tc>
        <w:tc>
          <w:tcPr>
            <w:tcW w:w="100" w:type="dxa"/>
            <w:vAlign w:val="bottom"/>
          </w:tcPr>
          <w:p>
            <w:pPr>
              <w:spacing w:after="0"/>
              <w:rPr>
                <w:sz w:val="23"/>
                <w:szCs w:val="23"/>
                <w:color w:val="auto"/>
              </w:rPr>
            </w:pPr>
          </w:p>
        </w:tc>
        <w:tc>
          <w:tcPr>
            <w:tcW w:w="5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(16,798)</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believe that it is more likely than not that the results of future operations will generate sufficient taxable income to realize the net deferred tax assets. Changes in deferred tax assets for net operating loss carryforwards resulted primarily from current year losses in foreign jurisdictions. Changes in deferred tax assets for derivative instruments resulted primarily from the tax impact of our payment to settle an interest rate swap in 2016.</w:t>
      </w:r>
    </w:p>
    <w:p>
      <w:pPr>
        <w:spacing w:after="0" w:line="11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valuation allowances as of December 31, 2016 and 2015 are primarily related to U.S. capital loss carryforwards and various foreign jurisdictions' net operating loss carryforwards and other deferred tax assets that we do not expect to realize.</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116" w:right="259" w:bottom="1440" w:gutter="0" w:footer="0" w:header="0"/>
        </w:sectPr>
      </w:pPr>
    </w:p>
    <w:bookmarkStart w:id="75" w:name="page76"/>
    <w:bookmarkEnd w:id="75"/>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federal statutory income tax rate with our effective income tax rate: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For the years ended December 31,</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gridSpan w:val="3"/>
          </w:tcPr>
          <w:p>
            <w:pPr>
              <w:jc w:val="right"/>
              <w:ind w:right="42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7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Federal statutory income tax rate</w:t>
            </w: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6"/>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0" w:type="dxa"/>
            <w:vAlign w:val="bottom"/>
          </w:tcPr>
          <w:p>
            <w:pPr>
              <w:spacing w:after="0"/>
              <w:rPr>
                <w:sz w:val="1"/>
                <w:szCs w:val="1"/>
                <w:color w:val="auto"/>
              </w:rPr>
            </w:pPr>
          </w:p>
        </w:tc>
      </w:tr>
      <w:tr>
        <w:trPr>
          <w:trHeight w:val="243"/>
        </w:trPr>
        <w:tc>
          <w:tcPr>
            <w:tcW w:w="7120" w:type="dxa"/>
            <w:vAlign w:val="bottom"/>
            <w:gridSpan w:val="2"/>
          </w:tcPr>
          <w:p>
            <w:pPr>
              <w:ind w:left="40"/>
              <w:spacing w:after="0"/>
              <w:rPr>
                <w:sz w:val="20"/>
                <w:szCs w:val="20"/>
                <w:color w:val="auto"/>
              </w:rPr>
            </w:pPr>
            <w:r>
              <w:rPr>
                <w:rFonts w:ascii="Arial" w:cs="Arial" w:eastAsia="Arial" w:hAnsi="Arial"/>
                <w:sz w:val="18"/>
                <w:szCs w:val="18"/>
                <w:color w:val="auto"/>
              </w:rPr>
              <w:t>Increase (reduction) resulting from:</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State income taxes, net of Federal income tax benefits</w:t>
            </w:r>
          </w:p>
        </w:tc>
        <w:tc>
          <w:tcPr>
            <w:tcW w:w="1320" w:type="dxa"/>
            <w:vAlign w:val="bottom"/>
            <w:tcBorders>
              <w:bottom w:val="single" w:sz="8" w:color="CCEEFF"/>
            </w:tcBorders>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7120" w:type="dxa"/>
            <w:vAlign w:val="bottom"/>
            <w:gridSpan w:val="2"/>
          </w:tcPr>
          <w:p>
            <w:pPr>
              <w:ind w:left="380"/>
              <w:spacing w:after="0"/>
              <w:rPr>
                <w:sz w:val="20"/>
                <w:szCs w:val="20"/>
                <w:color w:val="auto"/>
              </w:rPr>
            </w:pPr>
            <w:r>
              <w:rPr>
                <w:rFonts w:ascii="Arial" w:cs="Arial" w:eastAsia="Arial" w:hAnsi="Arial"/>
                <w:sz w:val="18"/>
                <w:szCs w:val="18"/>
                <w:color w:val="auto"/>
              </w:rPr>
              <w:t>Qualified production income deduction</w:t>
            </w:r>
          </w:p>
        </w:tc>
        <w:tc>
          <w:tcPr>
            <w:tcW w:w="1320" w:type="dxa"/>
            <w:vAlign w:val="bottom"/>
            <w:gridSpan w:val="3"/>
          </w:tcPr>
          <w:p>
            <w:pPr>
              <w:jc w:val="right"/>
              <w:ind w:right="88"/>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1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7"/>
              </w:rPr>
              <w:t>Business realignment and impairment charges and gain on sale of trademark licensing</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rights</w:t>
            </w:r>
          </w:p>
        </w:tc>
        <w:tc>
          <w:tcPr>
            <w:tcW w:w="1320" w:type="dxa"/>
            <w:vAlign w:val="bottom"/>
            <w:tcBorders>
              <w:bottom w:val="single" w:sz="8" w:color="CCEEFF"/>
            </w:tcBorders>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7120" w:type="dxa"/>
            <w:vAlign w:val="bottom"/>
            <w:gridSpan w:val="2"/>
          </w:tcPr>
          <w:p>
            <w:pPr>
              <w:ind w:left="380"/>
              <w:spacing w:after="0"/>
              <w:rPr>
                <w:sz w:val="20"/>
                <w:szCs w:val="20"/>
                <w:color w:val="auto"/>
              </w:rPr>
            </w:pPr>
            <w:r>
              <w:rPr>
                <w:rFonts w:ascii="Arial" w:cs="Arial" w:eastAsia="Arial" w:hAnsi="Arial"/>
                <w:sz w:val="18"/>
                <w:szCs w:val="18"/>
                <w:color w:val="auto"/>
              </w:rPr>
              <w:t>Foreign rate differences</w:t>
            </w:r>
          </w:p>
        </w:tc>
        <w:tc>
          <w:tcPr>
            <w:tcW w:w="1320" w:type="dxa"/>
            <w:vAlign w:val="bottom"/>
            <w:gridSpan w:val="3"/>
          </w:tcPr>
          <w:p>
            <w:pPr>
              <w:jc w:val="right"/>
              <w:ind w:right="148"/>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Historic and solar tax credits</w:t>
            </w:r>
          </w:p>
        </w:tc>
        <w:tc>
          <w:tcPr>
            <w:tcW w:w="1320" w:type="dxa"/>
            <w:vAlign w:val="bottom"/>
            <w:tcBorders>
              <w:bottom w:val="single" w:sz="8" w:color="CCEEFF"/>
            </w:tcBorders>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120" w:type="dxa"/>
            <w:vAlign w:val="bottom"/>
            <w:gridSpan w:val="2"/>
          </w:tcPr>
          <w:p>
            <w:pPr>
              <w:ind w:left="380"/>
              <w:spacing w:after="0"/>
              <w:rPr>
                <w:sz w:val="20"/>
                <w:szCs w:val="20"/>
                <w:color w:val="auto"/>
              </w:rPr>
            </w:pPr>
            <w:r>
              <w:rPr>
                <w:rFonts w:ascii="Arial" w:cs="Arial" w:eastAsia="Arial" w:hAnsi="Arial"/>
                <w:sz w:val="18"/>
                <w:szCs w:val="18"/>
                <w:color w:val="auto"/>
              </w:rPr>
              <w:t>Other, net</w:t>
            </w:r>
          </w:p>
        </w:tc>
        <w:tc>
          <w:tcPr>
            <w:tcW w:w="1320" w:type="dxa"/>
            <w:vAlign w:val="bottom"/>
            <w:gridSpan w:val="3"/>
          </w:tcPr>
          <w:p>
            <w:pPr>
              <w:jc w:val="right"/>
              <w:ind w:right="88"/>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7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Effective income tax rate</w:t>
            </w:r>
          </w:p>
        </w:tc>
        <w:tc>
          <w:tcPr>
            <w:tcW w:w="13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34.5 %</w:t>
            </w: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6"/>
              </w:rPr>
              <w:t>43.1 %</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35.2 %</w:t>
            </w:r>
          </w:p>
        </w:tc>
        <w:tc>
          <w:tcPr>
            <w:tcW w:w="0" w:type="dxa"/>
            <w:vAlign w:val="bottom"/>
          </w:tcPr>
          <w:p>
            <w:pPr>
              <w:spacing w:after="0"/>
              <w:rPr>
                <w:sz w:val="1"/>
                <w:szCs w:val="1"/>
                <w:color w:val="auto"/>
              </w:rPr>
            </w:pPr>
          </w:p>
        </w:tc>
      </w:tr>
      <w:tr>
        <w:trPr>
          <w:trHeight w:val="20"/>
        </w:trPr>
        <w:tc>
          <w:tcPr>
            <w:tcW w:w="7120" w:type="dxa"/>
            <w:vAlign w:val="bottom"/>
            <w:gridSpan w:val="2"/>
            <w:vMerge w:val="restart"/>
          </w:tcPr>
          <w:p>
            <w:pPr>
              <w:spacing w:after="0"/>
              <w:rPr>
                <w:sz w:val="20"/>
                <w:szCs w:val="20"/>
                <w:color w:val="auto"/>
              </w:rPr>
            </w:pPr>
            <w:r>
              <w:rPr>
                <w:rFonts w:ascii="Arial" w:cs="Arial" w:eastAsia="Arial" w:hAnsi="Arial"/>
                <w:sz w:val="18"/>
                <w:szCs w:val="18"/>
                <w:color w:val="auto"/>
                <w:w w:val="94"/>
              </w:rPr>
              <w:t>A reconciliation of the beginning and ending amount of unrecognized tax benefits is as follows:</w:t>
            </w: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71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1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2016</w:t>
            </w: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7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beginning of year</w:t>
            </w:r>
          </w:p>
        </w:tc>
        <w:tc>
          <w:tcPr>
            <w:tcW w:w="1320" w:type="dxa"/>
            <w:vAlign w:val="bottom"/>
            <w:tcBorders>
              <w:bottom w:val="single" w:sz="8" w:color="CCEEFF"/>
            </w:tcBorders>
            <w:gridSpan w:val="3"/>
            <w:shd w:val="clear" w:color="auto" w:fill="CCEEFF"/>
          </w:tcPr>
          <w:p>
            <w:pPr>
              <w:jc w:val="right"/>
              <w:ind w:right="788"/>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90"/>
              </w:rPr>
              <w:t>33,411</w:t>
            </w:r>
          </w:p>
        </w:tc>
        <w:tc>
          <w:tcPr>
            <w:tcW w:w="60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32,230</w:t>
            </w:r>
          </w:p>
        </w:tc>
        <w:tc>
          <w:tcPr>
            <w:tcW w:w="0" w:type="dxa"/>
            <w:vAlign w:val="bottom"/>
          </w:tcPr>
          <w:p>
            <w:pPr>
              <w:spacing w:after="0"/>
              <w:rPr>
                <w:sz w:val="1"/>
                <w:szCs w:val="1"/>
                <w:color w:val="auto"/>
              </w:rPr>
            </w:pPr>
          </w:p>
        </w:tc>
      </w:tr>
      <w:tr>
        <w:trPr>
          <w:trHeight w:val="243"/>
        </w:trPr>
        <w:tc>
          <w:tcPr>
            <w:tcW w:w="7120" w:type="dxa"/>
            <w:vAlign w:val="bottom"/>
            <w:gridSpan w:val="2"/>
          </w:tcPr>
          <w:p>
            <w:pPr>
              <w:ind w:left="40"/>
              <w:spacing w:after="0"/>
              <w:rPr>
                <w:sz w:val="20"/>
                <w:szCs w:val="20"/>
                <w:color w:val="auto"/>
              </w:rPr>
            </w:pPr>
            <w:r>
              <w:rPr>
                <w:rFonts w:ascii="Arial" w:cs="Arial" w:eastAsia="Arial" w:hAnsi="Arial"/>
                <w:sz w:val="18"/>
                <w:szCs w:val="18"/>
                <w:color w:val="auto"/>
              </w:rPr>
              <w:t>Additions for tax positions taken during prior years</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112"/>
              <w:spacing w:after="0"/>
              <w:rPr>
                <w:sz w:val="20"/>
                <w:szCs w:val="20"/>
                <w:color w:val="auto"/>
              </w:rPr>
            </w:pPr>
            <w:r>
              <w:rPr>
                <w:rFonts w:ascii="Arial" w:cs="Arial" w:eastAsia="Arial" w:hAnsi="Arial"/>
                <w:sz w:val="18"/>
                <w:szCs w:val="18"/>
                <w:color w:val="auto"/>
              </w:rPr>
              <w:t>2,804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right"/>
              <w:ind w:right="112"/>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7"/>
        </w:trPr>
        <w:tc>
          <w:tcPr>
            <w:tcW w:w="7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Reductions for tax positions taken during prior years</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8"/>
              </w:rPr>
              <w:t>(4,080)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(2,112)</w:t>
            </w:r>
          </w:p>
        </w:tc>
        <w:tc>
          <w:tcPr>
            <w:tcW w:w="0" w:type="dxa"/>
            <w:vAlign w:val="bottom"/>
          </w:tcPr>
          <w:p>
            <w:pPr>
              <w:spacing w:after="0"/>
              <w:rPr>
                <w:sz w:val="1"/>
                <w:szCs w:val="1"/>
                <w:color w:val="auto"/>
              </w:rPr>
            </w:pPr>
          </w:p>
        </w:tc>
      </w:tr>
      <w:tr>
        <w:trPr>
          <w:trHeight w:val="243"/>
        </w:trPr>
        <w:tc>
          <w:tcPr>
            <w:tcW w:w="7120" w:type="dxa"/>
            <w:vAlign w:val="bottom"/>
            <w:gridSpan w:val="2"/>
          </w:tcPr>
          <w:p>
            <w:pPr>
              <w:ind w:left="40"/>
              <w:spacing w:after="0"/>
              <w:rPr>
                <w:sz w:val="20"/>
                <w:szCs w:val="20"/>
                <w:color w:val="auto"/>
              </w:rPr>
            </w:pPr>
            <w:r>
              <w:rPr>
                <w:rFonts w:ascii="Arial" w:cs="Arial" w:eastAsia="Arial" w:hAnsi="Arial"/>
                <w:sz w:val="18"/>
                <w:szCs w:val="18"/>
                <w:color w:val="auto"/>
              </w:rPr>
              <w:t>Additions for tax positions taken during the current year</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112"/>
              <w:spacing w:after="0"/>
              <w:rPr>
                <w:sz w:val="20"/>
                <w:szCs w:val="20"/>
                <w:color w:val="auto"/>
              </w:rPr>
            </w:pPr>
            <w:r>
              <w:rPr>
                <w:rFonts w:ascii="Arial" w:cs="Arial" w:eastAsia="Arial" w:hAnsi="Arial"/>
                <w:sz w:val="18"/>
                <w:szCs w:val="18"/>
                <w:color w:val="auto"/>
              </w:rPr>
              <w:t>9,100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right"/>
              <w:ind w:right="112"/>
              <w:spacing w:after="0"/>
              <w:rPr>
                <w:sz w:val="20"/>
                <w:szCs w:val="20"/>
                <w:color w:val="auto"/>
              </w:rPr>
            </w:pPr>
            <w:r>
              <w:rPr>
                <w:rFonts w:ascii="Arial" w:cs="Arial" w:eastAsia="Arial" w:hAnsi="Arial"/>
                <w:sz w:val="18"/>
                <w:szCs w:val="18"/>
                <w:color w:val="auto"/>
              </w:rPr>
              <w:t>6,623</w:t>
            </w:r>
          </w:p>
        </w:tc>
        <w:tc>
          <w:tcPr>
            <w:tcW w:w="0" w:type="dxa"/>
            <w:vAlign w:val="bottom"/>
          </w:tcPr>
          <w:p>
            <w:pPr>
              <w:spacing w:after="0"/>
              <w:rPr>
                <w:sz w:val="1"/>
                <w:szCs w:val="1"/>
                <w:color w:val="auto"/>
              </w:rPr>
            </w:pPr>
          </w:p>
        </w:tc>
      </w:tr>
      <w:tr>
        <w:trPr>
          <w:trHeight w:val="27"/>
        </w:trPr>
        <w:tc>
          <w:tcPr>
            <w:tcW w:w="7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Settlements</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43"/>
        </w:trPr>
        <w:tc>
          <w:tcPr>
            <w:tcW w:w="7120" w:type="dxa"/>
            <w:vAlign w:val="bottom"/>
            <w:gridSpan w:val="2"/>
          </w:tcPr>
          <w:p>
            <w:pPr>
              <w:ind w:left="40"/>
              <w:spacing w:after="0"/>
              <w:rPr>
                <w:sz w:val="20"/>
                <w:szCs w:val="20"/>
                <w:color w:val="auto"/>
              </w:rPr>
            </w:pPr>
            <w:r>
              <w:rPr>
                <w:rFonts w:ascii="Arial" w:cs="Arial" w:eastAsia="Arial" w:hAnsi="Arial"/>
                <w:sz w:val="18"/>
                <w:szCs w:val="18"/>
                <w:color w:val="auto"/>
              </w:rPr>
              <w:t>Expiration of statutes of limitations</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w w:val="98"/>
              </w:rPr>
              <w:t>(5,233)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27"/>
        </w:trPr>
        <w:tc>
          <w:tcPr>
            <w:tcW w:w="712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Balance at end of year</w:t>
            </w:r>
          </w:p>
        </w:tc>
        <w:tc>
          <w:tcPr>
            <w:tcW w:w="1320" w:type="dxa"/>
            <w:vAlign w:val="bottom"/>
            <w:gridSpan w:val="3"/>
            <w:shd w:val="clear" w:color="auto" w:fill="CCEEFF"/>
          </w:tcPr>
          <w:p>
            <w:pPr>
              <w:jc w:val="right"/>
              <w:ind w:right="78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0"/>
              </w:rPr>
              <w:t>36,002</w:t>
            </w:r>
          </w:p>
        </w:tc>
        <w:tc>
          <w:tcPr>
            <w:tcW w:w="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33,411</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The total amount of unrecognized tax benefits that, if recognized, would affect the effective tax rate was $27,691 as of December 31, 2016 and $25,947 as of December 31, 2015.</w:t>
      </w:r>
    </w:p>
    <w:p>
      <w:pPr>
        <w:spacing w:after="0" w:line="11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report accrued interest and penalties related to unrecognized tax benefits in income tax expense. We recognized a net tax benefit of $75 in 2016, a net tax expense of $1,153 in 2015 and a net tax benefit of $9,082 in 2014 for interest and penalties. Accrued net interest and penalties were $3,716 as of December 31, 2016 and $3,791 as of December 31, 2015.</w:t>
      </w:r>
    </w:p>
    <w:p>
      <w:pPr>
        <w:spacing w:after="0" w:line="127"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We file income tax returns in the U.S. federal jurisdiction and various state and foreign jurisdictions. A number of years may elapse before an uncertain tax position, for which we have unrecognized tax benefits, is audited and finally resolved. While it is often difficult to predict the final outcome or the timing of resolution of any particular uncertain tax position, we believe that our unrecognized tax benefits reflect the most likely outcome. We adjust these unrecognized tax benefits, as well as the related interest, in light of changing facts and circumstances. Settlement of any particular position could require the use of cash. Favorable resolution would be recognized as a reduction to our effective income tax rate in the period of resolution.</w:t>
      </w:r>
    </w:p>
    <w:p>
      <w:pPr>
        <w:spacing w:after="0" w:line="104"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number of years with open tax audits varies depending on the tax jurisdiction. Our major taxing jurisdictions include the United States (federal and state), Canada, China and Mexico. U.S., Canadian, Chinese and Mexican federal audit issues typically involve the timing of deductions and transfer pricing adjustments. Tax examinations by the U.S. Internal Revenue Service and various state taxing authorities could be conducted for years beginning in 2013.</w:t>
      </w:r>
    </w:p>
    <w:p>
      <w:pPr>
        <w:spacing w:after="0" w:line="9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are no longer subject to Canadian federal income tax examinations by the Canada Revenue Agency (“CRA”) for years before 2007. In 2013, the CRA concluded its audit for 2007 through 2009 and issued a letter to us indicating proposed adjustments primarily associated with business realignment charges and transfer pricing. In 2014, the CRA withdrew the proposed adjustments related to business realignment charges and transfer pricing of inventory, and we paid a $1,600 assessment related to other cross-border adjustments. Also in 2014, the CRA concluded its audit for 2010 through 2012 and issued a letter to us indicating proposed transfer pricing adjustments, and we paid a $612 assessment. We provided notice to the U.S. Competent Authority and the CRA provided notice to the Canada</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116" w:right="259" w:bottom="1440" w:gutter="0" w:footer="0" w:header="0"/>
        </w:sectPr>
      </w:pPr>
    </w:p>
    <w:bookmarkStart w:id="76" w:name="page77"/>
    <w:bookmarkEnd w:id="76"/>
    <w:p>
      <w:pPr>
        <w:jc w:val="center"/>
        <w:ind w:left="32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2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98"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Competent Authority of the likely need for their assistance to resolve the adjustments for 2007 through 2012. Accordingly, as of December 31, 2016, we recorded a non-current receivable of approximately $1,449 associated with the anticipated resolution of the adjustments by the Competent Authority of each country. In the fourth quarter of 2016, the CRA commenced its audit of our Canadian income tax returns for 2014 through May 2015.</w:t>
      </w:r>
    </w:p>
    <w:p>
      <w:pPr>
        <w:spacing w:after="0" w:line="9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are no longer subject to Chinese federal income tax examinations by the China State Administration of Taxation ("China SAT") for years before 2011. We are no longer subject to Mexican federal income tax examinations by the Servicio de Administracion Tributaria (“Mexico SAT”) for years before 2010. We work with the IRS, the CRA, the China SAT and the Mexico SAT to resolve proposed audit adjustments and to minimize the amount of adjustments. We do not anticipate that any potential tax adjustments will have a significant impact on our financial position or results of operations.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reasonably expect reductions in the liability for unrecognized tax benefits of approximately $4,160 within the next 12 months because of the expiration of statutes of limitations and settlements of tax audits.</w:t>
      </w:r>
    </w:p>
    <w:p>
      <w:pPr>
        <w:spacing w:after="0" w:line="11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As of December 31, 2016, we had approximately $291,387 of undistributed earnings of our international subsidiaries. We intend to continue to reinvest earnings outside the United States for the foreseeable future and, therefore, have not recognized any U.S. tax expense on these earnings. It is not practicable for us to determine the amount of unrecognized U.S. tax expense on these reinvested international earnings.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Investments in Partnerships Qualifying for Tax Credits</w:t>
      </w:r>
    </w:p>
    <w:p>
      <w:pPr>
        <w:spacing w:after="0" w:line="9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2016, we continued to invest in partnerships which make equity investments in projects eligible to receive federal historic and energy tax credits. The investments are accounted for under the equity method and reported within other assets in our Consolidated Balance Sheets. The tax credits, when realized, are recognized as a reduction of tax expense, at which time the corresponding equity investment is written-down to reflect the remaining value of the future benefits to be realized. For the years ended December 31, 2016 and 2015, we recognized investment tax credits and related outside basis difference benefit totaling $52,342 and $43,437, respectively, and we wrote-down the equity investment by $43,482 and $39,489, respectively, to reflect the realization of these benefits. The equity investment write-down is reflected within other (income) expense, net in the Consolidated Statements of Income.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PENSION AND OTHER POST-RETIREMENT BENEFIT PLANS</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sponsor a number of defined benefit pension plans. The primary plans are The Hershey Company Retirement Plan and The Hershey Company Retirement Plan for Hourly Employees. These are cash balance plans that provide pension benefits for most domestic employees hired prior to January 1, 2007. We also sponsor two post-retirement benefit plans: health care and life insurance. The health care plan is contributory, with participants’ contributions adjusted annually. The life insurance plan is non-contributory.</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80"/>
          </w:cols>
          <w:pgMar w:left="240" w:top="115" w:right="279" w:bottom="1440" w:gutter="0" w:footer="0" w:header="0"/>
        </w:sectPr>
      </w:pPr>
    </w:p>
    <w:bookmarkStart w:id="77" w:name="page78"/>
    <w:bookmarkEnd w:id="77"/>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and Funded Status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changes in benefit obligations, plan assets and funded status of these plans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Arial" w:cs="Arial" w:eastAsia="Arial" w:hAnsi="Arial"/>
                <w:sz w:val="16"/>
                <w:szCs w:val="16"/>
                <w:b w:val="1"/>
                <w:bCs w:val="1"/>
                <w:color w:val="auto"/>
              </w:rPr>
              <w:t>Pension Benefits</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2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Other Benefits</w:t>
            </w:r>
          </w:p>
        </w:tc>
        <w:tc>
          <w:tcPr>
            <w:tcW w:w="940" w:type="dxa"/>
            <w:vAlign w:val="bottom"/>
          </w:tcPr>
          <w:p>
            <w:pPr>
              <w:spacing w:after="0"/>
              <w:rPr>
                <w:sz w:val="18"/>
                <w:szCs w:val="18"/>
                <w:color w:val="auto"/>
              </w:rPr>
            </w:pPr>
          </w:p>
        </w:tc>
      </w:tr>
      <w:tr>
        <w:trPr>
          <w:trHeight w:val="33"/>
        </w:trPr>
        <w:tc>
          <w:tcPr>
            <w:tcW w:w="4960" w:type="dxa"/>
            <w:vAlign w:val="bottom"/>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4960" w:type="dxa"/>
            <w:vAlign w:val="bottom"/>
            <w:gridSpan w:val="2"/>
          </w:tcPr>
          <w:p>
            <w:pPr>
              <w:spacing w:after="0"/>
              <w:rPr>
                <w:sz w:val="20"/>
                <w:szCs w:val="20"/>
                <w:color w:val="auto"/>
              </w:rPr>
            </w:pPr>
            <w:r>
              <w:rPr>
                <w:rFonts w:ascii="Arial" w:cs="Arial" w:eastAsia="Arial" w:hAnsi="Arial"/>
                <w:sz w:val="16"/>
                <w:szCs w:val="16"/>
                <w:b w:val="1"/>
                <w:bCs w:val="1"/>
                <w:color w:val="auto"/>
              </w:rPr>
              <w:t>December 31,</w:t>
            </w:r>
          </w:p>
        </w:tc>
        <w:tc>
          <w:tcPr>
            <w:tcW w:w="380" w:type="dxa"/>
            <w:vAlign w:val="bottom"/>
          </w:tcPr>
          <w:p>
            <w:pPr>
              <w:spacing w:after="0"/>
              <w:rPr>
                <w:sz w:val="20"/>
                <w:szCs w:val="20"/>
                <w:color w:val="auto"/>
              </w:rPr>
            </w:pPr>
          </w:p>
        </w:tc>
        <w:tc>
          <w:tcPr>
            <w:tcW w:w="1100" w:type="dxa"/>
            <w:vAlign w:val="bottom"/>
          </w:tcPr>
          <w:p>
            <w:pPr>
              <w:jc w:val="right"/>
              <w:ind w:right="45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ind w:right="450"/>
              <w:spacing w:after="0"/>
              <w:rPr>
                <w:sz w:val="20"/>
                <w:szCs w:val="20"/>
                <w:color w:val="auto"/>
              </w:rPr>
            </w:pPr>
            <w:r>
              <w:rPr>
                <w:rFonts w:ascii="Arial" w:cs="Arial" w:eastAsia="Arial" w:hAnsi="Arial"/>
                <w:sz w:val="16"/>
                <w:szCs w:val="16"/>
                <w:b w:val="1"/>
                <w:bCs w:val="1"/>
                <w:color w:val="auto"/>
              </w:rPr>
              <w:t>2015</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49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430"/>
              <w:spacing w:after="0"/>
              <w:rPr>
                <w:sz w:val="20"/>
                <w:szCs w:val="20"/>
                <w:color w:val="auto"/>
              </w:rPr>
            </w:pPr>
            <w:r>
              <w:rPr>
                <w:rFonts w:ascii="Arial" w:cs="Arial" w:eastAsia="Arial" w:hAnsi="Arial"/>
                <w:sz w:val="16"/>
                <w:szCs w:val="16"/>
                <w:b w:val="1"/>
                <w:bCs w:val="1"/>
                <w:color w:val="auto"/>
              </w:rPr>
              <w:t>2015</w:t>
            </w:r>
          </w:p>
        </w:tc>
      </w:tr>
      <w:tr>
        <w:trPr>
          <w:trHeight w:val="33"/>
        </w:trPr>
        <w:tc>
          <w:tcPr>
            <w:tcW w:w="4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Change in benefit obligation</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57"/>
        </w:trPr>
        <w:tc>
          <w:tcPr>
            <w:tcW w:w="4960" w:type="dxa"/>
            <w:vAlign w:val="bottom"/>
            <w:gridSpan w:val="2"/>
          </w:tcPr>
          <w:p>
            <w:pPr>
              <w:ind w:left="40"/>
              <w:spacing w:after="0"/>
              <w:rPr>
                <w:sz w:val="20"/>
                <w:szCs w:val="20"/>
                <w:color w:val="auto"/>
              </w:rPr>
            </w:pPr>
            <w:r>
              <w:rPr>
                <w:rFonts w:ascii="Arial" w:cs="Arial" w:eastAsia="Arial" w:hAnsi="Arial"/>
                <w:sz w:val="18"/>
                <w:szCs w:val="18"/>
                <w:color w:val="auto"/>
              </w:rPr>
              <w:t>Projected benefit obligation at beginning of year</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1,169,424</w:t>
            </w:r>
          </w:p>
        </w:tc>
        <w:tc>
          <w:tcPr>
            <w:tcW w:w="100" w:type="dxa"/>
            <w:vAlign w:val="bottom"/>
          </w:tcPr>
          <w:p>
            <w:pPr>
              <w:spacing w:after="0"/>
              <w:rPr>
                <w:sz w:val="22"/>
                <w:szCs w:val="22"/>
                <w:color w:val="auto"/>
              </w:rPr>
            </w:pP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w w:val="92"/>
              </w:rPr>
              <w:t>1,260,895</w:t>
            </w:r>
          </w:p>
        </w:tc>
        <w:tc>
          <w:tcPr>
            <w:tcW w:w="200" w:type="dxa"/>
            <w:vAlign w:val="bottom"/>
          </w:tcPr>
          <w:p>
            <w:pPr>
              <w:spacing w:after="0"/>
              <w:rPr>
                <w:sz w:val="22"/>
                <w:szCs w:val="22"/>
                <w:color w:val="auto"/>
              </w:rPr>
            </w:pP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255,617</w:t>
            </w:r>
          </w:p>
        </w:tc>
        <w:tc>
          <w:tcPr>
            <w:tcW w:w="100" w:type="dxa"/>
            <w:vAlign w:val="bottom"/>
          </w:tcPr>
          <w:p>
            <w:pPr>
              <w:spacing w:after="0"/>
              <w:rPr>
                <w:sz w:val="22"/>
                <w:szCs w:val="22"/>
                <w:color w:val="auto"/>
              </w:rPr>
            </w:pP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294,064</w:t>
            </w:r>
          </w:p>
        </w:tc>
      </w:tr>
      <w:tr>
        <w:trPr>
          <w:trHeight w:val="27"/>
        </w:trPr>
        <w:tc>
          <w:tcPr>
            <w:tcW w:w="4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23,075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28,300</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542</w:t>
            </w:r>
          </w:p>
        </w:tc>
      </w:tr>
      <w:tr>
        <w:trPr>
          <w:trHeight w:val="243"/>
        </w:trPr>
        <w:tc>
          <w:tcPr>
            <w:tcW w:w="4960" w:type="dxa"/>
            <w:vAlign w:val="bottom"/>
            <w:gridSpan w:val="2"/>
          </w:tcPr>
          <w:p>
            <w:pPr>
              <w:ind w:left="40"/>
              <w:spacing w:after="0"/>
              <w:rPr>
                <w:sz w:val="20"/>
                <w:szCs w:val="20"/>
                <w:color w:val="auto"/>
              </w:rPr>
            </w:pPr>
            <w:r>
              <w:rPr>
                <w:rFonts w:ascii="Arial" w:cs="Arial" w:eastAsia="Arial" w:hAnsi="Arial"/>
                <w:sz w:val="18"/>
                <w:szCs w:val="18"/>
                <w:color w:val="auto"/>
              </w:rPr>
              <w:t>Interest cost</w:t>
            </w:r>
          </w:p>
        </w:tc>
        <w:tc>
          <w:tcPr>
            <w:tcW w:w="38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41,875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44,179</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9,731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10,187</w:t>
            </w:r>
          </w:p>
        </w:tc>
      </w:tr>
      <w:tr>
        <w:trPr>
          <w:trHeight w:val="27"/>
        </w:trPr>
        <w:tc>
          <w:tcPr>
            <w:tcW w:w="4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Plan amendments</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(43,065)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67</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4960" w:type="dxa"/>
            <w:vAlign w:val="bottom"/>
            <w:gridSpan w:val="2"/>
          </w:tcPr>
          <w:p>
            <w:pPr>
              <w:ind w:left="40"/>
              <w:spacing w:after="0"/>
              <w:rPr>
                <w:sz w:val="20"/>
                <w:szCs w:val="20"/>
                <w:color w:val="auto"/>
              </w:rPr>
            </w:pPr>
            <w:r>
              <w:rPr>
                <w:rFonts w:ascii="Arial" w:cs="Arial" w:eastAsia="Arial" w:hAnsi="Arial"/>
                <w:sz w:val="18"/>
                <w:szCs w:val="18"/>
                <w:color w:val="auto"/>
              </w:rPr>
              <w:t>Actuarial (gain) loss</w:t>
            </w:r>
          </w:p>
        </w:tc>
        <w:tc>
          <w:tcPr>
            <w:tcW w:w="38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15,804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(51,064)</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(2,998)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(26,887)</w:t>
            </w:r>
          </w:p>
        </w:tc>
      </w:tr>
      <w:tr>
        <w:trPr>
          <w:trHeight w:val="27"/>
        </w:trPr>
        <w:tc>
          <w:tcPr>
            <w:tcW w:w="4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Curtailment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(2,693)</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292</w:t>
            </w:r>
          </w:p>
        </w:tc>
      </w:tr>
      <w:tr>
        <w:trPr>
          <w:trHeight w:val="243"/>
        </w:trPr>
        <w:tc>
          <w:tcPr>
            <w:tcW w:w="4960" w:type="dxa"/>
            <w:vAlign w:val="bottom"/>
            <w:gridSpan w:val="2"/>
          </w:tcPr>
          <w:p>
            <w:pPr>
              <w:ind w:left="40"/>
              <w:spacing w:after="0"/>
              <w:rPr>
                <w:sz w:val="20"/>
                <w:szCs w:val="20"/>
                <w:color w:val="auto"/>
              </w:rPr>
            </w:pPr>
            <w:r>
              <w:rPr>
                <w:rFonts w:ascii="Arial" w:cs="Arial" w:eastAsia="Arial" w:hAnsi="Arial"/>
                <w:sz w:val="18"/>
                <w:szCs w:val="18"/>
                <w:color w:val="auto"/>
              </w:rPr>
              <w:t>Settlement</w:t>
            </w:r>
          </w:p>
        </w:tc>
        <w:tc>
          <w:tcPr>
            <w:tcW w:w="38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(59,784)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(57,193)</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4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Divestiture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(4,047)</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4960" w:type="dxa"/>
            <w:vAlign w:val="bottom"/>
            <w:gridSpan w:val="2"/>
          </w:tcPr>
          <w:p>
            <w:pPr>
              <w:ind w:left="40"/>
              <w:spacing w:after="0"/>
              <w:rPr>
                <w:sz w:val="20"/>
                <w:szCs w:val="20"/>
                <w:color w:val="auto"/>
              </w:rPr>
            </w:pPr>
            <w:r>
              <w:rPr>
                <w:rFonts w:ascii="Arial" w:cs="Arial" w:eastAsia="Arial" w:hAnsi="Arial"/>
                <w:sz w:val="18"/>
                <w:szCs w:val="18"/>
                <w:color w:val="auto"/>
              </w:rPr>
              <w:t>Currency translation and other</w:t>
            </w:r>
          </w:p>
        </w:tc>
        <w:tc>
          <w:tcPr>
            <w:tcW w:w="38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1,416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(11,456)</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(2,206)</w:t>
            </w:r>
          </w:p>
        </w:tc>
      </w:tr>
      <w:tr>
        <w:trPr>
          <w:trHeight w:val="27"/>
        </w:trPr>
        <w:tc>
          <w:tcPr>
            <w:tcW w:w="4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Benefits paid</w:t>
            </w: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(30,427)</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(37,564)</w:t>
            </w:r>
          </w:p>
        </w:tc>
        <w:tc>
          <w:tcPr>
            <w:tcW w:w="2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(20,117)</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(20,375)</w:t>
            </w:r>
          </w:p>
        </w:tc>
      </w:tr>
      <w:tr>
        <w:trPr>
          <w:trHeight w:val="237"/>
        </w:trPr>
        <w:tc>
          <w:tcPr>
            <w:tcW w:w="4960" w:type="dxa"/>
            <w:vAlign w:val="bottom"/>
            <w:gridSpan w:val="2"/>
          </w:tcPr>
          <w:p>
            <w:pPr>
              <w:ind w:left="40"/>
              <w:spacing w:after="0"/>
              <w:rPr>
                <w:sz w:val="20"/>
                <w:szCs w:val="20"/>
                <w:color w:val="auto"/>
              </w:rPr>
            </w:pPr>
            <w:r>
              <w:rPr>
                <w:rFonts w:ascii="Arial" w:cs="Arial" w:eastAsia="Arial" w:hAnsi="Arial"/>
                <w:sz w:val="18"/>
                <w:szCs w:val="18"/>
                <w:color w:val="auto"/>
              </w:rPr>
              <w:t>Projected benefit obligation at end of year</w:t>
            </w: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1,118,318</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2"/>
              </w:rPr>
              <w:t>1,169,424</w:t>
            </w:r>
          </w:p>
        </w:tc>
        <w:tc>
          <w:tcPr>
            <w:tcW w:w="2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242,846</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255,617</w:t>
            </w:r>
          </w:p>
        </w:tc>
      </w:tr>
      <w:tr>
        <w:trPr>
          <w:trHeight w:val="27"/>
        </w:trPr>
        <w:tc>
          <w:tcPr>
            <w:tcW w:w="4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Change in plan assets</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gridSpan w:val="2"/>
          </w:tcPr>
          <w:p>
            <w:pPr>
              <w:ind w:left="40"/>
              <w:spacing w:after="0"/>
              <w:rPr>
                <w:sz w:val="20"/>
                <w:szCs w:val="20"/>
                <w:color w:val="auto"/>
              </w:rPr>
            </w:pPr>
            <w:r>
              <w:rPr>
                <w:rFonts w:ascii="Arial" w:cs="Arial" w:eastAsia="Arial" w:hAnsi="Arial"/>
                <w:sz w:val="18"/>
                <w:szCs w:val="18"/>
                <w:color w:val="auto"/>
              </w:rPr>
              <w:t>Fair value of plan assets at beginning of year</w:t>
            </w:r>
          </w:p>
        </w:tc>
        <w:tc>
          <w:tcPr>
            <w:tcW w:w="38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1,041,902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w w:val="92"/>
              </w:rPr>
              <w:t>1,136,943</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4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Actual return on plan assets</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49,012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(19,804)</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4960" w:type="dxa"/>
            <w:vAlign w:val="bottom"/>
            <w:gridSpan w:val="2"/>
          </w:tcPr>
          <w:p>
            <w:pPr>
              <w:ind w:left="40"/>
              <w:spacing w:after="0"/>
              <w:rPr>
                <w:sz w:val="20"/>
                <w:szCs w:val="20"/>
                <w:color w:val="auto"/>
              </w:rPr>
            </w:pPr>
            <w:r>
              <w:rPr>
                <w:rFonts w:ascii="Arial" w:cs="Arial" w:eastAsia="Arial" w:hAnsi="Arial"/>
                <w:sz w:val="18"/>
                <w:szCs w:val="18"/>
                <w:color w:val="auto"/>
              </w:rPr>
              <w:t>Employer contributions</w:t>
            </w:r>
          </w:p>
        </w:tc>
        <w:tc>
          <w:tcPr>
            <w:tcW w:w="38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21,580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32,898</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20,117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20,375</w:t>
            </w:r>
          </w:p>
        </w:tc>
      </w:tr>
      <w:tr>
        <w:trPr>
          <w:trHeight w:val="27"/>
        </w:trPr>
        <w:tc>
          <w:tcPr>
            <w:tcW w:w="4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Settlement</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(59,784)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(57,193)</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4960" w:type="dxa"/>
            <w:vAlign w:val="bottom"/>
            <w:gridSpan w:val="2"/>
          </w:tcPr>
          <w:p>
            <w:pPr>
              <w:ind w:left="40"/>
              <w:spacing w:after="0"/>
              <w:rPr>
                <w:sz w:val="20"/>
                <w:szCs w:val="20"/>
                <w:color w:val="auto"/>
              </w:rPr>
            </w:pPr>
            <w:r>
              <w:rPr>
                <w:rFonts w:ascii="Arial" w:cs="Arial" w:eastAsia="Arial" w:hAnsi="Arial"/>
                <w:sz w:val="18"/>
                <w:szCs w:val="18"/>
                <w:color w:val="auto"/>
              </w:rPr>
              <w:t>Divestiture</w:t>
            </w:r>
          </w:p>
        </w:tc>
        <w:tc>
          <w:tcPr>
            <w:tcW w:w="380" w:type="dxa"/>
            <w:vAlign w:val="bottom"/>
          </w:tcPr>
          <w:p>
            <w:pPr>
              <w:spacing w:after="0"/>
              <w:rPr>
                <w:sz w:val="21"/>
                <w:szCs w:val="21"/>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(2,485)</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4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Currency translation and other</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1,393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(10,893)</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4960" w:type="dxa"/>
            <w:vAlign w:val="bottom"/>
            <w:gridSpan w:val="2"/>
          </w:tcPr>
          <w:p>
            <w:pPr>
              <w:ind w:left="40"/>
              <w:spacing w:after="0"/>
              <w:rPr>
                <w:sz w:val="20"/>
                <w:szCs w:val="20"/>
                <w:color w:val="auto"/>
              </w:rPr>
            </w:pPr>
            <w:r>
              <w:rPr>
                <w:rFonts w:ascii="Arial" w:cs="Arial" w:eastAsia="Arial" w:hAnsi="Arial"/>
                <w:sz w:val="18"/>
                <w:szCs w:val="18"/>
                <w:color w:val="auto"/>
              </w:rPr>
              <w:t>Benefits paid</w:t>
            </w:r>
          </w:p>
        </w:tc>
        <w:tc>
          <w:tcPr>
            <w:tcW w:w="38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(30,427)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(37,564)</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(20,117)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(20,375)</w:t>
            </w:r>
          </w:p>
        </w:tc>
      </w:tr>
      <w:tr>
        <w:trPr>
          <w:trHeight w:val="27"/>
        </w:trPr>
        <w:tc>
          <w:tcPr>
            <w:tcW w:w="4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4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Fair value of plan assets at end of year</w:t>
            </w:r>
          </w:p>
        </w:tc>
        <w:tc>
          <w:tcPr>
            <w:tcW w:w="3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1,023,676</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2"/>
              </w:rPr>
              <w:t>1,041,902</w:t>
            </w:r>
          </w:p>
        </w:tc>
        <w:tc>
          <w:tcPr>
            <w:tcW w:w="2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37"/>
        </w:trPr>
        <w:tc>
          <w:tcPr>
            <w:tcW w:w="4960" w:type="dxa"/>
            <w:vAlign w:val="bottom"/>
            <w:gridSpan w:val="2"/>
          </w:tcPr>
          <w:p>
            <w:pPr>
              <w:ind w:left="40"/>
              <w:spacing w:after="0"/>
              <w:rPr>
                <w:sz w:val="20"/>
                <w:szCs w:val="20"/>
                <w:color w:val="auto"/>
              </w:rPr>
            </w:pPr>
            <w:r>
              <w:rPr>
                <w:rFonts w:ascii="Arial" w:cs="Arial" w:eastAsia="Arial" w:hAnsi="Arial"/>
                <w:sz w:val="18"/>
                <w:szCs w:val="18"/>
                <w:b w:val="1"/>
                <w:bCs w:val="1"/>
                <w:color w:val="auto"/>
              </w:rPr>
              <w:t>Funded status at end of year</w:t>
            </w:r>
          </w:p>
        </w:tc>
        <w:tc>
          <w:tcPr>
            <w:tcW w:w="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(94,642)</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(127,522)</w:t>
            </w:r>
          </w:p>
        </w:tc>
        <w:tc>
          <w:tcPr>
            <w:tcW w:w="200" w:type="dxa"/>
            <w:vAlign w:val="bottom"/>
          </w:tcPr>
          <w:p>
            <w:pPr>
              <w:spacing w:after="0"/>
              <w:rPr>
                <w:sz w:val="20"/>
                <w:szCs w:val="20"/>
                <w:color w:val="auto"/>
              </w:rPr>
            </w:pPr>
          </w:p>
        </w:tc>
        <w:tc>
          <w:tcPr>
            <w:tcW w:w="4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(242,846)</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(255,617)</w:t>
            </w:r>
          </w:p>
        </w:tc>
      </w:tr>
      <w:tr>
        <w:trPr>
          <w:trHeight w:val="81"/>
        </w:trPr>
        <w:tc>
          <w:tcPr>
            <w:tcW w:w="484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00" w:type="dxa"/>
            <w:vAlign w:val="bottom"/>
            <w:tcBorders>
              <w:bottom w:val="single" w:sz="8" w:color="CCEEFF"/>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r>
      <w:tr>
        <w:trPr>
          <w:trHeight w:val="210"/>
        </w:trPr>
        <w:tc>
          <w:tcPr>
            <w:tcW w:w="4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43"/>
        </w:trPr>
        <w:tc>
          <w:tcPr>
            <w:tcW w:w="4960" w:type="dxa"/>
            <w:vAlign w:val="bottom"/>
            <w:gridSpan w:val="2"/>
          </w:tcPr>
          <w:p>
            <w:pPr>
              <w:ind w:left="40"/>
              <w:spacing w:after="0"/>
              <w:rPr>
                <w:sz w:val="20"/>
                <w:szCs w:val="20"/>
                <w:color w:val="auto"/>
              </w:rPr>
            </w:pPr>
            <w:r>
              <w:rPr>
                <w:rFonts w:ascii="Arial" w:cs="Arial" w:eastAsia="Arial" w:hAnsi="Arial"/>
                <w:sz w:val="18"/>
                <w:szCs w:val="18"/>
                <w:b w:val="1"/>
                <w:bCs w:val="1"/>
                <w:color w:val="auto"/>
                <w:w w:val="99"/>
              </w:rPr>
              <w:t>Amounts recognized in the Consolidated Balance Sheets:</w:t>
            </w: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4960" w:type="dxa"/>
            <w:vAlign w:val="bottom"/>
            <w:gridSpan w:val="2"/>
          </w:tcPr>
          <w:p>
            <w:pPr>
              <w:ind w:left="40"/>
              <w:spacing w:after="0"/>
              <w:rPr>
                <w:sz w:val="20"/>
                <w:szCs w:val="20"/>
                <w:color w:val="auto"/>
              </w:rPr>
            </w:pPr>
            <w:r>
              <w:rPr>
                <w:rFonts w:ascii="Arial" w:cs="Arial" w:eastAsia="Arial" w:hAnsi="Arial"/>
                <w:sz w:val="18"/>
                <w:szCs w:val="18"/>
                <w:color w:val="auto"/>
              </w:rPr>
              <w:t>Accrued liabilities</w:t>
            </w:r>
          </w:p>
        </w:tc>
        <w:tc>
          <w:tcPr>
            <w:tcW w:w="38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(28,994)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(4,841)</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(22,576)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(24,205)</w:t>
            </w:r>
          </w:p>
        </w:tc>
      </w:tr>
      <w:tr>
        <w:trPr>
          <w:trHeight w:val="27"/>
        </w:trPr>
        <w:tc>
          <w:tcPr>
            <w:tcW w:w="4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(65,687)</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(122,681)</w:t>
            </w:r>
          </w:p>
        </w:tc>
        <w:tc>
          <w:tcPr>
            <w:tcW w:w="2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(220,270)</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(231,412)</w:t>
            </w:r>
          </w:p>
        </w:tc>
      </w:tr>
      <w:tr>
        <w:trPr>
          <w:trHeight w:val="297"/>
        </w:trPr>
        <w:tc>
          <w:tcPr>
            <w:tcW w:w="49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(94,642)</w:t>
            </w:r>
          </w:p>
        </w:tc>
        <w:tc>
          <w:tcPr>
            <w:tcW w:w="10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(127,522)</w:t>
            </w:r>
          </w:p>
        </w:tc>
        <w:tc>
          <w:tcPr>
            <w:tcW w:w="2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(242,846)</w:t>
            </w:r>
          </w:p>
        </w:tc>
        <w:tc>
          <w:tcPr>
            <w:tcW w:w="10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(255,617)</w:t>
            </w:r>
          </w:p>
        </w:tc>
      </w:tr>
      <w:tr>
        <w:trPr>
          <w:trHeight w:val="217"/>
        </w:trPr>
        <w:tc>
          <w:tcPr>
            <w:tcW w:w="4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5"/>
        </w:trPr>
        <w:tc>
          <w:tcPr>
            <w:tcW w:w="4960" w:type="dxa"/>
            <w:vAlign w:val="bottom"/>
            <w:gridSpan w:val="2"/>
          </w:tcPr>
          <w:p>
            <w:pPr>
              <w:ind w:left="40"/>
              <w:spacing w:after="0"/>
              <w:rPr>
                <w:sz w:val="20"/>
                <w:szCs w:val="20"/>
                <w:color w:val="auto"/>
              </w:rPr>
            </w:pPr>
            <w:r>
              <w:rPr>
                <w:rFonts w:ascii="Arial" w:cs="Arial" w:eastAsia="Arial" w:hAnsi="Arial"/>
                <w:sz w:val="18"/>
                <w:szCs w:val="18"/>
                <w:b w:val="1"/>
                <w:bCs w:val="1"/>
                <w:color w:val="auto"/>
                <w:w w:val="96"/>
              </w:rPr>
              <w:t>Amounts recognized in Accumulated Other Comprehensive</w:t>
            </w: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4"/>
        </w:trPr>
        <w:tc>
          <w:tcPr>
            <w:tcW w:w="4960" w:type="dxa"/>
            <w:vAlign w:val="bottom"/>
            <w:gridSpan w:val="2"/>
          </w:tcPr>
          <w:p>
            <w:pPr>
              <w:ind w:left="260"/>
              <w:spacing w:after="0"/>
              <w:rPr>
                <w:sz w:val="20"/>
                <w:szCs w:val="20"/>
                <w:color w:val="auto"/>
              </w:rPr>
            </w:pPr>
            <w:r>
              <w:rPr>
                <w:rFonts w:ascii="Arial" w:cs="Arial" w:eastAsia="Arial" w:hAnsi="Arial"/>
                <w:sz w:val="18"/>
                <w:szCs w:val="18"/>
                <w:b w:val="1"/>
                <w:bCs w:val="1"/>
                <w:color w:val="auto"/>
              </w:rPr>
              <w:t>Income (Loss), net of tax:</w:t>
            </w: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4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Actuarial net (loss) gain</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(243,228)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(264,570)</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9,264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7,574</w:t>
            </w:r>
          </w:p>
        </w:tc>
      </w:tr>
      <w:tr>
        <w:trPr>
          <w:trHeight w:val="243"/>
        </w:trPr>
        <w:tc>
          <w:tcPr>
            <w:tcW w:w="4960" w:type="dxa"/>
            <w:vAlign w:val="bottom"/>
            <w:gridSpan w:val="2"/>
          </w:tcPr>
          <w:p>
            <w:pPr>
              <w:ind w:left="40"/>
              <w:spacing w:after="0"/>
              <w:rPr>
                <w:sz w:val="20"/>
                <w:szCs w:val="20"/>
                <w:color w:val="auto"/>
              </w:rPr>
            </w:pPr>
            <w:r>
              <w:rPr>
                <w:rFonts w:ascii="Arial" w:cs="Arial" w:eastAsia="Arial" w:hAnsi="Arial"/>
                <w:sz w:val="18"/>
                <w:szCs w:val="18"/>
                <w:color w:val="auto"/>
              </w:rPr>
              <w:t>Net prior service credit (cost)</w:t>
            </w:r>
          </w:p>
        </w:tc>
        <w:tc>
          <w:tcPr>
            <w:tcW w:w="38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28,360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4,267</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(1,565)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(1,919)</w:t>
            </w:r>
          </w:p>
        </w:tc>
      </w:tr>
      <w:tr>
        <w:trPr>
          <w:trHeight w:val="27"/>
        </w:trPr>
        <w:tc>
          <w:tcPr>
            <w:tcW w:w="4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4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amounts recognized in AOCI</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(214,868)</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(260,303)</w:t>
            </w:r>
          </w:p>
        </w:tc>
        <w:tc>
          <w:tcPr>
            <w:tcW w:w="2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7,699</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5,655</w:t>
            </w:r>
          </w:p>
        </w:tc>
      </w:tr>
      <w:tr>
        <w:trPr>
          <w:trHeight w:val="20"/>
        </w:trPr>
        <w:tc>
          <w:tcPr>
            <w:tcW w:w="4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accumulated benefit obligation for all defined benefit pension plans was $1,081,261 as of December 31, 2016 and $1,129,052 as of December 31, 2015.</w:t>
      </w:r>
    </w:p>
    <w:p>
      <w:pPr>
        <w:spacing w:after="0" w:line="27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00"/>
          </w:cols>
          <w:pgMar w:left="240" w:top="115" w:right="359" w:bottom="1440" w:gutter="0" w:footer="0" w:header="0"/>
        </w:sectPr>
      </w:pPr>
    </w:p>
    <w:bookmarkStart w:id="78" w:name="page79"/>
    <w:bookmarkEnd w:id="78"/>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Plans with accumulated benefit obligations in excess of plan assets were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77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774"/>
              <w:spacing w:after="0"/>
              <w:rPr>
                <w:sz w:val="20"/>
                <w:szCs w:val="20"/>
                <w:color w:val="auto"/>
              </w:rPr>
            </w:pPr>
            <w:r>
              <w:rPr>
                <w:rFonts w:ascii="Arial" w:cs="Arial" w:eastAsia="Arial" w:hAnsi="Arial"/>
                <w:sz w:val="14"/>
                <w:szCs w:val="14"/>
                <w:b w:val="1"/>
                <w:bCs w:val="1"/>
                <w:color w:val="auto"/>
              </w:rPr>
              <w:t>2015</w:t>
            </w:r>
          </w:p>
        </w:tc>
      </w:tr>
      <w:tr>
        <w:trPr>
          <w:trHeight w:val="250"/>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Projected benefit obligation</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1,118,294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1,110,232</w:t>
            </w:r>
          </w:p>
        </w:tc>
      </w:tr>
      <w:tr>
        <w:trPr>
          <w:trHeight w:val="243"/>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Accumulated benefit obligation</w:t>
            </w:r>
          </w:p>
        </w:tc>
        <w:tc>
          <w:tcPr>
            <w:tcW w:w="48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1,081,254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1,081,002</w:t>
            </w:r>
          </w:p>
        </w:tc>
      </w:tr>
      <w:tr>
        <w:trPr>
          <w:trHeight w:val="27"/>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43"/>
        </w:trPr>
        <w:tc>
          <w:tcPr>
            <w:tcW w:w="7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Fair value of plan assets</w:t>
            </w:r>
          </w:p>
        </w:tc>
        <w:tc>
          <w:tcPr>
            <w:tcW w:w="48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1,023,613</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985,111</w:t>
            </w:r>
          </w:p>
        </w:tc>
      </w:tr>
      <w:tr>
        <w:trPr>
          <w:trHeight w:val="27"/>
        </w:trPr>
        <w:tc>
          <w:tcPr>
            <w:tcW w:w="7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Periodic Benefit Cost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cost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spacing w:after="0"/>
              <w:rPr>
                <w:sz w:val="20"/>
                <w:szCs w:val="20"/>
                <w:color w:val="auto"/>
              </w:rPr>
            </w:pPr>
            <w:r>
              <w:rPr>
                <w:rFonts w:ascii="Arial" w:cs="Arial" w:eastAsia="Arial" w:hAnsi="Arial"/>
                <w:sz w:val="16"/>
                <w:szCs w:val="16"/>
                <w:b w:val="1"/>
                <w:bCs w:val="1"/>
                <w:color w:val="auto"/>
                <w:w w:val="97"/>
              </w:rPr>
              <w:t>Pension Benefits</w:t>
            </w: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ind w:left="100"/>
              <w:spacing w:after="0"/>
              <w:rPr>
                <w:sz w:val="20"/>
                <w:szCs w:val="20"/>
                <w:color w:val="auto"/>
              </w:rPr>
            </w:pPr>
            <w:r>
              <w:rPr>
                <w:rFonts w:ascii="Arial" w:cs="Arial" w:eastAsia="Arial" w:hAnsi="Arial"/>
                <w:sz w:val="16"/>
                <w:szCs w:val="16"/>
                <w:b w:val="1"/>
                <w:bCs w:val="1"/>
                <w:color w:val="auto"/>
              </w:rPr>
              <w:t>Other Benefits</w:t>
            </w: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3"/>
        </w:trPr>
        <w:tc>
          <w:tcPr>
            <w:tcW w:w="344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1"/>
        </w:trPr>
        <w:tc>
          <w:tcPr>
            <w:tcW w:w="3440" w:type="dxa"/>
            <w:vAlign w:val="bottom"/>
            <w:gridSpan w:val="2"/>
          </w:tcPr>
          <w:p>
            <w:pPr>
              <w:spacing w:after="0"/>
              <w:rPr>
                <w:sz w:val="20"/>
                <w:szCs w:val="20"/>
                <w:color w:val="auto"/>
              </w:rPr>
            </w:pPr>
            <w:r>
              <w:rPr>
                <w:rFonts w:ascii="Arial" w:cs="Arial" w:eastAsia="Arial" w:hAnsi="Arial"/>
                <w:sz w:val="16"/>
                <w:szCs w:val="16"/>
                <w:b w:val="1"/>
                <w:bCs w:val="1"/>
                <w:color w:val="auto"/>
              </w:rPr>
              <w:t>For the years ended December 31,</w:t>
            </w:r>
          </w:p>
        </w:tc>
        <w:tc>
          <w:tcPr>
            <w:tcW w:w="340" w:type="dxa"/>
            <w:vAlign w:val="bottom"/>
          </w:tcPr>
          <w:p>
            <w:pPr>
              <w:spacing w:after="0"/>
              <w:rPr>
                <w:sz w:val="20"/>
                <w:szCs w:val="20"/>
                <w:color w:val="auto"/>
              </w:rPr>
            </w:pPr>
          </w:p>
        </w:tc>
        <w:tc>
          <w:tcPr>
            <w:tcW w:w="840" w:type="dxa"/>
            <w:vAlign w:val="bottom"/>
          </w:tcPr>
          <w:p>
            <w:pPr>
              <w:jc w:val="right"/>
              <w:ind w:right="291"/>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5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ind w:right="351"/>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ind w:right="29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jc w:val="right"/>
              <w:ind w:right="29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ind w:right="311"/>
              <w:spacing w:after="0"/>
              <w:rPr>
                <w:sz w:val="20"/>
                <w:szCs w:val="20"/>
                <w:color w:val="auto"/>
              </w:rPr>
            </w:pPr>
            <w:r>
              <w:rPr>
                <w:rFonts w:ascii="Arial" w:cs="Arial" w:eastAsia="Arial" w:hAnsi="Arial"/>
                <w:sz w:val="16"/>
                <w:szCs w:val="16"/>
                <w:b w:val="1"/>
                <w:bCs w:val="1"/>
                <w:color w:val="auto"/>
              </w:rPr>
              <w:t>2014</w:t>
            </w:r>
          </w:p>
        </w:tc>
      </w:tr>
      <w:tr>
        <w:trPr>
          <w:trHeight w:val="33"/>
        </w:trPr>
        <w:tc>
          <w:tcPr>
            <w:tcW w:w="3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8"/>
        </w:trPr>
        <w:tc>
          <w:tcPr>
            <w:tcW w:w="344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Amounts recognized in net periodic</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41"/>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benefit cost</w:t>
            </w:r>
          </w:p>
        </w:tc>
        <w:tc>
          <w:tcPr>
            <w:tcW w:w="3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r>
      <w:tr>
        <w:trPr>
          <w:trHeight w:val="243"/>
        </w:trPr>
        <w:tc>
          <w:tcPr>
            <w:tcW w:w="3440" w:type="dxa"/>
            <w:vAlign w:val="bottom"/>
            <w:gridSpan w:val="2"/>
          </w:tcPr>
          <w:p>
            <w:pPr>
              <w:ind w:left="40"/>
              <w:spacing w:after="0"/>
              <w:rPr>
                <w:sz w:val="20"/>
                <w:szCs w:val="20"/>
                <w:color w:val="auto"/>
              </w:rPr>
            </w:pPr>
            <w:r>
              <w:rPr>
                <w:rFonts w:ascii="Arial" w:cs="Arial" w:eastAsia="Arial" w:hAnsi="Arial"/>
                <w:sz w:val="18"/>
                <w:szCs w:val="18"/>
                <w:color w:val="auto"/>
              </w:rPr>
              <w:t>Service cost</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23,075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28,300</w:t>
            </w:r>
          </w:p>
        </w:tc>
        <w:tc>
          <w:tcPr>
            <w:tcW w:w="100" w:type="dxa"/>
            <w:vAlign w:val="bottom"/>
          </w:tcPr>
          <w:p>
            <w:pPr>
              <w:spacing w:after="0"/>
              <w:rPr>
                <w:sz w:val="21"/>
                <w:szCs w:val="21"/>
                <w:color w:val="auto"/>
              </w:rPr>
            </w:pP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26,935</w:t>
            </w:r>
          </w:p>
        </w:tc>
        <w:tc>
          <w:tcPr>
            <w:tcW w:w="100" w:type="dxa"/>
            <w:vAlign w:val="bottom"/>
          </w:tcPr>
          <w:p>
            <w:pPr>
              <w:spacing w:after="0"/>
              <w:rPr>
                <w:sz w:val="21"/>
                <w:szCs w:val="21"/>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1"/>
                <w:szCs w:val="21"/>
                <w:color w:val="auto"/>
              </w:rPr>
            </w:pPr>
          </w:p>
        </w:tc>
        <w:tc>
          <w:tcPr>
            <w:tcW w:w="3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21"/>
                <w:szCs w:val="21"/>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706</w:t>
            </w:r>
          </w:p>
        </w:tc>
      </w:tr>
      <w:tr>
        <w:trPr>
          <w:trHeight w:val="27"/>
        </w:trPr>
        <w:tc>
          <w:tcPr>
            <w:tcW w:w="3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41,875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44,179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48,886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11,696</w:t>
            </w:r>
          </w:p>
        </w:tc>
      </w:tr>
      <w:tr>
        <w:trPr>
          <w:trHeight w:val="243"/>
        </w:trPr>
        <w:tc>
          <w:tcPr>
            <w:tcW w:w="3440" w:type="dxa"/>
            <w:vAlign w:val="bottom"/>
            <w:gridSpan w:val="2"/>
          </w:tcPr>
          <w:p>
            <w:pPr>
              <w:ind w:left="40"/>
              <w:spacing w:after="0"/>
              <w:rPr>
                <w:sz w:val="20"/>
                <w:szCs w:val="20"/>
                <w:color w:val="auto"/>
              </w:rPr>
            </w:pPr>
            <w:r>
              <w:rPr>
                <w:rFonts w:ascii="Arial" w:cs="Arial" w:eastAsia="Arial" w:hAnsi="Arial"/>
                <w:sz w:val="18"/>
                <w:szCs w:val="18"/>
                <w:color w:val="auto"/>
              </w:rPr>
              <w:t>Expected return on plan assets</w:t>
            </w: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(58,820)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(68,830)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(74,080)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(credit) cost</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616</w:t>
            </w:r>
          </w:p>
        </w:tc>
      </w:tr>
      <w:tr>
        <w:trPr>
          <w:trHeight w:val="243"/>
        </w:trPr>
        <w:tc>
          <w:tcPr>
            <w:tcW w:w="3440" w:type="dxa"/>
            <w:vAlign w:val="bottom"/>
            <w:gridSpan w:val="2"/>
          </w:tcPr>
          <w:p>
            <w:pPr>
              <w:ind w:left="40"/>
              <w:spacing w:after="0"/>
              <w:rPr>
                <w:sz w:val="20"/>
                <w:szCs w:val="20"/>
                <w:color w:val="auto"/>
              </w:rPr>
            </w:pPr>
            <w:r>
              <w:rPr>
                <w:rFonts w:ascii="Arial" w:cs="Arial" w:eastAsia="Arial" w:hAnsi="Arial"/>
                <w:sz w:val="18"/>
                <w:szCs w:val="18"/>
                <w:color w:val="auto"/>
              </w:rPr>
              <w:t>Amortization of net loss (gain)</w:t>
            </w:r>
          </w:p>
        </w:tc>
        <w:tc>
          <w:tcPr>
            <w:tcW w:w="34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34,940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30,510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23,360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7"/>
        </w:trPr>
        <w:tc>
          <w:tcPr>
            <w:tcW w:w="3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Curtailment credit</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3440" w:type="dxa"/>
            <w:vAlign w:val="bottom"/>
            <w:gridSpan w:val="2"/>
          </w:tcPr>
          <w:p>
            <w:pPr>
              <w:ind w:left="40"/>
              <w:spacing w:after="0"/>
              <w:rPr>
                <w:sz w:val="20"/>
                <w:szCs w:val="20"/>
                <w:color w:val="auto"/>
              </w:rPr>
            </w:pPr>
            <w:r>
              <w:rPr>
                <w:rFonts w:ascii="Arial" w:cs="Arial" w:eastAsia="Arial" w:hAnsi="Arial"/>
                <w:sz w:val="18"/>
                <w:szCs w:val="18"/>
                <w:color w:val="auto"/>
              </w:rPr>
              <w:t>Settlement loss</w:t>
            </w:r>
          </w:p>
        </w:tc>
        <w:tc>
          <w:tcPr>
            <w:tcW w:w="34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22,657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23,067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net periodic benefit cost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62,172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55,360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24,434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10,592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11,487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12,877</w:t>
            </w:r>
          </w:p>
        </w:tc>
      </w:tr>
      <w:tr>
        <w:trPr>
          <w:trHeight w:val="20"/>
        </w:trPr>
        <w:tc>
          <w:tcPr>
            <w:tcW w:w="3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78040" cy="3086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8040" cy="308610"/>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p>
      <w:pPr>
        <w:spacing w:after="0" w:line="238" w:lineRule="exact"/>
        <w:rPr>
          <w:sz w:val="20"/>
          <w:szCs w:val="20"/>
          <w:color w:val="auto"/>
        </w:rPr>
      </w:pPr>
    </w:p>
    <w:p>
      <w:pPr>
        <w:ind w:left="40" w:right="40"/>
        <w:spacing w:after="0" w:line="319" w:lineRule="auto"/>
        <w:rPr>
          <w:sz w:val="20"/>
          <w:szCs w:val="20"/>
          <w:color w:val="auto"/>
        </w:rPr>
      </w:pPr>
      <w:r>
        <w:rPr>
          <w:rFonts w:ascii="Arial" w:cs="Arial" w:eastAsia="Arial" w:hAnsi="Arial"/>
          <w:sz w:val="16"/>
          <w:szCs w:val="16"/>
          <w:b w:val="1"/>
          <w:bCs w:val="1"/>
          <w:color w:val="auto"/>
        </w:rPr>
        <w:t>Change in plan assets and benefit obligations recognized in AOCI, pre-tax</w:t>
      </w:r>
    </w:p>
    <w:p>
      <w:pPr>
        <w:spacing w:after="0" w:line="1" w:lineRule="exact"/>
        <w:rPr>
          <w:sz w:val="20"/>
          <w:szCs w:val="20"/>
          <w:color w:val="auto"/>
        </w:rPr>
      </w:pPr>
    </w:p>
    <w:p>
      <w:pPr>
        <w:ind w:left="40" w:right="1280"/>
        <w:spacing w:after="0" w:line="352" w:lineRule="auto"/>
        <w:rPr>
          <w:sz w:val="20"/>
          <w:szCs w:val="20"/>
          <w:color w:val="auto"/>
        </w:rPr>
      </w:pPr>
      <w:r>
        <w:rPr>
          <w:rFonts w:ascii="Arial" w:cs="Arial" w:eastAsia="Arial" w:hAnsi="Arial"/>
          <w:sz w:val="16"/>
          <w:szCs w:val="16"/>
          <w:color w:val="auto"/>
        </w:rPr>
        <w:t>Actuarial net (gain) loss Prior service (credit) cost</w:t>
      </w:r>
    </w:p>
    <w:p>
      <w:pPr>
        <w:spacing w:after="0" w:line="1" w:lineRule="exact"/>
        <w:rPr>
          <w:sz w:val="20"/>
          <w:szCs w:val="20"/>
          <w:color w:val="auto"/>
        </w:rPr>
      </w:pPr>
    </w:p>
    <w:p>
      <w:pPr>
        <w:ind w:left="40" w:right="160"/>
        <w:spacing w:after="0" w:line="308" w:lineRule="auto"/>
        <w:rPr>
          <w:sz w:val="20"/>
          <w:szCs w:val="20"/>
          <w:color w:val="auto"/>
        </w:rPr>
      </w:pPr>
      <w:r>
        <w:rPr>
          <w:rFonts w:ascii="Arial" w:cs="Arial" w:eastAsia="Arial" w:hAnsi="Arial"/>
          <w:sz w:val="17"/>
          <w:szCs w:val="17"/>
          <w:color w:val="auto"/>
        </w:rPr>
        <w:t>Total recognized in other comprehensive (income) loss, pre-tax</w:t>
      </w:r>
    </w:p>
    <w:p>
      <w:pPr>
        <w:spacing w:after="0" w:line="66"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Net amounts recognized in periodic benefit cost and AOCI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(31,772)</w:t>
            </w:r>
          </w:p>
        </w:tc>
        <w:tc>
          <w:tcPr>
            <w:tcW w:w="120" w:type="dxa"/>
            <w:vAlign w:val="bottom"/>
          </w:tcPr>
          <w:p>
            <w:pPr>
              <w:spacing w:after="0"/>
              <w:rPr>
                <w:sz w:val="20"/>
                <w:szCs w:val="20"/>
                <w:color w:val="auto"/>
              </w:rPr>
            </w:pP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(21,554)</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99,136</w:t>
            </w:r>
          </w:p>
        </w:tc>
        <w:tc>
          <w:tcPr>
            <w:tcW w:w="100" w:type="dxa"/>
            <w:vAlign w:val="bottom"/>
          </w:tcPr>
          <w:p>
            <w:pPr>
              <w:spacing w:after="0"/>
              <w:rPr>
                <w:sz w:val="20"/>
                <w:szCs w:val="20"/>
                <w:color w:val="auto"/>
              </w:rPr>
            </w:pP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(3,047)</w:t>
            </w:r>
          </w:p>
        </w:tc>
        <w:tc>
          <w:tcPr>
            <w:tcW w:w="100" w:type="dxa"/>
            <w:vAlign w:val="bottom"/>
          </w:tcPr>
          <w:p>
            <w:pPr>
              <w:spacing w:after="0"/>
              <w:rPr>
                <w:sz w:val="20"/>
                <w:szCs w:val="20"/>
                <w:color w:val="auto"/>
              </w:rPr>
            </w:pP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(26,270)</w:t>
            </w:r>
          </w:p>
        </w:tc>
        <w:tc>
          <w:tcPr>
            <w:tcW w:w="100" w:type="dxa"/>
            <w:vAlign w:val="bottom"/>
          </w:tcPr>
          <w:p>
            <w:pPr>
              <w:spacing w:after="0"/>
              <w:rPr>
                <w:sz w:val="20"/>
                <w:szCs w:val="20"/>
                <w:color w:val="auto"/>
              </w:rPr>
            </w:pP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36,021</w:t>
            </w:r>
          </w:p>
        </w:tc>
      </w:tr>
      <w:tr>
        <w:trPr>
          <w:trHeight w:val="270"/>
        </w:trPr>
        <w:tc>
          <w:tcPr>
            <w:tcW w:w="3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(41,517)</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1,748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(629)</w:t>
            </w:r>
          </w:p>
        </w:tc>
      </w:tr>
      <w:tr>
        <w:trPr>
          <w:trHeight w:val="27"/>
        </w:trPr>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507"/>
        </w:trPr>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(73,289)</w:t>
            </w:r>
          </w:p>
        </w:tc>
        <w:tc>
          <w:tcPr>
            <w:tcW w:w="120" w:type="dxa"/>
            <w:vAlign w:val="bottom"/>
          </w:tcPr>
          <w:p>
            <w:pPr>
              <w:spacing w:after="0"/>
              <w:rPr>
                <w:sz w:val="24"/>
                <w:szCs w:val="24"/>
                <w:color w:val="auto"/>
              </w:rPr>
            </w:pP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(19,806)</w:t>
            </w:r>
          </w:p>
        </w:tc>
        <w:tc>
          <w:tcPr>
            <w:tcW w:w="100" w:type="dxa"/>
            <w:vAlign w:val="bottom"/>
          </w:tcPr>
          <w:p>
            <w:pPr>
              <w:spacing w:after="0"/>
              <w:rPr>
                <w:sz w:val="24"/>
                <w:szCs w:val="24"/>
                <w:color w:val="auto"/>
              </w:rPr>
            </w:pP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99,969</w:t>
            </w:r>
          </w:p>
        </w:tc>
        <w:tc>
          <w:tcPr>
            <w:tcW w:w="100" w:type="dxa"/>
            <w:vAlign w:val="bottom"/>
          </w:tcPr>
          <w:p>
            <w:pPr>
              <w:spacing w:after="0"/>
              <w:rPr>
                <w:sz w:val="24"/>
                <w:szCs w:val="24"/>
                <w:color w:val="auto"/>
              </w:rPr>
            </w:pP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(3,619)</w:t>
            </w:r>
          </w:p>
        </w:tc>
        <w:tc>
          <w:tcPr>
            <w:tcW w:w="100" w:type="dxa"/>
            <w:vAlign w:val="bottom"/>
          </w:tcPr>
          <w:p>
            <w:pPr>
              <w:spacing w:after="0"/>
              <w:rPr>
                <w:sz w:val="24"/>
                <w:szCs w:val="24"/>
                <w:color w:val="auto"/>
              </w:rPr>
            </w:pP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(27,104)</w:t>
            </w:r>
          </w:p>
        </w:tc>
        <w:tc>
          <w:tcPr>
            <w:tcW w:w="100" w:type="dxa"/>
            <w:vAlign w:val="bottom"/>
          </w:tcPr>
          <w:p>
            <w:pPr>
              <w:spacing w:after="0"/>
              <w:rPr>
                <w:sz w:val="24"/>
                <w:szCs w:val="24"/>
                <w:color w:val="auto"/>
              </w:rPr>
            </w:pP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35,392</w:t>
            </w:r>
          </w:p>
        </w:tc>
      </w:tr>
      <w:tr>
        <w:trPr>
          <w:trHeight w:val="27"/>
        </w:trPr>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399"/>
        </w:trPr>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(11,117)</w:t>
            </w:r>
          </w:p>
        </w:tc>
        <w:tc>
          <w:tcPr>
            <w:tcW w:w="120" w:type="dxa"/>
            <w:vAlign w:val="bottom"/>
          </w:tcPr>
          <w:p>
            <w:pPr>
              <w:spacing w:after="0"/>
              <w:rPr>
                <w:sz w:val="24"/>
                <w:szCs w:val="24"/>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35,554</w:t>
            </w:r>
          </w:p>
        </w:tc>
        <w:tc>
          <w:tcPr>
            <w:tcW w:w="10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124,403</w:t>
            </w:r>
          </w:p>
        </w:tc>
        <w:tc>
          <w:tcPr>
            <w:tcW w:w="100" w:type="dxa"/>
            <w:vAlign w:val="bottom"/>
          </w:tcPr>
          <w:p>
            <w:pPr>
              <w:spacing w:after="0"/>
              <w:rPr>
                <w:sz w:val="24"/>
                <w:szCs w:val="24"/>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6,973</w:t>
            </w:r>
          </w:p>
        </w:tc>
        <w:tc>
          <w:tcPr>
            <w:tcW w:w="10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(15,617)</w:t>
            </w:r>
          </w:p>
        </w:tc>
        <w:tc>
          <w:tcPr>
            <w:tcW w:w="10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48,269</w:t>
            </w:r>
          </w:p>
        </w:tc>
      </w:tr>
      <w:tr>
        <w:trPr>
          <w:trHeight w:val="27"/>
        </w:trPr>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-2178685</wp:posOffset>
            </wp:positionH>
            <wp:positionV relativeFrom="paragraph">
              <wp:posOffset>-857250</wp:posOffset>
            </wp:positionV>
            <wp:extent cx="717804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17145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-325120</wp:posOffset>
            </wp:positionV>
            <wp:extent cx="7178040" cy="3086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8040" cy="308610"/>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2">
            <w:col w:w="3140" w:space="300"/>
            <w:col w:w="7980"/>
          </w:cols>
          <w:pgMar w:left="240" w:top="115" w:right="239" w:bottom="1440" w:gutter="0" w:footer="0" w:header="0"/>
          <w:type w:val="continuous"/>
        </w:sectPr>
      </w:pPr>
    </w:p>
    <w:p>
      <w:pPr>
        <w:spacing w:after="0"/>
        <w:rPr>
          <w:sz w:val="20"/>
          <w:szCs w:val="20"/>
          <w:color w:val="auto"/>
        </w:rPr>
      </w:pPr>
      <w:r>
        <w:rPr>
          <w:rFonts w:ascii="Arial" w:cs="Arial" w:eastAsia="Arial" w:hAnsi="Arial"/>
          <w:sz w:val="18"/>
          <w:szCs w:val="18"/>
          <w:color w:val="auto"/>
        </w:rPr>
        <w:t>Amounts expected to be amortized from AOCI into net periodic benefit cost during 2017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Pension Plans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2"/>
          </w:tcPr>
          <w:p>
            <w:pPr>
              <w:jc w:val="right"/>
              <w:ind w:right="222"/>
              <w:spacing w:after="0"/>
              <w:rPr>
                <w:sz w:val="20"/>
                <w:szCs w:val="20"/>
                <w:color w:val="auto"/>
              </w:rPr>
            </w:pPr>
            <w:r>
              <w:rPr>
                <w:rFonts w:ascii="Arial" w:cs="Arial" w:eastAsia="Arial" w:hAnsi="Arial"/>
                <w:sz w:val="14"/>
                <w:szCs w:val="14"/>
                <w:b w:val="1"/>
                <w:bCs w:val="1"/>
                <w:color w:val="auto"/>
              </w:rPr>
              <w:t>Post-Retirement</w:t>
            </w:r>
          </w:p>
        </w:tc>
        <w:tc>
          <w:tcPr>
            <w:tcW w:w="0" w:type="dxa"/>
            <w:vAlign w:val="bottom"/>
          </w:tcPr>
          <w:p>
            <w:pPr>
              <w:spacing w:after="0"/>
              <w:rPr>
                <w:sz w:val="1"/>
                <w:szCs w:val="1"/>
                <w:color w:val="auto"/>
              </w:rPr>
            </w:pPr>
          </w:p>
        </w:tc>
      </w:tr>
      <w:tr>
        <w:trPr>
          <w:trHeight w:val="192"/>
        </w:trPr>
        <w:tc>
          <w:tcPr>
            <w:tcW w:w="4340" w:type="dxa"/>
            <w:vAlign w:val="bottom"/>
            <w:tcBorders>
              <w:bottom w:val="single" w:sz="8" w:color="CCEEFF"/>
            </w:tcBorders>
          </w:tcPr>
          <w:p>
            <w:pPr>
              <w:spacing w:after="0"/>
              <w:rPr>
                <w:sz w:val="16"/>
                <w:szCs w:val="16"/>
                <w:color w:val="auto"/>
              </w:rPr>
            </w:pPr>
          </w:p>
        </w:tc>
        <w:tc>
          <w:tcPr>
            <w:tcW w:w="16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w w:val="96"/>
              </w:rPr>
              <w:t>Benefit Plans</w:t>
            </w:r>
          </w:p>
        </w:tc>
        <w:tc>
          <w:tcPr>
            <w:tcW w:w="0" w:type="dxa"/>
            <w:vAlign w:val="bottom"/>
          </w:tcPr>
          <w:p>
            <w:pPr>
              <w:spacing w:after="0"/>
              <w:rPr>
                <w:sz w:val="1"/>
                <w:szCs w:val="1"/>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net actuarial loss (gain)</w:t>
            </w:r>
          </w:p>
        </w:tc>
        <w:tc>
          <w:tcPr>
            <w:tcW w:w="3540" w:type="dxa"/>
            <w:vAlign w:val="bottom"/>
            <w:tcBorders>
              <w:bottom w:val="single" w:sz="8" w:color="CCEEFF"/>
            </w:tcBorders>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33,567</w:t>
            </w:r>
          </w:p>
        </w:tc>
        <w:tc>
          <w:tcPr>
            <w:tcW w:w="52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Amortization of prior service (credit) cost</w:t>
            </w:r>
          </w:p>
        </w:tc>
        <w:tc>
          <w:tcPr>
            <w:tcW w:w="3540" w:type="dxa"/>
            <w:vAlign w:val="bottom"/>
            <w:gridSpan w:val="6"/>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(5,822)</w:t>
            </w:r>
          </w:p>
        </w:tc>
        <w:tc>
          <w:tcPr>
            <w:tcW w:w="520" w:type="dxa"/>
            <w:vAlign w:val="bottom"/>
            <w:gridSpan w:val="3"/>
          </w:tcPr>
          <w:p>
            <w:pPr>
              <w:jc w:val="right"/>
              <w:ind w:right="108"/>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22"/>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486"/>
        </w:trPr>
        <w:tc>
          <w:tcPr>
            <w:tcW w:w="4340" w:type="dxa"/>
            <w:vAlign w:val="bottom"/>
          </w:tcPr>
          <w:p>
            <w:pPr>
              <w:spacing w:after="0"/>
              <w:rPr>
                <w:sz w:val="20"/>
                <w:szCs w:val="20"/>
                <w:color w:val="auto"/>
              </w:rPr>
            </w:pPr>
            <w:r>
              <w:rPr>
                <w:rFonts w:ascii="Arial" w:cs="Arial" w:eastAsia="Arial" w:hAnsi="Arial"/>
                <w:sz w:val="18"/>
                <w:szCs w:val="18"/>
                <w:b w:val="1"/>
                <w:bCs w:val="1"/>
                <w:color w:val="auto"/>
              </w:rPr>
              <w:t>Assumptions</w:t>
            </w: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880" w:type="dxa"/>
            <w:vAlign w:val="bottom"/>
            <w:gridSpan w:val="7"/>
          </w:tcPr>
          <w:p>
            <w:pPr>
              <w:spacing w:after="0"/>
              <w:rPr>
                <w:sz w:val="20"/>
                <w:szCs w:val="20"/>
                <w:color w:val="auto"/>
              </w:rPr>
            </w:pPr>
            <w:r>
              <w:rPr>
                <w:rFonts w:ascii="Arial" w:cs="Arial" w:eastAsia="Arial" w:hAnsi="Arial"/>
                <w:sz w:val="18"/>
                <w:szCs w:val="18"/>
                <w:color w:val="auto"/>
              </w:rPr>
              <w:t>The weighted-average assumptions used in computing the benefit obligations were as follows:</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Pension Benefits</w:t>
            </w: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ind w:right="722"/>
              <w:spacing w:after="0"/>
              <w:rPr>
                <w:sz w:val="20"/>
                <w:szCs w:val="20"/>
                <w:color w:val="auto"/>
              </w:rPr>
            </w:pPr>
            <w:r>
              <w:rPr>
                <w:rFonts w:ascii="Arial" w:cs="Arial" w:eastAsia="Arial" w:hAnsi="Arial"/>
                <w:sz w:val="14"/>
                <w:szCs w:val="14"/>
                <w:b w:val="1"/>
                <w:bCs w:val="1"/>
                <w:color w:val="auto"/>
                <w:w w:val="93"/>
              </w:rPr>
              <w:t>Other Benefits</w:t>
            </w:r>
          </w:p>
        </w:tc>
        <w:tc>
          <w:tcPr>
            <w:tcW w:w="0" w:type="dxa"/>
            <w:vAlign w:val="bottom"/>
          </w:tcPr>
          <w:p>
            <w:pPr>
              <w:spacing w:after="0"/>
              <w:rPr>
                <w:sz w:val="1"/>
                <w:szCs w:val="1"/>
                <w:color w:val="auto"/>
              </w:rPr>
            </w:pPr>
          </w:p>
        </w:tc>
      </w:tr>
      <w:tr>
        <w:trPr>
          <w:trHeight w:val="264"/>
        </w:trPr>
        <w:tc>
          <w:tcPr>
            <w:tcW w:w="43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December 31,</w:t>
            </w:r>
          </w:p>
        </w:tc>
        <w:tc>
          <w:tcPr>
            <w:tcW w:w="16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29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w w:val="97"/>
              </w:rPr>
              <w:t>4.0%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Rate of increase in compensation levels</w:t>
            </w:r>
          </w:p>
        </w:tc>
        <w:tc>
          <w:tcPr>
            <w:tcW w:w="2980" w:type="dxa"/>
            <w:vAlign w:val="bottom"/>
            <w:gridSpan w:val="3"/>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ind w:left="320"/>
              <w:spacing w:after="0"/>
              <w:rPr>
                <w:sz w:val="20"/>
                <w:szCs w:val="20"/>
                <w:color w:val="auto"/>
              </w:rPr>
            </w:pPr>
            <w:r>
              <w:rPr>
                <w:rFonts w:ascii="Arial" w:cs="Arial" w:eastAsia="Arial" w:hAnsi="Arial"/>
                <w:sz w:val="18"/>
                <w:szCs w:val="18"/>
                <w:color w:val="auto"/>
                <w:w w:val="97"/>
              </w:rPr>
              <w:t>3.8%</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gridSpan w:val="3"/>
          </w:tcPr>
          <w:p>
            <w:pPr>
              <w:jc w:val="right"/>
              <w:ind w:right="108"/>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21"/>
                <w:szCs w:val="21"/>
                <w:color w:val="auto"/>
              </w:rPr>
            </w:pPr>
          </w:p>
        </w:tc>
        <w:tc>
          <w:tcPr>
            <w:tcW w:w="1300" w:type="dxa"/>
            <w:vAlign w:val="bottom"/>
          </w:tcPr>
          <w:p>
            <w:pPr>
              <w:jc w:val="right"/>
              <w:ind w:right="122"/>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486"/>
        </w:trPr>
        <w:tc>
          <w:tcPr>
            <w:tcW w:w="4340" w:type="dxa"/>
            <w:vAlign w:val="bottom"/>
          </w:tcPr>
          <w:p>
            <w:pPr>
              <w:spacing w:after="0"/>
              <w:rPr>
                <w:sz w:val="24"/>
                <w:szCs w:val="24"/>
                <w:color w:val="auto"/>
              </w:rPr>
            </w:pPr>
          </w:p>
        </w:tc>
        <w:tc>
          <w:tcPr>
            <w:tcW w:w="1680" w:type="dxa"/>
            <w:vAlign w:val="bottom"/>
          </w:tcPr>
          <w:p>
            <w:pPr>
              <w:jc w:val="right"/>
              <w:ind w:right="13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5" w:right="239" w:bottom="1440" w:gutter="0" w:footer="0" w:header="0"/>
          <w:type w:val="continuous"/>
        </w:sectPr>
      </w:pPr>
    </w:p>
    <w:bookmarkStart w:id="79" w:name="page80"/>
    <w:bookmarkEnd w:id="79"/>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assumptions used in computing net periodic benefit cost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88"/>
              </w:rPr>
              <w:t>Pension Benefits</w:t>
            </w:r>
          </w:p>
        </w:tc>
        <w:tc>
          <w:tcPr>
            <w:tcW w:w="9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Other Benefits</w:t>
            </w:r>
          </w:p>
        </w:tc>
        <w:tc>
          <w:tcPr>
            <w:tcW w:w="960" w:type="dxa"/>
            <w:vAlign w:val="bottom"/>
            <w:tcBorders>
              <w:bottom w:val="single" w:sz="8" w:color="auto"/>
            </w:tcBorders>
          </w:tcPr>
          <w:p>
            <w:pPr>
              <w:spacing w:after="0"/>
              <w:rPr>
                <w:sz w:val="16"/>
                <w:szCs w:val="16"/>
                <w:color w:val="auto"/>
              </w:rPr>
            </w:pPr>
          </w:p>
        </w:tc>
      </w:tr>
      <w:tr>
        <w:trPr>
          <w:trHeight w:val="264"/>
        </w:trPr>
        <w:tc>
          <w:tcPr>
            <w:tcW w:w="4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For the years ended December 31,</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2014</w:t>
            </w:r>
          </w:p>
        </w:tc>
      </w:tr>
      <w:tr>
        <w:trPr>
          <w:trHeight w:val="250"/>
        </w:trPr>
        <w:tc>
          <w:tcPr>
            <w:tcW w:w="4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43"/>
        </w:trPr>
        <w:tc>
          <w:tcPr>
            <w:tcW w:w="4960" w:type="dxa"/>
            <w:vAlign w:val="bottom"/>
            <w:gridSpan w:val="2"/>
          </w:tcPr>
          <w:p>
            <w:pPr>
              <w:spacing w:after="0"/>
              <w:rPr>
                <w:sz w:val="20"/>
                <w:szCs w:val="20"/>
                <w:color w:val="auto"/>
              </w:rPr>
            </w:pPr>
            <w:r>
              <w:rPr>
                <w:rFonts w:ascii="Arial" w:cs="Arial" w:eastAsia="Arial" w:hAnsi="Arial"/>
                <w:sz w:val="18"/>
                <w:szCs w:val="18"/>
                <w:color w:val="auto"/>
              </w:rPr>
              <w:t>Expected long-term return on plan assets</w:t>
            </w:r>
          </w:p>
        </w:tc>
        <w:tc>
          <w:tcPr>
            <w:tcW w:w="94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21"/>
                <w:szCs w:val="21"/>
                <w:color w:val="auto"/>
              </w:rPr>
            </w:pPr>
          </w:p>
        </w:tc>
        <w:tc>
          <w:tcPr>
            <w:tcW w:w="1060" w:type="dxa"/>
            <w:vAlign w:val="bottom"/>
            <w:gridSpan w:val="2"/>
          </w:tcPr>
          <w:p>
            <w:pPr>
              <w:ind w:left="460"/>
              <w:spacing w:after="0"/>
              <w:rPr>
                <w:sz w:val="20"/>
                <w:szCs w:val="20"/>
                <w:color w:val="auto"/>
              </w:rPr>
            </w:pPr>
            <w:r>
              <w:rPr>
                <w:rFonts w:ascii="Arial" w:cs="Arial" w:eastAsia="Arial" w:hAnsi="Arial"/>
                <w:sz w:val="18"/>
                <w:szCs w:val="18"/>
                <w:color w:val="auto"/>
              </w:rPr>
              <w:t>N/A</w:t>
            </w:r>
          </w:p>
        </w:tc>
        <w:tc>
          <w:tcPr>
            <w:tcW w:w="1080" w:type="dxa"/>
            <w:vAlign w:val="bottom"/>
            <w:gridSpan w:val="2"/>
          </w:tcPr>
          <w:p>
            <w:pPr>
              <w:ind w:left="460"/>
              <w:spacing w:after="0"/>
              <w:rPr>
                <w:sz w:val="20"/>
                <w:szCs w:val="20"/>
                <w:color w:val="auto"/>
              </w:rPr>
            </w:pPr>
            <w:r>
              <w:rPr>
                <w:rFonts w:ascii="Arial" w:cs="Arial" w:eastAsia="Arial" w:hAnsi="Arial"/>
                <w:sz w:val="18"/>
                <w:szCs w:val="18"/>
                <w:color w:val="auto"/>
              </w:rPr>
              <w:t>N/A</w:t>
            </w:r>
          </w:p>
        </w:tc>
        <w:tc>
          <w:tcPr>
            <w:tcW w:w="960" w:type="dxa"/>
            <w:vAlign w:val="bottom"/>
          </w:tcPr>
          <w:p>
            <w:pPr>
              <w:ind w:left="460"/>
              <w:spacing w:after="0"/>
              <w:rPr>
                <w:sz w:val="20"/>
                <w:szCs w:val="20"/>
                <w:color w:val="auto"/>
              </w:rPr>
            </w:pPr>
            <w:r>
              <w:rPr>
                <w:rFonts w:ascii="Arial" w:cs="Arial" w:eastAsia="Arial" w:hAnsi="Arial"/>
                <w:sz w:val="18"/>
                <w:szCs w:val="18"/>
                <w:color w:val="auto"/>
              </w:rPr>
              <w:t>N/A</w:t>
            </w:r>
          </w:p>
        </w:tc>
      </w:tr>
      <w:tr>
        <w:trPr>
          <w:trHeight w:val="27"/>
        </w:trPr>
        <w:tc>
          <w:tcPr>
            <w:tcW w:w="4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4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Rate of compensation increase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9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N/A</w:t>
            </w:r>
          </w:p>
        </w:tc>
      </w:tr>
      <w:tr>
        <w:trPr>
          <w:trHeight w:val="27"/>
        </w:trPr>
        <w:tc>
          <w:tcPr>
            <w:tcW w:w="4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Company’s discount rate assumption is determined by developing a yield curve based on high quality corporate bonds with maturities matching the plans’ expected benefit payment streams. The plans’ expected cash flows are then discounted by the resulting year-by-year spot rates. We base the asset return assumption on current and expected asset allocations, as well as historical and expected returns on the plan asset categories.</w:t>
      </w:r>
    </w:p>
    <w:p>
      <w:pPr>
        <w:spacing w:after="0" w:line="11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For purposes of measuring our post-retirement benefit obligation at December 31, 2016, we assumed a 7.0% annual rate of increase in the per capita cost of covered health care benefits for 2017, grading down to 5.0% by 2021. For measurement purposes as of December 31, 2015, we assumed a 6.5% pre-65 and a 7.3% post-65 annual rate of increase in the per capita cost of covered health care benefits for 2016, grading down to 5.0% by 2019. Assumed health care cost trend rates could have a significant effect on the amounts reported for the post-retirement health care plans. A one-percentage point change in assumed health care cost trend rates would have the following effects: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Impact of assumed health care cost trend rates</w:t>
            </w:r>
          </w:p>
        </w:tc>
        <w:tc>
          <w:tcPr>
            <w:tcW w:w="2980" w:type="dxa"/>
            <w:vAlign w:val="bottom"/>
          </w:tcPr>
          <w:p>
            <w:pPr>
              <w:jc w:val="center"/>
              <w:ind w:left="1922"/>
              <w:spacing w:after="0"/>
              <w:rPr>
                <w:sz w:val="20"/>
                <w:szCs w:val="20"/>
                <w:color w:val="auto"/>
              </w:rPr>
            </w:pPr>
            <w:r>
              <w:rPr>
                <w:rFonts w:ascii="Arial" w:cs="Arial" w:eastAsia="Arial" w:hAnsi="Arial"/>
                <w:sz w:val="14"/>
                <w:szCs w:val="14"/>
                <w:b w:val="1"/>
                <w:bCs w:val="1"/>
                <w:color w:val="auto"/>
                <w:w w:val="91"/>
              </w:rPr>
              <w:t>One-Percentage</w:t>
            </w: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40" w:type="dxa"/>
            <w:vAlign w:val="bottom"/>
          </w:tcPr>
          <w:p>
            <w:pPr>
              <w:jc w:val="right"/>
              <w:ind w:right="459"/>
              <w:spacing w:after="0"/>
              <w:rPr>
                <w:sz w:val="20"/>
                <w:szCs w:val="20"/>
                <w:color w:val="auto"/>
              </w:rPr>
            </w:pPr>
            <w:r>
              <w:rPr>
                <w:rFonts w:ascii="Arial" w:cs="Arial" w:eastAsia="Arial" w:hAnsi="Arial"/>
                <w:sz w:val="14"/>
                <w:szCs w:val="14"/>
                <w:b w:val="1"/>
                <w:bCs w:val="1"/>
                <w:color w:val="auto"/>
              </w:rPr>
              <w:t>One-Percentage</w:t>
            </w:r>
          </w:p>
        </w:tc>
        <w:tc>
          <w:tcPr>
            <w:tcW w:w="0" w:type="dxa"/>
            <w:vAlign w:val="bottom"/>
          </w:tcPr>
          <w:p>
            <w:pPr>
              <w:spacing w:after="0"/>
              <w:rPr>
                <w:sz w:val="1"/>
                <w:szCs w:val="1"/>
                <w:color w:val="auto"/>
              </w:rPr>
            </w:pPr>
          </w:p>
        </w:tc>
      </w:tr>
      <w:tr>
        <w:trPr>
          <w:trHeight w:val="192"/>
        </w:trPr>
        <w:tc>
          <w:tcPr>
            <w:tcW w:w="5660" w:type="dxa"/>
            <w:vAlign w:val="bottom"/>
            <w:tcBorders>
              <w:bottom w:val="single" w:sz="8" w:color="auto"/>
            </w:tcBorders>
            <w:vMerge w:val="continue"/>
          </w:tcPr>
          <w:p>
            <w:pPr>
              <w:spacing w:after="0"/>
              <w:rPr>
                <w:sz w:val="16"/>
                <w:szCs w:val="16"/>
                <w:color w:val="auto"/>
              </w:rPr>
            </w:pPr>
          </w:p>
        </w:tc>
        <w:tc>
          <w:tcPr>
            <w:tcW w:w="2980" w:type="dxa"/>
            <w:vAlign w:val="bottom"/>
            <w:tcBorders>
              <w:bottom w:val="single" w:sz="8" w:color="auto"/>
            </w:tcBorders>
          </w:tcPr>
          <w:p>
            <w:pPr>
              <w:jc w:val="center"/>
              <w:ind w:left="1902"/>
              <w:spacing w:after="0"/>
              <w:rPr>
                <w:sz w:val="20"/>
                <w:szCs w:val="20"/>
                <w:color w:val="auto"/>
              </w:rPr>
            </w:pPr>
            <w:r>
              <w:rPr>
                <w:rFonts w:ascii="Arial" w:cs="Arial" w:eastAsia="Arial" w:hAnsi="Arial"/>
                <w:sz w:val="14"/>
                <w:szCs w:val="14"/>
                <w:b w:val="1"/>
                <w:bCs w:val="1"/>
                <w:color w:val="auto"/>
                <w:w w:val="91"/>
              </w:rPr>
              <w:t>Point Increase</w:t>
            </w:r>
          </w:p>
        </w:tc>
        <w:tc>
          <w:tcPr>
            <w:tcW w:w="5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Point Decrease</w:t>
            </w:r>
          </w:p>
        </w:tc>
        <w:tc>
          <w:tcPr>
            <w:tcW w:w="0" w:type="dxa"/>
            <w:vAlign w:val="bottom"/>
          </w:tcPr>
          <w:p>
            <w:pPr>
              <w:spacing w:after="0"/>
              <w:rPr>
                <w:sz w:val="1"/>
                <w:szCs w:val="1"/>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on total service and interest cost components</w:t>
            </w:r>
          </w:p>
        </w:tc>
        <w:tc>
          <w:tcPr>
            <w:tcW w:w="2980" w:type="dxa"/>
            <w:vAlign w:val="bottom"/>
            <w:tcBorders>
              <w:bottom w:val="single" w:sz="8" w:color="CCEEFF"/>
            </w:tcBorders>
            <w:shd w:val="clear" w:color="auto" w:fill="CCEEFF"/>
          </w:tcPr>
          <w:p>
            <w:pPr>
              <w:jc w:val="right"/>
              <w:ind w:right="1262"/>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Effect on accumulated post-retirement benefit obligation</w:t>
            </w:r>
          </w:p>
        </w:tc>
        <w:tc>
          <w:tcPr>
            <w:tcW w:w="29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3,858</w:t>
            </w:r>
          </w:p>
        </w:tc>
        <w:tc>
          <w:tcPr>
            <w:tcW w:w="420" w:type="dxa"/>
            <w:vAlign w:val="bottom"/>
          </w:tcPr>
          <w:p>
            <w:pPr>
              <w:spacing w:after="0"/>
              <w:rPr>
                <w:sz w:val="21"/>
                <w:szCs w:val="21"/>
                <w:color w:val="auto"/>
              </w:rPr>
            </w:pPr>
          </w:p>
        </w:tc>
        <w:tc>
          <w:tcPr>
            <w:tcW w:w="1740" w:type="dxa"/>
            <w:vAlign w:val="bottom"/>
          </w:tcPr>
          <w:p>
            <w:pPr>
              <w:jc w:val="right"/>
              <w:ind w:right="59"/>
              <w:spacing w:after="0"/>
              <w:rPr>
                <w:sz w:val="20"/>
                <w:szCs w:val="20"/>
                <w:color w:val="auto"/>
              </w:rPr>
            </w:pPr>
            <w:r>
              <w:rPr>
                <w:rFonts w:ascii="Arial" w:cs="Arial" w:eastAsia="Arial" w:hAnsi="Arial"/>
                <w:sz w:val="18"/>
                <w:szCs w:val="18"/>
                <w:color w:val="auto"/>
              </w:rPr>
              <w:t>(3,373)</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The valuations and assumptions reflect adoption of the Society of Actuaries updated RP-2014 mortality tables with MP-2016 generational projection scales, which we adopted as of December 31, 2016. Adoption of the updated scale did not have a significant impact on our current pension obligations or net period benefit cost since our primary plans are cash balance plans and most participants take lump-sum settlements upon retirement.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Assets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We broadly diversify our pension plan assets across public equity, fixed income, diversified credit strategies and diversified alternative strategies asset classes.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target asset allocation for our major domestic pension plans as of December 31, 2016 was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Asset Class</w:t>
            </w:r>
          </w:p>
        </w:tc>
        <w:tc>
          <w:tcPr>
            <w:tcW w:w="120" w:type="dxa"/>
            <w:vAlign w:val="bottom"/>
            <w:tcBorders>
              <w:bottom w:val="single" w:sz="8" w:color="CCEEFF"/>
            </w:tcBorders>
          </w:tcPr>
          <w:p>
            <w:pPr>
              <w:spacing w:after="0"/>
              <w:rPr>
                <w:sz w:val="16"/>
                <w:szCs w:val="16"/>
                <w:color w:val="auto"/>
              </w:rPr>
            </w:pPr>
          </w:p>
        </w:tc>
        <w:tc>
          <w:tcPr>
            <w:tcW w:w="270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Target Asset Allocation</w:t>
            </w:r>
          </w:p>
        </w:tc>
      </w:tr>
      <w:tr>
        <w:trPr>
          <w:trHeight w:val="250"/>
        </w:trPr>
        <w:tc>
          <w:tcPr>
            <w:tcW w:w="8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2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w:t>
            </w:r>
          </w:p>
        </w:tc>
      </w:tr>
      <w:tr>
        <w:trPr>
          <w:trHeight w:val="243"/>
        </w:trPr>
        <w:tc>
          <w:tcPr>
            <w:tcW w:w="8600" w:type="dxa"/>
            <w:vAlign w:val="bottom"/>
            <w:gridSpan w:val="2"/>
          </w:tcPr>
          <w:p>
            <w:pPr>
              <w:ind w:left="40"/>
              <w:spacing w:after="0"/>
              <w:rPr>
                <w:sz w:val="20"/>
                <w:szCs w:val="20"/>
                <w:color w:val="auto"/>
              </w:rPr>
            </w:pPr>
            <w:r>
              <w:rPr>
                <w:rFonts w:ascii="Arial" w:cs="Arial" w:eastAsia="Arial" w:hAnsi="Arial"/>
                <w:sz w:val="18"/>
                <w:szCs w:val="18"/>
                <w:color w:val="auto"/>
              </w:rPr>
              <w:t>Equity securities</w:t>
            </w:r>
          </w:p>
        </w:tc>
        <w:tc>
          <w:tcPr>
            <w:tcW w:w="2700" w:type="dxa"/>
            <w:vAlign w:val="bottom"/>
          </w:tcPr>
          <w:p>
            <w:pPr>
              <w:jc w:val="center"/>
              <w:spacing w:after="0"/>
              <w:rPr>
                <w:sz w:val="20"/>
                <w:szCs w:val="20"/>
                <w:color w:val="auto"/>
              </w:rPr>
            </w:pPr>
            <w:r>
              <w:rPr>
                <w:rFonts w:ascii="Arial" w:cs="Arial" w:eastAsia="Arial" w:hAnsi="Arial"/>
                <w:sz w:val="18"/>
                <w:szCs w:val="18"/>
                <w:color w:val="auto"/>
                <w:w w:val="94"/>
              </w:rPr>
              <w:t>25%</w:t>
            </w:r>
          </w:p>
        </w:tc>
      </w:tr>
      <w:tr>
        <w:trPr>
          <w:trHeight w:val="27"/>
        </w:trPr>
        <w:tc>
          <w:tcPr>
            <w:tcW w:w="8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Pr>
          <w:p>
            <w:pPr>
              <w:spacing w:after="0"/>
              <w:rPr>
                <w:sz w:val="2"/>
                <w:szCs w:val="2"/>
                <w:color w:val="auto"/>
              </w:rPr>
            </w:pPr>
          </w:p>
        </w:tc>
      </w:tr>
      <w:tr>
        <w:trPr>
          <w:trHeight w:val="250"/>
        </w:trPr>
        <w:tc>
          <w:tcPr>
            <w:tcW w:w="8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Fixed income securities</w:t>
            </w:r>
          </w:p>
        </w:tc>
        <w:tc>
          <w:tcPr>
            <w:tcW w:w="2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49%</w:t>
            </w:r>
          </w:p>
        </w:tc>
      </w:tr>
      <w:tr>
        <w:trPr>
          <w:trHeight w:val="243"/>
        </w:trPr>
        <w:tc>
          <w:tcPr>
            <w:tcW w:w="8600" w:type="dxa"/>
            <w:vAlign w:val="bottom"/>
            <w:gridSpan w:val="2"/>
          </w:tcPr>
          <w:p>
            <w:pPr>
              <w:ind w:left="40"/>
              <w:spacing w:after="0"/>
              <w:rPr>
                <w:sz w:val="20"/>
                <w:szCs w:val="20"/>
                <w:color w:val="auto"/>
              </w:rPr>
            </w:pPr>
            <w:r>
              <w:rPr>
                <w:rFonts w:ascii="Arial" w:cs="Arial" w:eastAsia="Arial" w:hAnsi="Arial"/>
                <w:sz w:val="18"/>
                <w:szCs w:val="18"/>
                <w:color w:val="auto"/>
              </w:rPr>
              <w:t>Alternative investments, including real estate, listed infrastructure and other</w:t>
            </w:r>
          </w:p>
        </w:tc>
        <w:tc>
          <w:tcPr>
            <w:tcW w:w="2700" w:type="dxa"/>
            <w:vAlign w:val="bottom"/>
          </w:tcPr>
          <w:p>
            <w:pPr>
              <w:jc w:val="center"/>
              <w:spacing w:after="0"/>
              <w:rPr>
                <w:sz w:val="20"/>
                <w:szCs w:val="20"/>
                <w:color w:val="auto"/>
              </w:rPr>
            </w:pPr>
            <w:r>
              <w:rPr>
                <w:rFonts w:ascii="Arial" w:cs="Arial" w:eastAsia="Arial" w:hAnsi="Arial"/>
                <w:sz w:val="18"/>
                <w:szCs w:val="18"/>
                <w:color w:val="auto"/>
                <w:w w:val="94"/>
              </w:rPr>
              <w:t>25%</w:t>
            </w:r>
          </w:p>
        </w:tc>
      </w:tr>
    </w:tbl>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December 31, 2016, actual allocations were consistent with the targets and within our allowable ranges. We expect the level of volatility in pension plan asset returns to be in line with the overall volatility of the markets within each asset class.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16" w:right="239" w:bottom="1440" w:gutter="0" w:footer="0" w:header="0"/>
        </w:sectPr>
      </w:pPr>
    </w:p>
    <w:bookmarkStart w:id="80" w:name="page81"/>
    <w:bookmarkEnd w:id="80"/>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9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by level, within the fair value hierarchy (as defined in Note 6), pension plan assets at their fair values as of December 31, 2016:</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Quoted prices in active</w:t>
            </w:r>
          </w:p>
        </w:tc>
        <w:tc>
          <w:tcPr>
            <w:tcW w:w="200" w:type="dxa"/>
            <w:vAlign w:val="bottom"/>
          </w:tcPr>
          <w:p>
            <w:pPr>
              <w:spacing w:after="0"/>
              <w:rPr>
                <w:sz w:val="14"/>
                <w:szCs w:val="14"/>
                <w:color w:val="auto"/>
              </w:rPr>
            </w:pPr>
          </w:p>
        </w:tc>
        <w:tc>
          <w:tcPr>
            <w:tcW w:w="16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Significant other</w:t>
            </w:r>
          </w:p>
        </w:tc>
        <w:tc>
          <w:tcPr>
            <w:tcW w:w="240" w:type="dxa"/>
            <w:vAlign w:val="bottom"/>
          </w:tcPr>
          <w:p>
            <w:pPr>
              <w:spacing w:after="0"/>
              <w:rPr>
                <w:sz w:val="14"/>
                <w:szCs w:val="14"/>
                <w:color w:val="auto"/>
              </w:rPr>
            </w:pPr>
          </w:p>
        </w:tc>
        <w:tc>
          <w:tcPr>
            <w:tcW w:w="1580" w:type="dxa"/>
            <w:vAlign w:val="bottom"/>
            <w:gridSpan w:val="2"/>
          </w:tcPr>
          <w:p>
            <w:pPr>
              <w:ind w:left="120"/>
              <w:spacing w:after="0"/>
              <w:rPr>
                <w:sz w:val="20"/>
                <w:szCs w:val="20"/>
                <w:color w:val="auto"/>
              </w:rPr>
            </w:pPr>
            <w:r>
              <w:rPr>
                <w:rFonts w:ascii="Arial" w:cs="Arial" w:eastAsia="Arial" w:hAnsi="Arial"/>
                <w:sz w:val="14"/>
                <w:szCs w:val="14"/>
                <w:b w:val="1"/>
                <w:bCs w:val="1"/>
                <w:color w:val="auto"/>
              </w:rPr>
              <w:t>Significant other</w:t>
            </w: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1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9"/>
              </w:rPr>
              <w:t>markets of identical assets</w:t>
            </w:r>
          </w:p>
        </w:tc>
        <w:tc>
          <w:tcPr>
            <w:tcW w:w="200" w:type="dxa"/>
            <w:vAlign w:val="bottom"/>
          </w:tcPr>
          <w:p>
            <w:pPr>
              <w:spacing w:after="0"/>
              <w:rPr>
                <w:sz w:val="12"/>
                <w:szCs w:val="12"/>
                <w:color w:val="auto"/>
              </w:rPr>
            </w:pPr>
          </w:p>
        </w:tc>
        <w:tc>
          <w:tcPr>
            <w:tcW w:w="164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6"/>
              </w:rPr>
              <w:t>observable inputs</w:t>
            </w:r>
          </w:p>
        </w:tc>
        <w:tc>
          <w:tcPr>
            <w:tcW w:w="1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8"/>
              </w:rPr>
              <w:t>unobservable inputs (Level</w:t>
            </w:r>
          </w:p>
        </w:tc>
        <w:tc>
          <w:tcPr>
            <w:tcW w:w="440" w:type="dxa"/>
            <w:vAlign w:val="bottom"/>
          </w:tcPr>
          <w:p>
            <w:pPr>
              <w:spacing w:after="0"/>
              <w:rPr>
                <w:sz w:val="12"/>
                <w:szCs w:val="12"/>
                <w:color w:val="auto"/>
              </w:rPr>
            </w:pPr>
          </w:p>
        </w:tc>
        <w:tc>
          <w:tcPr>
            <w:tcW w:w="1300" w:type="dxa"/>
            <w:vAlign w:val="bottom"/>
            <w:vMerge w:val="restart"/>
          </w:tcPr>
          <w:p>
            <w:pPr>
              <w:jc w:val="right"/>
              <w:ind w:right="5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4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6"/>
                <w:szCs w:val="16"/>
                <w:color w:val="auto"/>
              </w:rPr>
            </w:pPr>
          </w:p>
        </w:tc>
        <w:tc>
          <w:tcPr>
            <w:tcW w:w="1640" w:type="dxa"/>
            <w:vAlign w:val="bottom"/>
            <w:gridSpan w:val="2"/>
          </w:tcPr>
          <w:p>
            <w:pPr>
              <w:ind w:left="40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6"/>
                <w:szCs w:val="16"/>
                <w:color w:val="auto"/>
              </w:rPr>
            </w:pPr>
          </w:p>
        </w:tc>
        <w:tc>
          <w:tcPr>
            <w:tcW w:w="1480" w:type="dxa"/>
            <w:vAlign w:val="bottom"/>
          </w:tcPr>
          <w:p>
            <w:pPr>
              <w:ind w:left="560"/>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40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10,116</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Global all-cap (a)</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20,216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242,214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262,430</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Fixed income securities:</w:t>
            </w: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U.S. government/agency</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228,648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228,648</w:t>
            </w:r>
          </w:p>
        </w:tc>
        <w:tc>
          <w:tcPr>
            <w:tcW w:w="0" w:type="dxa"/>
            <w:vAlign w:val="bottom"/>
          </w:tcPr>
          <w:p>
            <w:pPr>
              <w:spacing w:after="0"/>
              <w:rPr>
                <w:sz w:val="1"/>
                <w:szCs w:val="1"/>
                <w:color w:val="auto"/>
              </w:rPr>
            </w:pPr>
          </w:p>
        </w:tc>
      </w:tr>
      <w:tr>
        <w:trPr>
          <w:trHeight w:val="243"/>
        </w:trPr>
        <w:tc>
          <w:tcPr>
            <w:tcW w:w="4080" w:type="dxa"/>
            <w:vAlign w:val="bottom"/>
          </w:tcPr>
          <w:p>
            <w:pPr>
              <w:ind w:left="340"/>
              <w:spacing w:after="0"/>
              <w:rPr>
                <w:sz w:val="20"/>
                <w:szCs w:val="20"/>
                <w:color w:val="auto"/>
              </w:rPr>
            </w:pPr>
            <w:r>
              <w:rPr>
                <w:rFonts w:ascii="Arial" w:cs="Arial" w:eastAsia="Arial" w:hAnsi="Arial"/>
                <w:sz w:val="18"/>
                <w:szCs w:val="18"/>
                <w:color w:val="auto"/>
              </w:rPr>
              <w:t>Corporate bonds (b)</w:t>
            </w:r>
          </w:p>
        </w:tc>
        <w:tc>
          <w:tcPr>
            <w:tcW w:w="14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199,634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199,634</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Collateralized obligations (c)</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50,532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50,532</w:t>
            </w:r>
          </w:p>
        </w:tc>
        <w:tc>
          <w:tcPr>
            <w:tcW w:w="0" w:type="dxa"/>
            <w:vAlign w:val="bottom"/>
          </w:tcPr>
          <w:p>
            <w:pPr>
              <w:spacing w:after="0"/>
              <w:rPr>
                <w:sz w:val="1"/>
                <w:szCs w:val="1"/>
                <w:color w:val="auto"/>
              </w:rPr>
            </w:pPr>
          </w:p>
        </w:tc>
      </w:tr>
      <w:tr>
        <w:trPr>
          <w:trHeight w:val="243"/>
        </w:trPr>
        <w:tc>
          <w:tcPr>
            <w:tcW w:w="4080" w:type="dxa"/>
            <w:vAlign w:val="bottom"/>
          </w:tcPr>
          <w:p>
            <w:pPr>
              <w:ind w:left="340"/>
              <w:spacing w:after="0"/>
              <w:rPr>
                <w:sz w:val="20"/>
                <w:szCs w:val="20"/>
                <w:color w:val="auto"/>
              </w:rPr>
            </w:pPr>
            <w:r>
              <w:rPr>
                <w:rFonts w:ascii="Arial" w:cs="Arial" w:eastAsia="Arial" w:hAnsi="Arial"/>
                <w:sz w:val="18"/>
                <w:szCs w:val="18"/>
                <w:color w:val="auto"/>
              </w:rPr>
              <w:t>International government/corporate bonds (d)</w:t>
            </w:r>
          </w:p>
        </w:tc>
        <w:tc>
          <w:tcPr>
            <w:tcW w:w="14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30,928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30,928</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Alternative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360"/>
              <w:spacing w:after="0"/>
              <w:rPr>
                <w:sz w:val="20"/>
                <w:szCs w:val="20"/>
                <w:color w:val="auto"/>
              </w:rPr>
            </w:pPr>
            <w:r>
              <w:rPr>
                <w:rFonts w:ascii="Arial" w:cs="Arial" w:eastAsia="Arial" w:hAnsi="Arial"/>
                <w:sz w:val="18"/>
                <w:szCs w:val="18"/>
                <w:color w:val="auto"/>
              </w:rPr>
              <w:t>Global diversified assets (e)</w:t>
            </w:r>
          </w:p>
        </w:tc>
        <w:tc>
          <w:tcPr>
            <w:tcW w:w="14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146,975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146,975</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Global real estate investment trusts (f)</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48,000</w:t>
            </w:r>
          </w:p>
        </w:tc>
        <w:tc>
          <w:tcPr>
            <w:tcW w:w="0" w:type="dxa"/>
            <w:vAlign w:val="bottom"/>
          </w:tcPr>
          <w:p>
            <w:pPr>
              <w:spacing w:after="0"/>
              <w:rPr>
                <w:sz w:val="1"/>
                <w:szCs w:val="1"/>
                <w:color w:val="auto"/>
              </w:rPr>
            </w:pPr>
          </w:p>
        </w:tc>
      </w:tr>
      <w:tr>
        <w:trPr>
          <w:trHeight w:val="243"/>
        </w:trPr>
        <w:tc>
          <w:tcPr>
            <w:tcW w:w="4080" w:type="dxa"/>
            <w:vAlign w:val="bottom"/>
          </w:tcPr>
          <w:p>
            <w:pPr>
              <w:ind w:left="360"/>
              <w:spacing w:after="0"/>
              <w:rPr>
                <w:sz w:val="20"/>
                <w:szCs w:val="20"/>
                <w:color w:val="auto"/>
              </w:rPr>
            </w:pPr>
            <w:r>
              <w:rPr>
                <w:rFonts w:ascii="Arial" w:cs="Arial" w:eastAsia="Arial" w:hAnsi="Arial"/>
                <w:sz w:val="18"/>
                <w:szCs w:val="18"/>
                <w:color w:val="auto"/>
              </w:rPr>
              <w:t>Global infrastructure (g)</w:t>
            </w:r>
          </w:p>
        </w:tc>
        <w:tc>
          <w:tcPr>
            <w:tcW w:w="14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46,413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46,413</w:t>
            </w: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pension plan assets</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20,792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1,002,884</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1,023,676</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level, within the fair value hierarchy, pension plan assets at their fair values as of December 31, 2015:</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jc w:val="right"/>
              <w:ind w:right="53"/>
              <w:spacing w:after="0"/>
              <w:rPr>
                <w:sz w:val="20"/>
                <w:szCs w:val="20"/>
                <w:color w:val="auto"/>
              </w:rPr>
            </w:pPr>
            <w:r>
              <w:rPr>
                <w:rFonts w:ascii="Arial" w:cs="Arial" w:eastAsia="Arial" w:hAnsi="Arial"/>
                <w:sz w:val="14"/>
                <w:szCs w:val="14"/>
                <w:b w:val="1"/>
                <w:bCs w:val="1"/>
                <w:color w:val="auto"/>
                <w:w w:val="92"/>
              </w:rPr>
              <w:t>Quoted prices in active</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Significant other</w:t>
            </w:r>
          </w:p>
        </w:tc>
        <w:tc>
          <w:tcPr>
            <w:tcW w:w="4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7"/>
        </w:trPr>
        <w:tc>
          <w:tcPr>
            <w:tcW w:w="3860" w:type="dxa"/>
            <w:vAlign w:val="bottom"/>
          </w:tcPr>
          <w:p>
            <w:pPr>
              <w:spacing w:after="0"/>
              <w:rPr>
                <w:sz w:val="4"/>
                <w:szCs w:val="4"/>
                <w:color w:val="auto"/>
              </w:rPr>
            </w:pPr>
          </w:p>
        </w:tc>
        <w:tc>
          <w:tcPr>
            <w:tcW w:w="1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markets of identical assets</w:t>
            </w: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Significant other</w:t>
            </w:r>
          </w:p>
        </w:tc>
        <w:tc>
          <w:tcPr>
            <w:tcW w:w="240" w:type="dxa"/>
            <w:vAlign w:val="bottom"/>
          </w:tcPr>
          <w:p>
            <w:pPr>
              <w:spacing w:after="0"/>
              <w:rPr>
                <w:sz w:val="4"/>
                <w:szCs w:val="4"/>
                <w:color w:val="auto"/>
              </w:rPr>
            </w:pPr>
          </w:p>
        </w:tc>
        <w:tc>
          <w:tcPr>
            <w:tcW w:w="160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386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840" w:type="dxa"/>
            <w:vAlign w:val="bottom"/>
            <w:gridSpan w:val="3"/>
          </w:tcPr>
          <w:p>
            <w:pPr>
              <w:ind w:left="40"/>
              <w:spacing w:after="0" w:line="145" w:lineRule="exact"/>
              <w:rPr>
                <w:sz w:val="20"/>
                <w:szCs w:val="20"/>
                <w:color w:val="auto"/>
              </w:rPr>
            </w:pPr>
            <w:r>
              <w:rPr>
                <w:rFonts w:ascii="Arial" w:cs="Arial" w:eastAsia="Arial" w:hAnsi="Arial"/>
                <w:sz w:val="14"/>
                <w:szCs w:val="14"/>
                <w:b w:val="1"/>
                <w:bCs w:val="1"/>
                <w:color w:val="auto"/>
                <w:w w:val="98"/>
              </w:rPr>
              <w:t>unobservable inputs (Level</w:t>
            </w:r>
          </w:p>
        </w:tc>
        <w:tc>
          <w:tcPr>
            <w:tcW w:w="480" w:type="dxa"/>
            <w:vAlign w:val="bottom"/>
          </w:tcPr>
          <w:p>
            <w:pPr>
              <w:spacing w:after="0"/>
              <w:rPr>
                <w:sz w:val="12"/>
                <w:szCs w:val="12"/>
                <w:color w:val="auto"/>
              </w:rPr>
            </w:pPr>
          </w:p>
        </w:tc>
        <w:tc>
          <w:tcPr>
            <w:tcW w:w="1480" w:type="dxa"/>
            <w:vAlign w:val="bottom"/>
            <w:vMerge w:val="restart"/>
          </w:tcPr>
          <w:p>
            <w:pPr>
              <w:jc w:val="right"/>
              <w:ind w:right="6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1"/>
        </w:trPr>
        <w:tc>
          <w:tcPr>
            <w:tcW w:w="3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jc w:val="right"/>
              <w:ind w:right="513"/>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6"/>
                <w:szCs w:val="16"/>
                <w:color w:val="auto"/>
              </w:rPr>
            </w:pPr>
          </w:p>
        </w:tc>
        <w:tc>
          <w:tcPr>
            <w:tcW w:w="18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observable inputs(Level 2)</w:t>
            </w:r>
          </w:p>
        </w:tc>
        <w:tc>
          <w:tcPr>
            <w:tcW w:w="240" w:type="dxa"/>
            <w:vAlign w:val="bottom"/>
          </w:tcPr>
          <w:p>
            <w:pPr>
              <w:spacing w:after="0"/>
              <w:rPr>
                <w:sz w:val="16"/>
                <w:szCs w:val="16"/>
                <w:color w:val="auto"/>
              </w:rPr>
            </w:pPr>
          </w:p>
        </w:tc>
        <w:tc>
          <w:tcPr>
            <w:tcW w:w="1500" w:type="dxa"/>
            <w:vAlign w:val="bottom"/>
          </w:tcPr>
          <w:p>
            <w:pPr>
              <w:ind w:left="560"/>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38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1,763</w:t>
            </w:r>
          </w:p>
        </w:tc>
        <w:tc>
          <w:tcPr>
            <w:tcW w:w="3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30,389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32,152</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1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U.S. all-cap (h)</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138,367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138,367</w:t>
            </w:r>
          </w:p>
        </w:tc>
        <w:tc>
          <w:tcPr>
            <w:tcW w:w="0" w:type="dxa"/>
            <w:vAlign w:val="bottom"/>
          </w:tcPr>
          <w:p>
            <w:pPr>
              <w:spacing w:after="0"/>
              <w:rPr>
                <w:sz w:val="1"/>
                <w:szCs w:val="1"/>
                <w:color w:val="auto"/>
              </w:rPr>
            </w:pPr>
          </w:p>
        </w:tc>
      </w:tr>
      <w:tr>
        <w:trPr>
          <w:trHeight w:val="243"/>
        </w:trPr>
        <w:tc>
          <w:tcPr>
            <w:tcW w:w="3860" w:type="dxa"/>
            <w:vAlign w:val="bottom"/>
          </w:tcPr>
          <w:p>
            <w:pPr>
              <w:ind w:left="340"/>
              <w:spacing w:after="0"/>
              <w:rPr>
                <w:sz w:val="20"/>
                <w:szCs w:val="20"/>
                <w:color w:val="auto"/>
              </w:rPr>
            </w:pPr>
            <w:r>
              <w:rPr>
                <w:rFonts w:ascii="Arial" w:cs="Arial" w:eastAsia="Arial" w:hAnsi="Arial"/>
                <w:sz w:val="18"/>
                <w:szCs w:val="18"/>
                <w:color w:val="auto"/>
              </w:rPr>
              <w:t>International all-cap (i)</w:t>
            </w:r>
          </w:p>
        </w:tc>
        <w:tc>
          <w:tcPr>
            <w:tcW w:w="140" w:type="dxa"/>
            <w:vAlign w:val="bottom"/>
          </w:tcPr>
          <w:p>
            <w:pPr>
              <w:spacing w:after="0"/>
              <w:rPr>
                <w:sz w:val="21"/>
                <w:szCs w:val="21"/>
                <w:color w:val="auto"/>
              </w:rPr>
            </w:pPr>
          </w:p>
        </w:tc>
        <w:tc>
          <w:tcPr>
            <w:tcW w:w="1580" w:type="dxa"/>
            <w:vAlign w:val="bottom"/>
          </w:tcPr>
          <w:p>
            <w:pPr>
              <w:jc w:val="right"/>
              <w:ind w:right="33"/>
              <w:spacing w:after="0"/>
              <w:rPr>
                <w:sz w:val="20"/>
                <w:szCs w:val="20"/>
                <w:color w:val="auto"/>
              </w:rPr>
            </w:pPr>
            <w:r>
              <w:rPr>
                <w:rFonts w:ascii="Arial" w:cs="Arial" w:eastAsia="Arial" w:hAnsi="Arial"/>
                <w:sz w:val="18"/>
                <w:szCs w:val="18"/>
                <w:color w:val="auto"/>
              </w:rPr>
              <w:t>108,862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3,118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111,980</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Global all-cap (a)</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73,157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196,063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269,220</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Fixed income securities:</w:t>
            </w:r>
          </w:p>
        </w:tc>
        <w:tc>
          <w:tcPr>
            <w:tcW w:w="1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U.S. government/agency</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117,378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120,136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237,514</w:t>
            </w:r>
          </w:p>
        </w:tc>
        <w:tc>
          <w:tcPr>
            <w:tcW w:w="0" w:type="dxa"/>
            <w:vAlign w:val="bottom"/>
          </w:tcPr>
          <w:p>
            <w:pPr>
              <w:spacing w:after="0"/>
              <w:rPr>
                <w:sz w:val="1"/>
                <w:szCs w:val="1"/>
                <w:color w:val="auto"/>
              </w:rPr>
            </w:pPr>
          </w:p>
        </w:tc>
      </w:tr>
      <w:tr>
        <w:trPr>
          <w:trHeight w:val="243"/>
        </w:trPr>
        <w:tc>
          <w:tcPr>
            <w:tcW w:w="3860" w:type="dxa"/>
            <w:vAlign w:val="bottom"/>
          </w:tcPr>
          <w:p>
            <w:pPr>
              <w:ind w:left="340"/>
              <w:spacing w:after="0"/>
              <w:rPr>
                <w:sz w:val="20"/>
                <w:szCs w:val="20"/>
                <w:color w:val="auto"/>
              </w:rPr>
            </w:pPr>
            <w:r>
              <w:rPr>
                <w:rFonts w:ascii="Arial" w:cs="Arial" w:eastAsia="Arial" w:hAnsi="Arial"/>
                <w:sz w:val="18"/>
                <w:szCs w:val="18"/>
                <w:color w:val="auto"/>
              </w:rPr>
              <w:t>Corporate bonds (b)</w:t>
            </w:r>
          </w:p>
        </w:tc>
        <w:tc>
          <w:tcPr>
            <w:tcW w:w="140" w:type="dxa"/>
            <w:vAlign w:val="bottom"/>
          </w:tcPr>
          <w:p>
            <w:pPr>
              <w:spacing w:after="0"/>
              <w:rPr>
                <w:sz w:val="21"/>
                <w:szCs w:val="21"/>
                <w:color w:val="auto"/>
              </w:rPr>
            </w:pPr>
          </w:p>
        </w:tc>
        <w:tc>
          <w:tcPr>
            <w:tcW w:w="1580" w:type="dxa"/>
            <w:vAlign w:val="bottom"/>
          </w:tcPr>
          <w:p>
            <w:pPr>
              <w:jc w:val="right"/>
              <w:ind w:right="33"/>
              <w:spacing w:after="0"/>
              <w:rPr>
                <w:sz w:val="20"/>
                <w:szCs w:val="20"/>
                <w:color w:val="auto"/>
              </w:rPr>
            </w:pPr>
            <w:r>
              <w:rPr>
                <w:rFonts w:ascii="Arial" w:cs="Arial" w:eastAsia="Arial" w:hAnsi="Arial"/>
                <w:sz w:val="18"/>
                <w:szCs w:val="18"/>
                <w:color w:val="auto"/>
              </w:rPr>
              <w:t>101,476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37,748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139,224</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Collateralized obligations (c)</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32,532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40,689</w:t>
            </w:r>
          </w:p>
        </w:tc>
        <w:tc>
          <w:tcPr>
            <w:tcW w:w="0" w:type="dxa"/>
            <w:vAlign w:val="bottom"/>
          </w:tcPr>
          <w:p>
            <w:pPr>
              <w:spacing w:after="0"/>
              <w:rPr>
                <w:sz w:val="1"/>
                <w:szCs w:val="1"/>
                <w:color w:val="auto"/>
              </w:rPr>
            </w:pPr>
          </w:p>
        </w:tc>
      </w:tr>
      <w:tr>
        <w:trPr>
          <w:trHeight w:val="243"/>
        </w:trPr>
        <w:tc>
          <w:tcPr>
            <w:tcW w:w="3860" w:type="dxa"/>
            <w:vAlign w:val="bottom"/>
          </w:tcPr>
          <w:p>
            <w:pPr>
              <w:ind w:left="340"/>
              <w:spacing w:after="0"/>
              <w:rPr>
                <w:sz w:val="20"/>
                <w:szCs w:val="20"/>
                <w:color w:val="auto"/>
              </w:rPr>
            </w:pPr>
            <w:r>
              <w:rPr>
                <w:rFonts w:ascii="Arial" w:cs="Arial" w:eastAsia="Arial" w:hAnsi="Arial"/>
                <w:sz w:val="18"/>
                <w:szCs w:val="18"/>
                <w:color w:val="auto"/>
                <w:w w:val="96"/>
              </w:rPr>
              <w:t>International government/corporate bonds (d)</w:t>
            </w:r>
          </w:p>
        </w:tc>
        <w:tc>
          <w:tcPr>
            <w:tcW w:w="140" w:type="dxa"/>
            <w:vAlign w:val="bottom"/>
          </w:tcPr>
          <w:p>
            <w:pPr>
              <w:spacing w:after="0"/>
              <w:rPr>
                <w:sz w:val="21"/>
                <w:szCs w:val="21"/>
                <w:color w:val="auto"/>
              </w:rPr>
            </w:pPr>
          </w:p>
        </w:tc>
        <w:tc>
          <w:tcPr>
            <w:tcW w:w="1580" w:type="dxa"/>
            <w:vAlign w:val="bottom"/>
          </w:tcPr>
          <w:p>
            <w:pPr>
              <w:jc w:val="right"/>
              <w:ind w:right="33"/>
              <w:spacing w:after="0"/>
              <w:rPr>
                <w:sz w:val="20"/>
                <w:szCs w:val="20"/>
                <w:color w:val="auto"/>
              </w:rPr>
            </w:pPr>
            <w:r>
              <w:rPr>
                <w:rFonts w:ascii="Arial" w:cs="Arial" w:eastAsia="Arial" w:hAnsi="Arial"/>
                <w:sz w:val="18"/>
                <w:szCs w:val="18"/>
                <w:color w:val="auto"/>
              </w:rPr>
              <w:t>31,917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40,839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72,756</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pension plan assets</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467,085</w:t>
            </w:r>
          </w:p>
        </w:tc>
        <w:tc>
          <w:tcPr>
            <w:tcW w:w="3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574,817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1,041,902</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0" w:type="dxa"/>
            <w:vAlign w:val="bottom"/>
            <w:gridSpan w:val="2"/>
          </w:tcPr>
          <w:p>
            <w:pPr>
              <w:jc w:val="right"/>
              <w:ind w:right="48"/>
              <w:spacing w:after="0"/>
              <w:rPr>
                <w:sz w:val="20"/>
                <w:szCs w:val="20"/>
                <w:color w:val="auto"/>
              </w:rPr>
            </w:pPr>
            <w:r>
              <w:rPr>
                <w:rFonts w:ascii="Arial" w:cs="Arial" w:eastAsia="Arial" w:hAnsi="Arial"/>
                <w:sz w:val="18"/>
                <w:szCs w:val="18"/>
                <w:color w:val="auto"/>
                <w:w w:val="99"/>
              </w:rPr>
              <w:t>79</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115" w:right="299" w:bottom="1440" w:gutter="0" w:footer="0" w:header="0"/>
        </w:sectPr>
      </w:pPr>
    </w:p>
    <w:bookmarkStart w:id="81" w:name="page82"/>
    <w:bookmarkEnd w:id="81"/>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9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This category comprises equity funds that primarily track the MSCI World Index or MSCI All Country World</w:t>
      </w:r>
    </w:p>
    <w:p>
      <w:pPr>
        <w:spacing w:after="0" w:line="23" w:lineRule="exact"/>
        <w:rPr>
          <w:sz w:val="20"/>
          <w:szCs w:val="20"/>
          <w:color w:val="auto"/>
        </w:rPr>
      </w:pPr>
    </w:p>
    <w:p>
      <w:pPr>
        <w:ind w:left="380" w:hanging="303"/>
        <w:spacing w:after="0"/>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Index.</w:t>
      </w:r>
    </w:p>
    <w:p>
      <w:pPr>
        <w:spacing w:after="0" w:line="48" w:lineRule="exact"/>
        <w:rPr>
          <w:rFonts w:ascii="Arial" w:cs="Arial" w:eastAsia="Arial" w:hAnsi="Arial"/>
          <w:sz w:val="18"/>
          <w:szCs w:val="18"/>
          <w:color w:val="auto"/>
        </w:rPr>
      </w:pPr>
    </w:p>
    <w:p>
      <w:pPr>
        <w:ind w:left="380" w:right="3020" w:hanging="308"/>
        <w:spacing w:after="0" w:line="326" w:lineRule="auto"/>
        <w:tabs>
          <w:tab w:leader="none" w:pos="3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This category comprises fixed income funds primarily invested in investment grade and high yield bonds. This category comprises fixed income funds primarily invested in high quality mortgage-backed securities and</w:t>
      </w:r>
    </w:p>
    <w:p>
      <w:pPr>
        <w:ind w:left="380" w:hanging="303"/>
        <w:spacing w:after="0"/>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asset-backed obligations.</w:t>
      </w:r>
    </w:p>
    <w:p>
      <w:pPr>
        <w:spacing w:after="0" w:line="48" w:lineRule="exact"/>
        <w:rPr>
          <w:rFonts w:ascii="Arial" w:cs="Arial" w:eastAsia="Arial" w:hAnsi="Arial"/>
          <w:sz w:val="18"/>
          <w:szCs w:val="18"/>
          <w:color w:val="auto"/>
        </w:rPr>
      </w:pPr>
    </w:p>
    <w:p>
      <w:pPr>
        <w:ind w:left="380" w:hanging="308"/>
        <w:spacing w:after="0"/>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This category comprises fixed income funds primarily invested in Canadian and other international bonds.</w:t>
      </w:r>
    </w:p>
    <w:p>
      <w:pPr>
        <w:spacing w:after="0" w:line="63" w:lineRule="exact"/>
        <w:rPr>
          <w:rFonts w:ascii="Arial" w:cs="Arial" w:eastAsia="Arial" w:hAnsi="Arial"/>
          <w:sz w:val="18"/>
          <w:szCs w:val="18"/>
          <w:color w:val="auto"/>
        </w:rPr>
      </w:pPr>
    </w:p>
    <w:p>
      <w:pPr>
        <w:ind w:left="380" w:hanging="303"/>
        <w:spacing w:after="0"/>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This category comprises diversified funds invested across alternative asset classes.</w:t>
      </w:r>
    </w:p>
    <w:p>
      <w:pPr>
        <w:spacing w:after="0" w:line="63" w:lineRule="exact"/>
        <w:rPr>
          <w:rFonts w:ascii="Arial" w:cs="Arial" w:eastAsia="Arial" w:hAnsi="Arial"/>
          <w:sz w:val="18"/>
          <w:szCs w:val="18"/>
          <w:color w:val="auto"/>
        </w:rPr>
      </w:pPr>
    </w:p>
    <w:p>
      <w:pPr>
        <w:ind w:left="380" w:hanging="293"/>
        <w:spacing w:after="0"/>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This category comprises equity funds primarily invested in publicly traded real estate securities.</w:t>
      </w:r>
    </w:p>
    <w:p>
      <w:pPr>
        <w:spacing w:after="0" w:line="63" w:lineRule="exact"/>
        <w:rPr>
          <w:rFonts w:ascii="Arial" w:cs="Arial" w:eastAsia="Arial" w:hAnsi="Arial"/>
          <w:sz w:val="18"/>
          <w:szCs w:val="18"/>
          <w:color w:val="auto"/>
        </w:rPr>
      </w:pPr>
    </w:p>
    <w:p>
      <w:pPr>
        <w:ind w:left="380" w:hanging="308"/>
        <w:spacing w:after="0"/>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This category comprises equity funds primarily invested in publicly traded listed infrastructure securities.</w:t>
      </w:r>
    </w:p>
    <w:p>
      <w:pPr>
        <w:spacing w:after="0" w:line="63" w:lineRule="exact"/>
        <w:rPr>
          <w:rFonts w:ascii="Arial" w:cs="Arial" w:eastAsia="Arial" w:hAnsi="Arial"/>
          <w:sz w:val="18"/>
          <w:szCs w:val="18"/>
          <w:color w:val="auto"/>
        </w:rPr>
      </w:pPr>
    </w:p>
    <w:p>
      <w:pPr>
        <w:ind w:left="340" w:hanging="268"/>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This category comprises equity funds that track the Russell 3000 index.</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 This category comprises equity funds that track the MSCI World Ex-US index.</w:t>
      </w:r>
    </w:p>
    <w:p>
      <w:pPr>
        <w:spacing w:after="0" w:line="19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fair value of the Level 1 assets was based on quoted prices in active markets for the identical assets. The fair value of the Level 2 assets was determined by management based on an assessment of valuations provided by asset management entities and was calculated by aggregating market prices for all underlying securities.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Investment objectives for our domestic plan assets are:</w:t>
      </w:r>
    </w:p>
    <w:p>
      <w:pPr>
        <w:spacing w:after="0" w:line="68" w:lineRule="exact"/>
        <w:rPr>
          <w:sz w:val="20"/>
          <w:szCs w:val="20"/>
          <w:color w:val="auto"/>
        </w:rPr>
      </w:pPr>
    </w:p>
    <w:p>
      <w:pPr>
        <w:ind w:left="380" w:hanging="216"/>
        <w:spacing w:after="0"/>
        <w:tabs>
          <w:tab w:leader="none" w:pos="380" w:val="left"/>
        </w:tabs>
        <w:numPr>
          <w:ilvl w:val="0"/>
          <w:numId w:val="35"/>
        </w:numPr>
        <w:rPr>
          <w:rFonts w:ascii="Arial" w:cs="Arial" w:eastAsia="Arial" w:hAnsi="Arial"/>
          <w:sz w:val="29"/>
          <w:szCs w:val="29"/>
          <w:color w:val="auto"/>
          <w:vertAlign w:val="superscript"/>
        </w:rPr>
      </w:pPr>
      <w:r>
        <w:rPr>
          <w:rFonts w:ascii="Arial" w:cs="Arial" w:eastAsia="Arial" w:hAnsi="Arial"/>
          <w:sz w:val="18"/>
          <w:szCs w:val="18"/>
          <w:color w:val="auto"/>
        </w:rPr>
        <w:t>To ensure high correlation between the value of plan assets and liabilities;</w:t>
      </w:r>
    </w:p>
    <w:p>
      <w:pPr>
        <w:spacing w:after="0" w:line="55" w:lineRule="exact"/>
        <w:rPr>
          <w:rFonts w:ascii="Arial" w:cs="Arial" w:eastAsia="Arial" w:hAnsi="Arial"/>
          <w:sz w:val="29"/>
          <w:szCs w:val="29"/>
          <w:color w:val="auto"/>
          <w:vertAlign w:val="superscript"/>
        </w:rPr>
      </w:pPr>
    </w:p>
    <w:p>
      <w:pPr>
        <w:ind w:left="360" w:hanging="196"/>
        <w:spacing w:after="0" w:line="186" w:lineRule="auto"/>
        <w:tabs>
          <w:tab w:leader="none" w:pos="360" w:val="left"/>
        </w:tabs>
        <w:numPr>
          <w:ilvl w:val="0"/>
          <w:numId w:val="35"/>
        </w:numPr>
        <w:rPr>
          <w:rFonts w:ascii="Arial" w:cs="Arial" w:eastAsia="Arial" w:hAnsi="Arial"/>
          <w:sz w:val="24"/>
          <w:szCs w:val="24"/>
          <w:color w:val="auto"/>
          <w:vertAlign w:val="superscript"/>
        </w:rPr>
      </w:pPr>
      <w:r>
        <w:rPr>
          <w:rFonts w:ascii="Arial" w:cs="Arial" w:eastAsia="Arial" w:hAnsi="Arial"/>
          <w:sz w:val="15"/>
          <w:szCs w:val="15"/>
          <w:color w:val="auto"/>
        </w:rPr>
        <w:t>To maintain careful control of the risk level within each asset class; and</w:t>
      </w:r>
    </w:p>
    <w:p>
      <w:pPr>
        <w:spacing w:after="0" w:line="56" w:lineRule="exact"/>
        <w:rPr>
          <w:rFonts w:ascii="Arial" w:cs="Arial" w:eastAsia="Arial" w:hAnsi="Arial"/>
          <w:sz w:val="24"/>
          <w:szCs w:val="24"/>
          <w:color w:val="auto"/>
          <w:vertAlign w:val="superscript"/>
        </w:rPr>
      </w:pPr>
    </w:p>
    <w:p>
      <w:pPr>
        <w:ind w:left="360" w:hanging="196"/>
        <w:spacing w:after="0" w:line="186" w:lineRule="auto"/>
        <w:tabs>
          <w:tab w:leader="none" w:pos="360" w:val="left"/>
        </w:tabs>
        <w:numPr>
          <w:ilvl w:val="0"/>
          <w:numId w:val="35"/>
        </w:numPr>
        <w:rPr>
          <w:rFonts w:ascii="Arial" w:cs="Arial" w:eastAsia="Arial" w:hAnsi="Arial"/>
          <w:sz w:val="24"/>
          <w:szCs w:val="24"/>
          <w:color w:val="auto"/>
          <w:vertAlign w:val="superscript"/>
        </w:rPr>
      </w:pPr>
      <w:r>
        <w:rPr>
          <w:rFonts w:ascii="Arial" w:cs="Arial" w:eastAsia="Arial" w:hAnsi="Arial"/>
          <w:sz w:val="15"/>
          <w:szCs w:val="15"/>
          <w:color w:val="auto"/>
        </w:rPr>
        <w:t>To focus on a long-term return objective.</w:t>
      </w:r>
    </w:p>
    <w:p>
      <w:pPr>
        <w:spacing w:after="0" w:line="17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believe that there are no significant concentrations of risk within our plan assets as of December 31, 2016. We comply with the rules and regulations promulgated under the Employee Retirement Income Security Act of 1974 (“ERISA”) and we prohibit investments and investment strategies not allowed by ERISA. We do not permit direct purchases of our Company’s securities or the use of derivatives for the purpose of speculation. We invest the assets of non-domestic plans in compliance with laws and regulations applicable to those plans.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and Plan Termination</w:t>
      </w:r>
    </w:p>
    <w:p>
      <w:pPr>
        <w:spacing w:after="0" w:line="94"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Our policy is to fund domestic pension liabilities in accordance with the limits imposed by the ERISA, federal income tax laws and the funding requirements of the Pension Protection Act of 2006. We fund non-domestic pension liabilities in accordance with laws and regulations applicable to those plans.</w:t>
      </w:r>
    </w:p>
    <w:p>
      <w:pPr>
        <w:spacing w:after="0" w:line="7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made total contributions to the pension plans of $21,580 during 2016, including contributions of $18,000 to maintain the funded status of our domestic plans. In 2015, we made total contributions of $32,898 to the pension plans. For 2017, minimum funding requirements for our pension plans are approximately $1,158.</w:t>
      </w:r>
    </w:p>
    <w:p>
      <w:pPr>
        <w:spacing w:after="0" w:line="12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Total benefit payments expected to be paid to plan participants, including pension benefits funded from the plans and other benefits funded from Company assets,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Expected Benefit Payments</w:t>
            </w: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9"/>
        </w:trPr>
        <w:tc>
          <w:tcPr>
            <w:tcW w:w="236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58"/>
        </w:trPr>
        <w:tc>
          <w:tcPr>
            <w:tcW w:w="23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2022-2026</w:t>
            </w:r>
          </w:p>
        </w:tc>
      </w:tr>
      <w:tr>
        <w:trPr>
          <w:trHeight w:val="250"/>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Benefits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96,972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69,299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73,438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78,863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79,714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423,587</w:t>
            </w:r>
          </w:p>
        </w:tc>
      </w:tr>
      <w:tr>
        <w:trPr>
          <w:trHeight w:val="243"/>
        </w:trPr>
        <w:tc>
          <w:tcPr>
            <w:tcW w:w="2360" w:type="dxa"/>
            <w:vAlign w:val="bottom"/>
          </w:tcPr>
          <w:p>
            <w:pPr>
              <w:spacing w:after="0"/>
              <w:rPr>
                <w:sz w:val="20"/>
                <w:szCs w:val="20"/>
                <w:color w:val="auto"/>
              </w:rPr>
            </w:pPr>
            <w:r>
              <w:rPr>
                <w:rFonts w:ascii="Arial" w:cs="Arial" w:eastAsia="Arial" w:hAnsi="Arial"/>
                <w:sz w:val="18"/>
                <w:szCs w:val="18"/>
                <w:color w:val="auto"/>
              </w:rPr>
              <w:t>Other Benefits</w:t>
            </w:r>
          </w:p>
        </w:tc>
        <w:tc>
          <w:tcPr>
            <w:tcW w:w="36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22,593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20,546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18,813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17,642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16,698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71,616</w:t>
            </w:r>
          </w:p>
        </w:tc>
      </w:tr>
    </w:tbl>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third quarter of 2016, the Company’s Board Compensation and Executive Organization Committee approved the termination of the Hershey Company Puerto Rico Hourly Pension Plan with an effective date of December 31, 2016. It is expected to take 15 to 18 months from the date of the approved amendment to complete the termination of this plan. The net pension liability for this plan of $5,082 as of December 31, 2016 will be settled through either lump sum payments or purchased annuities.</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60"/>
          </w:cols>
          <w:pgMar w:left="240" w:top="115" w:right="299" w:bottom="1440" w:gutter="0" w:footer="0" w:header="0"/>
        </w:sectPr>
      </w:pPr>
    </w:p>
    <w:bookmarkStart w:id="82" w:name="page83"/>
    <w:bookmarkEnd w:id="82"/>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Multiemployer Pension Plan</w:t>
      </w:r>
    </w:p>
    <w:p>
      <w:pPr>
        <w:spacing w:after="0" w:line="94"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During 2016, we exited a facility as part of the 2016 Operational Optimization Program (see Note 7) and no longer participate in the BCTGM Union and Industry Canadian Pension Plan, a trustee-managed multiemployer defined benefit pension plan. Our obligation during the term of the collective bargaining agreement was limited to remitting the required contributions to the plan and contributions made were not significant during 2014 through 2016.</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Savings Plans</w:t>
      </w:r>
    </w:p>
    <w:p>
      <w:pPr>
        <w:spacing w:after="0" w:line="9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Company sponsors several defined contribution plans to provide retirement benefits to employees. Contributions to The Hershey Company 401(k) Plan and similar plans for non-domestic employees are based on a portion of eligible pay up to a defined maximum. All matching contributions were made in cash. Expense associated with the defined contribution plans was $43,545 in 2016, $44,285 in 2015 and $46,064 in 2014.</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 COMPENSATION PLANS</w:t>
      </w:r>
    </w:p>
    <w:p>
      <w:pPr>
        <w:spacing w:after="0" w:line="94"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Share-based grants for compensation and incentive purposes are made pursuant to the Equity and Incentive Compensation Plan (“EICP”). The EICP provides for grants of one or more of the following stock-based compensation awards to employees, non-employee directors and certain service providers upon whom the successful conduct of our business is dependent:</w:t>
      </w:r>
    </w:p>
    <w:p>
      <w:pPr>
        <w:spacing w:after="0" w:line="24" w:lineRule="exact"/>
        <w:rPr>
          <w:sz w:val="20"/>
          <w:szCs w:val="20"/>
          <w:color w:val="auto"/>
        </w:rPr>
      </w:pPr>
    </w:p>
    <w:p>
      <w:pPr>
        <w:ind w:left="360" w:hanging="196"/>
        <w:spacing w:after="0"/>
        <w:tabs>
          <w:tab w:leader="none" w:pos="360" w:val="left"/>
        </w:tabs>
        <w:numPr>
          <w:ilvl w:val="0"/>
          <w:numId w:val="36"/>
        </w:numPr>
        <w:rPr>
          <w:rFonts w:ascii="Arial" w:cs="Arial" w:eastAsia="Arial" w:hAnsi="Arial"/>
          <w:sz w:val="29"/>
          <w:szCs w:val="29"/>
          <w:color w:val="auto"/>
          <w:vertAlign w:val="superscript"/>
        </w:rPr>
      </w:pPr>
      <w:r>
        <w:rPr>
          <w:rFonts w:ascii="Arial" w:cs="Arial" w:eastAsia="Arial" w:hAnsi="Arial"/>
          <w:sz w:val="18"/>
          <w:szCs w:val="18"/>
          <w:color w:val="auto"/>
        </w:rPr>
        <w:t>Non-qualified stock options (“stock options”);</w:t>
      </w:r>
    </w:p>
    <w:p>
      <w:pPr>
        <w:spacing w:after="0" w:line="55" w:lineRule="exact"/>
        <w:rPr>
          <w:rFonts w:ascii="Arial" w:cs="Arial" w:eastAsia="Arial" w:hAnsi="Arial"/>
          <w:sz w:val="29"/>
          <w:szCs w:val="29"/>
          <w:color w:val="auto"/>
          <w:vertAlign w:val="superscript"/>
        </w:rPr>
      </w:pPr>
    </w:p>
    <w:p>
      <w:pPr>
        <w:ind w:left="360" w:hanging="196"/>
        <w:spacing w:after="0" w:line="186" w:lineRule="auto"/>
        <w:tabs>
          <w:tab w:leader="none" w:pos="360" w:val="left"/>
        </w:tabs>
        <w:numPr>
          <w:ilvl w:val="0"/>
          <w:numId w:val="36"/>
        </w:numPr>
        <w:rPr>
          <w:rFonts w:ascii="Arial" w:cs="Arial" w:eastAsia="Arial" w:hAnsi="Arial"/>
          <w:sz w:val="24"/>
          <w:szCs w:val="24"/>
          <w:color w:val="auto"/>
          <w:vertAlign w:val="superscript"/>
        </w:rPr>
      </w:pPr>
      <w:r>
        <w:rPr>
          <w:rFonts w:ascii="Arial" w:cs="Arial" w:eastAsia="Arial" w:hAnsi="Arial"/>
          <w:sz w:val="15"/>
          <w:szCs w:val="15"/>
          <w:color w:val="auto"/>
        </w:rPr>
        <w:t>Performance stock units (“PSUs”) and performance stock;</w:t>
      </w:r>
    </w:p>
    <w:p>
      <w:pPr>
        <w:spacing w:after="0" w:line="56" w:lineRule="exact"/>
        <w:rPr>
          <w:rFonts w:ascii="Arial" w:cs="Arial" w:eastAsia="Arial" w:hAnsi="Arial"/>
          <w:sz w:val="24"/>
          <w:szCs w:val="24"/>
          <w:color w:val="auto"/>
          <w:vertAlign w:val="superscript"/>
        </w:rPr>
      </w:pPr>
    </w:p>
    <w:p>
      <w:pPr>
        <w:ind w:left="360" w:hanging="196"/>
        <w:spacing w:after="0" w:line="186" w:lineRule="auto"/>
        <w:tabs>
          <w:tab w:leader="none" w:pos="360" w:val="left"/>
        </w:tabs>
        <w:numPr>
          <w:ilvl w:val="0"/>
          <w:numId w:val="36"/>
        </w:numPr>
        <w:rPr>
          <w:rFonts w:ascii="Arial" w:cs="Arial" w:eastAsia="Arial" w:hAnsi="Arial"/>
          <w:sz w:val="24"/>
          <w:szCs w:val="24"/>
          <w:color w:val="auto"/>
          <w:vertAlign w:val="superscript"/>
        </w:rPr>
      </w:pPr>
      <w:r>
        <w:rPr>
          <w:rFonts w:ascii="Arial" w:cs="Arial" w:eastAsia="Arial" w:hAnsi="Arial"/>
          <w:sz w:val="15"/>
          <w:szCs w:val="15"/>
          <w:color w:val="auto"/>
        </w:rPr>
        <w:t>Stock appreciation rights;</w:t>
      </w:r>
    </w:p>
    <w:p>
      <w:pPr>
        <w:spacing w:after="0" w:line="56" w:lineRule="exact"/>
        <w:rPr>
          <w:rFonts w:ascii="Arial" w:cs="Arial" w:eastAsia="Arial" w:hAnsi="Arial"/>
          <w:sz w:val="24"/>
          <w:szCs w:val="24"/>
          <w:color w:val="auto"/>
          <w:vertAlign w:val="superscript"/>
        </w:rPr>
      </w:pPr>
    </w:p>
    <w:p>
      <w:pPr>
        <w:ind w:left="360" w:hanging="196"/>
        <w:spacing w:after="0" w:line="186" w:lineRule="auto"/>
        <w:tabs>
          <w:tab w:leader="none" w:pos="360" w:val="left"/>
        </w:tabs>
        <w:numPr>
          <w:ilvl w:val="0"/>
          <w:numId w:val="36"/>
        </w:numPr>
        <w:rPr>
          <w:rFonts w:ascii="Arial" w:cs="Arial" w:eastAsia="Arial" w:hAnsi="Arial"/>
          <w:sz w:val="24"/>
          <w:szCs w:val="24"/>
          <w:color w:val="auto"/>
          <w:vertAlign w:val="superscript"/>
        </w:rPr>
      </w:pPr>
      <w:r>
        <w:rPr>
          <w:rFonts w:ascii="Arial" w:cs="Arial" w:eastAsia="Arial" w:hAnsi="Arial"/>
          <w:sz w:val="15"/>
          <w:szCs w:val="15"/>
          <w:color w:val="auto"/>
        </w:rPr>
        <w:t>Restricted stock units (“RSUs”) and restricted stock; and</w:t>
      </w:r>
    </w:p>
    <w:p>
      <w:pPr>
        <w:spacing w:after="0" w:line="56" w:lineRule="exact"/>
        <w:rPr>
          <w:rFonts w:ascii="Arial" w:cs="Arial" w:eastAsia="Arial" w:hAnsi="Arial"/>
          <w:sz w:val="24"/>
          <w:szCs w:val="24"/>
          <w:color w:val="auto"/>
          <w:vertAlign w:val="superscript"/>
        </w:rPr>
      </w:pPr>
    </w:p>
    <w:p>
      <w:pPr>
        <w:ind w:left="360" w:hanging="196"/>
        <w:spacing w:after="0" w:line="186" w:lineRule="auto"/>
        <w:tabs>
          <w:tab w:leader="none" w:pos="360" w:val="left"/>
        </w:tabs>
        <w:numPr>
          <w:ilvl w:val="0"/>
          <w:numId w:val="36"/>
        </w:numPr>
        <w:rPr>
          <w:rFonts w:ascii="Arial" w:cs="Arial" w:eastAsia="Arial" w:hAnsi="Arial"/>
          <w:sz w:val="24"/>
          <w:szCs w:val="24"/>
          <w:color w:val="auto"/>
          <w:vertAlign w:val="superscript"/>
        </w:rPr>
      </w:pPr>
      <w:r>
        <w:rPr>
          <w:rFonts w:ascii="Arial" w:cs="Arial" w:eastAsia="Arial" w:hAnsi="Arial"/>
          <w:sz w:val="15"/>
          <w:szCs w:val="15"/>
          <w:color w:val="auto"/>
        </w:rPr>
        <w:t>Other stock-based awards.</w:t>
      </w:r>
    </w:p>
    <w:p>
      <w:pPr>
        <w:spacing w:after="0" w:line="17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As of December 31, 2016, 68.5 million shares were authorized and approved by our stockholders for grants under the EICP. The EICP also provides for the deferral of stock-based compensation awards by participants if approved by the Compensation and Executive Organization Committee of our Board and if in accordance with an applicable deferred compensation plan of the Company. Currently, the Compensation and Executive Organization Committee has authorized the deferral of PSU and RSU awards by certain eligible employees under the Company’s Deferred Compensation Plan. Our Board has authorized our non-employee directors to defer any portion of their cash retainer, committee chair fees and RSUs awarded after 2007 that they elect to convert into deferred stock units under our Directors’ Compensation Plan.</w:t>
      </w:r>
    </w:p>
    <w:p>
      <w:pPr>
        <w:spacing w:after="0" w:line="124"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At the time stock options are exercised or RSUs and PSUs become payable, common stock is issued from our accumulated treasury shares. Dividend equivalents are credited on RSUs on the same date and at the same rate as dividends are paid on Hershey’s common stock. These dividend equivalents are charged to retained earnings.</w:t>
      </w:r>
    </w:p>
    <w:p>
      <w:pPr>
        <w:spacing w:after="0" w:line="12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the periods presented, compensation expense for all types of stock-based compensation programs and the related income tax benefit recognized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For the years ended December 31,</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2014</w:t>
            </w: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Pre-tax compensation expense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54,785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51,533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54,068</w:t>
            </w: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Related income tax benefit</w:t>
            </w:r>
          </w:p>
        </w:tc>
        <w:tc>
          <w:tcPr>
            <w:tcW w:w="30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17,148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17,109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18,653</w:t>
            </w:r>
          </w:p>
        </w:tc>
      </w:tr>
    </w:tbl>
    <w:p>
      <w:pPr>
        <w:spacing w:after="0" w:line="17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Compensation costs for stock compensation plans are primarily included in selling, marketing and administrative expense. As of December 31, 2016, total stock-based compensation cost related to non-vested awards not yet recognized was $60,963 and the weighted-average period over which this amount is expected to be recognized was approximately 2.2 years.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115" w:right="259" w:bottom="1440" w:gutter="0" w:footer="0" w:header="0"/>
        </w:sectPr>
      </w:pPr>
    </w:p>
    <w:bookmarkStart w:id="83" w:name="page84"/>
    <w:bookmarkEnd w:id="83"/>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81"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The exercise price of each stock option awarded under the EICP equals the closing price of our Common Stock on the New York Stock Exchange on the date of grant. Each stock option has a maximum term of 10 years. Grants of stock options provide for pro-rated vesting, typically over a four year period. Expense for stock options is based on grant date fair value and recognized on a straight-line method over the vesting period.</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activity relating to grants of stock options for the year ended December 31, 2016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Weighted-Average</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Weighted-Average</w:t>
            </w: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0"/>
              </w:rPr>
              <w:t>Exercise Price (per</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200" w:type="dxa"/>
            <w:vAlign w:val="bottom"/>
          </w:tcPr>
          <w:p>
            <w:pPr>
              <w:spacing w:after="0"/>
              <w:rPr>
                <w:sz w:val="18"/>
                <w:szCs w:val="18"/>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b w:val="1"/>
                <w:bCs w:val="1"/>
                <w:color w:val="auto"/>
                <w:w w:val="91"/>
              </w:rPr>
              <w:t>Aggregate Intrinsic</w:t>
            </w:r>
          </w:p>
        </w:tc>
      </w:tr>
      <w:tr>
        <w:trPr>
          <w:trHeight w:val="234"/>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Stock Options</w:t>
            </w:r>
          </w:p>
        </w:tc>
        <w:tc>
          <w:tcPr>
            <w:tcW w:w="1560" w:type="dxa"/>
            <w:vAlign w:val="bottom"/>
          </w:tcPr>
          <w:p>
            <w:pPr>
              <w:jc w:val="right"/>
              <w:ind w:right="430"/>
              <w:spacing w:after="0"/>
              <w:rPr>
                <w:sz w:val="20"/>
                <w:szCs w:val="20"/>
                <w:color w:val="auto"/>
              </w:rPr>
            </w:pPr>
            <w:r>
              <w:rPr>
                <w:rFonts w:ascii="Arial" w:cs="Arial" w:eastAsia="Arial" w:hAnsi="Arial"/>
                <w:sz w:val="18"/>
                <w:szCs w:val="18"/>
                <w:b w:val="1"/>
                <w:bCs w:val="1"/>
                <w:color w:val="auto"/>
              </w:rPr>
              <w:t>Shares</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5"/>
              </w:rPr>
              <w:t>share)</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2"/>
              </w:rPr>
              <w:t>Contractual Term</w:t>
            </w:r>
          </w:p>
        </w:tc>
        <w:tc>
          <w:tcPr>
            <w:tcW w:w="200" w:type="dxa"/>
            <w:vAlign w:val="bottom"/>
          </w:tcPr>
          <w:p>
            <w:pPr>
              <w:spacing w:after="0"/>
              <w:rPr>
                <w:sz w:val="20"/>
                <w:szCs w:val="20"/>
                <w:color w:val="auto"/>
              </w:rPr>
            </w:pPr>
          </w:p>
        </w:tc>
        <w:tc>
          <w:tcPr>
            <w:tcW w:w="1640" w:type="dxa"/>
            <w:vAlign w:val="bottom"/>
          </w:tcPr>
          <w:p>
            <w:pPr>
              <w:jc w:val="right"/>
              <w:ind w:right="570"/>
              <w:spacing w:after="0"/>
              <w:rPr>
                <w:sz w:val="20"/>
                <w:szCs w:val="20"/>
                <w:color w:val="auto"/>
              </w:rPr>
            </w:pPr>
            <w:r>
              <w:rPr>
                <w:rFonts w:ascii="Arial" w:cs="Arial" w:eastAsia="Arial" w:hAnsi="Arial"/>
                <w:sz w:val="18"/>
                <w:szCs w:val="18"/>
                <w:b w:val="1"/>
                <w:bCs w:val="1"/>
                <w:color w:val="auto"/>
              </w:rPr>
              <w:t>Value</w:t>
            </w:r>
          </w:p>
        </w:tc>
      </w:tr>
      <w:tr>
        <w:trPr>
          <w:trHeight w:val="27"/>
        </w:trPr>
        <w:tc>
          <w:tcPr>
            <w:tcW w:w="47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beginning of the period</w:t>
            </w: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6,842,563</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$75.48</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5.8 years</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1,356,440</w:t>
            </w: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$90.73</w:t>
            </w:r>
          </w:p>
        </w:tc>
        <w:tc>
          <w:tcPr>
            <w:tcW w:w="1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(1,762,827)</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$58.72</w:t>
            </w:r>
          </w:p>
        </w:tc>
        <w:tc>
          <w:tcPr>
            <w:tcW w:w="1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(244,168)</w:t>
            </w: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$98.72</w:t>
            </w:r>
          </w:p>
        </w:tc>
        <w:tc>
          <w:tcPr>
            <w:tcW w:w="1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December 31, 2016</w:t>
            </w:r>
          </w:p>
        </w:tc>
        <w:tc>
          <w:tcPr>
            <w:tcW w:w="15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6,192,008</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$82.67</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6.2 years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121,202</w:t>
            </w:r>
          </w:p>
        </w:tc>
      </w:tr>
      <w:tr>
        <w:trPr>
          <w:trHeight w:val="20"/>
        </w:trPr>
        <w:tc>
          <w:tcPr>
            <w:tcW w:w="47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51"/>
        </w:trPr>
        <w:tc>
          <w:tcPr>
            <w:tcW w:w="4700" w:type="dxa"/>
            <w:vAlign w:val="bottom"/>
          </w:tcPr>
          <w:p>
            <w:pPr>
              <w:ind w:left="40"/>
              <w:spacing w:after="0"/>
              <w:rPr>
                <w:sz w:val="20"/>
                <w:szCs w:val="20"/>
                <w:color w:val="auto"/>
              </w:rPr>
            </w:pPr>
            <w:r>
              <w:rPr>
                <w:rFonts w:ascii="Arial" w:cs="Arial" w:eastAsia="Arial" w:hAnsi="Arial"/>
                <w:sz w:val="18"/>
                <w:szCs w:val="18"/>
                <w:color w:val="auto"/>
              </w:rPr>
              <w:t>Options exercisable as of December 31, 2016</w:t>
            </w:r>
          </w:p>
        </w:tc>
        <w:tc>
          <w:tcPr>
            <w:tcW w:w="15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3,498,601</w:t>
            </w: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$72.15</w:t>
            </w: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4.6 years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103,865</w:t>
            </w:r>
          </w:p>
        </w:tc>
      </w:tr>
      <w:tr>
        <w:trPr>
          <w:trHeight w:val="20"/>
        </w:trPr>
        <w:tc>
          <w:tcPr>
            <w:tcW w:w="47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134"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The weighted-average fair value of options granted was $11.46, $18.99 and $21.50 per share in 2016, 2015 and 2014, respectively. The fair value was estimated on the date of grant using a Black-Scholes option-pricing model and the following weighted-average assumptions: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For the years ended December 31,</w:t>
            </w:r>
          </w:p>
        </w:tc>
        <w:tc>
          <w:tcPr>
            <w:tcW w:w="1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2014</w:t>
            </w:r>
          </w:p>
        </w:tc>
      </w:tr>
      <w:tr>
        <w:trPr>
          <w:trHeight w:val="250"/>
        </w:trPr>
        <w:tc>
          <w:tcPr>
            <w:tcW w:w="6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Dividend yields</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6260" w:type="dxa"/>
            <w:vAlign w:val="bottom"/>
            <w:gridSpan w:val="2"/>
          </w:tcPr>
          <w:p>
            <w:pPr>
              <w:ind w:left="40"/>
              <w:spacing w:after="0"/>
              <w:rPr>
                <w:sz w:val="20"/>
                <w:szCs w:val="20"/>
                <w:color w:val="auto"/>
              </w:rPr>
            </w:pPr>
            <w:r>
              <w:rPr>
                <w:rFonts w:ascii="Arial" w:cs="Arial" w:eastAsia="Arial" w:hAnsi="Arial"/>
                <w:sz w:val="18"/>
                <w:szCs w:val="18"/>
                <w:color w:val="auto"/>
              </w:rPr>
              <w:t>Expected volatility</w:t>
            </w:r>
          </w:p>
        </w:tc>
        <w:tc>
          <w:tcPr>
            <w:tcW w:w="1640" w:type="dxa"/>
            <w:vAlign w:val="bottom"/>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22.3%</w:t>
            </w:r>
          </w:p>
        </w:tc>
      </w:tr>
      <w:tr>
        <w:trPr>
          <w:trHeight w:val="27"/>
        </w:trPr>
        <w:tc>
          <w:tcPr>
            <w:tcW w:w="6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Risk-free interest rates</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6260" w:type="dxa"/>
            <w:vAlign w:val="bottom"/>
            <w:gridSpan w:val="2"/>
          </w:tcPr>
          <w:p>
            <w:pPr>
              <w:ind w:left="40"/>
              <w:spacing w:after="0"/>
              <w:rPr>
                <w:sz w:val="20"/>
                <w:szCs w:val="20"/>
                <w:color w:val="auto"/>
              </w:rPr>
            </w:pPr>
            <w:r>
              <w:rPr>
                <w:rFonts w:ascii="Arial" w:cs="Arial" w:eastAsia="Arial" w:hAnsi="Arial"/>
                <w:sz w:val="18"/>
                <w:szCs w:val="18"/>
                <w:color w:val="auto"/>
              </w:rPr>
              <w:t>Expected term in years</w:t>
            </w:r>
          </w:p>
        </w:tc>
        <w:tc>
          <w:tcPr>
            <w:tcW w:w="1640" w:type="dxa"/>
            <w:vAlign w:val="bottom"/>
          </w:tcPr>
          <w:p>
            <w:pPr>
              <w:jc w:val="right"/>
              <w:ind w:right="94"/>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1640" w:type="dxa"/>
            <w:vAlign w:val="bottom"/>
          </w:tcPr>
          <w:p>
            <w:pPr>
              <w:jc w:val="right"/>
              <w:ind w:right="94"/>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1640" w:type="dxa"/>
            <w:vAlign w:val="bottom"/>
          </w:tcPr>
          <w:p>
            <w:pPr>
              <w:jc w:val="right"/>
              <w:ind w:right="94"/>
              <w:spacing w:after="0"/>
              <w:rPr>
                <w:sz w:val="20"/>
                <w:szCs w:val="20"/>
                <w:color w:val="auto"/>
              </w:rPr>
            </w:pPr>
            <w:r>
              <w:rPr>
                <w:rFonts w:ascii="Arial" w:cs="Arial" w:eastAsia="Arial" w:hAnsi="Arial"/>
                <w:sz w:val="18"/>
                <w:szCs w:val="18"/>
                <w:color w:val="auto"/>
              </w:rPr>
              <w:t>6.7</w:t>
            </w:r>
          </w:p>
        </w:tc>
      </w:tr>
    </w:tbl>
    <w:p>
      <w:pPr>
        <w:spacing w:after="0" w:line="256" w:lineRule="exact"/>
        <w:rPr>
          <w:sz w:val="20"/>
          <w:szCs w:val="20"/>
          <w:color w:val="auto"/>
        </w:rPr>
      </w:pPr>
    </w:p>
    <w:p>
      <w:pPr>
        <w:ind w:left="420" w:right="3920" w:hanging="236"/>
        <w:spacing w:after="0" w:line="198" w:lineRule="auto"/>
        <w:tabs>
          <w:tab w:leader="none" w:pos="420" w:val="left"/>
        </w:tabs>
        <w:numPr>
          <w:ilvl w:val="0"/>
          <w:numId w:val="37"/>
        </w:numPr>
        <w:rPr>
          <w:rFonts w:ascii="Arial" w:cs="Arial" w:eastAsia="Arial" w:hAnsi="Arial"/>
          <w:sz w:val="29"/>
          <w:szCs w:val="29"/>
          <w:color w:val="auto"/>
          <w:vertAlign w:val="superscript"/>
        </w:rPr>
      </w:pPr>
      <w:r>
        <w:rPr>
          <w:rFonts w:ascii="Arial" w:cs="Arial" w:eastAsia="Arial" w:hAnsi="Arial"/>
          <w:sz w:val="18"/>
          <w:szCs w:val="18"/>
          <w:color w:val="auto"/>
        </w:rPr>
        <w:t>“Dividend yields” means the sum of dividends declared for the four most recent quarterly periods, divided by the average price of our Common Stock for the comparable periods;</w:t>
      </w:r>
    </w:p>
    <w:p>
      <w:pPr>
        <w:spacing w:after="0" w:line="40" w:lineRule="exact"/>
        <w:rPr>
          <w:rFonts w:ascii="Arial" w:cs="Arial" w:eastAsia="Arial" w:hAnsi="Arial"/>
          <w:sz w:val="29"/>
          <w:szCs w:val="29"/>
          <w:color w:val="auto"/>
          <w:vertAlign w:val="superscript"/>
        </w:rPr>
      </w:pPr>
    </w:p>
    <w:p>
      <w:pPr>
        <w:ind w:left="400" w:right="3780" w:hanging="216"/>
        <w:spacing w:after="0" w:line="198" w:lineRule="auto"/>
        <w:tabs>
          <w:tab w:leader="none" w:pos="400" w:val="left"/>
        </w:tabs>
        <w:numPr>
          <w:ilvl w:val="0"/>
          <w:numId w:val="37"/>
        </w:numPr>
        <w:rPr>
          <w:rFonts w:ascii="Arial" w:cs="Arial" w:eastAsia="Arial" w:hAnsi="Arial"/>
          <w:sz w:val="29"/>
          <w:szCs w:val="29"/>
          <w:color w:val="auto"/>
          <w:vertAlign w:val="superscript"/>
        </w:rPr>
      </w:pPr>
      <w:r>
        <w:rPr>
          <w:rFonts w:ascii="Arial" w:cs="Arial" w:eastAsia="Arial" w:hAnsi="Arial"/>
          <w:sz w:val="18"/>
          <w:szCs w:val="18"/>
          <w:color w:val="auto"/>
        </w:rPr>
        <w:t>“Expected volatility” means the historical volatility of our Common Stock over the expected term of each grant;</w:t>
      </w:r>
    </w:p>
    <w:p>
      <w:pPr>
        <w:spacing w:after="0" w:line="40" w:lineRule="exact"/>
        <w:rPr>
          <w:rFonts w:ascii="Arial" w:cs="Arial" w:eastAsia="Arial" w:hAnsi="Arial"/>
          <w:sz w:val="29"/>
          <w:szCs w:val="29"/>
          <w:color w:val="auto"/>
          <w:vertAlign w:val="superscript"/>
        </w:rPr>
      </w:pPr>
    </w:p>
    <w:p>
      <w:pPr>
        <w:ind w:left="420" w:right="3920" w:hanging="236"/>
        <w:spacing w:after="0" w:line="198" w:lineRule="auto"/>
        <w:tabs>
          <w:tab w:leader="none" w:pos="420" w:val="left"/>
        </w:tabs>
        <w:numPr>
          <w:ilvl w:val="0"/>
          <w:numId w:val="37"/>
        </w:numPr>
        <w:rPr>
          <w:rFonts w:ascii="Arial" w:cs="Arial" w:eastAsia="Arial" w:hAnsi="Arial"/>
          <w:sz w:val="29"/>
          <w:szCs w:val="29"/>
          <w:color w:val="auto"/>
          <w:vertAlign w:val="superscript"/>
        </w:rPr>
      </w:pPr>
      <w:r>
        <w:rPr>
          <w:rFonts w:ascii="Arial" w:cs="Arial" w:eastAsia="Arial" w:hAnsi="Arial"/>
          <w:sz w:val="18"/>
          <w:szCs w:val="18"/>
          <w:color w:val="auto"/>
        </w:rPr>
        <w:t>“Risk-free interest rates” means the U.S. Treasury yield curve rate in effect at the time of grant for periods within the contractual life of the stock option; and</w:t>
      </w:r>
    </w:p>
    <w:p>
      <w:pPr>
        <w:spacing w:after="0" w:line="40" w:lineRule="exact"/>
        <w:rPr>
          <w:rFonts w:ascii="Arial" w:cs="Arial" w:eastAsia="Arial" w:hAnsi="Arial"/>
          <w:sz w:val="29"/>
          <w:szCs w:val="29"/>
          <w:color w:val="auto"/>
          <w:vertAlign w:val="superscript"/>
        </w:rPr>
      </w:pPr>
    </w:p>
    <w:p>
      <w:pPr>
        <w:ind w:left="420" w:right="3820" w:hanging="236"/>
        <w:spacing w:after="0" w:line="198" w:lineRule="auto"/>
        <w:tabs>
          <w:tab w:leader="none" w:pos="420" w:val="left"/>
        </w:tabs>
        <w:numPr>
          <w:ilvl w:val="0"/>
          <w:numId w:val="37"/>
        </w:numPr>
        <w:rPr>
          <w:rFonts w:ascii="Arial" w:cs="Arial" w:eastAsia="Arial" w:hAnsi="Arial"/>
          <w:sz w:val="29"/>
          <w:szCs w:val="29"/>
          <w:color w:val="auto"/>
          <w:vertAlign w:val="superscript"/>
        </w:rPr>
      </w:pPr>
      <w:r>
        <w:rPr>
          <w:rFonts w:ascii="Arial" w:cs="Arial" w:eastAsia="Arial" w:hAnsi="Arial"/>
          <w:sz w:val="18"/>
          <w:szCs w:val="18"/>
          <w:color w:val="auto"/>
        </w:rPr>
        <w:t>“Expected term” means the period of time that stock options granted are expected to be outstanding based primarily on historical data.</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total intrinsic value of options exercised was $73,944, $66,161 and $133,948 in 2016, 2015 and 2014, respectively.</w:t>
      </w:r>
    </w:p>
    <w:p>
      <w:pPr>
        <w:spacing w:after="0" w:line="17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 of December 31, 2016, there was $16,372 of total unrecognized compensation cost related to non-vested stock option awards granted under the EICP, which we expect to recognize over a weighted-average period of 2.4 years.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15" w:right="239" w:bottom="1440" w:gutter="0" w:footer="0" w:header="0"/>
        </w:sectPr>
      </w:pPr>
    </w:p>
    <w:bookmarkStart w:id="84" w:name="page85"/>
    <w:bookmarkEnd w:id="84"/>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as of December 31, 2016:</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Options Outstanding</w:t>
            </w:r>
          </w:p>
        </w:tc>
        <w:tc>
          <w:tcPr>
            <w:tcW w:w="1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tcBorders>
              <w:bottom w:val="single" w:sz="8" w:color="auto"/>
            </w:tcBorders>
            <w:gridSpan w:val="3"/>
          </w:tcPr>
          <w:p>
            <w:pPr>
              <w:jc w:val="right"/>
              <w:ind w:right="888"/>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52"/>
        </w:trPr>
        <w:tc>
          <w:tcPr>
            <w:tcW w:w="3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2"/>
          </w:tcPr>
          <w:p>
            <w:pPr>
              <w:jc w:val="center"/>
              <w:ind w:right="60"/>
              <w:spacing w:after="0" w:line="153" w:lineRule="exact"/>
              <w:rPr>
                <w:sz w:val="20"/>
                <w:szCs w:val="20"/>
                <w:color w:val="auto"/>
              </w:rPr>
            </w:pPr>
            <w:r>
              <w:rPr>
                <w:rFonts w:ascii="Arial" w:cs="Arial" w:eastAsia="Arial" w:hAnsi="Arial"/>
                <w:sz w:val="14"/>
                <w:szCs w:val="14"/>
                <w:b w:val="1"/>
                <w:bCs w:val="1"/>
                <w:color w:val="auto"/>
                <w:w w:val="91"/>
              </w:rPr>
              <w:t>Weighted-</w:t>
            </w: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8"/>
              </w:rPr>
              <w:t>Number</w:t>
            </w:r>
          </w:p>
        </w:tc>
        <w:tc>
          <w:tcPr>
            <w:tcW w:w="15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c>
          <w:tcPr>
            <w:tcW w:w="156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4"/>
              </w:rPr>
              <w:t>Weighted-</w:t>
            </w: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2"/>
                <w:szCs w:val="12"/>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5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Remaining</w:t>
            </w:r>
          </w:p>
        </w:tc>
        <w:tc>
          <w:tcPr>
            <w:tcW w:w="1560" w:type="dxa"/>
            <w:vAlign w:val="bottom"/>
            <w:gridSpan w:val="2"/>
            <w:vMerge w:val="continue"/>
          </w:tcPr>
          <w:p>
            <w:pPr>
              <w:spacing w:after="0"/>
              <w:rPr>
                <w:sz w:val="12"/>
                <w:szCs w:val="12"/>
                <w:color w:val="auto"/>
              </w:rPr>
            </w:pPr>
          </w:p>
        </w:tc>
        <w:tc>
          <w:tcPr>
            <w:tcW w:w="1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80" w:type="dxa"/>
            <w:vAlign w:val="bottom"/>
            <w:vMerge w:val="restart"/>
          </w:tcPr>
          <w:p>
            <w:pPr>
              <w:ind w:left="840"/>
              <w:spacing w:after="0"/>
              <w:rPr>
                <w:sz w:val="20"/>
                <w:szCs w:val="20"/>
                <w:color w:val="auto"/>
              </w:rPr>
            </w:pPr>
            <w:r>
              <w:rPr>
                <w:rFonts w:ascii="Arial" w:cs="Arial" w:eastAsia="Arial" w:hAnsi="Arial"/>
                <w:sz w:val="14"/>
                <w:szCs w:val="14"/>
                <w:b w:val="1"/>
                <w:bCs w:val="1"/>
                <w:color w:val="auto"/>
              </w:rPr>
              <w:t>Range of Exercise Prices</w:t>
            </w:r>
          </w:p>
        </w:tc>
        <w:tc>
          <w:tcPr>
            <w:tcW w:w="120" w:type="dxa"/>
            <w:vAlign w:val="bottom"/>
            <w:vMerge w:val="restart"/>
          </w:tcPr>
          <w:p>
            <w:pPr>
              <w:spacing w:after="0"/>
              <w:rPr>
                <w:sz w:val="12"/>
                <w:szCs w:val="12"/>
                <w:color w:val="auto"/>
              </w:rPr>
            </w:pPr>
          </w:p>
        </w:tc>
        <w:tc>
          <w:tcPr>
            <w:tcW w:w="16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Outstanding as</w:t>
            </w:r>
          </w:p>
        </w:tc>
        <w:tc>
          <w:tcPr>
            <w:tcW w:w="15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5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Exercisable as of</w:t>
            </w:r>
          </w:p>
        </w:tc>
        <w:tc>
          <w:tcPr>
            <w:tcW w:w="1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3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center"/>
              <w:ind w:left="18"/>
              <w:spacing w:after="0"/>
              <w:rPr>
                <w:sz w:val="20"/>
                <w:szCs w:val="20"/>
                <w:color w:val="auto"/>
              </w:rPr>
            </w:pPr>
            <w:r>
              <w:rPr>
                <w:rFonts w:ascii="Arial" w:cs="Arial" w:eastAsia="Arial" w:hAnsi="Arial"/>
                <w:sz w:val="14"/>
                <w:szCs w:val="14"/>
                <w:b w:val="1"/>
                <w:bCs w:val="1"/>
                <w:color w:val="auto"/>
                <w:w w:val="92"/>
              </w:rPr>
              <w:t>of 12/31/16</w:t>
            </w:r>
          </w:p>
        </w:tc>
        <w:tc>
          <w:tcPr>
            <w:tcW w:w="14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Life in Years</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Exercise Price</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ind w:left="19"/>
              <w:spacing w:after="0"/>
              <w:rPr>
                <w:sz w:val="20"/>
                <w:szCs w:val="20"/>
                <w:color w:val="auto"/>
              </w:rPr>
            </w:pPr>
            <w:r>
              <w:rPr>
                <w:rFonts w:ascii="Arial" w:cs="Arial" w:eastAsia="Arial" w:hAnsi="Arial"/>
                <w:sz w:val="14"/>
                <w:szCs w:val="14"/>
                <w:b w:val="1"/>
                <w:bCs w:val="1"/>
                <w:color w:val="auto"/>
                <w:w w:val="95"/>
              </w:rPr>
              <w:t>12/31/16</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250"/>
        </w:trPr>
        <w:tc>
          <w:tcPr>
            <w:tcW w:w="3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$33.40 - $60.68</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1,825,259</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1,825,259</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$51.27</w:t>
            </w:r>
          </w:p>
        </w:tc>
        <w:tc>
          <w:tcPr>
            <w:tcW w:w="0" w:type="dxa"/>
            <w:vAlign w:val="bottom"/>
          </w:tcPr>
          <w:p>
            <w:pPr>
              <w:spacing w:after="0"/>
              <w:rPr>
                <w:sz w:val="1"/>
                <w:szCs w:val="1"/>
                <w:color w:val="auto"/>
              </w:rPr>
            </w:pPr>
          </w:p>
        </w:tc>
      </w:tr>
      <w:tr>
        <w:trPr>
          <w:trHeight w:val="243"/>
        </w:trPr>
        <w:tc>
          <w:tcPr>
            <w:tcW w:w="3180" w:type="dxa"/>
            <w:vAlign w:val="bottom"/>
          </w:tcPr>
          <w:p>
            <w:pPr>
              <w:jc w:val="center"/>
              <w:spacing w:after="0"/>
              <w:rPr>
                <w:sz w:val="20"/>
                <w:szCs w:val="20"/>
                <w:color w:val="auto"/>
              </w:rPr>
            </w:pPr>
            <w:r>
              <w:rPr>
                <w:rFonts w:ascii="Arial" w:cs="Arial" w:eastAsia="Arial" w:hAnsi="Arial"/>
                <w:sz w:val="18"/>
                <w:szCs w:val="18"/>
                <w:color w:val="auto"/>
                <w:w w:val="90"/>
              </w:rPr>
              <w:t>$60.69 - $90.39</w:t>
            </w:r>
          </w:p>
        </w:tc>
        <w:tc>
          <w:tcPr>
            <w:tcW w:w="120" w:type="dxa"/>
            <w:vAlign w:val="bottom"/>
          </w:tcPr>
          <w:p>
            <w:pPr>
              <w:spacing w:after="0"/>
              <w:rPr>
                <w:sz w:val="21"/>
                <w:szCs w:val="21"/>
                <w:color w:val="auto"/>
              </w:rPr>
            </w:pPr>
          </w:p>
        </w:tc>
        <w:tc>
          <w:tcPr>
            <w:tcW w:w="1480" w:type="dxa"/>
            <w:vAlign w:val="bottom"/>
          </w:tcPr>
          <w:p>
            <w:pPr>
              <w:jc w:val="right"/>
              <w:ind w:right="38"/>
              <w:spacing w:after="0"/>
              <w:rPr>
                <w:sz w:val="20"/>
                <w:szCs w:val="20"/>
                <w:color w:val="auto"/>
              </w:rPr>
            </w:pPr>
            <w:r>
              <w:rPr>
                <w:rFonts w:ascii="Arial" w:cs="Arial" w:eastAsia="Arial" w:hAnsi="Arial"/>
                <w:sz w:val="18"/>
                <w:szCs w:val="18"/>
                <w:color w:val="auto"/>
              </w:rPr>
              <w:t>2,208,766</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$86.58</w:t>
            </w:r>
          </w:p>
        </w:tc>
        <w:tc>
          <w:tcPr>
            <w:tcW w:w="100" w:type="dxa"/>
            <w:vAlign w:val="bottom"/>
          </w:tcPr>
          <w:p>
            <w:pPr>
              <w:spacing w:after="0"/>
              <w:rPr>
                <w:sz w:val="21"/>
                <w:szCs w:val="21"/>
                <w:color w:val="auto"/>
              </w:rPr>
            </w:pPr>
          </w:p>
        </w:tc>
        <w:tc>
          <w:tcPr>
            <w:tcW w:w="1580" w:type="dxa"/>
            <w:vAlign w:val="bottom"/>
          </w:tcPr>
          <w:p>
            <w:pPr>
              <w:jc w:val="right"/>
              <w:ind w:right="39"/>
              <w:spacing w:after="0"/>
              <w:rPr>
                <w:sz w:val="20"/>
                <w:szCs w:val="20"/>
                <w:color w:val="auto"/>
              </w:rPr>
            </w:pPr>
            <w:r>
              <w:rPr>
                <w:rFonts w:ascii="Arial" w:cs="Arial" w:eastAsia="Arial" w:hAnsi="Arial"/>
                <w:sz w:val="18"/>
                <w:szCs w:val="18"/>
                <w:color w:val="auto"/>
              </w:rPr>
              <w:t>730,253</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$81.66</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$90.40 - $111.76</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2,157,983</w:t>
            </w: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$105.22</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943,089</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$105.20</w:t>
            </w:r>
          </w:p>
        </w:tc>
        <w:tc>
          <w:tcPr>
            <w:tcW w:w="0" w:type="dxa"/>
            <w:vAlign w:val="bottom"/>
          </w:tcPr>
          <w:p>
            <w:pPr>
              <w:spacing w:after="0"/>
              <w:rPr>
                <w:sz w:val="1"/>
                <w:szCs w:val="1"/>
                <w:color w:val="auto"/>
              </w:rPr>
            </w:pPr>
          </w:p>
        </w:tc>
      </w:tr>
      <w:tr>
        <w:trPr>
          <w:trHeight w:val="257"/>
        </w:trPr>
        <w:tc>
          <w:tcPr>
            <w:tcW w:w="3180" w:type="dxa"/>
            <w:vAlign w:val="bottom"/>
          </w:tcPr>
          <w:p>
            <w:pPr>
              <w:jc w:val="center"/>
              <w:spacing w:after="0"/>
              <w:rPr>
                <w:sz w:val="20"/>
                <w:szCs w:val="20"/>
                <w:color w:val="auto"/>
              </w:rPr>
            </w:pPr>
            <w:r>
              <w:rPr>
                <w:rFonts w:ascii="Arial" w:cs="Arial" w:eastAsia="Arial" w:hAnsi="Arial"/>
                <w:sz w:val="18"/>
                <w:szCs w:val="18"/>
                <w:color w:val="auto"/>
                <w:w w:val="89"/>
              </w:rPr>
              <w:t>$33.40 - $111.76</w:t>
            </w:r>
          </w:p>
        </w:tc>
        <w:tc>
          <w:tcPr>
            <w:tcW w:w="12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6,192,008</w:t>
            </w:r>
          </w:p>
        </w:tc>
        <w:tc>
          <w:tcPr>
            <w:tcW w:w="140" w:type="dxa"/>
            <w:vAlign w:val="bottom"/>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2"/>
                <w:szCs w:val="22"/>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$82.67</w:t>
            </w:r>
          </w:p>
        </w:tc>
        <w:tc>
          <w:tcPr>
            <w:tcW w:w="10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3,498,601</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$72.15</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Stock Units and Restricted Stock Units</w:t>
      </w:r>
    </w:p>
    <w:p>
      <w:pPr>
        <w:spacing w:after="0" w:line="9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Under the EICP, we grant PSUs to selected executives and other key employees. Vesting is contingent upon the achievement of certain performance objectives. We grant PSUs over 3-year performance cycles. If we meet targets for financial measures at the end of the applicable 3-year performance cycle, we award a resulting number of shares of our Common Stock to the participants. For PSUs granted, the target award is a combination of a market-based total shareholder return and performance-based components. The performance scores for 2014 through 2016 grants of PSUs can range from 0% to 250% of the targeted amounts.</w:t>
      </w:r>
    </w:p>
    <w:p>
      <w:pPr>
        <w:spacing w:after="0" w:line="13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recognize the compensation cost associated with PSUs ratably over the 3-year term. Compensation cost is based on the grant date fair value because the grants can only be settled in shares of our Common Stock. The grant date fair value of PSUs is determined based on the Monte Carlo simulation model for the market-based total shareholder return component and the closing market price of the Company’s Common Stock on the date of grant for performance-based components.</w:t>
      </w:r>
    </w:p>
    <w:p>
      <w:pPr>
        <w:spacing w:after="0" w:line="13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2016, 2015 and 2014, we awarded RSUs to certain executive officers and other key employees under the EICP. We also awarded RSUs quarterly to non-employee directors.</w:t>
      </w:r>
    </w:p>
    <w:p>
      <w:pPr>
        <w:spacing w:after="0" w:line="116"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We recognize the compensation cost associated with employee RSUs over a specified award vesting period based on the grant date fair value or year-end market value of our Common Stock. We recognize expense for employee RSUs based on the straight-line method. We recognize the compensation cost associated with non-employee director RSUs ratably over the vesting period.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activity relating to grants of PSUs and RSUs for the period ended December 31, 2016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Performance Stock Units and Restricted Stock Units</w:t>
            </w:r>
          </w:p>
        </w:tc>
        <w:tc>
          <w:tcPr>
            <w:tcW w:w="100" w:type="dxa"/>
            <w:vAlign w:val="bottom"/>
            <w:vMerge w:val="restart"/>
          </w:tcPr>
          <w:p>
            <w:pPr>
              <w:spacing w:after="0"/>
              <w:rPr>
                <w:sz w:val="14"/>
                <w:szCs w:val="14"/>
                <w:color w:val="auto"/>
              </w:rPr>
            </w:pPr>
          </w:p>
        </w:tc>
        <w:tc>
          <w:tcPr>
            <w:tcW w:w="178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Number of units</w:t>
            </w:r>
          </w:p>
        </w:tc>
        <w:tc>
          <w:tcPr>
            <w:tcW w:w="100" w:type="dxa"/>
            <w:vAlign w:val="bottom"/>
          </w:tcPr>
          <w:p>
            <w:pPr>
              <w:spacing w:after="0"/>
              <w:rPr>
                <w:sz w:val="14"/>
                <w:szCs w:val="14"/>
                <w:color w:val="auto"/>
              </w:rPr>
            </w:pPr>
          </w:p>
        </w:tc>
        <w:tc>
          <w:tcPr>
            <w:tcW w:w="3600" w:type="dxa"/>
            <w:vAlign w:val="bottom"/>
          </w:tcPr>
          <w:p>
            <w:pPr>
              <w:jc w:val="right"/>
              <w:ind w:right="488"/>
              <w:spacing w:after="0"/>
              <w:rPr>
                <w:sz w:val="20"/>
                <w:szCs w:val="20"/>
                <w:color w:val="auto"/>
              </w:rPr>
            </w:pPr>
            <w:r>
              <w:rPr>
                <w:rFonts w:ascii="Arial" w:cs="Arial" w:eastAsia="Arial" w:hAnsi="Arial"/>
                <w:sz w:val="14"/>
                <w:szCs w:val="14"/>
                <w:b w:val="1"/>
                <w:bCs w:val="1"/>
                <w:color w:val="auto"/>
              </w:rPr>
              <w:t>Weighted-average grant date fair value</w:t>
            </w:r>
          </w:p>
        </w:tc>
        <w:tc>
          <w:tcPr>
            <w:tcW w:w="0" w:type="dxa"/>
            <w:vAlign w:val="bottom"/>
          </w:tcPr>
          <w:p>
            <w:pPr>
              <w:spacing w:after="0"/>
              <w:rPr>
                <w:sz w:val="1"/>
                <w:szCs w:val="1"/>
                <w:color w:val="auto"/>
              </w:rPr>
            </w:pPr>
          </w:p>
        </w:tc>
      </w:tr>
      <w:tr>
        <w:trPr>
          <w:trHeight w:val="192"/>
        </w:trPr>
        <w:tc>
          <w:tcPr>
            <w:tcW w:w="5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b w:val="1"/>
                <w:bCs w:val="1"/>
                <w:color w:val="auto"/>
              </w:rPr>
              <w:t>for equity awards (per unit)</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beginning of year</w:t>
            </w:r>
          </w:p>
        </w:tc>
        <w:tc>
          <w:tcPr>
            <w:tcW w:w="17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495,207</w:t>
            </w:r>
          </w:p>
        </w:tc>
        <w:tc>
          <w:tcPr>
            <w:tcW w:w="3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$106.40</w:t>
            </w:r>
          </w:p>
        </w:tc>
        <w:tc>
          <w:tcPr>
            <w:tcW w:w="0" w:type="dxa"/>
            <w:vAlign w:val="bottom"/>
          </w:tcPr>
          <w:p>
            <w:pPr>
              <w:spacing w:after="0"/>
              <w:rPr>
                <w:sz w:val="1"/>
                <w:szCs w:val="1"/>
                <w:color w:val="auto"/>
              </w:rPr>
            </w:pPr>
          </w:p>
        </w:tc>
      </w:tr>
      <w:tr>
        <w:trPr>
          <w:trHeight w:val="243"/>
        </w:trPr>
        <w:tc>
          <w:tcPr>
            <w:tcW w:w="58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780" w:type="dxa"/>
            <w:vAlign w:val="bottom"/>
          </w:tcPr>
          <w:p>
            <w:pPr>
              <w:jc w:val="right"/>
              <w:ind w:right="113"/>
              <w:spacing w:after="0"/>
              <w:rPr>
                <w:sz w:val="20"/>
                <w:szCs w:val="20"/>
                <w:color w:val="auto"/>
              </w:rPr>
            </w:pPr>
            <w:r>
              <w:rPr>
                <w:rFonts w:ascii="Arial" w:cs="Arial" w:eastAsia="Arial" w:hAnsi="Arial"/>
                <w:sz w:val="18"/>
                <w:szCs w:val="18"/>
                <w:color w:val="auto"/>
              </w:rPr>
              <w:t>545,750</w:t>
            </w: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$93.55</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Performance assumption change</w:t>
            </w:r>
          </w:p>
        </w:tc>
        <w:tc>
          <w:tcPr>
            <w:tcW w:w="17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79,889</w:t>
            </w:r>
          </w:p>
        </w:tc>
        <w:tc>
          <w:tcPr>
            <w:tcW w:w="3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$92.43</w:t>
            </w:r>
          </w:p>
        </w:tc>
        <w:tc>
          <w:tcPr>
            <w:tcW w:w="0" w:type="dxa"/>
            <w:vAlign w:val="bottom"/>
          </w:tcPr>
          <w:p>
            <w:pPr>
              <w:spacing w:after="0"/>
              <w:rPr>
                <w:sz w:val="1"/>
                <w:szCs w:val="1"/>
                <w:color w:val="auto"/>
              </w:rPr>
            </w:pPr>
          </w:p>
        </w:tc>
      </w:tr>
      <w:tr>
        <w:trPr>
          <w:trHeight w:val="243"/>
        </w:trPr>
        <w:tc>
          <w:tcPr>
            <w:tcW w:w="5840" w:type="dxa"/>
            <w:vAlign w:val="bottom"/>
            <w:gridSpan w:val="2"/>
          </w:tcPr>
          <w:p>
            <w:pPr>
              <w:spacing w:after="0"/>
              <w:rPr>
                <w:sz w:val="20"/>
                <w:szCs w:val="20"/>
                <w:color w:val="auto"/>
              </w:rPr>
            </w:pPr>
            <w:r>
              <w:rPr>
                <w:rFonts w:ascii="Arial" w:cs="Arial" w:eastAsia="Arial" w:hAnsi="Arial"/>
                <w:sz w:val="18"/>
                <w:szCs w:val="18"/>
                <w:color w:val="auto"/>
              </w:rPr>
              <w:t>Vested</w:t>
            </w:r>
          </w:p>
        </w:tc>
        <w:tc>
          <w:tcPr>
            <w:tcW w:w="1780" w:type="dxa"/>
            <w:vAlign w:val="bottom"/>
          </w:tcPr>
          <w:p>
            <w:pPr>
              <w:jc w:val="right"/>
              <w:ind w:right="53"/>
              <w:spacing w:after="0"/>
              <w:rPr>
                <w:sz w:val="20"/>
                <w:szCs w:val="20"/>
                <w:color w:val="auto"/>
              </w:rPr>
            </w:pPr>
            <w:r>
              <w:rPr>
                <w:rFonts w:ascii="Arial" w:cs="Arial" w:eastAsia="Arial" w:hAnsi="Arial"/>
                <w:sz w:val="18"/>
                <w:szCs w:val="18"/>
                <w:color w:val="auto"/>
              </w:rPr>
              <w:t>(239,270)</w:t>
            </w: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$94.59</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7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(53,348)</w:t>
            </w:r>
          </w:p>
        </w:tc>
        <w:tc>
          <w:tcPr>
            <w:tcW w:w="3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$98.93</w:t>
            </w:r>
          </w:p>
        </w:tc>
        <w:tc>
          <w:tcPr>
            <w:tcW w:w="0" w:type="dxa"/>
            <w:vAlign w:val="bottom"/>
          </w:tcPr>
          <w:p>
            <w:pPr>
              <w:spacing w:after="0"/>
              <w:rPr>
                <w:sz w:val="1"/>
                <w:szCs w:val="1"/>
                <w:color w:val="auto"/>
              </w:rPr>
            </w:pPr>
          </w:p>
        </w:tc>
      </w:tr>
      <w:tr>
        <w:trPr>
          <w:trHeight w:val="257"/>
        </w:trPr>
        <w:tc>
          <w:tcPr>
            <w:tcW w:w="5840" w:type="dxa"/>
            <w:vAlign w:val="bottom"/>
            <w:gridSpan w:val="2"/>
          </w:tcPr>
          <w:p>
            <w:pPr>
              <w:spacing w:after="0"/>
              <w:rPr>
                <w:sz w:val="20"/>
                <w:szCs w:val="20"/>
                <w:color w:val="auto"/>
              </w:rPr>
            </w:pPr>
            <w:r>
              <w:rPr>
                <w:rFonts w:ascii="Arial" w:cs="Arial" w:eastAsia="Arial" w:hAnsi="Arial"/>
                <w:sz w:val="18"/>
                <w:szCs w:val="18"/>
                <w:color w:val="auto"/>
              </w:rPr>
              <w:t>Outstanding at end of year</w:t>
            </w:r>
          </w:p>
        </w:tc>
        <w:tc>
          <w:tcPr>
            <w:tcW w:w="178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color w:val="auto"/>
              </w:rPr>
              <w:t>828,228</w:t>
            </w: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$102.66</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table above excludes PSU awards for 6,410 units as of December 31, 2016 and 20,586 units as of December 31, 2015 for which the measurement date has not yet occurred for accounting purposes.</w:t>
      </w:r>
    </w:p>
    <w:p>
      <w:pPr>
        <w:spacing w:after="0" w:line="11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following table sets forth information about the fair value of the PSUs and RSUs granted for potential future distribution to employees and non-employee directors. In addition, the table provides assumptions used to determine the fair value of the market-based total shareholder return component using the Monte Carlo simulation model on the date of grant.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18" w:right="239" w:bottom="1440" w:gutter="0" w:footer="0" w:header="0"/>
        </w:sectPr>
      </w:pPr>
    </w:p>
    <w:bookmarkStart w:id="85" w:name="page86"/>
    <w:bookmarkEnd w:id="85"/>
    <w:p>
      <w:pPr>
        <w:jc w:val="center"/>
        <w:ind w:left="32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2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For the years ended December 31,</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6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Units granted</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545,750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381,407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331,788</w:t>
            </w:r>
          </w:p>
        </w:tc>
        <w:tc>
          <w:tcPr>
            <w:tcW w:w="0" w:type="dxa"/>
            <w:vAlign w:val="bottom"/>
          </w:tcPr>
          <w:p>
            <w:pPr>
              <w:spacing w:after="0"/>
              <w:rPr>
                <w:sz w:val="1"/>
                <w:szCs w:val="1"/>
                <w:color w:val="auto"/>
              </w:rPr>
            </w:pPr>
          </w:p>
        </w:tc>
      </w:tr>
      <w:tr>
        <w:trPr>
          <w:trHeight w:val="243"/>
        </w:trPr>
        <w:tc>
          <w:tcPr>
            <w:tcW w:w="6160" w:type="dxa"/>
            <w:vAlign w:val="bottom"/>
            <w:gridSpan w:val="2"/>
          </w:tcPr>
          <w:p>
            <w:pPr>
              <w:spacing w:after="0"/>
              <w:rPr>
                <w:sz w:val="20"/>
                <w:szCs w:val="20"/>
                <w:color w:val="auto"/>
              </w:rPr>
            </w:pPr>
            <w:r>
              <w:rPr>
                <w:rFonts w:ascii="Arial" w:cs="Arial" w:eastAsia="Arial" w:hAnsi="Arial"/>
                <w:sz w:val="18"/>
                <w:szCs w:val="18"/>
                <w:color w:val="auto"/>
              </w:rPr>
              <w:t>Weighted-average fair value at date of grant</w:t>
            </w: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ind w:right="93"/>
              <w:spacing w:after="0"/>
              <w:rPr>
                <w:sz w:val="20"/>
                <w:szCs w:val="20"/>
                <w:color w:val="auto"/>
              </w:rPr>
            </w:pPr>
            <w:r>
              <w:rPr>
                <w:rFonts w:ascii="Arial" w:cs="Arial" w:eastAsia="Arial" w:hAnsi="Arial"/>
                <w:sz w:val="18"/>
                <w:szCs w:val="18"/>
                <w:color w:val="auto"/>
              </w:rPr>
              <w:t>93.55</w:t>
            </w:r>
          </w:p>
        </w:tc>
        <w:tc>
          <w:tcPr>
            <w:tcW w:w="100" w:type="dxa"/>
            <w:vAlign w:val="bottom"/>
          </w:tcPr>
          <w:p>
            <w:pPr>
              <w:spacing w:after="0"/>
              <w:rPr>
                <w:sz w:val="21"/>
                <w:szCs w:val="21"/>
                <w:color w:val="auto"/>
              </w:rPr>
            </w:pP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vMerge w:val="restart"/>
          </w:tcPr>
          <w:p>
            <w:pPr>
              <w:jc w:val="right"/>
              <w:ind w:right="113"/>
              <w:spacing w:after="0"/>
              <w:rPr>
                <w:sz w:val="20"/>
                <w:szCs w:val="20"/>
                <w:color w:val="auto"/>
              </w:rPr>
            </w:pPr>
            <w:r>
              <w:rPr>
                <w:rFonts w:ascii="Arial" w:cs="Arial" w:eastAsia="Arial" w:hAnsi="Arial"/>
                <w:sz w:val="18"/>
                <w:szCs w:val="18"/>
                <w:color w:val="auto"/>
              </w:rPr>
              <w:t>104.68</w:t>
            </w:r>
          </w:p>
        </w:tc>
        <w:tc>
          <w:tcPr>
            <w:tcW w:w="100" w:type="dxa"/>
            <w:vAlign w:val="bottom"/>
          </w:tcPr>
          <w:p>
            <w:pPr>
              <w:spacing w:after="0"/>
              <w:rPr>
                <w:sz w:val="21"/>
                <w:szCs w:val="21"/>
                <w:color w:val="auto"/>
              </w:rPr>
            </w:pP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vMerge w:val="restart"/>
          </w:tcPr>
          <w:p>
            <w:pPr>
              <w:jc w:val="right"/>
              <w:ind w:right="113"/>
              <w:spacing w:after="0"/>
              <w:rPr>
                <w:sz w:val="20"/>
                <w:szCs w:val="20"/>
                <w:color w:val="auto"/>
              </w:rPr>
            </w:pPr>
            <w:r>
              <w:rPr>
                <w:rFonts w:ascii="Arial" w:cs="Arial" w:eastAsia="Arial" w:hAnsi="Arial"/>
                <w:sz w:val="18"/>
                <w:szCs w:val="18"/>
                <w:color w:val="auto"/>
              </w:rPr>
              <w:t>115.57</w:t>
            </w:r>
          </w:p>
        </w:tc>
        <w:tc>
          <w:tcPr>
            <w:tcW w:w="0" w:type="dxa"/>
            <w:vAlign w:val="bottom"/>
          </w:tcPr>
          <w:p>
            <w:pPr>
              <w:spacing w:after="0"/>
              <w:rPr>
                <w:sz w:val="1"/>
                <w:szCs w:val="1"/>
                <w:color w:val="auto"/>
              </w:rPr>
            </w:pPr>
          </w:p>
        </w:tc>
      </w:tr>
      <w:tr>
        <w:trPr>
          <w:trHeight w:val="81"/>
        </w:trPr>
        <w:tc>
          <w:tcPr>
            <w:tcW w:w="6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Monte Carlo simulation assumptions: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60" w:type="dxa"/>
            <w:vAlign w:val="bottom"/>
            <w:gridSpan w:val="2"/>
          </w:tcPr>
          <w:p>
            <w:pPr>
              <w:ind w:left="360"/>
              <w:spacing w:after="0"/>
              <w:rPr>
                <w:sz w:val="20"/>
                <w:szCs w:val="20"/>
                <w:color w:val="auto"/>
              </w:rPr>
            </w:pPr>
            <w:r>
              <w:rPr>
                <w:rFonts w:ascii="Arial" w:cs="Arial" w:eastAsia="Arial" w:hAnsi="Arial"/>
                <w:sz w:val="18"/>
                <w:szCs w:val="18"/>
                <w:color w:val="auto"/>
              </w:rPr>
              <w:t>Estimated values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38.02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61.22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80.95</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Dividend yields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6160" w:type="dxa"/>
            <w:vAlign w:val="bottom"/>
            <w:gridSpan w:val="2"/>
          </w:tcPr>
          <w:p>
            <w:pPr>
              <w:ind w:left="360"/>
              <w:spacing w:after="0"/>
              <w:rPr>
                <w:sz w:val="20"/>
                <w:szCs w:val="20"/>
                <w:color w:val="auto"/>
              </w:rPr>
            </w:pPr>
            <w:r>
              <w:rPr>
                <w:rFonts w:ascii="Arial" w:cs="Arial" w:eastAsia="Arial" w:hAnsi="Arial"/>
                <w:sz w:val="18"/>
                <w:szCs w:val="18"/>
                <w:color w:val="auto"/>
              </w:rPr>
              <w:t>Expected volatility</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380" w:right="3440" w:hanging="216"/>
        <w:spacing w:after="0" w:line="198" w:lineRule="auto"/>
        <w:tabs>
          <w:tab w:leader="none" w:pos="380" w:val="left"/>
        </w:tabs>
        <w:numPr>
          <w:ilvl w:val="0"/>
          <w:numId w:val="38"/>
        </w:numPr>
        <w:rPr>
          <w:rFonts w:ascii="Arial" w:cs="Arial" w:eastAsia="Arial" w:hAnsi="Arial"/>
          <w:sz w:val="29"/>
          <w:szCs w:val="29"/>
          <w:color w:val="auto"/>
          <w:vertAlign w:val="superscript"/>
        </w:rPr>
      </w:pPr>
      <w:r>
        <w:rPr>
          <w:rFonts w:ascii="Arial" w:cs="Arial" w:eastAsia="Arial" w:hAnsi="Arial"/>
          <w:sz w:val="18"/>
          <w:szCs w:val="18"/>
          <w:color w:val="auto"/>
        </w:rPr>
        <w:t>“Estimated values” means the fair value for the market-based total shareholder return component of each PSU at the date of grant using a Monte Carlo simulation model;</w:t>
      </w:r>
    </w:p>
    <w:p>
      <w:pPr>
        <w:spacing w:after="0" w:line="40" w:lineRule="exact"/>
        <w:rPr>
          <w:rFonts w:ascii="Arial" w:cs="Arial" w:eastAsia="Arial" w:hAnsi="Arial"/>
          <w:sz w:val="29"/>
          <w:szCs w:val="29"/>
          <w:color w:val="auto"/>
          <w:vertAlign w:val="superscript"/>
        </w:rPr>
      </w:pPr>
    </w:p>
    <w:p>
      <w:pPr>
        <w:ind w:left="360" w:right="3940" w:hanging="196"/>
        <w:spacing w:after="0" w:line="198" w:lineRule="auto"/>
        <w:tabs>
          <w:tab w:leader="none" w:pos="360" w:val="left"/>
        </w:tabs>
        <w:numPr>
          <w:ilvl w:val="0"/>
          <w:numId w:val="38"/>
        </w:numPr>
        <w:rPr>
          <w:rFonts w:ascii="Arial" w:cs="Arial" w:eastAsia="Arial" w:hAnsi="Arial"/>
          <w:sz w:val="29"/>
          <w:szCs w:val="29"/>
          <w:color w:val="auto"/>
          <w:vertAlign w:val="superscript"/>
        </w:rPr>
      </w:pPr>
      <w:r>
        <w:rPr>
          <w:rFonts w:ascii="Arial" w:cs="Arial" w:eastAsia="Arial" w:hAnsi="Arial"/>
          <w:sz w:val="18"/>
          <w:szCs w:val="18"/>
          <w:color w:val="auto"/>
        </w:rPr>
        <w:t>“Dividend yields” means the sum of dividends declared for the four most recent quarterly periods, divided by the average price of our Common Stock for the comparable periods;</w:t>
      </w:r>
    </w:p>
    <w:p>
      <w:pPr>
        <w:spacing w:after="0" w:line="40" w:lineRule="exact"/>
        <w:rPr>
          <w:rFonts w:ascii="Arial" w:cs="Arial" w:eastAsia="Arial" w:hAnsi="Arial"/>
          <w:sz w:val="29"/>
          <w:szCs w:val="29"/>
          <w:color w:val="auto"/>
          <w:vertAlign w:val="superscript"/>
        </w:rPr>
      </w:pPr>
    </w:p>
    <w:p>
      <w:pPr>
        <w:ind w:left="360" w:right="3400" w:hanging="196"/>
        <w:spacing w:after="0" w:line="198" w:lineRule="auto"/>
        <w:tabs>
          <w:tab w:leader="none" w:pos="360" w:val="left"/>
        </w:tabs>
        <w:numPr>
          <w:ilvl w:val="0"/>
          <w:numId w:val="38"/>
        </w:numPr>
        <w:rPr>
          <w:rFonts w:ascii="Arial" w:cs="Arial" w:eastAsia="Arial" w:hAnsi="Arial"/>
          <w:sz w:val="29"/>
          <w:szCs w:val="29"/>
          <w:color w:val="auto"/>
          <w:vertAlign w:val="superscript"/>
        </w:rPr>
      </w:pPr>
      <w:r>
        <w:rPr>
          <w:rFonts w:ascii="Arial" w:cs="Arial" w:eastAsia="Arial" w:hAnsi="Arial"/>
          <w:sz w:val="18"/>
          <w:szCs w:val="18"/>
          <w:color w:val="auto"/>
        </w:rPr>
        <w:t>“Expected volatility” means the historical volatility of our Common Stock over the expected term of each grant.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shares vested totaled $22,062, $46,113 and $57,360 in 2016, 2015 and 2014, respectively.</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Deferred PSUs, deferred RSUs and deferred stock units representing directors’ fees totaled 483,465 units as of December 31, 2016. Each unit is equivalent to one share of the Company’s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INFORMATION</w:t>
      </w:r>
    </w:p>
    <w:p>
      <w:pPr>
        <w:spacing w:after="0" w:line="9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organizational structure is designed to ensure continued focus on North America, coupled with an emphasis on profitable growth in our focus international markets. Our business is organized around geographic regions, which enables us to build processes for repeatable success in our global markets. As a result, we have defined our operating segments on a geographic basis, as this aligns with how our Chief Operating Decision Maker (“CODM”) manages our business, including resource allocation and performance assessment. Our North America business, which generates approximately 88% of our consolidated revenue, is our only reportable segment. None of our other operating segments meet the quantitative thresholds to qualify as reportable segments; therefore, these operating segments are combined and disclosed below as International and Other.</w:t>
      </w:r>
    </w:p>
    <w:p>
      <w:pPr>
        <w:spacing w:after="0" w:line="120" w:lineRule="exact"/>
        <w:rPr>
          <w:sz w:val="20"/>
          <w:szCs w:val="20"/>
          <w:color w:val="auto"/>
        </w:rPr>
      </w:pPr>
    </w:p>
    <w:p>
      <w:pPr>
        <w:ind w:left="660" w:right="160" w:hanging="328"/>
        <w:spacing w:after="0" w:line="266" w:lineRule="auto"/>
        <w:tabs>
          <w:tab w:leader="none" w:pos="660" w:val="left"/>
        </w:tabs>
        <w:numPr>
          <w:ilvl w:val="0"/>
          <w:numId w:val="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North America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segment is responsible for our traditional chocolate and non-chocolate confectionery market position, as well as our grocery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growing snacks market positions, in the United States and Canada. This includes developing and growing our business in chocolate and non-chocolate confectionery, pantry, food service and other snacking product lines.</w:t>
      </w:r>
    </w:p>
    <w:p>
      <w:pPr>
        <w:spacing w:after="0" w:line="122" w:lineRule="exact"/>
        <w:rPr>
          <w:rFonts w:ascii="Arial" w:cs="Arial" w:eastAsia="Arial" w:hAnsi="Arial"/>
          <w:sz w:val="18"/>
          <w:szCs w:val="18"/>
          <w:b w:val="1"/>
          <w:bCs w:val="1"/>
          <w:i w:val="1"/>
          <w:iCs w:val="1"/>
          <w:color w:val="auto"/>
        </w:rPr>
      </w:pPr>
    </w:p>
    <w:p>
      <w:pPr>
        <w:ind w:left="660" w:hanging="328"/>
        <w:spacing w:after="0" w:line="295" w:lineRule="auto"/>
        <w:tabs>
          <w:tab w:leader="none" w:pos="660" w:val="left"/>
        </w:tabs>
        <w:numPr>
          <w:ilvl w:val="0"/>
          <w:numId w:val="3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International and Other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International and Other is a combination of all other operating segments that are not individually material, including those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geographic regions where we operate outside of North America. We currently have operations and manufacture product in China, Mexico, Brazil, India and Malaysia, primarily for consumers in these regions, and also distribute and sell confectionery products in export markets of Asia, Latin America, Middle East, Europe, Africa and other regions. This segment also includes our global retail operations, including Hershey's Chocolate World stores in Hershey, Pennsylvania, New York City, Las Vegas, Shanghai, Niagara Falls (Ontario), Dubai, and Singapore, as well as operations associated with licensing the use of certain of the Company's trademarks and products to third parties around the world.</w:t>
      </w:r>
    </w:p>
    <w:p>
      <w:pPr>
        <w:spacing w:after="0" w:line="106"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For segment reporting purposes, we use “segment income” to evaluate segment performance and allocate resources. Segment income excludes unallocated general corporate administrative expenses, unallocated mark-to-market gains and losses on commodity derivatives, business realignment and impairment charges, acquisition integration costs, the non-service related portion of pension expense and other unusual gains or losses that are not part of our measurement of segment performance. These items of our operating income are managed centrally at the corporate level and are excluded from the measure of segment income reviewed by the CODM as well the measure of segment performance used for incentive compensation purposes.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Accounting policies associated with our operating segments are generally the same as those described in Note 1.</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80"/>
          </w:cols>
          <w:pgMar w:left="240" w:top="115" w:right="279" w:bottom="1440" w:gutter="0" w:footer="0" w:header="0"/>
        </w:sectPr>
      </w:pPr>
    </w:p>
    <w:bookmarkStart w:id="86" w:name="page87"/>
    <w:bookmarkEnd w:id="86"/>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9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Certain manufacturing, warehousing, distribution and other activities supporting our global operations are integrated to maximize efficiency and productivity. As a result, assets and capital expenditures are not managed on a segment basis and are not included in the information reported to the CODM for the purpose of evaluating performance or allocating resources. We disclose depreciation and amortization that is generated by segment-specific assets, since these amounts are included within the measure of segment income reported to the CODM.</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sales and earnings were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For the years ended December 31,</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31"/>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31"/>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71"/>
              <w:spacing w:after="0"/>
              <w:rPr>
                <w:sz w:val="20"/>
                <w:szCs w:val="20"/>
                <w:color w:val="auto"/>
              </w:rPr>
            </w:pPr>
            <w:r>
              <w:rPr>
                <w:rFonts w:ascii="Arial" w:cs="Arial" w:eastAsia="Arial" w:hAnsi="Arial"/>
                <w:sz w:val="16"/>
                <w:szCs w:val="16"/>
                <w:b w:val="1"/>
                <w:bCs w:val="1"/>
                <w:color w:val="auto"/>
              </w:rPr>
              <w:t>2014</w:t>
            </w:r>
          </w:p>
        </w:tc>
      </w:tr>
      <w:tr>
        <w:trPr>
          <w:trHeight w:val="250"/>
        </w:trPr>
        <w:tc>
          <w:tcPr>
            <w:tcW w:w="5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5860" w:type="dxa"/>
            <w:vAlign w:val="bottom"/>
            <w:gridSpan w:val="2"/>
          </w:tcPr>
          <w:p>
            <w:pPr>
              <w:ind w:left="200"/>
              <w:spacing w:after="0"/>
              <w:rPr>
                <w:sz w:val="20"/>
                <w:szCs w:val="20"/>
                <w:color w:val="auto"/>
              </w:rPr>
            </w:pPr>
            <w:r>
              <w:rPr>
                <w:rFonts w:ascii="Arial" w:cs="Arial" w:eastAsia="Arial" w:hAnsi="Arial"/>
                <w:sz w:val="18"/>
                <w:szCs w:val="18"/>
                <w:color w:val="auto"/>
              </w:rPr>
              <w:t>North America</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6,532,988</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6,468,158</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91"/>
              <w:spacing w:after="0"/>
              <w:rPr>
                <w:sz w:val="20"/>
                <w:szCs w:val="20"/>
                <w:color w:val="auto"/>
              </w:rPr>
            </w:pPr>
            <w:r>
              <w:rPr>
                <w:rFonts w:ascii="Arial" w:cs="Arial" w:eastAsia="Arial" w:hAnsi="Arial"/>
                <w:sz w:val="18"/>
                <w:szCs w:val="18"/>
                <w:color w:val="auto"/>
              </w:rPr>
              <w:t>6,352,729</w:t>
            </w:r>
          </w:p>
        </w:tc>
      </w:tr>
      <w:tr>
        <w:trPr>
          <w:trHeight w:val="27"/>
        </w:trPr>
        <w:tc>
          <w:tcPr>
            <w:tcW w:w="5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58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International and Other</w:t>
            </w: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907,193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918,468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1,069,039</w:t>
            </w:r>
          </w:p>
        </w:tc>
      </w:tr>
      <w:tr>
        <w:trPr>
          <w:trHeight w:val="297"/>
        </w:trPr>
        <w:tc>
          <w:tcPr>
            <w:tcW w:w="58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7,440,181</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7,386,626</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7,421,768</w:t>
            </w:r>
          </w:p>
        </w:tc>
      </w:tr>
      <w:tr>
        <w:trPr>
          <w:trHeight w:val="311"/>
        </w:trPr>
        <w:tc>
          <w:tcPr>
            <w:tcW w:w="5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43"/>
        </w:trPr>
        <w:tc>
          <w:tcPr>
            <w:tcW w:w="5860" w:type="dxa"/>
            <w:vAlign w:val="bottom"/>
            <w:gridSpan w:val="2"/>
          </w:tcPr>
          <w:p>
            <w:pPr>
              <w:ind w:left="40"/>
              <w:spacing w:after="0"/>
              <w:rPr>
                <w:sz w:val="20"/>
                <w:szCs w:val="20"/>
                <w:color w:val="auto"/>
              </w:rPr>
            </w:pPr>
            <w:r>
              <w:rPr>
                <w:rFonts w:ascii="Arial" w:cs="Arial" w:eastAsia="Arial" w:hAnsi="Arial"/>
                <w:sz w:val="18"/>
                <w:szCs w:val="18"/>
                <w:color w:val="auto"/>
              </w:rPr>
              <w:t>Segment income (loss):</w:t>
            </w: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5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8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North America</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2,040,995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2,073,967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1,916,207</w:t>
            </w:r>
          </w:p>
        </w:tc>
      </w:tr>
      <w:tr>
        <w:trPr>
          <w:trHeight w:val="243"/>
        </w:trPr>
        <w:tc>
          <w:tcPr>
            <w:tcW w:w="5860" w:type="dxa"/>
            <w:vAlign w:val="bottom"/>
            <w:gridSpan w:val="2"/>
          </w:tcPr>
          <w:p>
            <w:pPr>
              <w:ind w:left="200"/>
              <w:spacing w:after="0"/>
              <w:rPr>
                <w:sz w:val="20"/>
                <w:szCs w:val="20"/>
                <w:color w:val="auto"/>
              </w:rPr>
            </w:pPr>
            <w:r>
              <w:rPr>
                <w:rFonts w:ascii="Arial" w:cs="Arial" w:eastAsia="Arial" w:hAnsi="Arial"/>
                <w:sz w:val="18"/>
                <w:szCs w:val="18"/>
                <w:color w:val="auto"/>
              </w:rPr>
              <w:t>International and Other</w:t>
            </w: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(29,139)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(98,067)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91"/>
              <w:spacing w:after="0"/>
              <w:rPr>
                <w:sz w:val="20"/>
                <w:szCs w:val="20"/>
                <w:color w:val="auto"/>
              </w:rPr>
            </w:pPr>
            <w:r>
              <w:rPr>
                <w:rFonts w:ascii="Arial" w:cs="Arial" w:eastAsia="Arial" w:hAnsi="Arial"/>
                <w:sz w:val="18"/>
                <w:szCs w:val="18"/>
                <w:color w:val="auto"/>
              </w:rPr>
              <w:t>40,004</w:t>
            </w:r>
          </w:p>
        </w:tc>
      </w:tr>
      <w:tr>
        <w:trPr>
          <w:trHeight w:val="27"/>
        </w:trPr>
        <w:tc>
          <w:tcPr>
            <w:tcW w:w="5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segment income</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2,011,856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1,975,900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1,956,211</w:t>
            </w:r>
          </w:p>
        </w:tc>
      </w:tr>
      <w:tr>
        <w:trPr>
          <w:trHeight w:val="243"/>
        </w:trPr>
        <w:tc>
          <w:tcPr>
            <w:tcW w:w="5860" w:type="dxa"/>
            <w:vAlign w:val="bottom"/>
            <w:gridSpan w:val="2"/>
          </w:tcPr>
          <w:p>
            <w:pPr>
              <w:ind w:left="40"/>
              <w:spacing w:after="0"/>
              <w:rPr>
                <w:sz w:val="20"/>
                <w:szCs w:val="20"/>
                <w:color w:val="auto"/>
              </w:rPr>
            </w:pPr>
            <w:r>
              <w:rPr>
                <w:rFonts w:ascii="Arial" w:cs="Arial" w:eastAsia="Arial" w:hAnsi="Arial"/>
                <w:sz w:val="18"/>
                <w:szCs w:val="18"/>
                <w:color w:val="auto"/>
              </w:rPr>
              <w:t>Unallocated corporate expense (1)</w:t>
            </w:r>
          </w:p>
        </w:tc>
        <w:tc>
          <w:tcPr>
            <w:tcW w:w="42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497,423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497,386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91"/>
              <w:spacing w:after="0"/>
              <w:rPr>
                <w:sz w:val="20"/>
                <w:szCs w:val="20"/>
                <w:color w:val="auto"/>
              </w:rPr>
            </w:pPr>
            <w:r>
              <w:rPr>
                <w:rFonts w:ascii="Arial" w:cs="Arial" w:eastAsia="Arial" w:hAnsi="Arial"/>
                <w:sz w:val="18"/>
                <w:szCs w:val="18"/>
                <w:color w:val="auto"/>
              </w:rPr>
              <w:t>503,234</w:t>
            </w:r>
          </w:p>
        </w:tc>
      </w:tr>
      <w:tr>
        <w:trPr>
          <w:trHeight w:val="27"/>
        </w:trPr>
        <w:tc>
          <w:tcPr>
            <w:tcW w:w="5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Unallocated mark-to-market losses on commodity derivatives (2)</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163,238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5860" w:type="dxa"/>
            <w:vAlign w:val="bottom"/>
            <w:gridSpan w:val="2"/>
          </w:tcPr>
          <w:p>
            <w:pPr>
              <w:ind w:left="40"/>
              <w:spacing w:after="0"/>
              <w:rPr>
                <w:sz w:val="20"/>
                <w:szCs w:val="20"/>
                <w:color w:val="auto"/>
              </w:rPr>
            </w:pPr>
            <w:r>
              <w:rPr>
                <w:rFonts w:ascii="Arial" w:cs="Arial" w:eastAsia="Arial" w:hAnsi="Arial"/>
                <w:sz w:val="18"/>
                <w:szCs w:val="18"/>
                <w:color w:val="auto"/>
              </w:rPr>
              <w:t>Goodwill and other intangible asset impairment charges</w:t>
            </w:r>
          </w:p>
        </w:tc>
        <w:tc>
          <w:tcPr>
            <w:tcW w:w="42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4,204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280,802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91"/>
              <w:spacing w:after="0"/>
              <w:rPr>
                <w:sz w:val="20"/>
                <w:szCs w:val="20"/>
                <w:color w:val="auto"/>
              </w:rPr>
            </w:pPr>
            <w:r>
              <w:rPr>
                <w:rFonts w:ascii="Arial" w:cs="Arial" w:eastAsia="Arial" w:hAnsi="Arial"/>
                <w:sz w:val="18"/>
                <w:szCs w:val="18"/>
                <w:color w:val="auto"/>
              </w:rPr>
              <w:t>15,900</w:t>
            </w:r>
          </w:p>
        </w:tc>
      </w:tr>
      <w:tr>
        <w:trPr>
          <w:trHeight w:val="27"/>
        </w:trPr>
        <w:tc>
          <w:tcPr>
            <w:tcW w:w="5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Costs associated with business realignment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107,571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120,975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34,290</w:t>
            </w:r>
          </w:p>
        </w:tc>
      </w:tr>
      <w:tr>
        <w:trPr>
          <w:trHeight w:val="243"/>
        </w:trPr>
        <w:tc>
          <w:tcPr>
            <w:tcW w:w="5860" w:type="dxa"/>
            <w:vAlign w:val="bottom"/>
            <w:gridSpan w:val="2"/>
          </w:tcPr>
          <w:p>
            <w:pPr>
              <w:ind w:left="40"/>
              <w:spacing w:after="0"/>
              <w:rPr>
                <w:sz w:val="20"/>
                <w:szCs w:val="20"/>
                <w:color w:val="auto"/>
              </w:rPr>
            </w:pPr>
            <w:r>
              <w:rPr>
                <w:rFonts w:ascii="Arial" w:cs="Arial" w:eastAsia="Arial" w:hAnsi="Arial"/>
                <w:sz w:val="18"/>
                <w:szCs w:val="18"/>
                <w:color w:val="auto"/>
              </w:rPr>
              <w:t>Non-service related pension expense (income)</w:t>
            </w:r>
          </w:p>
        </w:tc>
        <w:tc>
          <w:tcPr>
            <w:tcW w:w="42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27,157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18,079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(1,834)</w:t>
            </w:r>
          </w:p>
        </w:tc>
      </w:tr>
      <w:tr>
        <w:trPr>
          <w:trHeight w:val="27"/>
        </w:trPr>
        <w:tc>
          <w:tcPr>
            <w:tcW w:w="5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5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Acquisition and integration costs</w:t>
            </w: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6,480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20,899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12,360</w:t>
            </w:r>
          </w:p>
        </w:tc>
      </w:tr>
      <w:tr>
        <w:trPr>
          <w:trHeight w:val="237"/>
        </w:trPr>
        <w:tc>
          <w:tcPr>
            <w:tcW w:w="5860" w:type="dxa"/>
            <w:vAlign w:val="bottom"/>
            <w:gridSpan w:val="2"/>
          </w:tcPr>
          <w:p>
            <w:pPr>
              <w:ind w:left="40"/>
              <w:spacing w:after="0"/>
              <w:rPr>
                <w:sz w:val="20"/>
                <w:szCs w:val="20"/>
                <w:color w:val="auto"/>
              </w:rPr>
            </w:pPr>
            <w:r>
              <w:rPr>
                <w:rFonts w:ascii="Arial" w:cs="Arial" w:eastAsia="Arial" w:hAnsi="Arial"/>
                <w:sz w:val="18"/>
                <w:szCs w:val="18"/>
                <w:color w:val="auto"/>
              </w:rPr>
              <w:t>Operating profit</w:t>
            </w:r>
          </w:p>
        </w:tc>
        <w:tc>
          <w:tcPr>
            <w:tcW w:w="4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1,205,783</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1,037,759</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1,392,261</w:t>
            </w:r>
          </w:p>
        </w:tc>
      </w:tr>
      <w:tr>
        <w:trPr>
          <w:trHeight w:val="27"/>
        </w:trPr>
        <w:tc>
          <w:tcPr>
            <w:tcW w:w="5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90,143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105,773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83,532</w:t>
            </w:r>
          </w:p>
        </w:tc>
      </w:tr>
      <w:tr>
        <w:trPr>
          <w:trHeight w:val="243"/>
        </w:trPr>
        <w:tc>
          <w:tcPr>
            <w:tcW w:w="5860" w:type="dxa"/>
            <w:vAlign w:val="bottom"/>
            <w:gridSpan w:val="2"/>
          </w:tcPr>
          <w:p>
            <w:pPr>
              <w:ind w:left="40"/>
              <w:spacing w:after="0"/>
              <w:rPr>
                <w:sz w:val="20"/>
                <w:szCs w:val="20"/>
                <w:color w:val="auto"/>
              </w:rPr>
            </w:pPr>
            <w:r>
              <w:rPr>
                <w:rFonts w:ascii="Arial" w:cs="Arial" w:eastAsia="Arial" w:hAnsi="Arial"/>
                <w:sz w:val="18"/>
                <w:szCs w:val="18"/>
                <w:color w:val="auto"/>
              </w:rPr>
              <w:t>Other (income) expense, net</w:t>
            </w:r>
          </w:p>
        </w:tc>
        <w:tc>
          <w:tcPr>
            <w:tcW w:w="42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16,159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30,139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91"/>
              <w:spacing w:after="0"/>
              <w:rPr>
                <w:sz w:val="20"/>
                <w:szCs w:val="20"/>
                <w:color w:val="auto"/>
              </w:rPr>
            </w:pPr>
            <w:r>
              <w:rPr>
                <w:rFonts w:ascii="Arial" w:cs="Arial" w:eastAsia="Arial" w:hAnsi="Arial"/>
                <w:sz w:val="18"/>
                <w:szCs w:val="18"/>
                <w:color w:val="auto"/>
              </w:rPr>
              <w:t>2,686</w:t>
            </w:r>
          </w:p>
        </w:tc>
      </w:tr>
      <w:tr>
        <w:trPr>
          <w:trHeight w:val="27"/>
        </w:trPr>
        <w:tc>
          <w:tcPr>
            <w:tcW w:w="5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5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1,099,481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901,847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1,306,043</w:t>
            </w:r>
          </w:p>
        </w:tc>
      </w:tr>
      <w:tr>
        <w:trPr>
          <w:trHeight w:val="20"/>
        </w:trPr>
        <w:tc>
          <w:tcPr>
            <w:tcW w:w="5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340" w:right="340" w:hanging="332"/>
        <w:spacing w:after="0" w:line="312"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and (d) other gains or losses that are not integral to segment performance.</w:t>
      </w:r>
    </w:p>
    <w:p>
      <w:pPr>
        <w:spacing w:after="0" w:line="11" w:lineRule="exact"/>
        <w:rPr>
          <w:rFonts w:ascii="Arial" w:cs="Arial" w:eastAsia="Arial" w:hAnsi="Arial"/>
          <w:sz w:val="16"/>
          <w:szCs w:val="16"/>
          <w:color w:val="auto"/>
        </w:rPr>
      </w:pPr>
    </w:p>
    <w:p>
      <w:pPr>
        <w:ind w:right="320" w:firstLine="8"/>
        <w:spacing w:after="0" w:line="407" w:lineRule="auto"/>
        <w:tabs>
          <w:tab w:leader="none" w:pos="324"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Reflects gains and losses on commodity derivative instruments that are excluded from segment income until the related inventory is sold. See Note 5. Activity within the unallocated mark-to-market (gains) losses on commodity derivatives for the year ended December 31, 2016 included:</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60" w:type="dxa"/>
            <w:vAlign w:val="bottom"/>
            <w:gridSpan w:val="2"/>
          </w:tcPr>
          <w:p>
            <w:pPr>
              <w:ind w:left="40"/>
              <w:spacing w:after="0"/>
              <w:rPr>
                <w:sz w:val="20"/>
                <w:szCs w:val="20"/>
                <w:color w:val="auto"/>
              </w:rPr>
            </w:pPr>
            <w:r>
              <w:rPr>
                <w:rFonts w:ascii="Arial" w:cs="Arial" w:eastAsia="Arial" w:hAnsi="Arial"/>
                <w:sz w:val="16"/>
                <w:szCs w:val="16"/>
                <w:b w:val="1"/>
                <w:bCs w:val="1"/>
                <w:color w:val="auto"/>
              </w:rPr>
              <w:t>For the year ended December 31,</w:t>
            </w:r>
          </w:p>
        </w:tc>
        <w:tc>
          <w:tcPr>
            <w:tcW w:w="520" w:type="dxa"/>
            <w:vAlign w:val="bottom"/>
          </w:tcPr>
          <w:p>
            <w:pPr>
              <w:spacing w:after="0"/>
              <w:rPr>
                <w:sz w:val="18"/>
                <w:szCs w:val="18"/>
                <w:color w:val="auto"/>
              </w:rPr>
            </w:pPr>
          </w:p>
        </w:tc>
        <w:tc>
          <w:tcPr>
            <w:tcW w:w="1640" w:type="dxa"/>
            <w:vAlign w:val="bottom"/>
          </w:tcPr>
          <w:p>
            <w:pPr>
              <w:jc w:val="right"/>
              <w:ind w:right="832"/>
              <w:spacing w:after="0"/>
              <w:rPr>
                <w:sz w:val="20"/>
                <w:szCs w:val="20"/>
                <w:color w:val="auto"/>
              </w:rPr>
            </w:pPr>
            <w:r>
              <w:rPr>
                <w:rFonts w:ascii="Arial" w:cs="Arial" w:eastAsia="Arial" w:hAnsi="Arial"/>
                <w:sz w:val="16"/>
                <w:szCs w:val="16"/>
                <w:b w:val="1"/>
                <w:bCs w:val="1"/>
                <w:color w:val="auto"/>
              </w:rPr>
              <w:t>2016</w:t>
            </w:r>
          </w:p>
        </w:tc>
      </w:tr>
      <w:tr>
        <w:trPr>
          <w:trHeight w:val="33"/>
        </w:trPr>
        <w:tc>
          <w:tcPr>
            <w:tcW w:w="9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losses on mark-to-market valuation of unallocated commodity derivative positions</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171,753</w:t>
            </w:r>
          </w:p>
        </w:tc>
      </w:tr>
      <w:tr>
        <w:trPr>
          <w:trHeight w:val="243"/>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Net losses on commodity derivative positions allocated to segment income</w:t>
            </w:r>
          </w:p>
        </w:tc>
        <w:tc>
          <w:tcPr>
            <w:tcW w:w="52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8,515</w:t>
            </w:r>
          </w:p>
        </w:tc>
      </w:tr>
      <w:tr>
        <w:trPr>
          <w:trHeight w:val="27"/>
        </w:trPr>
        <w:tc>
          <w:tcPr>
            <w:tcW w:w="9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3"/>
              </w:rPr>
              <w:t>Net losses on mark-to-market valuation of commodity derivative positions remaining in unallocated derivative (gains) losses</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163,238</w:t>
            </w:r>
          </w:p>
        </w:tc>
      </w:tr>
      <w:tr>
        <w:trPr>
          <w:trHeight w:val="20"/>
        </w:trPr>
        <w:tc>
          <w:tcPr>
            <w:tcW w:w="9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Based on our forecasts of the timing of the recognition of the underlying hedged items, we expect to reclassify net pretax losses on commodity derivatives of $88.3 million to segment operating results in the next twelve months.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16" w:right="239" w:bottom="1440" w:gutter="0" w:footer="0" w:header="0"/>
        </w:sectPr>
      </w:pPr>
    </w:p>
    <w:bookmarkStart w:id="87" w:name="page88"/>
    <w:bookmarkEnd w:id="87"/>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included within segment income presented above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For the years ended December 31,</w:t>
            </w:r>
          </w:p>
        </w:tc>
        <w:tc>
          <w:tcPr>
            <w:tcW w:w="4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712"/>
              <w:spacing w:after="0"/>
              <w:rPr>
                <w:sz w:val="20"/>
                <w:szCs w:val="20"/>
                <w:color w:val="auto"/>
              </w:rPr>
            </w:pPr>
            <w:r>
              <w:rPr>
                <w:rFonts w:ascii="Arial" w:cs="Arial" w:eastAsia="Arial" w:hAnsi="Arial"/>
                <w:sz w:val="16"/>
                <w:szCs w:val="16"/>
                <w:b w:val="1"/>
                <w:bCs w:val="1"/>
                <w:color w:val="auto"/>
              </w:rPr>
              <w:t>2014</w:t>
            </w: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162,211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153,185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146,475</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46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50,753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46,342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28,463</w:t>
            </w:r>
          </w:p>
        </w:tc>
      </w:tr>
      <w:tr>
        <w:trPr>
          <w:trHeight w:val="27"/>
        </w:trPr>
        <w:tc>
          <w:tcPr>
            <w:tcW w:w="5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(1)</w:t>
            </w:r>
          </w:p>
        </w:tc>
        <w:tc>
          <w:tcPr>
            <w:tcW w:w="4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88,873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45,401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36,594</w:t>
            </w:r>
          </w:p>
        </w:tc>
      </w:tr>
      <w:tr>
        <w:trPr>
          <w:trHeight w:val="257"/>
        </w:trPr>
        <w:tc>
          <w:tcPr>
            <w:tcW w:w="5380" w:type="dxa"/>
            <w:vAlign w:val="bottom"/>
          </w:tcPr>
          <w:p>
            <w:pPr>
              <w:ind w:left="40"/>
              <w:spacing w:after="0"/>
              <w:rPr>
                <w:sz w:val="20"/>
                <w:szCs w:val="20"/>
                <w:color w:val="auto"/>
              </w:rPr>
            </w:pPr>
            <w:r>
              <w:rPr>
                <w:rFonts w:ascii="Arial" w:cs="Arial" w:eastAsia="Arial" w:hAnsi="Arial"/>
                <w:sz w:val="18"/>
                <w:szCs w:val="18"/>
                <w:color w:val="auto"/>
              </w:rPr>
              <w:t>Total</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301,837</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244,928</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211,532</w:t>
            </w:r>
          </w:p>
        </w:tc>
      </w:tr>
      <w:tr>
        <w:trPr>
          <w:trHeight w:val="20"/>
        </w:trPr>
        <w:tc>
          <w:tcPr>
            <w:tcW w:w="53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340" w:right="320" w:hanging="332"/>
        <w:spacing w:after="0" w:line="277"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Corporate includes non-cash asset-related accelerated depreciation and amortization related to business realignment activities, as discussed in Note 7. Such amounts are not included within our measure of segment income.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Additional geographic information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00" w:type="dxa"/>
            <w:vAlign w:val="bottom"/>
          </w:tcPr>
          <w:p>
            <w:pPr>
              <w:jc w:val="right"/>
              <w:ind w:right="7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b w:val="1"/>
                <w:bCs w:val="1"/>
                <w:color w:val="auto"/>
              </w:rPr>
              <w:t>2014</w:t>
            </w:r>
          </w:p>
        </w:tc>
      </w:tr>
      <w:tr>
        <w:trPr>
          <w:trHeight w:val="27"/>
        </w:trPr>
        <w:tc>
          <w:tcPr>
            <w:tcW w:w="5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200"/>
              <w:spacing w:after="0"/>
              <w:rPr>
                <w:sz w:val="20"/>
                <w:szCs w:val="20"/>
                <w:color w:val="auto"/>
              </w:rPr>
            </w:pPr>
            <w:r>
              <w:rPr>
                <w:rFonts w:ascii="Arial" w:cs="Arial" w:eastAsia="Arial" w:hAnsi="Arial"/>
                <w:sz w:val="18"/>
                <w:szCs w:val="18"/>
                <w:color w:val="auto"/>
              </w:rPr>
              <w:t>United States</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6,196,723</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6,116,490</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5,996,564</w:t>
            </w:r>
          </w:p>
        </w:tc>
      </w:tr>
      <w:tr>
        <w:trPr>
          <w:trHeight w:val="27"/>
        </w:trPr>
        <w:tc>
          <w:tcPr>
            <w:tcW w:w="5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1,243,458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1,270,136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1,425,204</w:t>
            </w:r>
          </w:p>
        </w:tc>
      </w:tr>
      <w:tr>
        <w:trPr>
          <w:trHeight w:val="297"/>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7,440,181</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7,386,626</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7,421,768</w:t>
            </w:r>
          </w:p>
        </w:tc>
      </w:tr>
      <w:tr>
        <w:trPr>
          <w:trHeight w:val="311"/>
        </w:trPr>
        <w:tc>
          <w:tcPr>
            <w:tcW w:w="53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Long-lived assets:</w:t>
            </w:r>
          </w:p>
        </w:tc>
        <w:tc>
          <w:tcPr>
            <w:tcW w:w="4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United States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1,528,255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1,528,723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1,477,455</w:t>
            </w:r>
          </w:p>
        </w:tc>
      </w:tr>
      <w:tr>
        <w:trPr>
          <w:trHeight w:val="243"/>
        </w:trPr>
        <w:tc>
          <w:tcPr>
            <w:tcW w:w="5380" w:type="dxa"/>
            <w:vAlign w:val="bottom"/>
          </w:tcPr>
          <w:p>
            <w:pPr>
              <w:ind w:left="200"/>
              <w:spacing w:after="0"/>
              <w:rPr>
                <w:sz w:val="20"/>
                <w:szCs w:val="20"/>
                <w:color w:val="auto"/>
              </w:rPr>
            </w:pPr>
            <w:r>
              <w:rPr>
                <w:rFonts w:ascii="Arial" w:cs="Arial" w:eastAsia="Arial" w:hAnsi="Arial"/>
                <w:sz w:val="18"/>
                <w:szCs w:val="18"/>
                <w:color w:val="auto"/>
              </w:rPr>
              <w:t>Other</w:t>
            </w:r>
          </w:p>
        </w:tc>
        <w:tc>
          <w:tcPr>
            <w:tcW w:w="46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648,993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711,737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674,446</w:t>
            </w:r>
          </w:p>
        </w:tc>
      </w:tr>
      <w:tr>
        <w:trPr>
          <w:trHeight w:val="27"/>
        </w:trPr>
        <w:tc>
          <w:tcPr>
            <w:tcW w:w="53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2,177,248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2,240,460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2,151,901</w:t>
            </w:r>
          </w:p>
        </w:tc>
      </w:tr>
      <w:tr>
        <w:trPr>
          <w:trHeight w:val="20"/>
        </w:trPr>
        <w:tc>
          <w:tcPr>
            <w:tcW w:w="53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EQUITY AND NONCONTROLLING INTERESTS</w:t>
      </w:r>
    </w:p>
    <w:p>
      <w:pPr>
        <w:spacing w:after="0" w:line="9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had 1,055,000,000 authorized shares of capital stock as of December 31, 2016. Of this total, 900,000,000 shares were designated as Common Stock, 150,000,000 shares were designated as Class B Stock and 5,000,000 shares were designated as Preferred Stock. Each class has a par value of one dollar per share.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outstanding shares of Common Stock for the past three years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For the years ended December 31,</w:t>
            </w:r>
          </w:p>
        </w:tc>
        <w:tc>
          <w:tcPr>
            <w:tcW w:w="1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2014</w:t>
            </w:r>
          </w:p>
        </w:tc>
      </w:tr>
      <w:tr>
        <w:trPr>
          <w:trHeight w:val="270"/>
        </w:trPr>
        <w:tc>
          <w:tcPr>
            <w:tcW w:w="6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Shares issued</w:t>
            </w: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359,901,744</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359,901,744</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359,901,744</w:t>
            </w:r>
          </w:p>
        </w:tc>
      </w:tr>
      <w:tr>
        <w:trPr>
          <w:trHeight w:val="237"/>
        </w:trPr>
        <w:tc>
          <w:tcPr>
            <w:tcW w:w="6020" w:type="dxa"/>
            <w:vAlign w:val="bottom"/>
            <w:gridSpan w:val="2"/>
          </w:tcPr>
          <w:p>
            <w:pPr>
              <w:ind w:left="40"/>
              <w:spacing w:after="0"/>
              <w:rPr>
                <w:sz w:val="20"/>
                <w:szCs w:val="20"/>
                <w:color w:val="auto"/>
              </w:rPr>
            </w:pPr>
            <w:r>
              <w:rPr>
                <w:rFonts w:ascii="Arial" w:cs="Arial" w:eastAsia="Arial" w:hAnsi="Arial"/>
                <w:sz w:val="18"/>
                <w:szCs w:val="18"/>
                <w:color w:val="auto"/>
              </w:rPr>
              <w:t>Treasury shares at beginning of year</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(143,124,384)</w:t>
            </w:r>
          </w:p>
        </w:tc>
        <w:tc>
          <w:tcPr>
            <w:tcW w:w="100" w:type="dxa"/>
            <w:vAlign w:val="bottom"/>
          </w:tcPr>
          <w:p>
            <w:pPr>
              <w:spacing w:after="0"/>
              <w:rPr>
                <w:sz w:val="20"/>
                <w:szCs w:val="20"/>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(138,856,786)</w:t>
            </w:r>
          </w:p>
        </w:tc>
        <w:tc>
          <w:tcPr>
            <w:tcW w:w="100" w:type="dxa"/>
            <w:vAlign w:val="bottom"/>
          </w:tcPr>
          <w:p>
            <w:pPr>
              <w:spacing w:after="0"/>
              <w:rPr>
                <w:sz w:val="20"/>
                <w:szCs w:val="20"/>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(136,007,023)</w:t>
            </w:r>
          </w:p>
        </w:tc>
      </w:tr>
      <w:tr>
        <w:trPr>
          <w:trHeight w:val="27"/>
        </w:trPr>
        <w:tc>
          <w:tcPr>
            <w:tcW w:w="5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 repurchases:</w:t>
            </w: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6020" w:type="dxa"/>
            <w:vAlign w:val="bottom"/>
            <w:gridSpan w:val="2"/>
          </w:tcPr>
          <w:p>
            <w:pPr>
              <w:ind w:left="460"/>
              <w:spacing w:after="0"/>
              <w:rPr>
                <w:sz w:val="20"/>
                <w:szCs w:val="20"/>
                <w:color w:val="auto"/>
              </w:rPr>
            </w:pPr>
            <w:r>
              <w:rPr>
                <w:rFonts w:ascii="Arial" w:cs="Arial" w:eastAsia="Arial" w:hAnsi="Arial"/>
                <w:sz w:val="18"/>
                <w:szCs w:val="18"/>
                <w:color w:val="auto"/>
              </w:rPr>
              <w:t>Repurchase programs</w:t>
            </w:r>
          </w:p>
        </w:tc>
        <w:tc>
          <w:tcPr>
            <w:tcW w:w="1700" w:type="dxa"/>
            <w:vAlign w:val="bottom"/>
          </w:tcPr>
          <w:p>
            <w:pPr>
              <w:jc w:val="right"/>
              <w:spacing w:after="0"/>
              <w:rPr>
                <w:sz w:val="20"/>
                <w:szCs w:val="20"/>
                <w:color w:val="auto"/>
              </w:rPr>
            </w:pPr>
            <w:r>
              <w:rPr>
                <w:rFonts w:ascii="Arial" w:cs="Arial" w:eastAsia="Arial" w:hAnsi="Arial"/>
                <w:sz w:val="18"/>
                <w:szCs w:val="18"/>
                <w:color w:val="auto"/>
              </w:rPr>
              <w:t>(4,640,964)</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(4,209,112)</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(2,135,268)</w:t>
            </w:r>
          </w:p>
        </w:tc>
      </w:tr>
      <w:tr>
        <w:trPr>
          <w:trHeight w:val="27"/>
        </w:trPr>
        <w:tc>
          <w:tcPr>
            <w:tcW w:w="5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0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Stock-based compensation programs</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(1,820,766)</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(1,776,838)</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(3,676,513)</w:t>
            </w:r>
          </w:p>
        </w:tc>
      </w:tr>
      <w:tr>
        <w:trPr>
          <w:trHeight w:val="243"/>
        </w:trPr>
        <w:tc>
          <w:tcPr>
            <w:tcW w:w="6020" w:type="dxa"/>
            <w:vAlign w:val="bottom"/>
            <w:gridSpan w:val="2"/>
          </w:tcPr>
          <w:p>
            <w:pPr>
              <w:ind w:left="40"/>
              <w:spacing w:after="0"/>
              <w:rPr>
                <w:sz w:val="20"/>
                <w:szCs w:val="20"/>
                <w:color w:val="auto"/>
              </w:rPr>
            </w:pPr>
            <w:r>
              <w:rPr>
                <w:rFonts w:ascii="Arial" w:cs="Arial" w:eastAsia="Arial" w:hAnsi="Arial"/>
                <w:sz w:val="18"/>
                <w:szCs w:val="18"/>
                <w:color w:val="auto"/>
              </w:rPr>
              <w:t>Stock issuances:</w:t>
            </w: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5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60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Stock-based compensation programs</w:t>
            </w: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1,944,105</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1,718,352</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2,962,018</w:t>
            </w:r>
          </w:p>
        </w:tc>
      </w:tr>
      <w:tr>
        <w:trPr>
          <w:trHeight w:val="237"/>
        </w:trPr>
        <w:tc>
          <w:tcPr>
            <w:tcW w:w="6020" w:type="dxa"/>
            <w:vAlign w:val="bottom"/>
            <w:gridSpan w:val="2"/>
          </w:tcPr>
          <w:p>
            <w:pPr>
              <w:ind w:left="40"/>
              <w:spacing w:after="0"/>
              <w:rPr>
                <w:sz w:val="20"/>
                <w:szCs w:val="20"/>
                <w:color w:val="auto"/>
              </w:rPr>
            </w:pPr>
            <w:r>
              <w:rPr>
                <w:rFonts w:ascii="Arial" w:cs="Arial" w:eastAsia="Arial" w:hAnsi="Arial"/>
                <w:sz w:val="18"/>
                <w:szCs w:val="18"/>
                <w:color w:val="auto"/>
              </w:rPr>
              <w:t>Treasury shares at end of year</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(147,642,009)</w:t>
            </w:r>
          </w:p>
        </w:tc>
        <w:tc>
          <w:tcPr>
            <w:tcW w:w="100" w:type="dxa"/>
            <w:vAlign w:val="bottom"/>
          </w:tcPr>
          <w:p>
            <w:pPr>
              <w:spacing w:after="0"/>
              <w:rPr>
                <w:sz w:val="20"/>
                <w:szCs w:val="20"/>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(143,124,384)</w:t>
            </w:r>
          </w:p>
        </w:tc>
        <w:tc>
          <w:tcPr>
            <w:tcW w:w="100" w:type="dxa"/>
            <w:vAlign w:val="bottom"/>
          </w:tcPr>
          <w:p>
            <w:pPr>
              <w:spacing w:after="0"/>
              <w:rPr>
                <w:sz w:val="20"/>
                <w:szCs w:val="20"/>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(138,856,786)</w:t>
            </w:r>
          </w:p>
        </w:tc>
      </w:tr>
      <w:tr>
        <w:trPr>
          <w:trHeight w:val="27"/>
        </w:trPr>
        <w:tc>
          <w:tcPr>
            <w:tcW w:w="5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7"/>
        </w:trPr>
        <w:tc>
          <w:tcPr>
            <w:tcW w:w="6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shares outstanding at end of year</w:t>
            </w:r>
          </w:p>
        </w:tc>
        <w:tc>
          <w:tcPr>
            <w:tcW w:w="1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212,259,735</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216,777,360</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221,044,958</w:t>
            </w:r>
          </w:p>
        </w:tc>
      </w:tr>
      <w:tr>
        <w:trPr>
          <w:trHeight w:val="20"/>
        </w:trPr>
        <w:tc>
          <w:tcPr>
            <w:tcW w:w="5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Holders of the Common Stock and the Class B Stock generally vote together without regard to class on matters submitted to stockholders, including the election of directors. The holders of Common Stock have 1 vote per share and the holders of Class B Stock have 10 votes per share. However, the Common Stock holders, voting separately as a class, are entitled to elect one-sixth of the Board. With respect to dividend rights, the Common Stock holders are entitled to cash dividends 10% higher than those declared and paid on the Class B Stock.</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16" w:right="239" w:bottom="1440" w:gutter="0" w:footer="0" w:header="0"/>
        </w:sectPr>
      </w:pPr>
    </w:p>
    <w:bookmarkStart w:id="88" w:name="page89"/>
    <w:bookmarkEnd w:id="88"/>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9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Class B Stock can be converted into Common Stock on a share-for-share basis at any time. During 2016 and 2015, no shares of Class B Stock were converted into Common Stock. During 2014, 440 shares were converted.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Hershey Trust Company</w:t>
      </w:r>
    </w:p>
    <w:p>
      <w:pPr>
        <w:spacing w:after="0" w:line="9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Hershey Trust Company, as trustee for the benefit of Milton Hershey School and as direct owner of investment shares, held 12,903,021 shares of our Common Stock as of December 31, 2016. As trustee for the benefit of Milton Hershey School, Hershey Trust Company held 60,612,012 shares of the Class B Stock as of December 31, 2016, and was entitled to cast approximately 80% of all of the votes entitled to be cast on matters requiring the vote of both classes of our common stock voting together. Hershey Trust Company, as trustee for the benefit of Milton Hershey School, or any successor trustee, or Milton Hershey School, as appropriate, must approve any issuance of shares of Common Stock or other action that would result in it not continuing to have voting control of our Company.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Interests in Subsidiaries</w:t>
      </w:r>
    </w:p>
    <w:p>
      <w:pPr>
        <w:spacing w:after="0" w:line="9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currently own a 50% controlling interest in Lotte Shanghai Foods Co., Ltd. (“LSFC”), a joint venture established in 2007 in China for the purpose of manufacturing and selling product to the venture partners.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80" w:type="dxa"/>
            <w:vAlign w:val="bottom"/>
          </w:tcPr>
          <w:p>
            <w:pPr>
              <w:spacing w:after="0"/>
              <w:rPr>
                <w:sz w:val="20"/>
                <w:szCs w:val="20"/>
                <w:color w:val="auto"/>
              </w:rPr>
            </w:pPr>
            <w:r>
              <w:rPr>
                <w:rFonts w:ascii="Arial" w:cs="Arial" w:eastAsia="Arial" w:hAnsi="Arial"/>
                <w:sz w:val="18"/>
                <w:szCs w:val="18"/>
                <w:color w:val="auto"/>
              </w:rPr>
              <w:t>A roll-forward showing the 2016 activity relating to the noncontrolling interest follows:</w:t>
            </w:r>
          </w:p>
        </w:tc>
        <w:tc>
          <w:tcPr>
            <w:tcW w:w="7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78"/>
        </w:trPr>
        <w:tc>
          <w:tcPr>
            <w:tcW w:w="9480" w:type="dxa"/>
            <w:vAlign w:val="bottom"/>
          </w:tcPr>
          <w:p>
            <w:pPr>
              <w:spacing w:after="0"/>
              <w:rPr>
                <w:sz w:val="24"/>
                <w:szCs w:val="24"/>
                <w:color w:val="auto"/>
              </w:rPr>
            </w:pPr>
          </w:p>
        </w:tc>
        <w:tc>
          <w:tcPr>
            <w:tcW w:w="1940" w:type="dxa"/>
            <w:vAlign w:val="bottom"/>
            <w:gridSpan w:val="2"/>
          </w:tcPr>
          <w:p>
            <w:pPr>
              <w:ind w:left="40"/>
              <w:spacing w:after="0"/>
              <w:rPr>
                <w:sz w:val="20"/>
                <w:szCs w:val="20"/>
                <w:color w:val="auto"/>
              </w:rPr>
            </w:pPr>
            <w:r>
              <w:rPr>
                <w:rFonts w:ascii="Arial" w:cs="Arial" w:eastAsia="Arial" w:hAnsi="Arial"/>
                <w:sz w:val="18"/>
                <w:szCs w:val="18"/>
                <w:b w:val="1"/>
                <w:bCs w:val="1"/>
                <w:color w:val="auto"/>
                <w:w w:val="90"/>
              </w:rPr>
              <w:t>Noncontrolling Interests</w:t>
            </w:r>
          </w:p>
        </w:tc>
      </w:tr>
      <w:tr>
        <w:trPr>
          <w:trHeight w:val="27"/>
        </w:trPr>
        <w:tc>
          <w:tcPr>
            <w:tcW w:w="94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2015</w:t>
            </w:r>
          </w:p>
        </w:tc>
        <w:tc>
          <w:tcPr>
            <w:tcW w:w="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49,465</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Net loss attributable to noncontrolling interests (1)</w:t>
            </w:r>
          </w:p>
        </w:tc>
        <w:tc>
          <w:tcPr>
            <w:tcW w:w="7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(3,970)</w:t>
            </w: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 foreign currency translation adjustments</w:t>
            </w:r>
          </w:p>
        </w:tc>
        <w:tc>
          <w:tcPr>
            <w:tcW w:w="7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(3,664)</w:t>
            </w:r>
          </w:p>
        </w:tc>
      </w:tr>
      <w:tr>
        <w:trPr>
          <w:trHeight w:val="257"/>
        </w:trPr>
        <w:tc>
          <w:tcPr>
            <w:tcW w:w="9480" w:type="dxa"/>
            <w:vAlign w:val="bottom"/>
          </w:tcPr>
          <w:p>
            <w:pPr>
              <w:ind w:left="40"/>
              <w:spacing w:after="0"/>
              <w:rPr>
                <w:sz w:val="20"/>
                <w:szCs w:val="20"/>
                <w:color w:val="auto"/>
              </w:rPr>
            </w:pPr>
            <w:r>
              <w:rPr>
                <w:rFonts w:ascii="Arial" w:cs="Arial" w:eastAsia="Arial" w:hAnsi="Arial"/>
                <w:sz w:val="18"/>
                <w:szCs w:val="18"/>
                <w:color w:val="auto"/>
              </w:rPr>
              <w:t>Balance, December 31, 2016</w:t>
            </w:r>
          </w:p>
        </w:tc>
        <w:tc>
          <w:tcPr>
            <w:tcW w:w="7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41,831</w:t>
            </w:r>
          </w:p>
        </w:tc>
      </w:tr>
      <w:tr>
        <w:trPr>
          <w:trHeight w:val="20"/>
        </w:trPr>
        <w:tc>
          <w:tcPr>
            <w:tcW w:w="94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(1) Amounts are not considered significant and are presented within selling, marketing and administrative expenses.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9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enter into certain obligations for the purchase of raw materials. These obligations are primarily in the form of forward contracts for the purchase of raw materials from third-party brokers and dealers. These contracts minimize the effect of future price fluctuations by fixing the price of part or all of these purchase obligations. Total obligations consisted of fixed price contracts for the purchase of commodities and unpriced contracts that were valued using market prices as of December 31, 2016.</w:t>
      </w:r>
    </w:p>
    <w:p>
      <w:pPr>
        <w:spacing w:after="0" w:line="133"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The cost of commodities associated with the unpriced contracts is variable as market prices change over future periods. We mitigate the variability of these costs to the extent that we have entered into commodities futures contracts or other commodity derivative instruments to hedge our costs for those periods. Increases or decreases in market prices are offset by gains or losses on commodities futures contracts or other commodity derivative instruments. Taking delivery of and making payments for the specific commodities for use in the manufacture of finished goods satisfies our obligations under the forward purchase contracts. For each of the three years in the period ended December 31, 2016, we satisfied these obligations by taking delivery of and making payment for the specific commodities.</w:t>
      </w:r>
    </w:p>
    <w:p>
      <w:pPr>
        <w:spacing w:after="0" w:line="13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of December 31, 2016, we had entered into agreements for the purchase of raw materials with various suppliers. Subject to meeting our quality standards, the purchase obligations covered by these agreements were as follows as of December 31, 2016:</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 of dollars</w:t>
            </w:r>
          </w:p>
        </w:tc>
        <w:tc>
          <w:tcPr>
            <w:tcW w:w="2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2020</w:t>
            </w:r>
          </w:p>
        </w:tc>
      </w:tr>
      <w:tr>
        <w:trPr>
          <w:trHeight w:val="237"/>
        </w:trPr>
        <w:tc>
          <w:tcPr>
            <w:tcW w:w="3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Purchase obligations</w:t>
            </w:r>
          </w:p>
        </w:tc>
        <w:tc>
          <w:tcPr>
            <w:tcW w:w="23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1,282.2</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r>
      <w:tr>
        <w:trPr>
          <w:trHeight w:val="27"/>
        </w:trPr>
        <w:tc>
          <w:tcPr>
            <w:tcW w:w="3520" w:type="dxa"/>
            <w:vAlign w:val="bottom"/>
            <w:shd w:val="clear" w:color="auto" w:fill="CCEEFF"/>
          </w:tcPr>
          <w:p>
            <w:pPr>
              <w:spacing w:after="0"/>
              <w:rPr>
                <w:sz w:val="2"/>
                <w:szCs w:val="2"/>
                <w:color w:val="auto"/>
              </w:rPr>
            </w:pPr>
          </w:p>
        </w:tc>
        <w:tc>
          <w:tcPr>
            <w:tcW w:w="23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have commitments under various operating lease arrangements. Future minimum payments under lease arrangements with a remaining term in excess of one year were as follows as of December 31, 2016:</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 of dollars</w:t>
            </w:r>
          </w:p>
        </w:tc>
        <w:tc>
          <w:tcPr>
            <w:tcW w:w="13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w w:val="93"/>
              </w:rPr>
              <w:t>Thereafter</w:t>
            </w: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Future minimum rental payments</w:t>
            </w: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189.0</w:t>
            </w:r>
          </w:p>
        </w:tc>
      </w:tr>
      <w:tr>
        <w:trPr>
          <w:trHeight w:val="459"/>
        </w:trPr>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87</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115" w:right="239" w:bottom="1440" w:gutter="0" w:footer="0" w:header="0"/>
        </w:sectPr>
      </w:pPr>
    </w:p>
    <w:bookmarkStart w:id="89" w:name="page90"/>
    <w:bookmarkEnd w:id="89"/>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98"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Future minimum rental payments reflect commitments under non-cancelable operating leases primarily for offices, retail stores, warehouse and distribution facilities. Total rent expense for the years ended December 31, 2016, 2015 and 2014 was $20,330, $19,754 and $21,423, respectively, including short-term rentals.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contingencies</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 number of facilities that contain varying amounts of asbestos in certain locations within the facilities. Our asbestos management program is compliant with current applicable regulations, which require that we handle or dispose of asbestos in a special manner if such facilities undergo major renovations or are demolished. We do not have sufficient information to estimate the fair value of any asset retirement obligations related to these facilities. We cannot specify the settlement date or range of potential settlement dates and, therefore, sufficient information is not available to apply an expected present value technique. We expect to maintain the facilities with repairs and maintenance activities that would not involve or require the removal of significant quantities of asbestos.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are subject to various pending or threatened legal proceedings and claims that arise in the ordinary course of our business. While it is not feasible to predict or determine the outcome of such proceedings and claims with certainty, in our opinion these matters, both individually and in the aggregate, are not expected to have a material effect on our financial condition, results of operations or cash flows.</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80"/>
          </w:cols>
          <w:pgMar w:left="240" w:top="115" w:right="279" w:bottom="1440" w:gutter="0" w:footer="0" w:header="0"/>
        </w:sectPr>
      </w:pPr>
    </w:p>
    <w:bookmarkStart w:id="90" w:name="page91"/>
    <w:bookmarkEnd w:id="90"/>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EARNINGS PER SHARE</w:t>
      </w:r>
    </w:p>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compute basic earnings per share for Common Stock and Class B common stock using the two-class method. The Class B common stock is convertible into Common Stock on a share-for-share basis at any time. The computation of diluted earnings per share for Common Stock assumes the conversion of Class B common stock using the if-converted method, while the diluted earnings per share of Class B common stock does not assume the conversion of those shares.</w:t>
      </w:r>
    </w:p>
    <w:p>
      <w:pPr>
        <w:spacing w:after="0" w:line="13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compute basic and diluted earnings per share based on the weighted-average number of shares of Common Stock and Class B common stock outstanding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For the years ended December 31,</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w w:val="89"/>
              </w:rPr>
              <w:t>2016</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w w:val="89"/>
              </w:rPr>
              <w:t>2015</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w w:val="89"/>
              </w:rPr>
              <w:t>2014</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Common Stock</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rPr>
              <w:t>Class B Common</w:t>
            </w: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3"/>
          </w:tcPr>
          <w:p>
            <w:pPr>
              <w:ind w:left="20"/>
              <w:spacing w:after="0" w:line="153" w:lineRule="exact"/>
              <w:rPr>
                <w:sz w:val="20"/>
                <w:szCs w:val="20"/>
                <w:color w:val="auto"/>
              </w:rPr>
            </w:pPr>
            <w:r>
              <w:rPr>
                <w:rFonts w:ascii="Arial" w:cs="Arial" w:eastAsia="Arial" w:hAnsi="Arial"/>
                <w:sz w:val="14"/>
                <w:szCs w:val="14"/>
                <w:b w:val="1"/>
                <w:bCs w:val="1"/>
                <w:color w:val="auto"/>
              </w:rPr>
              <w:t>Class B Common</w:t>
            </w: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Common Stock</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spacing w:after="0" w:line="153" w:lineRule="exact"/>
              <w:rPr>
                <w:sz w:val="20"/>
                <w:szCs w:val="20"/>
                <w:color w:val="auto"/>
              </w:rPr>
            </w:pPr>
            <w:r>
              <w:rPr>
                <w:rFonts w:ascii="Arial" w:cs="Arial" w:eastAsia="Arial" w:hAnsi="Arial"/>
                <w:sz w:val="14"/>
                <w:szCs w:val="14"/>
                <w:b w:val="1"/>
                <w:bCs w:val="1"/>
                <w:color w:val="auto"/>
                <w:w w:val="93"/>
              </w:rPr>
              <w:t>Class B Common</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Stock</w:t>
            </w: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Stock</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Basic earnings per share:</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20" w:type="dxa"/>
            <w:vAlign w:val="bottom"/>
            <w:gridSpan w:val="2"/>
          </w:tcPr>
          <w:p>
            <w:pPr>
              <w:ind w:left="180"/>
              <w:spacing w:after="0"/>
              <w:rPr>
                <w:sz w:val="20"/>
                <w:szCs w:val="20"/>
                <w:color w:val="auto"/>
              </w:rPr>
            </w:pPr>
            <w:r>
              <w:rPr>
                <w:rFonts w:ascii="Arial" w:cs="Arial" w:eastAsia="Arial" w:hAnsi="Arial"/>
                <w:sz w:val="16"/>
                <w:szCs w:val="16"/>
                <w:color w:val="auto"/>
              </w:rPr>
              <w:t>Numerator:</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Allocation of distributed earnings (cash dividends</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paid)</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367,081</w:t>
            </w:r>
          </w:p>
        </w:tc>
        <w:tc>
          <w:tcPr>
            <w:tcW w:w="460" w:type="dxa"/>
            <w:vAlign w:val="bottom"/>
            <w:tcBorders>
              <w:bottom w:val="single" w:sz="8" w:color="CCEEFF"/>
            </w:tcBorders>
            <w:gridSpan w:val="3"/>
            <w:shd w:val="clear" w:color="auto" w:fill="CCEEFF"/>
          </w:tcPr>
          <w:p>
            <w:pPr>
              <w:jc w:val="right"/>
              <w:ind w:right="68"/>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132,394</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352,953</w:t>
            </w:r>
          </w:p>
        </w:tc>
        <w:tc>
          <w:tcPr>
            <w:tcW w:w="44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123,179</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328,752</w:t>
            </w:r>
          </w:p>
        </w:tc>
        <w:tc>
          <w:tcPr>
            <w:tcW w:w="440" w:type="dxa"/>
            <w:vAlign w:val="bottom"/>
            <w:tcBorders>
              <w:bottom w:val="single" w:sz="8" w:color="CCEEFF"/>
            </w:tcBorders>
            <w:gridSpan w:val="3"/>
            <w:shd w:val="clear" w:color="auto" w:fill="CCEEFF"/>
          </w:tcPr>
          <w:p>
            <w:pPr>
              <w:jc w:val="right"/>
              <w:ind w:right="68"/>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111,662</w:t>
            </w:r>
          </w:p>
        </w:tc>
        <w:tc>
          <w:tcPr>
            <w:tcW w:w="0" w:type="dxa"/>
            <w:vAlign w:val="bottom"/>
          </w:tcPr>
          <w:p>
            <w:pPr>
              <w:spacing w:after="0"/>
              <w:rPr>
                <w:sz w:val="1"/>
                <w:szCs w:val="1"/>
                <w:color w:val="auto"/>
              </w:rPr>
            </w:pPr>
          </w:p>
        </w:tc>
      </w:tr>
      <w:tr>
        <w:trPr>
          <w:trHeight w:val="237"/>
        </w:trPr>
        <w:tc>
          <w:tcPr>
            <w:tcW w:w="4020" w:type="dxa"/>
            <w:vAlign w:val="bottom"/>
            <w:gridSpan w:val="2"/>
          </w:tcPr>
          <w:p>
            <w:pPr>
              <w:ind w:left="340"/>
              <w:spacing w:after="0"/>
              <w:rPr>
                <w:sz w:val="20"/>
                <w:szCs w:val="20"/>
                <w:color w:val="auto"/>
              </w:rPr>
            </w:pPr>
            <w:r>
              <w:rPr>
                <w:rFonts w:ascii="Arial" w:cs="Arial" w:eastAsia="Arial" w:hAnsi="Arial"/>
                <w:sz w:val="16"/>
                <w:szCs w:val="16"/>
                <w:color w:val="auto"/>
              </w:rPr>
              <w:t>Allocation of undistributed earnings</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162,299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58,270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27,324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9,495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303,801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102,697</w:t>
            </w:r>
          </w:p>
        </w:tc>
        <w:tc>
          <w:tcPr>
            <w:tcW w:w="0" w:type="dxa"/>
            <w:vAlign w:val="bottom"/>
          </w:tcPr>
          <w:p>
            <w:pPr>
              <w:spacing w:after="0"/>
              <w:rPr>
                <w:sz w:val="1"/>
                <w:szCs w:val="1"/>
                <w:color w:val="auto"/>
              </w:rPr>
            </w:pPr>
          </w:p>
        </w:tc>
      </w:tr>
      <w:tr>
        <w:trPr>
          <w:trHeight w:val="33"/>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Total earnings—basic</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529,380</w:t>
            </w:r>
          </w:p>
        </w:tc>
        <w:tc>
          <w:tcPr>
            <w:tcW w:w="460" w:type="dxa"/>
            <w:vAlign w:val="bottom"/>
            <w:tcBorders>
              <w:bottom w:val="single" w:sz="8" w:color="CCEEFF"/>
            </w:tcBorders>
            <w:gridSpan w:val="3"/>
            <w:shd w:val="clear" w:color="auto" w:fill="CCEEFF"/>
          </w:tcPr>
          <w:p>
            <w:pPr>
              <w:jc w:val="right"/>
              <w:ind w:right="68"/>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190,664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380,277</w:t>
            </w:r>
          </w:p>
        </w:tc>
        <w:tc>
          <w:tcPr>
            <w:tcW w:w="44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132,674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632,553</w:t>
            </w:r>
          </w:p>
        </w:tc>
        <w:tc>
          <w:tcPr>
            <w:tcW w:w="440" w:type="dxa"/>
            <w:vAlign w:val="bottom"/>
            <w:tcBorders>
              <w:bottom w:val="single" w:sz="8" w:color="CCEEFF"/>
            </w:tcBorders>
            <w:gridSpan w:val="3"/>
            <w:shd w:val="clear" w:color="auto" w:fill="CCEEFF"/>
          </w:tcPr>
          <w:p>
            <w:pPr>
              <w:jc w:val="right"/>
              <w:ind w:right="68"/>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214,359</w:t>
            </w:r>
          </w:p>
        </w:tc>
        <w:tc>
          <w:tcPr>
            <w:tcW w:w="0" w:type="dxa"/>
            <w:vAlign w:val="bottom"/>
          </w:tcPr>
          <w:p>
            <w:pPr>
              <w:spacing w:after="0"/>
              <w:rPr>
                <w:sz w:val="1"/>
                <w:szCs w:val="1"/>
                <w:color w:val="auto"/>
              </w:rPr>
            </w:pPr>
          </w:p>
        </w:tc>
      </w:tr>
      <w:tr>
        <w:trPr>
          <w:trHeight w:val="189"/>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Denominator (shares in thousands):</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20" w:type="dxa"/>
            <w:vAlign w:val="bottom"/>
            <w:gridSpan w:val="2"/>
          </w:tcPr>
          <w:p>
            <w:pPr>
              <w:ind w:left="280"/>
              <w:spacing w:after="0"/>
              <w:rPr>
                <w:sz w:val="20"/>
                <w:szCs w:val="20"/>
                <w:color w:val="auto"/>
              </w:rPr>
            </w:pPr>
            <w:r>
              <w:rPr>
                <w:rFonts w:ascii="Arial" w:cs="Arial" w:eastAsia="Arial" w:hAnsi="Arial"/>
                <w:sz w:val="16"/>
                <w:szCs w:val="16"/>
                <w:color w:val="auto"/>
              </w:rPr>
              <w:t>Total weighted-average shares—basic</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153,519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60,620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158,471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60,620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161,935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60,620</w:t>
            </w:r>
          </w:p>
        </w:tc>
        <w:tc>
          <w:tcPr>
            <w:tcW w:w="0" w:type="dxa"/>
            <w:vAlign w:val="bottom"/>
          </w:tcPr>
          <w:p>
            <w:pPr>
              <w:spacing w:after="0"/>
              <w:rPr>
                <w:sz w:val="1"/>
                <w:szCs w:val="1"/>
                <w:color w:val="auto"/>
              </w:rPr>
            </w:pPr>
          </w:p>
        </w:tc>
      </w:tr>
      <w:tr>
        <w:trPr>
          <w:trHeight w:val="33"/>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4020" w:type="dxa"/>
            <w:vAlign w:val="bottom"/>
            <w:gridSpan w:val="2"/>
          </w:tcPr>
          <w:p>
            <w:pPr>
              <w:ind w:left="40"/>
              <w:spacing w:after="0"/>
              <w:rPr>
                <w:sz w:val="20"/>
                <w:szCs w:val="20"/>
                <w:color w:val="auto"/>
              </w:rPr>
            </w:pPr>
            <w:r>
              <w:rPr>
                <w:rFonts w:ascii="Arial" w:cs="Arial" w:eastAsia="Arial" w:hAnsi="Arial"/>
                <w:sz w:val="16"/>
                <w:szCs w:val="16"/>
                <w:color w:val="auto"/>
              </w:rPr>
              <w:t>Earnings Per Share—basic</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3.45</w:t>
            </w:r>
          </w:p>
        </w:tc>
        <w:tc>
          <w:tcPr>
            <w:tcW w:w="460" w:type="dxa"/>
            <w:vAlign w:val="bottom"/>
            <w:gridSpan w:val="3"/>
          </w:tcPr>
          <w:p>
            <w:pPr>
              <w:jc w:val="right"/>
              <w:ind w:right="68"/>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3.15</w:t>
            </w:r>
          </w:p>
        </w:tc>
        <w:tc>
          <w:tcPr>
            <w:tcW w:w="120" w:type="dxa"/>
            <w:vAlign w:val="bottom"/>
          </w:tcPr>
          <w:p>
            <w:pPr>
              <w:spacing w:after="0"/>
              <w:rPr>
                <w:sz w:val="24"/>
                <w:szCs w:val="24"/>
                <w:color w:val="auto"/>
              </w:rPr>
            </w:pPr>
          </w:p>
        </w:tc>
        <w:tc>
          <w:tcPr>
            <w:tcW w:w="3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2.40</w:t>
            </w:r>
          </w:p>
        </w:tc>
        <w:tc>
          <w:tcPr>
            <w:tcW w:w="440" w:type="dxa"/>
            <w:vAlign w:val="bottom"/>
            <w:gridSpan w:val="3"/>
          </w:tcPr>
          <w:p>
            <w:pPr>
              <w:ind w:left="2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2.19</w:t>
            </w:r>
          </w:p>
        </w:tc>
        <w:tc>
          <w:tcPr>
            <w:tcW w:w="120" w:type="dxa"/>
            <w:vAlign w:val="bottom"/>
          </w:tcPr>
          <w:p>
            <w:pPr>
              <w:spacing w:after="0"/>
              <w:rPr>
                <w:sz w:val="24"/>
                <w:szCs w:val="24"/>
                <w:color w:val="auto"/>
              </w:rPr>
            </w:pP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3.91</w:t>
            </w:r>
          </w:p>
        </w:tc>
        <w:tc>
          <w:tcPr>
            <w:tcW w:w="440" w:type="dxa"/>
            <w:vAlign w:val="bottom"/>
            <w:gridSpan w:val="3"/>
          </w:tcPr>
          <w:p>
            <w:pPr>
              <w:jc w:val="right"/>
              <w:ind w:right="68"/>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3.54</w:t>
            </w:r>
          </w:p>
        </w:tc>
        <w:tc>
          <w:tcPr>
            <w:tcW w:w="0" w:type="dxa"/>
            <w:vAlign w:val="bottom"/>
          </w:tcPr>
          <w:p>
            <w:pPr>
              <w:spacing w:after="0"/>
              <w:rPr>
                <w:sz w:val="1"/>
                <w:szCs w:val="1"/>
                <w:color w:val="auto"/>
              </w:rPr>
            </w:pPr>
          </w:p>
        </w:tc>
      </w:tr>
      <w:tr>
        <w:trPr>
          <w:trHeight w:val="176"/>
        </w:trPr>
        <w:tc>
          <w:tcPr>
            <w:tcW w:w="39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020" w:type="dxa"/>
            <w:vAlign w:val="bottom"/>
            <w:gridSpan w:val="2"/>
          </w:tcPr>
          <w:p>
            <w:pPr>
              <w:ind w:left="40"/>
              <w:spacing w:after="0"/>
              <w:rPr>
                <w:sz w:val="20"/>
                <w:szCs w:val="20"/>
                <w:color w:val="auto"/>
              </w:rPr>
            </w:pPr>
            <w:r>
              <w:rPr>
                <w:rFonts w:ascii="Arial" w:cs="Arial" w:eastAsia="Arial" w:hAnsi="Arial"/>
                <w:sz w:val="16"/>
                <w:szCs w:val="16"/>
                <w:color w:val="auto"/>
              </w:rPr>
              <w:t>Diluted earnings per share:</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Numerator:</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20" w:type="dxa"/>
            <w:vAlign w:val="bottom"/>
            <w:gridSpan w:val="2"/>
          </w:tcPr>
          <w:p>
            <w:pPr>
              <w:ind w:left="280"/>
              <w:spacing w:after="0"/>
              <w:rPr>
                <w:sz w:val="20"/>
                <w:szCs w:val="20"/>
                <w:color w:val="auto"/>
              </w:rPr>
            </w:pPr>
            <w:r>
              <w:rPr>
                <w:rFonts w:ascii="Arial" w:cs="Arial" w:eastAsia="Arial" w:hAnsi="Arial"/>
                <w:sz w:val="16"/>
                <w:szCs w:val="16"/>
                <w:color w:val="auto"/>
                <w:w w:val="98"/>
              </w:rPr>
              <w:t>Allocation of total earnings used in basic computation</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529,380</w:t>
            </w:r>
          </w:p>
        </w:tc>
        <w:tc>
          <w:tcPr>
            <w:tcW w:w="460" w:type="dxa"/>
            <w:vAlign w:val="bottom"/>
            <w:gridSpan w:val="3"/>
          </w:tcPr>
          <w:p>
            <w:pPr>
              <w:jc w:val="right"/>
              <w:ind w:right="68"/>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190,664</w:t>
            </w:r>
          </w:p>
        </w:tc>
        <w:tc>
          <w:tcPr>
            <w:tcW w:w="120" w:type="dxa"/>
            <w:vAlign w:val="bottom"/>
          </w:tcPr>
          <w:p>
            <w:pPr>
              <w:spacing w:after="0"/>
              <w:rPr>
                <w:sz w:val="20"/>
                <w:szCs w:val="20"/>
                <w:color w:val="auto"/>
              </w:rPr>
            </w:pPr>
          </w:p>
        </w:tc>
        <w:tc>
          <w:tcPr>
            <w:tcW w:w="3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380,277</w:t>
            </w:r>
          </w:p>
        </w:tc>
        <w:tc>
          <w:tcPr>
            <w:tcW w:w="440" w:type="dxa"/>
            <w:vAlign w:val="bottom"/>
            <w:gridSpan w:val="3"/>
          </w:tcPr>
          <w:p>
            <w:pPr>
              <w:ind w:left="2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132,674</w:t>
            </w:r>
          </w:p>
        </w:tc>
        <w:tc>
          <w:tcPr>
            <w:tcW w:w="120" w:type="dxa"/>
            <w:vAlign w:val="bottom"/>
          </w:tcPr>
          <w:p>
            <w:pPr>
              <w:spacing w:after="0"/>
              <w:rPr>
                <w:sz w:val="20"/>
                <w:szCs w:val="20"/>
                <w:color w:val="auto"/>
              </w:rPr>
            </w:pP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632,553</w:t>
            </w:r>
          </w:p>
        </w:tc>
        <w:tc>
          <w:tcPr>
            <w:tcW w:w="440" w:type="dxa"/>
            <w:vAlign w:val="bottom"/>
            <w:gridSpan w:val="3"/>
          </w:tcPr>
          <w:p>
            <w:pPr>
              <w:jc w:val="right"/>
              <w:ind w:right="68"/>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214,359</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w w:val="96"/>
              </w:rPr>
              <w:t>Reallocation of total earnings as a result of conversion</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of Class B common stock to Common stock</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190,664</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132,674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214,359</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20" w:type="dxa"/>
            <w:vAlign w:val="bottom"/>
            <w:gridSpan w:val="2"/>
          </w:tcPr>
          <w:p>
            <w:pPr>
              <w:ind w:left="280"/>
              <w:spacing w:after="0"/>
              <w:rPr>
                <w:sz w:val="20"/>
                <w:szCs w:val="20"/>
                <w:color w:val="auto"/>
              </w:rPr>
            </w:pPr>
            <w:r>
              <w:rPr>
                <w:rFonts w:ascii="Arial" w:cs="Arial" w:eastAsia="Arial" w:hAnsi="Arial"/>
                <w:sz w:val="16"/>
                <w:szCs w:val="16"/>
                <w:color w:val="auto"/>
              </w:rPr>
              <w:t>Reallocation of undistributed earnings</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(1,071)</w:t>
            </w:r>
          </w:p>
        </w:tc>
        <w:tc>
          <w:tcPr>
            <w:tcW w:w="0" w:type="dxa"/>
            <w:vAlign w:val="bottom"/>
          </w:tcPr>
          <w:p>
            <w:pPr>
              <w:spacing w:after="0"/>
              <w:rPr>
                <w:sz w:val="1"/>
                <w:szCs w:val="1"/>
                <w:color w:val="auto"/>
              </w:rPr>
            </w:pPr>
          </w:p>
        </w:tc>
      </w:tr>
      <w:tr>
        <w:trPr>
          <w:trHeight w:val="33"/>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Total earnings—diluted</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720,044</w:t>
            </w:r>
          </w:p>
        </w:tc>
        <w:tc>
          <w:tcPr>
            <w:tcW w:w="460" w:type="dxa"/>
            <w:vAlign w:val="bottom"/>
            <w:tcBorders>
              <w:bottom w:val="single" w:sz="8" w:color="CCEEFF"/>
            </w:tcBorders>
            <w:gridSpan w:val="3"/>
            <w:shd w:val="clear" w:color="auto" w:fill="CCEEFF"/>
          </w:tcPr>
          <w:p>
            <w:pPr>
              <w:jc w:val="right"/>
              <w:ind w:right="68"/>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190,340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512,951</w:t>
            </w:r>
          </w:p>
        </w:tc>
        <w:tc>
          <w:tcPr>
            <w:tcW w:w="44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132,605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846,912</w:t>
            </w:r>
          </w:p>
        </w:tc>
        <w:tc>
          <w:tcPr>
            <w:tcW w:w="440" w:type="dxa"/>
            <w:vAlign w:val="bottom"/>
            <w:tcBorders>
              <w:bottom w:val="single" w:sz="8" w:color="CCEEFF"/>
            </w:tcBorders>
            <w:gridSpan w:val="3"/>
            <w:shd w:val="clear" w:color="auto" w:fill="CCEEFF"/>
          </w:tcPr>
          <w:p>
            <w:pPr>
              <w:jc w:val="right"/>
              <w:ind w:right="68"/>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213,288</w:t>
            </w:r>
          </w:p>
        </w:tc>
        <w:tc>
          <w:tcPr>
            <w:tcW w:w="0" w:type="dxa"/>
            <w:vAlign w:val="bottom"/>
          </w:tcPr>
          <w:p>
            <w:pPr>
              <w:spacing w:after="0"/>
              <w:rPr>
                <w:sz w:val="1"/>
                <w:szCs w:val="1"/>
                <w:color w:val="auto"/>
              </w:rPr>
            </w:pPr>
          </w:p>
        </w:tc>
      </w:tr>
      <w:tr>
        <w:trPr>
          <w:trHeight w:val="189"/>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Denominator (shares in thousands):</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20" w:type="dxa"/>
            <w:vAlign w:val="bottom"/>
            <w:gridSpan w:val="2"/>
          </w:tcPr>
          <w:p>
            <w:pPr>
              <w:ind w:left="280"/>
              <w:spacing w:after="0"/>
              <w:rPr>
                <w:sz w:val="20"/>
                <w:szCs w:val="20"/>
                <w:color w:val="auto"/>
              </w:rPr>
            </w:pPr>
            <w:r>
              <w:rPr>
                <w:rFonts w:ascii="Arial" w:cs="Arial" w:eastAsia="Arial" w:hAnsi="Arial"/>
                <w:sz w:val="16"/>
                <w:szCs w:val="16"/>
                <w:color w:val="auto"/>
              </w:rPr>
              <w:t>Number of shares used in basic computation</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153,519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60,620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158,471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60,620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161,935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60,620</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Weighted-average effect of dilutive securities:</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020" w:type="dxa"/>
            <w:vAlign w:val="bottom"/>
            <w:gridSpan w:val="2"/>
          </w:tcPr>
          <w:p>
            <w:pPr>
              <w:ind w:left="380"/>
              <w:spacing w:after="0"/>
              <w:rPr>
                <w:sz w:val="20"/>
                <w:szCs w:val="20"/>
                <w:color w:val="auto"/>
              </w:rPr>
            </w:pPr>
            <w:r>
              <w:rPr>
                <w:rFonts w:ascii="Arial" w:cs="Arial" w:eastAsia="Arial" w:hAnsi="Arial"/>
                <w:sz w:val="16"/>
                <w:szCs w:val="16"/>
                <w:color w:val="auto"/>
              </w:rPr>
              <w:t>Conversion of Class B common stock to Common</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20" w:type="dxa"/>
            <w:vAlign w:val="bottom"/>
            <w:gridSpan w:val="2"/>
          </w:tcPr>
          <w:p>
            <w:pPr>
              <w:ind w:left="380"/>
              <w:spacing w:after="0"/>
              <w:rPr>
                <w:sz w:val="20"/>
                <w:szCs w:val="20"/>
                <w:color w:val="auto"/>
              </w:rPr>
            </w:pPr>
            <w:r>
              <w:rPr>
                <w:rFonts w:ascii="Arial" w:cs="Arial" w:eastAsia="Arial" w:hAnsi="Arial"/>
                <w:sz w:val="16"/>
                <w:szCs w:val="16"/>
                <w:color w:val="auto"/>
              </w:rPr>
              <w:t>shares outstanding</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60,620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60,620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60,620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Employee stock options</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20" w:type="dxa"/>
            <w:vAlign w:val="bottom"/>
            <w:gridSpan w:val="2"/>
          </w:tcPr>
          <w:p>
            <w:pPr>
              <w:ind w:left="380"/>
              <w:spacing w:after="0"/>
              <w:rPr>
                <w:sz w:val="20"/>
                <w:szCs w:val="20"/>
                <w:color w:val="auto"/>
              </w:rPr>
            </w:pPr>
            <w:r>
              <w:rPr>
                <w:rFonts w:ascii="Arial" w:cs="Arial" w:eastAsia="Arial" w:hAnsi="Arial"/>
                <w:sz w:val="16"/>
                <w:szCs w:val="16"/>
                <w:color w:val="auto"/>
              </w:rPr>
              <w:t>Performance and restricted stock options</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362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Total weighted-average shares—diluted</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215,304</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60,620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220,651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60,620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224,837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60,620</w:t>
            </w:r>
          </w:p>
        </w:tc>
        <w:tc>
          <w:tcPr>
            <w:tcW w:w="0" w:type="dxa"/>
            <w:vAlign w:val="bottom"/>
          </w:tcPr>
          <w:p>
            <w:pPr>
              <w:spacing w:after="0"/>
              <w:rPr>
                <w:sz w:val="1"/>
                <w:szCs w:val="1"/>
                <w:color w:val="auto"/>
              </w:rPr>
            </w:pPr>
          </w:p>
        </w:tc>
      </w:tr>
      <w:tr>
        <w:trPr>
          <w:trHeight w:val="189"/>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Earnings Per Share—diluted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w:t>
            </w:r>
          </w:p>
        </w:tc>
        <w:tc>
          <w:tcPr>
            <w:tcW w:w="460" w:type="dxa"/>
            <w:vAlign w:val="bottom"/>
            <w:gridSpan w:val="3"/>
            <w:shd w:val="clear" w:color="auto" w:fill="CCEEFF"/>
          </w:tcPr>
          <w:p>
            <w:pPr>
              <w:jc w:val="right"/>
              <w:ind w:right="68"/>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3.14</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44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2.19</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440" w:type="dxa"/>
            <w:vAlign w:val="bottom"/>
            <w:gridSpan w:val="3"/>
            <w:shd w:val="clear" w:color="auto" w:fill="CCEEFF"/>
          </w:tcPr>
          <w:p>
            <w:pPr>
              <w:jc w:val="right"/>
              <w:ind w:right="68"/>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3.52</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earnings per share calculations for the years ended December 31, 2016, 2015 and 2014 excluded 3,680, 2,660 and 1,510 stock options, respectively, that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15" w:right="239" w:bottom="1440" w:gutter="0" w:footer="0" w:header="0"/>
        </w:sectPr>
      </w:pPr>
    </w:p>
    <w:bookmarkStart w:id="91" w:name="page92"/>
    <w:bookmarkEnd w:id="91"/>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OTHER (INCOME) EXPENSE, NET</w:t>
      </w:r>
    </w:p>
    <w:p>
      <w:pPr>
        <w:spacing w:after="0" w:line="94"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Other (income) expense, net reports certain gains and losses associated with activities not directly related to our core operations. A summary of the components of other (income) expense, net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For the years ended December 31,</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Write-down of equity investments in partnerships qualifying for tax credits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43,482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39,489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Settlement of SGM liability (see Note 2)</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(26,650)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loss relating to strategy to cap SGM acquisition price as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denominated in U.S. dollars</w:t>
            </w: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6,722</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Gain on acquisition of controlling interest in LSFC</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(4,627)</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Gain on sale of non-core trademark</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Other (income) expense, net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16,159</w:t>
            </w:r>
          </w:p>
        </w:tc>
        <w:tc>
          <w:tcPr>
            <w:tcW w:w="10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30,139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2,686</w:t>
            </w:r>
          </w:p>
        </w:tc>
        <w:tc>
          <w:tcPr>
            <w:tcW w:w="0" w:type="dxa"/>
            <w:vAlign w:val="bottom"/>
          </w:tcPr>
          <w:p>
            <w:pPr>
              <w:spacing w:after="0"/>
              <w:rPr>
                <w:sz w:val="1"/>
                <w:szCs w:val="1"/>
                <w:color w:val="auto"/>
              </w:rPr>
            </w:pPr>
          </w:p>
        </w:tc>
      </w:tr>
      <w:tr>
        <w:trPr>
          <w:trHeight w:val="20"/>
        </w:trPr>
        <w:tc>
          <w:tcPr>
            <w:tcW w:w="6640" w:type="dxa"/>
            <w:vAlign w:val="bottom"/>
            <w:vMerge w:val="restart"/>
          </w:tcPr>
          <w:p>
            <w:pPr>
              <w:ind w:left="562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66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6" w:right="239" w:bottom="1440" w:gutter="0" w:footer="0" w:header="0"/>
        </w:sectPr>
      </w:pPr>
    </w:p>
    <w:bookmarkStart w:id="92" w:name="page93"/>
    <w:bookmarkEnd w:id="92"/>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SUPPLEMENTAL BALANCE SHEET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certain Consolidated Balance Sheet accounts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77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71"/>
              <w:spacing w:after="0"/>
              <w:rPr>
                <w:sz w:val="20"/>
                <w:szCs w:val="20"/>
                <w:color w:val="auto"/>
              </w:rPr>
            </w:pPr>
            <w:r>
              <w:rPr>
                <w:rFonts w:ascii="Arial" w:cs="Arial" w:eastAsia="Arial" w:hAnsi="Arial"/>
                <w:sz w:val="14"/>
                <w:szCs w:val="14"/>
                <w:b w:val="1"/>
                <w:bCs w:val="1"/>
                <w:color w:val="auto"/>
              </w:rPr>
              <w:t>2015</w:t>
            </w: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Inventories:</w:t>
            </w:r>
          </w:p>
        </w:tc>
        <w:tc>
          <w:tcPr>
            <w:tcW w:w="5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gridSpan w:val="2"/>
          </w:tcPr>
          <w:p>
            <w:pPr>
              <w:ind w:left="180"/>
              <w:spacing w:after="0"/>
              <w:rPr>
                <w:sz w:val="20"/>
                <w:szCs w:val="20"/>
                <w:color w:val="auto"/>
              </w:rPr>
            </w:pPr>
            <w:r>
              <w:rPr>
                <w:rFonts w:ascii="Arial" w:cs="Arial" w:eastAsia="Arial" w:hAnsi="Arial"/>
                <w:sz w:val="18"/>
                <w:szCs w:val="18"/>
                <w:color w:val="auto"/>
              </w:rPr>
              <w:t>Raw materials</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315,239</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353,451</w:t>
            </w: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Goods in process</w:t>
            </w:r>
          </w:p>
        </w:tc>
        <w:tc>
          <w:tcPr>
            <w:tcW w:w="5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88,490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67,745</w:t>
            </w:r>
          </w:p>
        </w:tc>
      </w:tr>
      <w:tr>
        <w:trPr>
          <w:trHeight w:val="243"/>
        </w:trPr>
        <w:tc>
          <w:tcPr>
            <w:tcW w:w="7200" w:type="dxa"/>
            <w:vAlign w:val="bottom"/>
            <w:gridSpan w:val="2"/>
          </w:tcPr>
          <w:p>
            <w:pPr>
              <w:ind w:left="180"/>
              <w:spacing w:after="0"/>
              <w:rPr>
                <w:sz w:val="20"/>
                <w:szCs w:val="20"/>
                <w:color w:val="auto"/>
              </w:rPr>
            </w:pPr>
            <w:r>
              <w:rPr>
                <w:rFonts w:ascii="Arial" w:cs="Arial" w:eastAsia="Arial" w:hAnsi="Arial"/>
                <w:sz w:val="18"/>
                <w:szCs w:val="18"/>
                <w:color w:val="auto"/>
              </w:rPr>
              <w:t>Finished goods</w:t>
            </w:r>
          </w:p>
        </w:tc>
        <w:tc>
          <w:tcPr>
            <w:tcW w:w="52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528,587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534,983</w:t>
            </w:r>
          </w:p>
        </w:tc>
      </w:tr>
      <w:tr>
        <w:trPr>
          <w:trHeight w:val="27"/>
        </w:trPr>
        <w:tc>
          <w:tcPr>
            <w:tcW w:w="7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Inventories at FIFO</w:t>
            </w:r>
          </w:p>
        </w:tc>
        <w:tc>
          <w:tcPr>
            <w:tcW w:w="5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932,316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956,179</w:t>
            </w:r>
          </w:p>
        </w:tc>
      </w:tr>
      <w:tr>
        <w:trPr>
          <w:trHeight w:val="243"/>
        </w:trPr>
        <w:tc>
          <w:tcPr>
            <w:tcW w:w="7200" w:type="dxa"/>
            <w:vAlign w:val="bottom"/>
            <w:gridSpan w:val="2"/>
          </w:tcPr>
          <w:p>
            <w:pPr>
              <w:ind w:left="180"/>
              <w:spacing w:after="0"/>
              <w:rPr>
                <w:sz w:val="20"/>
                <w:szCs w:val="20"/>
                <w:color w:val="auto"/>
              </w:rPr>
            </w:pPr>
            <w:r>
              <w:rPr>
                <w:rFonts w:ascii="Arial" w:cs="Arial" w:eastAsia="Arial" w:hAnsi="Arial"/>
                <w:sz w:val="18"/>
                <w:szCs w:val="18"/>
                <w:color w:val="auto"/>
              </w:rPr>
              <w:t>Adjustment to LIFO</w:t>
            </w:r>
          </w:p>
        </w:tc>
        <w:tc>
          <w:tcPr>
            <w:tcW w:w="5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(186,638)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(205,209)</w:t>
            </w:r>
          </w:p>
        </w:tc>
      </w:tr>
      <w:tr>
        <w:trPr>
          <w:trHeight w:val="27"/>
        </w:trPr>
        <w:tc>
          <w:tcPr>
            <w:tcW w:w="7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inventories</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745,678</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750,970</w:t>
            </w:r>
          </w:p>
        </w:tc>
      </w:tr>
      <w:tr>
        <w:trPr>
          <w:trHeight w:val="20"/>
        </w:trPr>
        <w:tc>
          <w:tcPr>
            <w:tcW w:w="7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17"/>
        </w:trPr>
        <w:tc>
          <w:tcPr>
            <w:tcW w:w="7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Property, plant and equipment:</w:t>
            </w:r>
          </w:p>
        </w:tc>
        <w:tc>
          <w:tcPr>
            <w:tcW w:w="5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57"/>
        </w:trPr>
        <w:tc>
          <w:tcPr>
            <w:tcW w:w="7200" w:type="dxa"/>
            <w:vAlign w:val="bottom"/>
            <w:gridSpan w:val="2"/>
          </w:tcPr>
          <w:p>
            <w:pPr>
              <w:ind w:left="180"/>
              <w:spacing w:after="0"/>
              <w:rPr>
                <w:sz w:val="20"/>
                <w:szCs w:val="20"/>
                <w:color w:val="auto"/>
              </w:rPr>
            </w:pPr>
            <w:r>
              <w:rPr>
                <w:rFonts w:ascii="Arial" w:cs="Arial" w:eastAsia="Arial" w:hAnsi="Arial"/>
                <w:sz w:val="18"/>
                <w:szCs w:val="18"/>
                <w:color w:val="auto"/>
              </w:rPr>
              <w:t>Land</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103,865</w:t>
            </w:r>
          </w:p>
        </w:tc>
        <w:tc>
          <w:tcPr>
            <w:tcW w:w="100" w:type="dxa"/>
            <w:vAlign w:val="bottom"/>
          </w:tcPr>
          <w:p>
            <w:pPr>
              <w:spacing w:after="0"/>
              <w:rPr>
                <w:sz w:val="22"/>
                <w:szCs w:val="22"/>
                <w:color w:val="auto"/>
              </w:rPr>
            </w:pP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96,666</w:t>
            </w: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Buildings</w:t>
            </w:r>
          </w:p>
        </w:tc>
        <w:tc>
          <w:tcPr>
            <w:tcW w:w="5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1,238,634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1,084,958</w:t>
            </w:r>
          </w:p>
        </w:tc>
      </w:tr>
      <w:tr>
        <w:trPr>
          <w:trHeight w:val="243"/>
        </w:trPr>
        <w:tc>
          <w:tcPr>
            <w:tcW w:w="7200" w:type="dxa"/>
            <w:vAlign w:val="bottom"/>
            <w:gridSpan w:val="2"/>
          </w:tcPr>
          <w:p>
            <w:pPr>
              <w:ind w:left="180"/>
              <w:spacing w:after="0"/>
              <w:rPr>
                <w:sz w:val="20"/>
                <w:szCs w:val="20"/>
                <w:color w:val="auto"/>
              </w:rPr>
            </w:pPr>
            <w:r>
              <w:rPr>
                <w:rFonts w:ascii="Arial" w:cs="Arial" w:eastAsia="Arial" w:hAnsi="Arial"/>
                <w:sz w:val="18"/>
                <w:szCs w:val="18"/>
                <w:color w:val="auto"/>
              </w:rPr>
              <w:t>Machinery and equipment</w:t>
            </w:r>
          </w:p>
        </w:tc>
        <w:tc>
          <w:tcPr>
            <w:tcW w:w="52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3,001,552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2,886,723</w:t>
            </w: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Construction in progress</w:t>
            </w:r>
          </w:p>
        </w:tc>
        <w:tc>
          <w:tcPr>
            <w:tcW w:w="5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230,987</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448,956</w:t>
            </w:r>
          </w:p>
        </w:tc>
      </w:tr>
      <w:tr>
        <w:trPr>
          <w:trHeight w:val="237"/>
        </w:trPr>
        <w:tc>
          <w:tcPr>
            <w:tcW w:w="7200" w:type="dxa"/>
            <w:vAlign w:val="bottom"/>
            <w:gridSpan w:val="2"/>
          </w:tcPr>
          <w:p>
            <w:pPr>
              <w:ind w:left="180"/>
              <w:spacing w:after="0"/>
              <w:rPr>
                <w:sz w:val="20"/>
                <w:szCs w:val="20"/>
                <w:color w:val="auto"/>
              </w:rPr>
            </w:pPr>
            <w:r>
              <w:rPr>
                <w:rFonts w:ascii="Arial" w:cs="Arial" w:eastAsia="Arial" w:hAnsi="Arial"/>
                <w:sz w:val="18"/>
                <w:szCs w:val="18"/>
                <w:color w:val="auto"/>
              </w:rPr>
              <w:t>Property, plant and equipment, gross</w:t>
            </w:r>
          </w:p>
        </w:tc>
        <w:tc>
          <w:tcPr>
            <w:tcW w:w="5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4,575,038</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4,517,303</w:t>
            </w: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Accumulated depreciation</w:t>
            </w:r>
          </w:p>
        </w:tc>
        <w:tc>
          <w:tcPr>
            <w:tcW w:w="5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(2,397,790)</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(2,276,843)</w:t>
            </w:r>
          </w:p>
        </w:tc>
      </w:tr>
      <w:tr>
        <w:trPr>
          <w:trHeight w:val="311"/>
        </w:trPr>
        <w:tc>
          <w:tcPr>
            <w:tcW w:w="72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Property, plant and equipment, net</w:t>
            </w: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2,177,248</w:t>
            </w:r>
          </w:p>
        </w:tc>
        <w:tc>
          <w:tcPr>
            <w:tcW w:w="10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2,240,460</w:t>
            </w:r>
          </w:p>
        </w:tc>
      </w:tr>
      <w:tr>
        <w:trPr>
          <w:trHeight w:val="217"/>
        </w:trPr>
        <w:tc>
          <w:tcPr>
            <w:tcW w:w="7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assets:</w:t>
            </w:r>
          </w:p>
        </w:tc>
        <w:tc>
          <w:tcPr>
            <w:tcW w:w="5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64"/>
        </w:trPr>
        <w:tc>
          <w:tcPr>
            <w:tcW w:w="7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Capitalized software, net</w:t>
            </w:r>
          </w:p>
        </w:tc>
        <w:tc>
          <w:tcPr>
            <w:tcW w:w="5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95,301</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68,004</w:t>
            </w:r>
          </w:p>
        </w:tc>
      </w:tr>
      <w:tr>
        <w:trPr>
          <w:trHeight w:val="243"/>
        </w:trPr>
        <w:tc>
          <w:tcPr>
            <w:tcW w:w="7200" w:type="dxa"/>
            <w:vAlign w:val="bottom"/>
            <w:gridSpan w:val="2"/>
          </w:tcPr>
          <w:p>
            <w:pPr>
              <w:ind w:left="180"/>
              <w:spacing w:after="0"/>
              <w:rPr>
                <w:sz w:val="20"/>
                <w:szCs w:val="20"/>
                <w:color w:val="auto"/>
              </w:rPr>
            </w:pPr>
            <w:r>
              <w:rPr>
                <w:rFonts w:ascii="Arial" w:cs="Arial" w:eastAsia="Arial" w:hAnsi="Arial"/>
                <w:sz w:val="18"/>
                <w:szCs w:val="18"/>
                <w:color w:val="auto"/>
              </w:rPr>
              <w:t>Income tax receivable</w:t>
            </w:r>
          </w:p>
        </w:tc>
        <w:tc>
          <w:tcPr>
            <w:tcW w:w="52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1,449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1,428</w:t>
            </w: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non-current assets</w:t>
            </w:r>
          </w:p>
        </w:tc>
        <w:tc>
          <w:tcPr>
            <w:tcW w:w="5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71,615</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85,934</w:t>
            </w:r>
          </w:p>
        </w:tc>
      </w:tr>
      <w:tr>
        <w:trPr>
          <w:trHeight w:val="297"/>
        </w:trPr>
        <w:tc>
          <w:tcPr>
            <w:tcW w:w="72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 other assets</w:t>
            </w: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168,365</w:t>
            </w:r>
          </w:p>
        </w:tc>
        <w:tc>
          <w:tcPr>
            <w:tcW w:w="10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155,366</w:t>
            </w:r>
          </w:p>
        </w:tc>
      </w:tr>
      <w:tr>
        <w:trPr>
          <w:trHeight w:val="217"/>
        </w:trPr>
        <w:tc>
          <w:tcPr>
            <w:tcW w:w="7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b w:val="1"/>
                <w:bCs w:val="1"/>
                <w:color w:val="auto"/>
              </w:rPr>
              <w:t>Accrued liabilities:</w:t>
            </w:r>
          </w:p>
        </w:tc>
        <w:tc>
          <w:tcPr>
            <w:tcW w:w="5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Payroll, compensation and benefits</w:t>
            </w: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240,080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215,638</w:t>
            </w:r>
          </w:p>
        </w:tc>
      </w:tr>
      <w:tr>
        <w:trPr>
          <w:trHeight w:val="243"/>
        </w:trPr>
        <w:tc>
          <w:tcPr>
            <w:tcW w:w="7200" w:type="dxa"/>
            <w:vAlign w:val="bottom"/>
            <w:gridSpan w:val="2"/>
          </w:tcPr>
          <w:p>
            <w:pPr>
              <w:ind w:left="180"/>
              <w:spacing w:after="0"/>
              <w:rPr>
                <w:sz w:val="20"/>
                <w:szCs w:val="20"/>
                <w:color w:val="auto"/>
              </w:rPr>
            </w:pPr>
            <w:r>
              <w:rPr>
                <w:rFonts w:ascii="Arial" w:cs="Arial" w:eastAsia="Arial" w:hAnsi="Arial"/>
                <w:sz w:val="18"/>
                <w:szCs w:val="18"/>
                <w:color w:val="auto"/>
              </w:rPr>
              <w:t>Advertising and promotion</w:t>
            </w:r>
          </w:p>
        </w:tc>
        <w:tc>
          <w:tcPr>
            <w:tcW w:w="52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358,573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337,945</w:t>
            </w: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Due to SGM shareholders</w:t>
            </w:r>
          </w:p>
        </w:tc>
        <w:tc>
          <w:tcPr>
            <w:tcW w:w="5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72,025</w:t>
            </w:r>
          </w:p>
        </w:tc>
      </w:tr>
      <w:tr>
        <w:trPr>
          <w:trHeight w:val="243"/>
        </w:trPr>
        <w:tc>
          <w:tcPr>
            <w:tcW w:w="720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52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152,333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231,359</w:t>
            </w:r>
          </w:p>
        </w:tc>
      </w:tr>
      <w:tr>
        <w:trPr>
          <w:trHeight w:val="27"/>
        </w:trPr>
        <w:tc>
          <w:tcPr>
            <w:tcW w:w="7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accrued liabilities</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750,986</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856,967</w:t>
            </w:r>
          </w:p>
        </w:tc>
      </w:tr>
      <w:tr>
        <w:trPr>
          <w:trHeight w:val="20"/>
        </w:trPr>
        <w:tc>
          <w:tcPr>
            <w:tcW w:w="7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17"/>
        </w:trPr>
        <w:tc>
          <w:tcPr>
            <w:tcW w:w="7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long-term liabilities:</w:t>
            </w:r>
          </w:p>
        </w:tc>
        <w:tc>
          <w:tcPr>
            <w:tcW w:w="5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gridSpan w:val="2"/>
          </w:tcPr>
          <w:p>
            <w:pPr>
              <w:ind w:left="180"/>
              <w:spacing w:after="0"/>
              <w:rPr>
                <w:sz w:val="20"/>
                <w:szCs w:val="20"/>
                <w:color w:val="auto"/>
              </w:rPr>
            </w:pPr>
            <w:r>
              <w:rPr>
                <w:rFonts w:ascii="Arial" w:cs="Arial" w:eastAsia="Arial" w:hAnsi="Arial"/>
                <w:sz w:val="18"/>
                <w:szCs w:val="18"/>
                <w:color w:val="auto"/>
              </w:rPr>
              <w:t>Post-retirement benefits liabilities</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220,270</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231,412</w:t>
            </w: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Pension benefits liabilities</w:t>
            </w:r>
          </w:p>
        </w:tc>
        <w:tc>
          <w:tcPr>
            <w:tcW w:w="5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65,687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122,681</w:t>
            </w:r>
          </w:p>
        </w:tc>
      </w:tr>
      <w:tr>
        <w:trPr>
          <w:trHeight w:val="243"/>
        </w:trPr>
        <w:tc>
          <w:tcPr>
            <w:tcW w:w="720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52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114,204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114,625</w:t>
            </w:r>
          </w:p>
        </w:tc>
      </w:tr>
      <w:tr>
        <w:trPr>
          <w:trHeight w:val="27"/>
        </w:trPr>
        <w:tc>
          <w:tcPr>
            <w:tcW w:w="7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other long-term liabilities</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400,161</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468,718</w:t>
            </w:r>
          </w:p>
        </w:tc>
      </w:tr>
      <w:tr>
        <w:trPr>
          <w:trHeight w:val="20"/>
        </w:trPr>
        <w:tc>
          <w:tcPr>
            <w:tcW w:w="7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17"/>
        </w:trPr>
        <w:tc>
          <w:tcPr>
            <w:tcW w:w="7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Accumulated other comprehensive loss:</w:t>
            </w:r>
          </w:p>
        </w:tc>
        <w:tc>
          <w:tcPr>
            <w:tcW w:w="5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gridSpan w:val="2"/>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(110,613)</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(101,236)</w:t>
            </w: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Pension and post-retirement benefit plans, net of tax</w:t>
            </w:r>
          </w:p>
        </w:tc>
        <w:tc>
          <w:tcPr>
            <w:tcW w:w="5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(207,169)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(254,648)</w:t>
            </w:r>
          </w:p>
        </w:tc>
      </w:tr>
      <w:tr>
        <w:trPr>
          <w:trHeight w:val="243"/>
        </w:trPr>
        <w:tc>
          <w:tcPr>
            <w:tcW w:w="7200" w:type="dxa"/>
            <w:vAlign w:val="bottom"/>
            <w:gridSpan w:val="2"/>
          </w:tcPr>
          <w:p>
            <w:pPr>
              <w:ind w:left="180"/>
              <w:spacing w:after="0"/>
              <w:rPr>
                <w:sz w:val="20"/>
                <w:szCs w:val="20"/>
                <w:color w:val="auto"/>
              </w:rPr>
            </w:pPr>
            <w:r>
              <w:rPr>
                <w:rFonts w:ascii="Arial" w:cs="Arial" w:eastAsia="Arial" w:hAnsi="Arial"/>
                <w:sz w:val="18"/>
                <w:szCs w:val="18"/>
                <w:color w:val="auto"/>
              </w:rPr>
              <w:t>Cash flow hedges, net of tax</w:t>
            </w:r>
          </w:p>
        </w:tc>
        <w:tc>
          <w:tcPr>
            <w:tcW w:w="5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(58,106)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(15,141)</w:t>
            </w:r>
          </w:p>
        </w:tc>
      </w:tr>
      <w:tr>
        <w:trPr>
          <w:trHeight w:val="27"/>
        </w:trPr>
        <w:tc>
          <w:tcPr>
            <w:tcW w:w="7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accumulated other comprehensive loss</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(375,888)</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(371,025)</w:t>
            </w:r>
          </w:p>
        </w:tc>
      </w:tr>
      <w:tr>
        <w:trPr>
          <w:trHeight w:val="20"/>
        </w:trPr>
        <w:tc>
          <w:tcPr>
            <w:tcW w:w="7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00"/>
          </w:cols>
          <w:pgMar w:left="240" w:top="115" w:right="359" w:bottom="1440" w:gutter="0" w:footer="0" w:header="0"/>
        </w:sectPr>
      </w:pPr>
    </w:p>
    <w:p>
      <w:pPr>
        <w:spacing w:after="0" w:line="2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300"/>
          </w:cols>
          <w:pgMar w:left="240" w:top="115" w:right="359" w:bottom="1440" w:gutter="0" w:footer="0" w:header="0"/>
          <w:type w:val="continuous"/>
        </w:sectPr>
      </w:pPr>
    </w:p>
    <w:bookmarkStart w:id="93" w:name="page94"/>
    <w:bookmarkEnd w:id="93"/>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QUARTERLY DATA (Unaudited)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Summary quarterly results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 2016</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First</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Second</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Third</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Fourth</w:t>
            </w:r>
          </w:p>
        </w:tc>
      </w:tr>
      <w:tr>
        <w:trPr>
          <w:trHeight w:val="250"/>
        </w:trPr>
        <w:tc>
          <w:tcPr>
            <w:tcW w:w="4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1,828,812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1,637,671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2,003,454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1,970,244</w:t>
            </w:r>
          </w:p>
        </w:tc>
      </w:tr>
      <w:tr>
        <w:trPr>
          <w:trHeight w:val="243"/>
        </w:trPr>
        <w:tc>
          <w:tcPr>
            <w:tcW w:w="466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3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817,376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747,398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850,848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742,269</w:t>
            </w:r>
          </w:p>
        </w:tc>
      </w:tr>
      <w:tr>
        <w:trPr>
          <w:trHeight w:val="27"/>
        </w:trPr>
        <w:tc>
          <w:tcPr>
            <w:tcW w:w="4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229,832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145,956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227,403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116,853</w:t>
            </w:r>
          </w:p>
        </w:tc>
      </w:tr>
      <w:tr>
        <w:trPr>
          <w:trHeight w:val="243"/>
        </w:trPr>
        <w:tc>
          <w:tcPr>
            <w:tcW w:w="4660" w:type="dxa"/>
            <w:vAlign w:val="bottom"/>
            <w:gridSpan w:val="2"/>
          </w:tcPr>
          <w:p>
            <w:pPr>
              <w:ind w:left="40"/>
              <w:spacing w:after="0"/>
              <w:rPr>
                <w:sz w:val="20"/>
                <w:szCs w:val="20"/>
                <w:color w:val="auto"/>
              </w:rPr>
            </w:pPr>
            <w:r>
              <w:rPr>
                <w:rFonts w:ascii="Arial" w:cs="Arial" w:eastAsia="Arial" w:hAnsi="Arial"/>
                <w:sz w:val="18"/>
                <w:szCs w:val="18"/>
                <w:color w:val="auto"/>
              </w:rPr>
              <w:t>Common stock:</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660" w:type="dxa"/>
            <w:vAlign w:val="bottom"/>
            <w:gridSpan w:val="2"/>
            <w:shd w:val="clear" w:color="auto" w:fill="CCEEFF"/>
          </w:tcPr>
          <w:p>
            <w:pPr>
              <w:ind w:left="360"/>
              <w:spacing w:after="0" w:line="270" w:lineRule="exact"/>
              <w:rPr>
                <w:sz w:val="20"/>
                <w:szCs w:val="20"/>
                <w:color w:val="auto"/>
              </w:rPr>
            </w:pPr>
            <w:r>
              <w:rPr>
                <w:rFonts w:ascii="Arial" w:cs="Arial" w:eastAsia="Arial" w:hAnsi="Arial"/>
                <w:sz w:val="18"/>
                <w:szCs w:val="18"/>
                <w:color w:val="auto"/>
              </w:rPr>
              <w:t>Net income per share—Basic</w:t>
            </w:r>
            <w:r>
              <w:rPr>
                <w:rFonts w:ascii="Arial" w:cs="Arial" w:eastAsia="Arial" w:hAnsi="Arial"/>
                <w:sz w:val="25"/>
                <w:szCs w:val="25"/>
                <w:color w:val="auto"/>
                <w:vertAlign w:val="superscript"/>
              </w:rPr>
              <w:t>(a)</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0.70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0.56</w:t>
            </w:r>
          </w:p>
        </w:tc>
      </w:tr>
      <w:tr>
        <w:trPr>
          <w:trHeight w:val="270"/>
        </w:trPr>
        <w:tc>
          <w:tcPr>
            <w:tcW w:w="4660" w:type="dxa"/>
            <w:vAlign w:val="bottom"/>
            <w:gridSpan w:val="2"/>
          </w:tcPr>
          <w:p>
            <w:pPr>
              <w:ind w:left="360"/>
              <w:spacing w:after="0" w:line="270" w:lineRule="exact"/>
              <w:rPr>
                <w:sz w:val="20"/>
                <w:szCs w:val="20"/>
                <w:color w:val="auto"/>
              </w:rPr>
            </w:pPr>
            <w:r>
              <w:rPr>
                <w:rFonts w:ascii="Arial" w:cs="Arial" w:eastAsia="Arial" w:hAnsi="Arial"/>
                <w:sz w:val="18"/>
                <w:szCs w:val="18"/>
                <w:color w:val="auto"/>
              </w:rPr>
              <w:t>Net income per share—Diluted</w:t>
            </w:r>
            <w:r>
              <w:rPr>
                <w:rFonts w:ascii="Arial" w:cs="Arial" w:eastAsia="Arial" w:hAnsi="Arial"/>
                <w:sz w:val="25"/>
                <w:szCs w:val="25"/>
                <w:color w:val="auto"/>
                <w:vertAlign w:val="superscript"/>
              </w:rPr>
              <w:t>(a)</w:t>
            </w:r>
          </w:p>
        </w:tc>
        <w:tc>
          <w:tcPr>
            <w:tcW w:w="380" w:type="dxa"/>
            <w:vAlign w:val="bottom"/>
          </w:tcPr>
          <w:p>
            <w:pPr>
              <w:spacing w:after="0"/>
              <w:rPr>
                <w:sz w:val="23"/>
                <w:szCs w:val="23"/>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0.68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0.55</w:t>
            </w:r>
          </w:p>
        </w:tc>
      </w:tr>
      <w:tr>
        <w:trPr>
          <w:trHeight w:val="250"/>
        </w:trPr>
        <w:tc>
          <w:tcPr>
            <w:tcW w:w="46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Dividends paid per share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0.618</w:t>
            </w:r>
          </w:p>
        </w:tc>
      </w:tr>
      <w:tr>
        <w:trPr>
          <w:trHeight w:val="243"/>
        </w:trPr>
        <w:tc>
          <w:tcPr>
            <w:tcW w:w="4660" w:type="dxa"/>
            <w:vAlign w:val="bottom"/>
            <w:gridSpan w:val="2"/>
          </w:tcPr>
          <w:p>
            <w:pPr>
              <w:ind w:left="40"/>
              <w:spacing w:after="0"/>
              <w:rPr>
                <w:sz w:val="20"/>
                <w:szCs w:val="20"/>
                <w:color w:val="auto"/>
              </w:rPr>
            </w:pPr>
            <w:r>
              <w:rPr>
                <w:rFonts w:ascii="Arial" w:cs="Arial" w:eastAsia="Arial" w:hAnsi="Arial"/>
                <w:sz w:val="18"/>
                <w:szCs w:val="18"/>
                <w:color w:val="auto"/>
              </w:rPr>
              <w:t>Class B common stock:</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660" w:type="dxa"/>
            <w:vAlign w:val="bottom"/>
            <w:gridSpan w:val="2"/>
            <w:shd w:val="clear" w:color="auto" w:fill="CCEEFF"/>
          </w:tcPr>
          <w:p>
            <w:pPr>
              <w:ind w:left="360"/>
              <w:spacing w:after="0" w:line="270" w:lineRule="exact"/>
              <w:rPr>
                <w:sz w:val="20"/>
                <w:szCs w:val="20"/>
                <w:color w:val="auto"/>
              </w:rPr>
            </w:pPr>
            <w:r>
              <w:rPr>
                <w:rFonts w:ascii="Arial" w:cs="Arial" w:eastAsia="Arial" w:hAnsi="Arial"/>
                <w:sz w:val="18"/>
                <w:szCs w:val="18"/>
                <w:color w:val="auto"/>
              </w:rPr>
              <w:t>Net income per share—Basic</w:t>
            </w:r>
            <w:r>
              <w:rPr>
                <w:rFonts w:ascii="Arial" w:cs="Arial" w:eastAsia="Arial" w:hAnsi="Arial"/>
                <w:sz w:val="25"/>
                <w:szCs w:val="25"/>
                <w:color w:val="auto"/>
                <w:vertAlign w:val="superscript"/>
              </w:rPr>
              <w:t>(a)</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0.99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0.64</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0.99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0.51</w:t>
            </w:r>
          </w:p>
        </w:tc>
      </w:tr>
      <w:tr>
        <w:trPr>
          <w:trHeight w:val="270"/>
        </w:trPr>
        <w:tc>
          <w:tcPr>
            <w:tcW w:w="4660" w:type="dxa"/>
            <w:vAlign w:val="bottom"/>
            <w:gridSpan w:val="2"/>
          </w:tcPr>
          <w:p>
            <w:pPr>
              <w:ind w:left="360"/>
              <w:spacing w:after="0" w:line="270" w:lineRule="exact"/>
              <w:rPr>
                <w:sz w:val="20"/>
                <w:szCs w:val="20"/>
                <w:color w:val="auto"/>
              </w:rPr>
            </w:pPr>
            <w:r>
              <w:rPr>
                <w:rFonts w:ascii="Arial" w:cs="Arial" w:eastAsia="Arial" w:hAnsi="Arial"/>
                <w:sz w:val="18"/>
                <w:szCs w:val="18"/>
                <w:color w:val="auto"/>
              </w:rPr>
              <w:t>Net income per share—Diluted</w:t>
            </w:r>
            <w:r>
              <w:rPr>
                <w:rFonts w:ascii="Arial" w:cs="Arial" w:eastAsia="Arial" w:hAnsi="Arial"/>
                <w:sz w:val="25"/>
                <w:szCs w:val="25"/>
                <w:color w:val="auto"/>
                <w:vertAlign w:val="superscript"/>
              </w:rPr>
              <w:t>(a)</w:t>
            </w:r>
          </w:p>
        </w:tc>
        <w:tc>
          <w:tcPr>
            <w:tcW w:w="380" w:type="dxa"/>
            <w:vAlign w:val="bottom"/>
          </w:tcPr>
          <w:p>
            <w:pPr>
              <w:spacing w:after="0"/>
              <w:rPr>
                <w:sz w:val="23"/>
                <w:szCs w:val="23"/>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0.99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0.64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0.99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0.51</w:t>
            </w:r>
          </w:p>
        </w:tc>
      </w:tr>
      <w:tr>
        <w:trPr>
          <w:trHeight w:val="250"/>
        </w:trPr>
        <w:tc>
          <w:tcPr>
            <w:tcW w:w="46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Dividends paid per share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0.562</w:t>
            </w:r>
          </w:p>
        </w:tc>
      </w:tr>
      <w:tr>
        <w:trPr>
          <w:trHeight w:val="243"/>
        </w:trPr>
        <w:tc>
          <w:tcPr>
            <w:tcW w:w="4660" w:type="dxa"/>
            <w:vAlign w:val="bottom"/>
            <w:gridSpan w:val="2"/>
          </w:tcPr>
          <w:p>
            <w:pPr>
              <w:ind w:left="40"/>
              <w:spacing w:after="0"/>
              <w:rPr>
                <w:sz w:val="20"/>
                <w:szCs w:val="20"/>
                <w:color w:val="auto"/>
              </w:rPr>
            </w:pPr>
            <w:r>
              <w:rPr>
                <w:rFonts w:ascii="Arial" w:cs="Arial" w:eastAsia="Arial" w:hAnsi="Arial"/>
                <w:sz w:val="18"/>
                <w:szCs w:val="18"/>
                <w:color w:val="auto"/>
              </w:rPr>
              <w:t>Market price—common stock:</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6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High</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104.44</w:t>
            </w:r>
          </w:p>
        </w:tc>
      </w:tr>
      <w:tr>
        <w:trPr>
          <w:trHeight w:val="243"/>
        </w:trPr>
        <w:tc>
          <w:tcPr>
            <w:tcW w:w="4660" w:type="dxa"/>
            <w:vAlign w:val="bottom"/>
            <w:gridSpan w:val="2"/>
          </w:tcPr>
          <w:p>
            <w:pPr>
              <w:ind w:left="680"/>
              <w:spacing w:after="0"/>
              <w:rPr>
                <w:sz w:val="20"/>
                <w:szCs w:val="20"/>
                <w:color w:val="auto"/>
              </w:rPr>
            </w:pPr>
            <w:r>
              <w:rPr>
                <w:rFonts w:ascii="Arial" w:cs="Arial" w:eastAsia="Arial" w:hAnsi="Arial"/>
                <w:sz w:val="18"/>
                <w:szCs w:val="18"/>
                <w:color w:val="auto"/>
              </w:rPr>
              <w:t>Low</w:t>
            </w:r>
          </w:p>
        </w:tc>
        <w:tc>
          <w:tcPr>
            <w:tcW w:w="3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83.32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89.60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94.64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94.63</w:t>
            </w:r>
          </w:p>
        </w:tc>
      </w:tr>
      <w:tr>
        <w:trPr>
          <w:trHeight w:val="480"/>
        </w:trPr>
        <w:tc>
          <w:tcPr>
            <w:tcW w:w="4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 2015</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First</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Second</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Third</w:t>
            </w:r>
            <w:r>
              <w:rPr>
                <w:rFonts w:ascii="Arial" w:cs="Arial" w:eastAsia="Arial" w:hAnsi="Arial"/>
                <w:sz w:val="8"/>
                <w:szCs w:val="8"/>
                <w:b w:val="1"/>
                <w:bCs w:val="1"/>
                <w:color w:val="auto"/>
              </w:rPr>
              <w:t>(b)</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Fourth</w:t>
            </w:r>
            <w:r>
              <w:rPr>
                <w:rFonts w:ascii="Arial" w:cs="Arial" w:eastAsia="Arial" w:hAnsi="Arial"/>
                <w:sz w:val="8"/>
                <w:szCs w:val="8"/>
                <w:b w:val="1"/>
                <w:bCs w:val="1"/>
                <w:color w:val="auto"/>
              </w:rPr>
              <w:t>(b)</w:t>
            </w:r>
          </w:p>
        </w:tc>
      </w:tr>
      <w:tr>
        <w:trPr>
          <w:trHeight w:val="250"/>
        </w:trPr>
        <w:tc>
          <w:tcPr>
            <w:tcW w:w="4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1,937,800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1,578,825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1,960,779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1,909,222</w:t>
            </w:r>
          </w:p>
        </w:tc>
      </w:tr>
      <w:tr>
        <w:trPr>
          <w:trHeight w:val="243"/>
        </w:trPr>
        <w:tc>
          <w:tcPr>
            <w:tcW w:w="466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3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900,843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735,408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868,706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877,718</w:t>
            </w:r>
          </w:p>
        </w:tc>
      </w:tr>
      <w:tr>
        <w:trPr>
          <w:trHeight w:val="27"/>
        </w:trPr>
        <w:tc>
          <w:tcPr>
            <w:tcW w:w="46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244,737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(99,941)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140,266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227,889</w:t>
            </w:r>
          </w:p>
        </w:tc>
      </w:tr>
      <w:tr>
        <w:trPr>
          <w:trHeight w:val="243"/>
        </w:trPr>
        <w:tc>
          <w:tcPr>
            <w:tcW w:w="4660" w:type="dxa"/>
            <w:vAlign w:val="bottom"/>
            <w:gridSpan w:val="2"/>
          </w:tcPr>
          <w:p>
            <w:pPr>
              <w:ind w:left="40"/>
              <w:spacing w:after="0"/>
              <w:rPr>
                <w:sz w:val="20"/>
                <w:szCs w:val="20"/>
                <w:color w:val="auto"/>
              </w:rPr>
            </w:pPr>
            <w:r>
              <w:rPr>
                <w:rFonts w:ascii="Arial" w:cs="Arial" w:eastAsia="Arial" w:hAnsi="Arial"/>
                <w:sz w:val="18"/>
                <w:szCs w:val="18"/>
                <w:color w:val="auto"/>
              </w:rPr>
              <w:t>Common stock:</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6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660" w:type="dxa"/>
            <w:vAlign w:val="bottom"/>
            <w:gridSpan w:val="2"/>
            <w:shd w:val="clear" w:color="auto" w:fill="CCEEFF"/>
          </w:tcPr>
          <w:p>
            <w:pPr>
              <w:ind w:left="360"/>
              <w:spacing w:after="0" w:line="270" w:lineRule="exact"/>
              <w:rPr>
                <w:sz w:val="20"/>
                <w:szCs w:val="20"/>
                <w:color w:val="auto"/>
              </w:rPr>
            </w:pPr>
            <w:r>
              <w:rPr>
                <w:rFonts w:ascii="Arial" w:cs="Arial" w:eastAsia="Arial" w:hAnsi="Arial"/>
                <w:sz w:val="18"/>
                <w:szCs w:val="18"/>
                <w:color w:val="auto"/>
              </w:rPr>
              <w:t>Net income (loss) per share—Basic</w:t>
            </w:r>
            <w:r>
              <w:rPr>
                <w:rFonts w:ascii="Arial" w:cs="Arial" w:eastAsia="Arial" w:hAnsi="Arial"/>
                <w:sz w:val="25"/>
                <w:szCs w:val="25"/>
                <w:color w:val="auto"/>
                <w:vertAlign w:val="superscript"/>
              </w:rPr>
              <w:t>(a)</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0.66</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1.08</w:t>
            </w:r>
          </w:p>
        </w:tc>
      </w:tr>
      <w:tr>
        <w:trPr>
          <w:trHeight w:val="270"/>
        </w:trPr>
        <w:tc>
          <w:tcPr>
            <w:tcW w:w="4660" w:type="dxa"/>
            <w:vAlign w:val="bottom"/>
            <w:gridSpan w:val="2"/>
          </w:tcPr>
          <w:p>
            <w:pPr>
              <w:ind w:left="360"/>
              <w:spacing w:after="0" w:line="270" w:lineRule="exact"/>
              <w:rPr>
                <w:sz w:val="20"/>
                <w:szCs w:val="20"/>
                <w:color w:val="auto"/>
              </w:rPr>
            </w:pPr>
            <w:r>
              <w:rPr>
                <w:rFonts w:ascii="Arial" w:cs="Arial" w:eastAsia="Arial" w:hAnsi="Arial"/>
                <w:sz w:val="18"/>
                <w:szCs w:val="18"/>
                <w:color w:val="auto"/>
              </w:rPr>
              <w:t>Net income (loss) per share—Diluted</w:t>
            </w:r>
            <w:r>
              <w:rPr>
                <w:rFonts w:ascii="Arial" w:cs="Arial" w:eastAsia="Arial" w:hAnsi="Arial"/>
                <w:sz w:val="25"/>
                <w:szCs w:val="25"/>
                <w:color w:val="auto"/>
                <w:vertAlign w:val="superscript"/>
              </w:rPr>
              <w:t>(a)</w:t>
            </w:r>
          </w:p>
        </w:tc>
        <w:tc>
          <w:tcPr>
            <w:tcW w:w="380" w:type="dxa"/>
            <w:vAlign w:val="bottom"/>
          </w:tcPr>
          <w:p>
            <w:pPr>
              <w:spacing w:after="0"/>
              <w:rPr>
                <w:sz w:val="23"/>
                <w:szCs w:val="23"/>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(0.47)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1.04</w:t>
            </w:r>
          </w:p>
        </w:tc>
      </w:tr>
      <w:tr>
        <w:trPr>
          <w:trHeight w:val="250"/>
        </w:trPr>
        <w:tc>
          <w:tcPr>
            <w:tcW w:w="46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Dividends paid per share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0.583</w:t>
            </w:r>
          </w:p>
        </w:tc>
      </w:tr>
      <w:tr>
        <w:trPr>
          <w:trHeight w:val="243"/>
        </w:trPr>
        <w:tc>
          <w:tcPr>
            <w:tcW w:w="4660" w:type="dxa"/>
            <w:vAlign w:val="bottom"/>
            <w:gridSpan w:val="2"/>
          </w:tcPr>
          <w:p>
            <w:pPr>
              <w:ind w:left="40"/>
              <w:spacing w:after="0"/>
              <w:rPr>
                <w:sz w:val="20"/>
                <w:szCs w:val="20"/>
                <w:color w:val="auto"/>
              </w:rPr>
            </w:pPr>
            <w:r>
              <w:rPr>
                <w:rFonts w:ascii="Arial" w:cs="Arial" w:eastAsia="Arial" w:hAnsi="Arial"/>
                <w:sz w:val="18"/>
                <w:szCs w:val="18"/>
                <w:color w:val="auto"/>
              </w:rPr>
              <w:t>Class B common stock:</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6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660" w:type="dxa"/>
            <w:vAlign w:val="bottom"/>
            <w:gridSpan w:val="2"/>
            <w:shd w:val="clear" w:color="auto" w:fill="CCEEFF"/>
          </w:tcPr>
          <w:p>
            <w:pPr>
              <w:ind w:left="360"/>
              <w:spacing w:after="0" w:line="270" w:lineRule="exact"/>
              <w:rPr>
                <w:sz w:val="20"/>
                <w:szCs w:val="20"/>
                <w:color w:val="auto"/>
              </w:rPr>
            </w:pPr>
            <w:r>
              <w:rPr>
                <w:rFonts w:ascii="Arial" w:cs="Arial" w:eastAsia="Arial" w:hAnsi="Arial"/>
                <w:sz w:val="18"/>
                <w:szCs w:val="18"/>
                <w:color w:val="auto"/>
              </w:rPr>
              <w:t>Net income (loss) per share—Basic</w:t>
            </w:r>
            <w:r>
              <w:rPr>
                <w:rFonts w:ascii="Arial" w:cs="Arial" w:eastAsia="Arial" w:hAnsi="Arial"/>
                <w:sz w:val="25"/>
                <w:szCs w:val="25"/>
                <w:color w:val="auto"/>
                <w:vertAlign w:val="superscript"/>
              </w:rPr>
              <w:t>(a)</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0.60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0.98</w:t>
            </w:r>
          </w:p>
        </w:tc>
      </w:tr>
      <w:tr>
        <w:trPr>
          <w:trHeight w:val="270"/>
        </w:trPr>
        <w:tc>
          <w:tcPr>
            <w:tcW w:w="4660" w:type="dxa"/>
            <w:vAlign w:val="bottom"/>
            <w:gridSpan w:val="2"/>
          </w:tcPr>
          <w:p>
            <w:pPr>
              <w:ind w:left="360"/>
              <w:spacing w:after="0" w:line="270" w:lineRule="exact"/>
              <w:rPr>
                <w:sz w:val="20"/>
                <w:szCs w:val="20"/>
                <w:color w:val="auto"/>
              </w:rPr>
            </w:pPr>
            <w:r>
              <w:rPr>
                <w:rFonts w:ascii="Arial" w:cs="Arial" w:eastAsia="Arial" w:hAnsi="Arial"/>
                <w:sz w:val="18"/>
                <w:szCs w:val="18"/>
                <w:color w:val="auto"/>
              </w:rPr>
              <w:t>Net income (loss) per share—Diluted</w:t>
            </w:r>
            <w:r>
              <w:rPr>
                <w:rFonts w:ascii="Arial" w:cs="Arial" w:eastAsia="Arial" w:hAnsi="Arial"/>
                <w:sz w:val="25"/>
                <w:szCs w:val="25"/>
                <w:color w:val="auto"/>
                <w:vertAlign w:val="superscript"/>
              </w:rPr>
              <w:t>(a)</w:t>
            </w:r>
          </w:p>
        </w:tc>
        <w:tc>
          <w:tcPr>
            <w:tcW w:w="380" w:type="dxa"/>
            <w:vAlign w:val="bottom"/>
          </w:tcPr>
          <w:p>
            <w:pPr>
              <w:spacing w:after="0"/>
              <w:rPr>
                <w:sz w:val="23"/>
                <w:szCs w:val="23"/>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(0.42)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0.60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0.98</w:t>
            </w:r>
          </w:p>
        </w:tc>
      </w:tr>
      <w:tr>
        <w:trPr>
          <w:trHeight w:val="250"/>
        </w:trPr>
        <w:tc>
          <w:tcPr>
            <w:tcW w:w="46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Dividends paid per share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0.486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0.530</w:t>
            </w:r>
          </w:p>
        </w:tc>
      </w:tr>
      <w:tr>
        <w:trPr>
          <w:trHeight w:val="243"/>
        </w:trPr>
        <w:tc>
          <w:tcPr>
            <w:tcW w:w="4660" w:type="dxa"/>
            <w:vAlign w:val="bottom"/>
            <w:gridSpan w:val="2"/>
          </w:tcPr>
          <w:p>
            <w:pPr>
              <w:ind w:left="40"/>
              <w:spacing w:after="0"/>
              <w:rPr>
                <w:sz w:val="20"/>
                <w:szCs w:val="20"/>
                <w:color w:val="auto"/>
              </w:rPr>
            </w:pPr>
            <w:r>
              <w:rPr>
                <w:rFonts w:ascii="Arial" w:cs="Arial" w:eastAsia="Arial" w:hAnsi="Arial"/>
                <w:sz w:val="18"/>
                <w:szCs w:val="18"/>
                <w:color w:val="auto"/>
              </w:rPr>
              <w:t>Market price—common stock:</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6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6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High</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97.07</w:t>
            </w:r>
          </w:p>
        </w:tc>
      </w:tr>
      <w:tr>
        <w:trPr>
          <w:trHeight w:val="243"/>
        </w:trPr>
        <w:tc>
          <w:tcPr>
            <w:tcW w:w="4660" w:type="dxa"/>
            <w:vAlign w:val="bottom"/>
            <w:gridSpan w:val="2"/>
          </w:tcPr>
          <w:p>
            <w:pPr>
              <w:ind w:left="680"/>
              <w:spacing w:after="0"/>
              <w:rPr>
                <w:sz w:val="20"/>
                <w:szCs w:val="20"/>
                <w:color w:val="auto"/>
              </w:rPr>
            </w:pPr>
            <w:r>
              <w:rPr>
                <w:rFonts w:ascii="Arial" w:cs="Arial" w:eastAsia="Arial" w:hAnsi="Arial"/>
                <w:sz w:val="18"/>
                <w:szCs w:val="18"/>
                <w:color w:val="auto"/>
              </w:rPr>
              <w:t>Low</w:t>
            </w:r>
          </w:p>
        </w:tc>
        <w:tc>
          <w:tcPr>
            <w:tcW w:w="3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98.52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87.86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85.13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83.58</w:t>
            </w:r>
          </w:p>
        </w:tc>
      </w:tr>
    </w:tbl>
    <w:p>
      <w:pPr>
        <w:spacing w:after="0" w:line="71" w:lineRule="exact"/>
        <w:rPr>
          <w:sz w:val="20"/>
          <w:szCs w:val="20"/>
          <w:color w:val="auto"/>
        </w:rPr>
      </w:pPr>
    </w:p>
    <w:p>
      <w:pPr>
        <w:ind w:left="660" w:right="280" w:hanging="652"/>
        <w:spacing w:after="0" w:line="275" w:lineRule="auto"/>
        <w:tabs>
          <w:tab w:leader="none" w:pos="336" w:val="left"/>
        </w:tabs>
        <w:numPr>
          <w:ilvl w:val="0"/>
          <w:numId w:val="42"/>
        </w:numPr>
        <w:rPr>
          <w:rFonts w:ascii="Arial" w:cs="Arial" w:eastAsia="Arial" w:hAnsi="Arial"/>
          <w:sz w:val="16"/>
          <w:szCs w:val="16"/>
          <w:color w:val="auto"/>
        </w:rPr>
      </w:pPr>
      <w:r>
        <w:rPr>
          <w:rFonts w:ascii="Arial" w:cs="Arial" w:eastAsia="Arial" w:hAnsi="Arial"/>
          <w:sz w:val="16"/>
          <w:szCs w:val="16"/>
          <w:color w:val="auto"/>
        </w:rPr>
        <w:t>Quarterly income per share amounts do not total to the annual amount due to changes in weighted-average shares outstanding during the year, as well as the impact of excluding dilutive securities in the period in which there was a net loss.</w:t>
      </w:r>
    </w:p>
    <w:p>
      <w:pPr>
        <w:spacing w:after="0" w:line="37" w:lineRule="exact"/>
        <w:rPr>
          <w:rFonts w:ascii="Arial" w:cs="Arial" w:eastAsia="Arial" w:hAnsi="Arial"/>
          <w:sz w:val="16"/>
          <w:szCs w:val="16"/>
          <w:color w:val="auto"/>
        </w:rPr>
      </w:pPr>
    </w:p>
    <w:p>
      <w:pPr>
        <w:ind w:left="660" w:hanging="652"/>
        <w:spacing w:after="0" w:line="252" w:lineRule="auto"/>
        <w:tabs>
          <w:tab w:leader="none" w:pos="336"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 2015, the Company identified a material weakness in its internal control over financial reporting related to hedge accounting compliance for cocoa commodity derivatives. As a result, hedge accounting treatment for cocoa commodity derivatives was disallowed for the third and fourth quarters of 2015; therefore the impact of changes in fair value of the cocoa commodity futures outstanding during these periods should have been recorded within cost of sales as incurred, instead of deferred within AOCI. Such gains (losses) totaled $(23,358) for the third quarter of 2015 and an essentially offsetting amount for the fourth quarter of 2015. The amounts presented above for the third and fourth quarters of 2015 reflect the impact of reclassifying these gains (losses) deferred within AOCI to cost of sales for the respective periods.</w:t>
      </w: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80"/>
          </w:cols>
          <w:pgMar w:left="240" w:top="115" w:right="279" w:bottom="1440" w:gutter="0" w:footer="0" w:header="0"/>
        </w:sectPr>
      </w:pPr>
    </w:p>
    <w:bookmarkStart w:id="94" w:name="page95"/>
    <w:bookmarkEnd w:id="94"/>
    <w:p>
      <w:pPr>
        <w:ind w:right="1320"/>
        <w:spacing w:after="0" w:line="376" w:lineRule="auto"/>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r>
        <w:rPr>
          <w:rFonts w:ascii="Arial" w:cs="Arial" w:eastAsia="Arial" w:hAnsi="Arial"/>
          <w:sz w:val="18"/>
          <w:szCs w:val="18"/>
          <w:b w:val="1"/>
          <w:bCs w:val="1"/>
          <w:color w:val="auto"/>
        </w:rPr>
        <w:t xml:space="preserve"> </w:t>
      </w:r>
      <w:r>
        <w:rPr>
          <w:rFonts w:ascii="Arial" w:cs="Arial" w:eastAsia="Arial" w:hAnsi="Arial"/>
          <w:sz w:val="18"/>
          <w:szCs w:val="18"/>
          <w:color w:val="auto"/>
        </w:rPr>
        <w:t>None.</w:t>
      </w:r>
    </w:p>
    <w:p>
      <w:pPr>
        <w:spacing w:after="0" w:line="16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management, with the participation of the Company’s Chief Executive Officer and Chief Financial Officer, has evaluated the effectiveness of the Company’s disclosure controls and procedures, as defined in Rules 13a-15(e) and 15d-15(e) of the Securities Exchange Act of 1934 (the “Exchange Act”), as of December 31, 2016. Based on that evaluation, the Company’s Chief Executive Officer and Chief Financial Officer concluded that the Company’s disclosure controls and procedures were effective as of December 31,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Design and Evaluation of Internal Control Over Financial Reporting</w:t>
      </w:r>
    </w:p>
    <w:p>
      <w:pPr>
        <w:spacing w:after="0" w:line="94"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Disclosure controls and procedures are controls and other procedures that are designed to ensure that information required to be disclosed in the Company’s reports filed or submitted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in the Company’s reports filed under the Exchange Act is accumulated and communicated to management, including the Company’s Chief Executive Officer and Chief Financial Officer, as appropriate, to allow timely decisions regarding required disclosure.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Management's report on the Company's internal control over financial reporting appears on the following page. There were no changes in the Company’s internal control over financial reporting during the fourth quarter of 2016 that have materially affected, or are reasonably likely to materially affect, the Company’s internal control over financial reporting.</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60"/>
          </w:cols>
          <w:pgMar w:left="240" w:top="580" w:right="29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94"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management of The Hershey Company is responsible for establishing and maintaining adequate internal control over financial reporting, as such term is defined in Exchange Act Rule 13a-15(f). The Company’s internal control system was designed to provide reasonable assurance to the Company’s management and Board of Directors regarding the preparation and fair presentation of published financial statements.</w:t>
      </w:r>
    </w:p>
    <w:p>
      <w:pPr>
        <w:spacing w:after="0" w:line="11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16"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 xml:space="preserve">The Company’s management, including the Company’s Chief Executive Officer and Chief Financial Officer, assessed the effectiveness of the Company’s internal control over financial reporting as of December 31, 2016. In making this assessment, the Company’s management used the criteria set forth by the Committee of Sponsoring Organizations of the Treadway Commission (COSO) in </w:t>
      </w:r>
      <w:r>
        <w:rPr>
          <w:rFonts w:ascii="Arial" w:cs="Arial" w:eastAsia="Arial" w:hAnsi="Arial"/>
          <w:sz w:val="18"/>
          <w:szCs w:val="18"/>
          <w:i w:val="1"/>
          <w:iCs w:val="1"/>
          <w:color w:val="auto"/>
        </w:rPr>
        <w:t>Internal Control–Integrated Framework (2013 edition)</w:t>
      </w:r>
      <w:r>
        <w:rPr>
          <w:rFonts w:ascii="Arial" w:cs="Arial" w:eastAsia="Arial" w:hAnsi="Arial"/>
          <w:sz w:val="18"/>
          <w:szCs w:val="18"/>
          <w:color w:val="auto"/>
        </w:rPr>
        <w:t>. Based on this assessment, management concluded that, as of December 31, 2016, the Company’s internal control over financial reporting was effective based on those criteria.</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The Company’s independent auditors have audited, and reported on, the Company’s internal control over financial reporting as of December 31, 2016.</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jc w:val="center"/>
              <w:spacing w:after="0"/>
              <w:rPr>
                <w:sz w:val="20"/>
                <w:szCs w:val="20"/>
                <w:color w:val="auto"/>
              </w:rPr>
            </w:pPr>
            <w:r>
              <w:rPr>
                <w:rFonts w:ascii="Arial" w:cs="Arial" w:eastAsia="Arial" w:hAnsi="Arial"/>
                <w:sz w:val="18"/>
                <w:szCs w:val="18"/>
                <w:color w:val="auto"/>
                <w:w w:val="94"/>
              </w:rPr>
              <w:t>/s/ JOHN P. BILBREY</w:t>
            </w:r>
          </w:p>
        </w:tc>
        <w:tc>
          <w:tcPr>
            <w:tcW w:w="68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7"/>
              </w:rPr>
              <w:t>/s/ PATRICIA A. LITTLE</w:t>
            </w:r>
          </w:p>
        </w:tc>
      </w:tr>
      <w:tr>
        <w:trPr>
          <w:trHeight w:val="27"/>
        </w:trPr>
        <w:tc>
          <w:tcPr>
            <w:tcW w:w="538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150"/>
        </w:trPr>
        <w:tc>
          <w:tcPr>
            <w:tcW w:w="538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92"/>
              </w:rPr>
              <w:t>John P. Bilbrey</w:t>
            </w:r>
          </w:p>
        </w:tc>
        <w:tc>
          <w:tcPr>
            <w:tcW w:w="680" w:type="dxa"/>
            <w:vAlign w:val="bottom"/>
          </w:tcPr>
          <w:p>
            <w:pPr>
              <w:spacing w:after="0"/>
              <w:rPr>
                <w:sz w:val="13"/>
                <w:szCs w:val="13"/>
                <w:color w:val="auto"/>
              </w:rPr>
            </w:pPr>
          </w:p>
        </w:tc>
        <w:tc>
          <w:tcPr>
            <w:tcW w:w="536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98"/>
              </w:rPr>
              <w:t>Patricia A. Little</w:t>
            </w:r>
          </w:p>
        </w:tc>
      </w:tr>
      <w:tr>
        <w:trPr>
          <w:trHeight w:val="149"/>
        </w:trPr>
        <w:tc>
          <w:tcPr>
            <w:tcW w:w="538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91"/>
              </w:rPr>
              <w:t>Chief Executive Officer</w:t>
            </w:r>
          </w:p>
        </w:tc>
        <w:tc>
          <w:tcPr>
            <w:tcW w:w="680" w:type="dxa"/>
            <w:vAlign w:val="bottom"/>
          </w:tcPr>
          <w:p>
            <w:pPr>
              <w:spacing w:after="0"/>
              <w:rPr>
                <w:sz w:val="12"/>
                <w:szCs w:val="12"/>
                <w:color w:val="auto"/>
              </w:rPr>
            </w:pPr>
          </w:p>
        </w:tc>
        <w:tc>
          <w:tcPr>
            <w:tcW w:w="536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94"/>
              </w:rPr>
              <w:t>Chief Financial Officer</w:t>
            </w:r>
          </w:p>
        </w:tc>
      </w:tr>
      <w:tr>
        <w:trPr>
          <w:trHeight w:val="182"/>
        </w:trPr>
        <w:tc>
          <w:tcPr>
            <w:tcW w:w="538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92"/>
              </w:rPr>
              <w:t>(Principal Executive Officer)</w:t>
            </w:r>
          </w:p>
        </w:tc>
        <w:tc>
          <w:tcPr>
            <w:tcW w:w="680" w:type="dxa"/>
            <w:vAlign w:val="bottom"/>
          </w:tcPr>
          <w:p>
            <w:pPr>
              <w:spacing w:after="0"/>
              <w:rPr>
                <w:sz w:val="15"/>
                <w:szCs w:val="15"/>
                <w:color w:val="auto"/>
              </w:rPr>
            </w:pPr>
          </w:p>
        </w:tc>
        <w:tc>
          <w:tcPr>
            <w:tcW w:w="536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94"/>
              </w:rPr>
              <w:t>(Principal Financial Officer)</w:t>
            </w:r>
          </w:p>
        </w:tc>
      </w:tr>
      <w:tr>
        <w:trPr>
          <w:trHeight w:val="471"/>
        </w:trPr>
        <w:tc>
          <w:tcPr>
            <w:tcW w:w="5380" w:type="dxa"/>
            <w:vAlign w:val="bottom"/>
          </w:tcPr>
          <w:p>
            <w:pPr>
              <w:spacing w:after="0"/>
              <w:rPr>
                <w:sz w:val="24"/>
                <w:szCs w:val="24"/>
                <w:color w:val="auto"/>
              </w:rPr>
            </w:pPr>
          </w:p>
        </w:tc>
        <w:tc>
          <w:tcPr>
            <w:tcW w:w="680" w:type="dxa"/>
            <w:vAlign w:val="bottom"/>
          </w:tcPr>
          <w:p>
            <w:pPr>
              <w:jc w:val="right"/>
              <w:ind w:right="170"/>
              <w:spacing w:after="0"/>
              <w:rPr>
                <w:sz w:val="20"/>
                <w:szCs w:val="20"/>
                <w:color w:val="auto"/>
              </w:rPr>
            </w:pPr>
            <w:r>
              <w:rPr>
                <w:rFonts w:ascii="Arial" w:cs="Arial" w:eastAsia="Arial" w:hAnsi="Arial"/>
                <w:sz w:val="18"/>
                <w:szCs w:val="18"/>
                <w:color w:val="auto"/>
              </w:rPr>
              <w:t>94</w:t>
            </w:r>
          </w:p>
        </w:tc>
        <w:tc>
          <w:tcPr>
            <w:tcW w:w="536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96" w:name="page97"/>
    <w:bookmarkEnd w:id="96"/>
    <w:p>
      <w:pPr>
        <w:spacing w:after="0"/>
        <w:tabs>
          <w:tab w:leader="none" w:pos="8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i w:val="1"/>
          <w:iCs w:val="1"/>
          <w:color w:val="auto"/>
        </w:rPr>
        <w:t>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0219"/>
          </w:cols>
          <w:pgMar w:left="240" w:top="580" w:right="1440" w:bottom="1440" w:gutter="0" w:footer="0" w:header="0"/>
        </w:sectPr>
      </w:pPr>
    </w:p>
    <w:bookmarkStart w:id="97" w:name="page98"/>
    <w:bookmarkEnd w:id="97"/>
    <w:p>
      <w:pPr>
        <w:jc w:val="center"/>
        <w:ind w:left="320"/>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i w:val="1"/>
          <w:iCs w:val="1"/>
          <w:color w:val="auto"/>
        </w:rPr>
        <w:t>DIRECTORS, EXECUTIVE OFFICERS AND CORPORATE GOVERNANCE</w:t>
      </w:r>
    </w:p>
    <w:p>
      <w:pPr>
        <w:spacing w:after="0" w:line="94"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The information regarding executive officers of the Company required by Item 401 of SEC Regulation S-K is incorporated herein by reference from the disclosure included under the caption “SUPPLEMENTAL ITEM. EXECUTIVE OFFICERS OF THE REGISTRANT” at the end of Part I of this Annual Report on Form 10-K.</w:t>
      </w:r>
    </w:p>
    <w:p>
      <w:pPr>
        <w:spacing w:after="0" w:line="12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information required by Item 401 of SEC Regulation S-K concerning the directors and nominees for director of the Company, together with a discussion of the specific experience, qualifications, attributes and skills that led the Board to conclude that the director or nominee should serve as a director at this time, will be located in the Proxy Statement in the section entitled “PROPOSAL NO. 1 – ELECTION OF DIRECTORS,” which information is incorporated herein by reference.</w:t>
      </w:r>
    </w:p>
    <w:p>
      <w:pPr>
        <w:spacing w:after="0" w:line="13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Information regarding the identification of the Audit Committee as a separately-designated standing committee of the Board and information regarding the status of one or more members of the Audit Committee as an “audit committee financial expert” will be located in the Proxy Statement in the section entitled “MEETINGS AND COMMITTEES OF THE BOARD – Committees of the Board,” which information is incorporated herein by reference.</w:t>
      </w:r>
    </w:p>
    <w:p>
      <w:pPr>
        <w:spacing w:after="0" w:line="111"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Reporting of any inadvertent late filings under Section 16(a) of the Securities Exchange Act of 1934, as amended, will be located in the Proxy Statement in the section entitled “SECTION 16(a) BENEFICIAL OWNERSHIP REPORTING COMPLIANCE,” which information is incorporated herein by reference.</w:t>
      </w:r>
    </w:p>
    <w:p>
      <w:pPr>
        <w:spacing w:after="0" w:line="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Information regarding our Code of Ethical Business Conduct applicable to our directors, officers and employees is located in Part I of this Annual Report on Form 10-K, under the heading “Available Information.”</w:t>
      </w:r>
    </w:p>
    <w:p>
      <w:pPr>
        <w:spacing w:after="0" w:line="19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i w:val="1"/>
          <w:iCs w:val="1"/>
          <w:color w:val="auto"/>
        </w:rPr>
        <w:t>EXECUTIVE COMPENSATION</w:t>
      </w:r>
    </w:p>
    <w:p>
      <w:pPr>
        <w:spacing w:after="0" w:line="9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Information regarding the compensation of each of our named executive officers, including our Chief Executive Officer, will be located in the Proxy Statement in the section entitled “COMPENSATION DISCUSSION &amp; ANALYSIS,” which information is incorporated herein by reference. Information regarding the compensation of our directors will be located in the Proxy Statement in the section entitled “NON-EMPLOYEE DIRECTOR COMPENSATION,” which information is incorporated herein by reference.</w:t>
      </w:r>
    </w:p>
    <w:p>
      <w:pPr>
        <w:spacing w:after="0" w:line="133"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The information required by Item 407(e)(4) of SEC Regulation S-K will be located in the Proxy Statement in the section entitled “COMPENSATION COMMITTEE INTERLOCKS AND INSIDER PARTICIPATION,” which information is incorporated herein by reference.</w:t>
      </w:r>
    </w:p>
    <w:p>
      <w:pPr>
        <w:spacing w:after="0" w:line="9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information required by Item 407(e)(5) of SEC Regulation S-K will be located in the Proxy Statement in the section entitled “Compensation Committee Report,” which information is incorporated herein by reference.</w:t>
      </w:r>
    </w:p>
    <w:p>
      <w:pPr>
        <w:spacing w:after="0" w:line="19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7"/>
          <w:szCs w:val="17"/>
          <w:b w:val="1"/>
          <w:bCs w:val="1"/>
          <w:i w:val="1"/>
          <w:iCs w:val="1"/>
          <w:color w:val="auto"/>
        </w:rPr>
        <w:t>SECURITY OWNERSHIP OF CERTAIN BENEFICIAL OWNERS AND MANAGEMENT AND RELATED STOCKHOLDER MATTERS</w:t>
      </w:r>
    </w:p>
    <w:p>
      <w:pPr>
        <w:spacing w:after="0" w:line="9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Information concerning ownership of our voting securities by certain beneficial owners, individual nominees for director, the named executive officers, including persons serving as our Chief Executive Officer and Chief Financial Officer, and directors and executive officers as a group, will be located in the Proxy Statement in the section entitled “SHARE OWNERSHIP OF DIRECTORS, MANAGEMENT AND CERTAIN BENEFICIAL OWNERS,” which information is incorporated herein by reference.</w:t>
      </w:r>
    </w:p>
    <w:p>
      <w:pPr>
        <w:spacing w:after="0" w:line="133" w:lineRule="exact"/>
        <w:rPr>
          <w:sz w:val="20"/>
          <w:szCs w:val="20"/>
          <w:color w:val="auto"/>
        </w:rPr>
      </w:pPr>
    </w:p>
    <w:p>
      <w:pPr>
        <w:ind w:right="1020"/>
        <w:spacing w:after="0" w:line="277" w:lineRule="auto"/>
        <w:rPr>
          <w:sz w:val="20"/>
          <w:szCs w:val="20"/>
          <w:color w:val="auto"/>
        </w:rPr>
      </w:pPr>
      <w:r>
        <w:rPr>
          <w:rFonts w:ascii="Arial" w:cs="Arial" w:eastAsia="Arial" w:hAnsi="Arial"/>
          <w:sz w:val="18"/>
          <w:szCs w:val="18"/>
          <w:color w:val="auto"/>
        </w:rPr>
        <w:t>Information regarding all of the Company’s equity compensation plans will be located in the Proxy Statement in the section entitled “EQUITY COMPENSATION PLAN INFORMATION,” which information is incorporated herein by reference.</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20"/>
          </w:cols>
          <w:pgMar w:left="240" w:top="580" w:right="339" w:bottom="1440" w:gutter="0" w:footer="0" w:header="0"/>
        </w:sectPr>
      </w:pPr>
    </w:p>
    <w:bookmarkStart w:id="98" w:name="page99"/>
    <w:bookmarkEnd w:id="98"/>
    <w:p>
      <w:pPr>
        <w:spacing w:after="0"/>
        <w:tabs>
          <w:tab w:leader="none" w:pos="8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i w:val="1"/>
          <w:iCs w:val="1"/>
          <w:color w:val="auto"/>
        </w:rPr>
        <w:t>CERTAIN RELATIONSHIPS AND RELATED TRANSACTIONS, AND DIRECTOR INDEPENDENCE</w:t>
      </w:r>
    </w:p>
    <w:p>
      <w:pPr>
        <w:spacing w:after="0" w:line="94"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Information regarding transactions with related persons will be located in the Proxy Statement in the section entitled “CERTAIN TRANSACTIONS AND RELATIONSHIPS,” which information is incorporated herein by reference. Information regarding director independence will be located in the Proxy Statement in the section entitled “CORPORATE GOVERNANCE – Director Independence,” which information is incorporated herein by reference.</w:t>
      </w:r>
    </w:p>
    <w:p>
      <w:pPr>
        <w:spacing w:after="0" w:line="17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i w:val="1"/>
          <w:iCs w:val="1"/>
          <w:color w:val="auto"/>
        </w:rPr>
        <w:t>PRINCIPAL ACCOUNTING FEES AND SERVICES</w:t>
      </w:r>
    </w:p>
    <w:p>
      <w:pPr>
        <w:spacing w:after="0" w:line="9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Information regarding “Principal Accounting Fees and Services,” including the policy regarding pre-approval of audit and non-audit services performed by our Company’s independent auditors, will be located in the Proxy Statement in the section entitled “INFORMATION ABOUT OUR INDEPENDENT AUDITORS,” which information is incorporated herein by reference.</w:t>
      </w:r>
    </w:p>
    <w:p>
      <w:pPr>
        <w:spacing w:after="0" w:line="20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80"/>
          </w:cols>
          <w:pgMar w:left="240" w:top="823" w:right="479" w:bottom="1440" w:gutter="0" w:footer="0" w:header="0"/>
        </w:sectPr>
      </w:pPr>
    </w:p>
    <w:bookmarkStart w:id="99" w:name="page100"/>
    <w:bookmarkEnd w:id="99"/>
    <w:p>
      <w:pPr>
        <w:ind w:left="5520"/>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i w:val="1"/>
          <w:iCs w:val="1"/>
          <w:color w:val="auto"/>
        </w:rPr>
        <w:t>EXHIBITS, FINANCIAL STATEMENT SCHEDULES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15(a)(1): Financial Statements</w:t>
      </w:r>
    </w:p>
    <w:p>
      <w:pPr>
        <w:spacing w:after="0" w:line="9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audited consolidated financial statements of The Hershey Company and its subsidiaries and the Report of Independent Registered Public Accounting Firm thereon, as required to be filed, are located under Item 8 of this Annual Report on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15(a)(2): Financial Statement Schedule</w:t>
      </w:r>
    </w:p>
    <w:p>
      <w:pPr>
        <w:spacing w:after="0" w:line="9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Schedule II—Valuation and Qualifying Accounts for The Hershey Company and its subsidiaries for the years ended December 31, 2016, 2015 and 2014 is filed as part of this Annual Report on Form 10-K as required by Item 15(c).</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We omitted other schedules because they are not applicable or the required information is set forth in the consolidated financial statements or notes thereto.</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15(a)(3): Exhibits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called for by this Item is incorporated by reference from the Exhibit Index included in this Annual Report on Form 10-K.</w:t>
      </w:r>
    </w:p>
    <w:p>
      <w:pPr>
        <w:spacing w:after="0" w:line="24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i w:val="1"/>
          <w:iCs w:val="1"/>
          <w:color w:val="auto"/>
        </w:rPr>
        <w:t>FORM 10-K SUMMARY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80"/>
          </w:cols>
          <w:pgMar w:left="240" w:top="580" w:right="47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SIGNATURES</w:t>
      </w:r>
    </w:p>
    <w:p>
      <w:pPr>
        <w:spacing w:after="0" w:line="117"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Pursuant to the requirements of Section 13 or 15(d) of the Securities Exchange Act of 1934, the Company has duly caused this report to be signed on its behalf by the undersigned, thereunto duly authorized, this 21st day of February, 2017.</w:t>
      </w:r>
    </w:p>
    <w:p>
      <w:pPr>
        <w:spacing w:after="0" w:line="11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THE HERSHEY COMPANY</w:t>
      </w:r>
    </w:p>
    <w:p>
      <w:pPr>
        <w:spacing w:after="0" w:line="63"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(Registrant)</w:t>
      </w:r>
    </w:p>
    <w:p>
      <w:pPr>
        <w:spacing w:after="0" w:line="252" w:lineRule="exact"/>
        <w:rPr>
          <w:sz w:val="20"/>
          <w:szCs w:val="20"/>
          <w:color w:val="auto"/>
        </w:rPr>
      </w:pPr>
    </w:p>
    <w:p>
      <w:pPr>
        <w:ind w:left="5580"/>
        <w:spacing w:after="0"/>
        <w:tabs>
          <w:tab w:leader="none" w:pos="8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PATRICIA A. LITTLE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2" w:lineRule="exact"/>
        <w:rPr>
          <w:sz w:val="20"/>
          <w:szCs w:val="20"/>
          <w:color w:val="auto"/>
        </w:rPr>
      </w:pPr>
    </w:p>
    <w:p>
      <w:pPr>
        <w:jc w:val="center"/>
        <w:ind w:left="7000"/>
        <w:spacing w:after="0"/>
        <w:rPr>
          <w:sz w:val="20"/>
          <w:szCs w:val="20"/>
          <w:color w:val="auto"/>
        </w:rPr>
      </w:pPr>
      <w:r>
        <w:rPr>
          <w:rFonts w:ascii="Arial" w:cs="Arial" w:eastAsia="Arial" w:hAnsi="Arial"/>
          <w:sz w:val="14"/>
          <w:szCs w:val="14"/>
          <w:b w:val="1"/>
          <w:bCs w:val="1"/>
          <w:color w:val="auto"/>
        </w:rPr>
        <w:t>Patricia A. Little</w:t>
      </w:r>
    </w:p>
    <w:p>
      <w:pPr>
        <w:spacing w:after="0" w:line="109" w:lineRule="exact"/>
        <w:rPr>
          <w:sz w:val="20"/>
          <w:szCs w:val="20"/>
          <w:color w:val="auto"/>
        </w:rPr>
      </w:pPr>
    </w:p>
    <w:p>
      <w:pPr>
        <w:jc w:val="center"/>
        <w:ind w:left="7000"/>
        <w:spacing w:after="0"/>
        <w:rPr>
          <w:sz w:val="20"/>
          <w:szCs w:val="20"/>
          <w:color w:val="auto"/>
        </w:rPr>
      </w:pPr>
      <w:r>
        <w:rPr>
          <w:rFonts w:ascii="Arial" w:cs="Arial" w:eastAsia="Arial" w:hAnsi="Arial"/>
          <w:sz w:val="14"/>
          <w:szCs w:val="14"/>
          <w:b w:val="1"/>
          <w:bCs w:val="1"/>
          <w:color w:val="auto"/>
        </w:rPr>
        <w:t>Chief Financial Officer</w:t>
      </w:r>
    </w:p>
    <w:p>
      <w:pPr>
        <w:spacing w:after="0" w:line="13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Company and in the capacities and on the date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20" w:type="dxa"/>
            <w:vAlign w:val="bottom"/>
          </w:tcPr>
          <w:p>
            <w:pPr>
              <w:spacing w:after="0"/>
              <w:rPr>
                <w:sz w:val="16"/>
                <w:szCs w:val="16"/>
                <w:color w:val="auto"/>
              </w:rPr>
            </w:pPr>
          </w:p>
        </w:tc>
        <w:tc>
          <w:tcPr>
            <w:tcW w:w="4440" w:type="dxa"/>
            <w:vAlign w:val="bottom"/>
            <w:tcBorders>
              <w:bottom w:val="single" w:sz="8" w:color="auto"/>
            </w:tcBorders>
          </w:tcPr>
          <w:p>
            <w:pPr>
              <w:ind w:left="2140"/>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6"/>
                <w:szCs w:val="16"/>
                <w:color w:val="auto"/>
              </w:rPr>
            </w:pPr>
          </w:p>
        </w:tc>
        <w:tc>
          <w:tcPr>
            <w:tcW w:w="2280" w:type="dxa"/>
            <w:vAlign w:val="bottom"/>
            <w:tcBorders>
              <w:bottom w:val="single" w:sz="8" w:color="auto"/>
            </w:tcBorders>
          </w:tcPr>
          <w:p>
            <w:pPr>
              <w:ind w:left="102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432"/>
        </w:trPr>
        <w:tc>
          <w:tcPr>
            <w:tcW w:w="4460" w:type="dxa"/>
            <w:vAlign w:val="bottom"/>
          </w:tcPr>
          <w:p>
            <w:pPr>
              <w:jc w:val="center"/>
              <w:spacing w:after="0"/>
              <w:rPr>
                <w:sz w:val="20"/>
                <w:szCs w:val="20"/>
                <w:color w:val="auto"/>
              </w:rPr>
            </w:pPr>
            <w:r>
              <w:rPr>
                <w:rFonts w:ascii="Arial" w:cs="Arial" w:eastAsia="Arial" w:hAnsi="Arial"/>
                <w:sz w:val="18"/>
                <w:szCs w:val="18"/>
                <w:color w:val="auto"/>
                <w:w w:val="93"/>
              </w:rPr>
              <w:t>/S/ JOHN P. BILBREY</w:t>
            </w:r>
          </w:p>
        </w:tc>
        <w:tc>
          <w:tcPr>
            <w:tcW w:w="120" w:type="dxa"/>
            <w:vAlign w:val="bottom"/>
          </w:tcPr>
          <w:p>
            <w:pPr>
              <w:spacing w:after="0"/>
              <w:rPr>
                <w:sz w:val="24"/>
                <w:szCs w:val="24"/>
                <w:color w:val="auto"/>
              </w:rPr>
            </w:pPr>
          </w:p>
        </w:tc>
        <w:tc>
          <w:tcPr>
            <w:tcW w:w="4560" w:type="dxa"/>
            <w:vAlign w:val="bottom"/>
            <w:gridSpan w:val="2"/>
          </w:tcPr>
          <w:p>
            <w:pPr>
              <w:ind w:left="40"/>
              <w:spacing w:after="0"/>
              <w:rPr>
                <w:sz w:val="20"/>
                <w:szCs w:val="20"/>
                <w:color w:val="auto"/>
              </w:rPr>
            </w:pPr>
            <w:r>
              <w:rPr>
                <w:rFonts w:ascii="Arial" w:cs="Arial" w:eastAsia="Arial" w:hAnsi="Arial"/>
                <w:sz w:val="18"/>
                <w:szCs w:val="18"/>
                <w:color w:val="auto"/>
              </w:rPr>
              <w:t>Chief Executive Officer and Director</w:t>
            </w:r>
          </w:p>
        </w:tc>
        <w:tc>
          <w:tcPr>
            <w:tcW w:w="2280" w:type="dxa"/>
            <w:vAlign w:val="bottom"/>
          </w:tcPr>
          <w:p>
            <w:pPr>
              <w:ind w:left="480"/>
              <w:spacing w:after="0"/>
              <w:rPr>
                <w:sz w:val="20"/>
                <w:szCs w:val="20"/>
                <w:color w:val="auto"/>
              </w:rPr>
            </w:pPr>
            <w:r>
              <w:rPr>
                <w:rFonts w:ascii="Arial" w:cs="Arial" w:eastAsia="Arial" w:hAnsi="Arial"/>
                <w:sz w:val="18"/>
                <w:szCs w:val="18"/>
                <w:color w:val="auto"/>
              </w:rPr>
              <w:t>February 21, 2017</w:t>
            </w:r>
          </w:p>
        </w:tc>
        <w:tc>
          <w:tcPr>
            <w:tcW w:w="0" w:type="dxa"/>
            <w:vAlign w:val="bottom"/>
          </w:tcPr>
          <w:p>
            <w:pPr>
              <w:spacing w:after="0"/>
              <w:rPr>
                <w:sz w:val="1"/>
                <w:szCs w:val="1"/>
                <w:color w:val="auto"/>
              </w:rPr>
            </w:pPr>
          </w:p>
        </w:tc>
      </w:tr>
      <w:tr>
        <w:trPr>
          <w:trHeight w:val="27"/>
        </w:trPr>
        <w:tc>
          <w:tcPr>
            <w:tcW w:w="4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gridSpan w:val="2"/>
            <w:vMerge w:val="restart"/>
          </w:tcPr>
          <w:p>
            <w:pPr>
              <w:ind w:left="40"/>
              <w:spacing w:after="0"/>
              <w:rPr>
                <w:sz w:val="20"/>
                <w:szCs w:val="20"/>
                <w:color w:val="auto"/>
              </w:rPr>
            </w:pPr>
            <w:r>
              <w:rPr>
                <w:rFonts w:ascii="Arial" w:cs="Arial" w:eastAsia="Arial" w:hAnsi="Arial"/>
                <w:sz w:val="18"/>
                <w:szCs w:val="18"/>
                <w:color w:val="auto"/>
              </w:rPr>
              <w:t>(Principal Executive Officer)</w:t>
            </w: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460" w:type="dxa"/>
            <w:vAlign w:val="bottom"/>
          </w:tcPr>
          <w:p>
            <w:pPr>
              <w:jc w:val="center"/>
              <w:spacing w:after="0"/>
              <w:rPr>
                <w:sz w:val="20"/>
                <w:szCs w:val="20"/>
                <w:color w:val="auto"/>
              </w:rPr>
            </w:pPr>
            <w:r>
              <w:rPr>
                <w:rFonts w:ascii="Arial" w:cs="Arial" w:eastAsia="Arial" w:hAnsi="Arial"/>
                <w:sz w:val="14"/>
                <w:szCs w:val="14"/>
                <w:b w:val="1"/>
                <w:bCs w:val="1"/>
                <w:color w:val="auto"/>
                <w:w w:val="92"/>
              </w:rPr>
              <w:t>John P. Bilbrey</w:t>
            </w:r>
          </w:p>
        </w:tc>
        <w:tc>
          <w:tcPr>
            <w:tcW w:w="120" w:type="dxa"/>
            <w:vAlign w:val="bottom"/>
          </w:tcPr>
          <w:p>
            <w:pPr>
              <w:spacing w:after="0"/>
              <w:rPr>
                <w:sz w:val="20"/>
                <w:szCs w:val="20"/>
                <w:color w:val="auto"/>
              </w:rPr>
            </w:pPr>
          </w:p>
        </w:tc>
        <w:tc>
          <w:tcPr>
            <w:tcW w:w="4560" w:type="dxa"/>
            <w:vAlign w:val="bottom"/>
            <w:gridSpan w:val="2"/>
            <w:vMerge w:val="continue"/>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4460" w:type="dxa"/>
            <w:vAlign w:val="bottom"/>
          </w:tcPr>
          <w:p>
            <w:pPr>
              <w:jc w:val="center"/>
              <w:spacing w:after="0"/>
              <w:rPr>
                <w:sz w:val="20"/>
                <w:szCs w:val="20"/>
                <w:color w:val="auto"/>
              </w:rPr>
            </w:pPr>
            <w:r>
              <w:rPr>
                <w:rFonts w:ascii="Arial" w:cs="Arial" w:eastAsia="Arial" w:hAnsi="Arial"/>
                <w:sz w:val="18"/>
                <w:szCs w:val="18"/>
                <w:color w:val="auto"/>
                <w:w w:val="97"/>
              </w:rPr>
              <w:t>/S/ PATRICIA A. LITTLE</w:t>
            </w:r>
          </w:p>
        </w:tc>
        <w:tc>
          <w:tcPr>
            <w:tcW w:w="120" w:type="dxa"/>
            <w:vAlign w:val="bottom"/>
          </w:tcPr>
          <w:p>
            <w:pPr>
              <w:spacing w:after="0"/>
              <w:rPr>
                <w:sz w:val="24"/>
                <w:szCs w:val="24"/>
                <w:color w:val="auto"/>
              </w:rPr>
            </w:pPr>
          </w:p>
        </w:tc>
        <w:tc>
          <w:tcPr>
            <w:tcW w:w="4560" w:type="dxa"/>
            <w:vAlign w:val="bottom"/>
            <w:gridSpan w:val="2"/>
          </w:tcPr>
          <w:p>
            <w:pPr>
              <w:ind w:left="40"/>
              <w:spacing w:after="0"/>
              <w:rPr>
                <w:sz w:val="20"/>
                <w:szCs w:val="20"/>
                <w:color w:val="auto"/>
              </w:rPr>
            </w:pPr>
            <w:r>
              <w:rPr>
                <w:rFonts w:ascii="Arial" w:cs="Arial" w:eastAsia="Arial" w:hAnsi="Arial"/>
                <w:sz w:val="18"/>
                <w:szCs w:val="18"/>
                <w:color w:val="auto"/>
              </w:rPr>
              <w:t>Chief Financial Officer</w:t>
            </w:r>
          </w:p>
        </w:tc>
        <w:tc>
          <w:tcPr>
            <w:tcW w:w="2280" w:type="dxa"/>
            <w:vAlign w:val="bottom"/>
          </w:tcPr>
          <w:p>
            <w:pPr>
              <w:ind w:left="480"/>
              <w:spacing w:after="0"/>
              <w:rPr>
                <w:sz w:val="20"/>
                <w:szCs w:val="20"/>
                <w:color w:val="auto"/>
              </w:rPr>
            </w:pPr>
            <w:r>
              <w:rPr>
                <w:rFonts w:ascii="Arial" w:cs="Arial" w:eastAsia="Arial" w:hAnsi="Arial"/>
                <w:sz w:val="18"/>
                <w:szCs w:val="18"/>
                <w:color w:val="auto"/>
              </w:rPr>
              <w:t>February 21, 2017</w:t>
            </w:r>
          </w:p>
        </w:tc>
        <w:tc>
          <w:tcPr>
            <w:tcW w:w="0" w:type="dxa"/>
            <w:vAlign w:val="bottom"/>
          </w:tcPr>
          <w:p>
            <w:pPr>
              <w:spacing w:after="0"/>
              <w:rPr>
                <w:sz w:val="1"/>
                <w:szCs w:val="1"/>
                <w:color w:val="auto"/>
              </w:rPr>
            </w:pPr>
          </w:p>
        </w:tc>
      </w:tr>
      <w:tr>
        <w:trPr>
          <w:trHeight w:val="27"/>
        </w:trPr>
        <w:tc>
          <w:tcPr>
            <w:tcW w:w="4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gridSpan w:val="2"/>
            <w:vMerge w:val="restart"/>
          </w:tcPr>
          <w:p>
            <w:pPr>
              <w:ind w:left="40"/>
              <w:spacing w:after="0"/>
              <w:rPr>
                <w:sz w:val="20"/>
                <w:szCs w:val="20"/>
                <w:color w:val="auto"/>
              </w:rPr>
            </w:pPr>
            <w:r>
              <w:rPr>
                <w:rFonts w:ascii="Arial" w:cs="Arial" w:eastAsia="Arial" w:hAnsi="Arial"/>
                <w:sz w:val="18"/>
                <w:szCs w:val="18"/>
                <w:color w:val="auto"/>
              </w:rPr>
              <w:t>(Principal Financial Officer)</w:t>
            </w: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460" w:type="dxa"/>
            <w:vAlign w:val="bottom"/>
          </w:tcPr>
          <w:p>
            <w:pPr>
              <w:jc w:val="center"/>
              <w:spacing w:after="0"/>
              <w:rPr>
                <w:sz w:val="20"/>
                <w:szCs w:val="20"/>
                <w:color w:val="auto"/>
              </w:rPr>
            </w:pPr>
            <w:r>
              <w:rPr>
                <w:rFonts w:ascii="Arial" w:cs="Arial" w:eastAsia="Arial" w:hAnsi="Arial"/>
                <w:sz w:val="14"/>
                <w:szCs w:val="14"/>
                <w:b w:val="1"/>
                <w:bCs w:val="1"/>
                <w:color w:val="auto"/>
                <w:w w:val="98"/>
              </w:rPr>
              <w:t>Patricia A. Little</w:t>
            </w:r>
          </w:p>
        </w:tc>
        <w:tc>
          <w:tcPr>
            <w:tcW w:w="120" w:type="dxa"/>
            <w:vAlign w:val="bottom"/>
          </w:tcPr>
          <w:p>
            <w:pPr>
              <w:spacing w:after="0"/>
              <w:rPr>
                <w:sz w:val="20"/>
                <w:szCs w:val="20"/>
                <w:color w:val="auto"/>
              </w:rPr>
            </w:pPr>
          </w:p>
        </w:tc>
        <w:tc>
          <w:tcPr>
            <w:tcW w:w="4560" w:type="dxa"/>
            <w:vAlign w:val="bottom"/>
            <w:gridSpan w:val="2"/>
            <w:vMerge w:val="continue"/>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4460" w:type="dxa"/>
            <w:vAlign w:val="bottom"/>
          </w:tcPr>
          <w:p>
            <w:pPr>
              <w:jc w:val="center"/>
              <w:spacing w:after="0"/>
              <w:rPr>
                <w:sz w:val="20"/>
                <w:szCs w:val="20"/>
                <w:color w:val="auto"/>
              </w:rPr>
            </w:pPr>
            <w:r>
              <w:rPr>
                <w:rFonts w:ascii="Arial" w:cs="Arial" w:eastAsia="Arial" w:hAnsi="Arial"/>
                <w:sz w:val="18"/>
                <w:szCs w:val="18"/>
                <w:color w:val="auto"/>
                <w:w w:val="95"/>
              </w:rPr>
              <w:t>/S/ JAVIER H. IDROVO</w:t>
            </w:r>
          </w:p>
        </w:tc>
        <w:tc>
          <w:tcPr>
            <w:tcW w:w="120" w:type="dxa"/>
            <w:vAlign w:val="bottom"/>
          </w:tcPr>
          <w:p>
            <w:pPr>
              <w:spacing w:after="0"/>
              <w:rPr>
                <w:sz w:val="24"/>
                <w:szCs w:val="24"/>
                <w:color w:val="auto"/>
              </w:rPr>
            </w:pPr>
          </w:p>
        </w:tc>
        <w:tc>
          <w:tcPr>
            <w:tcW w:w="4560" w:type="dxa"/>
            <w:vAlign w:val="bottom"/>
            <w:gridSpan w:val="2"/>
          </w:tcPr>
          <w:p>
            <w:pPr>
              <w:ind w:left="40"/>
              <w:spacing w:after="0"/>
              <w:rPr>
                <w:sz w:val="20"/>
                <w:szCs w:val="20"/>
                <w:color w:val="auto"/>
              </w:rPr>
            </w:pPr>
            <w:r>
              <w:rPr>
                <w:rFonts w:ascii="Arial" w:cs="Arial" w:eastAsia="Arial" w:hAnsi="Arial"/>
                <w:sz w:val="18"/>
                <w:szCs w:val="18"/>
                <w:color w:val="auto"/>
              </w:rPr>
              <w:t>Chief Accounting Officer</w:t>
            </w:r>
          </w:p>
        </w:tc>
        <w:tc>
          <w:tcPr>
            <w:tcW w:w="2280" w:type="dxa"/>
            <w:vAlign w:val="bottom"/>
          </w:tcPr>
          <w:p>
            <w:pPr>
              <w:ind w:left="480"/>
              <w:spacing w:after="0"/>
              <w:rPr>
                <w:sz w:val="20"/>
                <w:szCs w:val="20"/>
                <w:color w:val="auto"/>
              </w:rPr>
            </w:pPr>
            <w:r>
              <w:rPr>
                <w:rFonts w:ascii="Arial" w:cs="Arial" w:eastAsia="Arial" w:hAnsi="Arial"/>
                <w:sz w:val="18"/>
                <w:szCs w:val="18"/>
                <w:color w:val="auto"/>
              </w:rPr>
              <w:t>February 21, 2017</w:t>
            </w:r>
          </w:p>
        </w:tc>
        <w:tc>
          <w:tcPr>
            <w:tcW w:w="0" w:type="dxa"/>
            <w:vAlign w:val="bottom"/>
          </w:tcPr>
          <w:p>
            <w:pPr>
              <w:spacing w:after="0"/>
              <w:rPr>
                <w:sz w:val="1"/>
                <w:szCs w:val="1"/>
                <w:color w:val="auto"/>
              </w:rPr>
            </w:pPr>
          </w:p>
        </w:tc>
      </w:tr>
      <w:tr>
        <w:trPr>
          <w:trHeight w:val="27"/>
        </w:trPr>
        <w:tc>
          <w:tcPr>
            <w:tcW w:w="4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gridSpan w:val="2"/>
            <w:vMerge w:val="restart"/>
          </w:tcPr>
          <w:p>
            <w:pPr>
              <w:ind w:left="40"/>
              <w:spacing w:after="0"/>
              <w:rPr>
                <w:sz w:val="20"/>
                <w:szCs w:val="20"/>
                <w:color w:val="auto"/>
              </w:rPr>
            </w:pPr>
            <w:r>
              <w:rPr>
                <w:rFonts w:ascii="Arial" w:cs="Arial" w:eastAsia="Arial" w:hAnsi="Arial"/>
                <w:sz w:val="18"/>
                <w:szCs w:val="18"/>
                <w:color w:val="auto"/>
              </w:rPr>
              <w:t>(Principal Accounting Officer)</w:t>
            </w: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460" w:type="dxa"/>
            <w:vAlign w:val="bottom"/>
          </w:tcPr>
          <w:p>
            <w:pPr>
              <w:jc w:val="center"/>
              <w:spacing w:after="0"/>
              <w:rPr>
                <w:sz w:val="20"/>
                <w:szCs w:val="20"/>
                <w:color w:val="auto"/>
              </w:rPr>
            </w:pPr>
            <w:r>
              <w:rPr>
                <w:rFonts w:ascii="Arial" w:cs="Arial" w:eastAsia="Arial" w:hAnsi="Arial"/>
                <w:sz w:val="14"/>
                <w:szCs w:val="14"/>
                <w:b w:val="1"/>
                <w:bCs w:val="1"/>
                <w:color w:val="auto"/>
                <w:w w:val="97"/>
              </w:rPr>
              <w:t>Javier H. Idrovo</w:t>
            </w:r>
          </w:p>
        </w:tc>
        <w:tc>
          <w:tcPr>
            <w:tcW w:w="120" w:type="dxa"/>
            <w:vAlign w:val="bottom"/>
          </w:tcPr>
          <w:p>
            <w:pPr>
              <w:spacing w:after="0"/>
              <w:rPr>
                <w:sz w:val="20"/>
                <w:szCs w:val="20"/>
                <w:color w:val="auto"/>
              </w:rPr>
            </w:pPr>
          </w:p>
        </w:tc>
        <w:tc>
          <w:tcPr>
            <w:tcW w:w="4560" w:type="dxa"/>
            <w:vAlign w:val="bottom"/>
            <w:gridSpan w:val="2"/>
            <w:vMerge w:val="continue"/>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4460" w:type="dxa"/>
            <w:vAlign w:val="bottom"/>
          </w:tcPr>
          <w:p>
            <w:pPr>
              <w:jc w:val="center"/>
              <w:spacing w:after="0"/>
              <w:rPr>
                <w:sz w:val="20"/>
                <w:szCs w:val="20"/>
                <w:color w:val="auto"/>
              </w:rPr>
            </w:pPr>
            <w:r>
              <w:rPr>
                <w:rFonts w:ascii="Arial" w:cs="Arial" w:eastAsia="Arial" w:hAnsi="Arial"/>
                <w:sz w:val="18"/>
                <w:szCs w:val="18"/>
                <w:color w:val="auto"/>
                <w:w w:val="96"/>
              </w:rPr>
              <w:t>/S/ PAMELA M. ARWAY</w:t>
            </w:r>
          </w:p>
        </w:tc>
        <w:tc>
          <w:tcPr>
            <w:tcW w:w="120" w:type="dxa"/>
            <w:vAlign w:val="bottom"/>
          </w:tcPr>
          <w:p>
            <w:pPr>
              <w:spacing w:after="0"/>
              <w:rPr>
                <w:sz w:val="24"/>
                <w:szCs w:val="24"/>
                <w:color w:val="auto"/>
              </w:rPr>
            </w:pPr>
          </w:p>
        </w:tc>
        <w:tc>
          <w:tcPr>
            <w:tcW w:w="456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480"/>
              <w:spacing w:after="0"/>
              <w:rPr>
                <w:sz w:val="20"/>
                <w:szCs w:val="20"/>
                <w:color w:val="auto"/>
              </w:rPr>
            </w:pPr>
            <w:r>
              <w:rPr>
                <w:rFonts w:ascii="Arial" w:cs="Arial" w:eastAsia="Arial" w:hAnsi="Arial"/>
                <w:sz w:val="18"/>
                <w:szCs w:val="18"/>
                <w:color w:val="auto"/>
              </w:rPr>
              <w:t>February 21, 2017</w:t>
            </w:r>
          </w:p>
        </w:tc>
        <w:tc>
          <w:tcPr>
            <w:tcW w:w="0" w:type="dxa"/>
            <w:vAlign w:val="bottom"/>
          </w:tcPr>
          <w:p>
            <w:pPr>
              <w:spacing w:after="0"/>
              <w:rPr>
                <w:sz w:val="1"/>
                <w:szCs w:val="1"/>
                <w:color w:val="auto"/>
              </w:rPr>
            </w:pPr>
          </w:p>
        </w:tc>
      </w:tr>
      <w:tr>
        <w:trPr>
          <w:trHeight w:val="27"/>
        </w:trPr>
        <w:tc>
          <w:tcPr>
            <w:tcW w:w="4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460" w:type="dxa"/>
            <w:vAlign w:val="bottom"/>
          </w:tcPr>
          <w:p>
            <w:pPr>
              <w:jc w:val="center"/>
              <w:spacing w:after="0"/>
              <w:rPr>
                <w:sz w:val="20"/>
                <w:szCs w:val="20"/>
                <w:color w:val="auto"/>
              </w:rPr>
            </w:pPr>
            <w:r>
              <w:rPr>
                <w:rFonts w:ascii="Arial" w:cs="Arial" w:eastAsia="Arial" w:hAnsi="Arial"/>
                <w:sz w:val="14"/>
                <w:szCs w:val="14"/>
                <w:b w:val="1"/>
                <w:bCs w:val="1"/>
                <w:color w:val="auto"/>
                <w:w w:val="97"/>
              </w:rPr>
              <w:t>Pamela M. Arway</w:t>
            </w:r>
          </w:p>
        </w:tc>
        <w:tc>
          <w:tcPr>
            <w:tcW w:w="12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8"/>
        </w:trPr>
        <w:tc>
          <w:tcPr>
            <w:tcW w:w="4460" w:type="dxa"/>
            <w:vAlign w:val="bottom"/>
          </w:tcPr>
          <w:p>
            <w:pPr>
              <w:jc w:val="center"/>
              <w:spacing w:after="0"/>
              <w:rPr>
                <w:sz w:val="20"/>
                <w:szCs w:val="20"/>
                <w:color w:val="auto"/>
              </w:rPr>
            </w:pPr>
            <w:r>
              <w:rPr>
                <w:rFonts w:ascii="Arial" w:cs="Arial" w:eastAsia="Arial" w:hAnsi="Arial"/>
                <w:sz w:val="18"/>
                <w:szCs w:val="18"/>
                <w:color w:val="auto"/>
                <w:w w:val="94"/>
              </w:rPr>
              <w:t>/S/ ROBERT F. CAVANAUGH</w:t>
            </w:r>
          </w:p>
        </w:tc>
        <w:tc>
          <w:tcPr>
            <w:tcW w:w="120" w:type="dxa"/>
            <w:vAlign w:val="bottom"/>
          </w:tcPr>
          <w:p>
            <w:pPr>
              <w:spacing w:after="0"/>
              <w:rPr>
                <w:sz w:val="24"/>
                <w:szCs w:val="24"/>
                <w:color w:val="auto"/>
              </w:rPr>
            </w:pPr>
          </w:p>
        </w:tc>
        <w:tc>
          <w:tcPr>
            <w:tcW w:w="456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480"/>
              <w:spacing w:after="0"/>
              <w:rPr>
                <w:sz w:val="20"/>
                <w:szCs w:val="20"/>
                <w:color w:val="auto"/>
              </w:rPr>
            </w:pPr>
            <w:r>
              <w:rPr>
                <w:rFonts w:ascii="Arial" w:cs="Arial" w:eastAsia="Arial" w:hAnsi="Arial"/>
                <w:sz w:val="18"/>
                <w:szCs w:val="18"/>
                <w:color w:val="auto"/>
              </w:rPr>
              <w:t>February 21, 2017</w:t>
            </w:r>
          </w:p>
        </w:tc>
        <w:tc>
          <w:tcPr>
            <w:tcW w:w="0" w:type="dxa"/>
            <w:vAlign w:val="bottom"/>
          </w:tcPr>
          <w:p>
            <w:pPr>
              <w:spacing w:after="0"/>
              <w:rPr>
                <w:sz w:val="1"/>
                <w:szCs w:val="1"/>
                <w:color w:val="auto"/>
              </w:rPr>
            </w:pPr>
          </w:p>
        </w:tc>
      </w:tr>
      <w:tr>
        <w:trPr>
          <w:trHeight w:val="27"/>
        </w:trPr>
        <w:tc>
          <w:tcPr>
            <w:tcW w:w="4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460" w:type="dxa"/>
            <w:vAlign w:val="bottom"/>
          </w:tcPr>
          <w:p>
            <w:pPr>
              <w:jc w:val="center"/>
              <w:spacing w:after="0"/>
              <w:rPr>
                <w:sz w:val="20"/>
                <w:szCs w:val="20"/>
                <w:color w:val="auto"/>
              </w:rPr>
            </w:pPr>
            <w:r>
              <w:rPr>
                <w:rFonts w:ascii="Arial" w:cs="Arial" w:eastAsia="Arial" w:hAnsi="Arial"/>
                <w:sz w:val="14"/>
                <w:szCs w:val="14"/>
                <w:b w:val="1"/>
                <w:bCs w:val="1"/>
                <w:color w:val="auto"/>
                <w:w w:val="93"/>
              </w:rPr>
              <w:t>Robert F. Cavanaugh</w:t>
            </w:r>
          </w:p>
        </w:tc>
        <w:tc>
          <w:tcPr>
            <w:tcW w:w="1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4460" w:type="dxa"/>
            <w:vAlign w:val="bottom"/>
          </w:tcPr>
          <w:p>
            <w:pPr>
              <w:jc w:val="center"/>
              <w:spacing w:after="0"/>
              <w:rPr>
                <w:sz w:val="20"/>
                <w:szCs w:val="20"/>
                <w:color w:val="auto"/>
              </w:rPr>
            </w:pPr>
            <w:r>
              <w:rPr>
                <w:rFonts w:ascii="Arial" w:cs="Arial" w:eastAsia="Arial" w:hAnsi="Arial"/>
                <w:sz w:val="18"/>
                <w:szCs w:val="18"/>
                <w:color w:val="auto"/>
                <w:w w:val="96"/>
              </w:rPr>
              <w:t>/S/ CHARLES A. DAVIS</w:t>
            </w:r>
          </w:p>
        </w:tc>
        <w:tc>
          <w:tcPr>
            <w:tcW w:w="120" w:type="dxa"/>
            <w:vAlign w:val="bottom"/>
          </w:tcPr>
          <w:p>
            <w:pPr>
              <w:spacing w:after="0"/>
              <w:rPr>
                <w:sz w:val="24"/>
                <w:szCs w:val="24"/>
                <w:color w:val="auto"/>
              </w:rPr>
            </w:pPr>
          </w:p>
        </w:tc>
        <w:tc>
          <w:tcPr>
            <w:tcW w:w="456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480"/>
              <w:spacing w:after="0"/>
              <w:rPr>
                <w:sz w:val="20"/>
                <w:szCs w:val="20"/>
                <w:color w:val="auto"/>
              </w:rPr>
            </w:pPr>
            <w:r>
              <w:rPr>
                <w:rFonts w:ascii="Arial" w:cs="Arial" w:eastAsia="Arial" w:hAnsi="Arial"/>
                <w:sz w:val="18"/>
                <w:szCs w:val="18"/>
                <w:color w:val="auto"/>
              </w:rPr>
              <w:t>February 21, 2017</w:t>
            </w:r>
          </w:p>
        </w:tc>
        <w:tc>
          <w:tcPr>
            <w:tcW w:w="0" w:type="dxa"/>
            <w:vAlign w:val="bottom"/>
          </w:tcPr>
          <w:p>
            <w:pPr>
              <w:spacing w:after="0"/>
              <w:rPr>
                <w:sz w:val="1"/>
                <w:szCs w:val="1"/>
                <w:color w:val="auto"/>
              </w:rPr>
            </w:pPr>
          </w:p>
        </w:tc>
      </w:tr>
      <w:tr>
        <w:trPr>
          <w:trHeight w:val="27"/>
        </w:trPr>
        <w:tc>
          <w:tcPr>
            <w:tcW w:w="4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460" w:type="dxa"/>
            <w:vAlign w:val="bottom"/>
          </w:tcPr>
          <w:p>
            <w:pPr>
              <w:jc w:val="center"/>
              <w:spacing w:after="0"/>
              <w:rPr>
                <w:sz w:val="20"/>
                <w:szCs w:val="20"/>
                <w:color w:val="auto"/>
              </w:rPr>
            </w:pPr>
            <w:r>
              <w:rPr>
                <w:rFonts w:ascii="Arial" w:cs="Arial" w:eastAsia="Arial" w:hAnsi="Arial"/>
                <w:sz w:val="14"/>
                <w:szCs w:val="14"/>
                <w:b w:val="1"/>
                <w:bCs w:val="1"/>
                <w:color w:val="auto"/>
                <w:w w:val="94"/>
              </w:rPr>
              <w:t>Charles A. Davis</w:t>
            </w:r>
          </w:p>
        </w:tc>
        <w:tc>
          <w:tcPr>
            <w:tcW w:w="1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4460" w:type="dxa"/>
            <w:vAlign w:val="bottom"/>
          </w:tcPr>
          <w:p>
            <w:pPr>
              <w:jc w:val="center"/>
              <w:spacing w:after="0"/>
              <w:rPr>
                <w:sz w:val="20"/>
                <w:szCs w:val="20"/>
                <w:color w:val="auto"/>
              </w:rPr>
            </w:pPr>
            <w:r>
              <w:rPr>
                <w:rFonts w:ascii="Arial" w:cs="Arial" w:eastAsia="Arial" w:hAnsi="Arial"/>
                <w:sz w:val="18"/>
                <w:szCs w:val="18"/>
                <w:color w:val="auto"/>
                <w:w w:val="99"/>
              </w:rPr>
              <w:t>/S/ MARY KAY HABEN</w:t>
            </w:r>
          </w:p>
        </w:tc>
        <w:tc>
          <w:tcPr>
            <w:tcW w:w="120" w:type="dxa"/>
            <w:vAlign w:val="bottom"/>
          </w:tcPr>
          <w:p>
            <w:pPr>
              <w:spacing w:after="0"/>
              <w:rPr>
                <w:sz w:val="24"/>
                <w:szCs w:val="24"/>
                <w:color w:val="auto"/>
              </w:rPr>
            </w:pPr>
          </w:p>
        </w:tc>
        <w:tc>
          <w:tcPr>
            <w:tcW w:w="456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480"/>
              <w:spacing w:after="0"/>
              <w:rPr>
                <w:sz w:val="20"/>
                <w:szCs w:val="20"/>
                <w:color w:val="auto"/>
              </w:rPr>
            </w:pPr>
            <w:r>
              <w:rPr>
                <w:rFonts w:ascii="Arial" w:cs="Arial" w:eastAsia="Arial" w:hAnsi="Arial"/>
                <w:sz w:val="18"/>
                <w:szCs w:val="18"/>
                <w:color w:val="auto"/>
              </w:rPr>
              <w:t>February 21, 2017</w:t>
            </w:r>
          </w:p>
        </w:tc>
        <w:tc>
          <w:tcPr>
            <w:tcW w:w="0" w:type="dxa"/>
            <w:vAlign w:val="bottom"/>
          </w:tcPr>
          <w:p>
            <w:pPr>
              <w:spacing w:after="0"/>
              <w:rPr>
                <w:sz w:val="1"/>
                <w:szCs w:val="1"/>
                <w:color w:val="auto"/>
              </w:rPr>
            </w:pPr>
          </w:p>
        </w:tc>
      </w:tr>
      <w:tr>
        <w:trPr>
          <w:trHeight w:val="27"/>
        </w:trPr>
        <w:tc>
          <w:tcPr>
            <w:tcW w:w="4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460" w:type="dxa"/>
            <w:vAlign w:val="bottom"/>
          </w:tcPr>
          <w:p>
            <w:pPr>
              <w:jc w:val="center"/>
              <w:spacing w:after="0"/>
              <w:rPr>
                <w:sz w:val="20"/>
                <w:szCs w:val="20"/>
                <w:color w:val="auto"/>
              </w:rPr>
            </w:pPr>
            <w:r>
              <w:rPr>
                <w:rFonts w:ascii="Arial" w:cs="Arial" w:eastAsia="Arial" w:hAnsi="Arial"/>
                <w:sz w:val="14"/>
                <w:szCs w:val="14"/>
                <w:b w:val="1"/>
                <w:bCs w:val="1"/>
                <w:color w:val="auto"/>
                <w:w w:val="99"/>
              </w:rPr>
              <w:t>Mary Kay Haben</w:t>
            </w:r>
          </w:p>
        </w:tc>
        <w:tc>
          <w:tcPr>
            <w:tcW w:w="1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4460" w:type="dxa"/>
            <w:vAlign w:val="bottom"/>
          </w:tcPr>
          <w:p>
            <w:pPr>
              <w:jc w:val="center"/>
              <w:spacing w:after="0"/>
              <w:rPr>
                <w:sz w:val="20"/>
                <w:szCs w:val="20"/>
                <w:color w:val="auto"/>
              </w:rPr>
            </w:pPr>
            <w:r>
              <w:rPr>
                <w:rFonts w:ascii="Arial" w:cs="Arial" w:eastAsia="Arial" w:hAnsi="Arial"/>
                <w:sz w:val="18"/>
                <w:szCs w:val="18"/>
                <w:color w:val="auto"/>
                <w:w w:val="97"/>
              </w:rPr>
              <w:t>/S/ ROBERT M. MALCOLM</w:t>
            </w:r>
          </w:p>
        </w:tc>
        <w:tc>
          <w:tcPr>
            <w:tcW w:w="120" w:type="dxa"/>
            <w:vAlign w:val="bottom"/>
          </w:tcPr>
          <w:p>
            <w:pPr>
              <w:spacing w:after="0"/>
              <w:rPr>
                <w:sz w:val="24"/>
                <w:szCs w:val="24"/>
                <w:color w:val="auto"/>
              </w:rPr>
            </w:pPr>
          </w:p>
        </w:tc>
        <w:tc>
          <w:tcPr>
            <w:tcW w:w="456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480"/>
              <w:spacing w:after="0"/>
              <w:rPr>
                <w:sz w:val="20"/>
                <w:szCs w:val="20"/>
                <w:color w:val="auto"/>
              </w:rPr>
            </w:pPr>
            <w:r>
              <w:rPr>
                <w:rFonts w:ascii="Arial" w:cs="Arial" w:eastAsia="Arial" w:hAnsi="Arial"/>
                <w:sz w:val="18"/>
                <w:szCs w:val="18"/>
                <w:color w:val="auto"/>
              </w:rPr>
              <w:t>February 21, 2017</w:t>
            </w:r>
          </w:p>
        </w:tc>
        <w:tc>
          <w:tcPr>
            <w:tcW w:w="0" w:type="dxa"/>
            <w:vAlign w:val="bottom"/>
          </w:tcPr>
          <w:p>
            <w:pPr>
              <w:spacing w:after="0"/>
              <w:rPr>
                <w:sz w:val="1"/>
                <w:szCs w:val="1"/>
                <w:color w:val="auto"/>
              </w:rPr>
            </w:pPr>
          </w:p>
        </w:tc>
      </w:tr>
      <w:tr>
        <w:trPr>
          <w:trHeight w:val="27"/>
        </w:trPr>
        <w:tc>
          <w:tcPr>
            <w:tcW w:w="4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460" w:type="dxa"/>
            <w:vAlign w:val="bottom"/>
          </w:tcPr>
          <w:p>
            <w:pPr>
              <w:jc w:val="center"/>
              <w:spacing w:after="0"/>
              <w:rPr>
                <w:sz w:val="20"/>
                <w:szCs w:val="20"/>
                <w:color w:val="auto"/>
              </w:rPr>
            </w:pPr>
            <w:r>
              <w:rPr>
                <w:rFonts w:ascii="Arial" w:cs="Arial" w:eastAsia="Arial" w:hAnsi="Arial"/>
                <w:sz w:val="14"/>
                <w:szCs w:val="14"/>
                <w:b w:val="1"/>
                <w:bCs w:val="1"/>
                <w:color w:val="auto"/>
                <w:w w:val="97"/>
              </w:rPr>
              <w:t>Robert M. Malcolm</w:t>
            </w:r>
          </w:p>
        </w:tc>
        <w:tc>
          <w:tcPr>
            <w:tcW w:w="1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4460" w:type="dxa"/>
            <w:vAlign w:val="bottom"/>
          </w:tcPr>
          <w:p>
            <w:pPr>
              <w:jc w:val="center"/>
              <w:spacing w:after="0"/>
              <w:rPr>
                <w:sz w:val="20"/>
                <w:szCs w:val="20"/>
                <w:color w:val="auto"/>
              </w:rPr>
            </w:pPr>
            <w:r>
              <w:rPr>
                <w:rFonts w:ascii="Arial" w:cs="Arial" w:eastAsia="Arial" w:hAnsi="Arial"/>
                <w:sz w:val="18"/>
                <w:szCs w:val="18"/>
                <w:color w:val="auto"/>
                <w:w w:val="96"/>
              </w:rPr>
              <w:t>/S/ JAMES M. MEAD</w:t>
            </w:r>
          </w:p>
        </w:tc>
        <w:tc>
          <w:tcPr>
            <w:tcW w:w="120" w:type="dxa"/>
            <w:vAlign w:val="bottom"/>
          </w:tcPr>
          <w:p>
            <w:pPr>
              <w:spacing w:after="0"/>
              <w:rPr>
                <w:sz w:val="24"/>
                <w:szCs w:val="24"/>
                <w:color w:val="auto"/>
              </w:rPr>
            </w:pPr>
          </w:p>
        </w:tc>
        <w:tc>
          <w:tcPr>
            <w:tcW w:w="456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480"/>
              <w:spacing w:after="0"/>
              <w:rPr>
                <w:sz w:val="20"/>
                <w:szCs w:val="20"/>
                <w:color w:val="auto"/>
              </w:rPr>
            </w:pPr>
            <w:r>
              <w:rPr>
                <w:rFonts w:ascii="Arial" w:cs="Arial" w:eastAsia="Arial" w:hAnsi="Arial"/>
                <w:sz w:val="18"/>
                <w:szCs w:val="18"/>
                <w:color w:val="auto"/>
              </w:rPr>
              <w:t>February 21, 2017</w:t>
            </w:r>
          </w:p>
        </w:tc>
        <w:tc>
          <w:tcPr>
            <w:tcW w:w="0" w:type="dxa"/>
            <w:vAlign w:val="bottom"/>
          </w:tcPr>
          <w:p>
            <w:pPr>
              <w:spacing w:after="0"/>
              <w:rPr>
                <w:sz w:val="1"/>
                <w:szCs w:val="1"/>
                <w:color w:val="auto"/>
              </w:rPr>
            </w:pPr>
          </w:p>
        </w:tc>
      </w:tr>
      <w:tr>
        <w:trPr>
          <w:trHeight w:val="27"/>
        </w:trPr>
        <w:tc>
          <w:tcPr>
            <w:tcW w:w="4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460" w:type="dxa"/>
            <w:vAlign w:val="bottom"/>
          </w:tcPr>
          <w:p>
            <w:pPr>
              <w:jc w:val="center"/>
              <w:spacing w:after="0"/>
              <w:rPr>
                <w:sz w:val="20"/>
                <w:szCs w:val="20"/>
                <w:color w:val="auto"/>
              </w:rPr>
            </w:pPr>
            <w:r>
              <w:rPr>
                <w:rFonts w:ascii="Arial" w:cs="Arial" w:eastAsia="Arial" w:hAnsi="Arial"/>
                <w:sz w:val="14"/>
                <w:szCs w:val="14"/>
                <w:b w:val="1"/>
                <w:bCs w:val="1"/>
                <w:color w:val="auto"/>
                <w:w w:val="95"/>
              </w:rPr>
              <w:t>James M. Mead</w:t>
            </w:r>
          </w:p>
        </w:tc>
        <w:tc>
          <w:tcPr>
            <w:tcW w:w="12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8"/>
        </w:trPr>
        <w:tc>
          <w:tcPr>
            <w:tcW w:w="4460" w:type="dxa"/>
            <w:vAlign w:val="bottom"/>
          </w:tcPr>
          <w:p>
            <w:pPr>
              <w:jc w:val="center"/>
              <w:spacing w:after="0"/>
              <w:rPr>
                <w:sz w:val="20"/>
                <w:szCs w:val="20"/>
                <w:color w:val="auto"/>
              </w:rPr>
            </w:pPr>
            <w:r>
              <w:rPr>
                <w:rFonts w:ascii="Arial" w:cs="Arial" w:eastAsia="Arial" w:hAnsi="Arial"/>
                <w:sz w:val="18"/>
                <w:szCs w:val="18"/>
                <w:color w:val="auto"/>
                <w:w w:val="95"/>
              </w:rPr>
              <w:t>/S/ JAMES E. NEVELS</w:t>
            </w:r>
          </w:p>
        </w:tc>
        <w:tc>
          <w:tcPr>
            <w:tcW w:w="120" w:type="dxa"/>
            <w:vAlign w:val="bottom"/>
          </w:tcPr>
          <w:p>
            <w:pPr>
              <w:spacing w:after="0"/>
              <w:rPr>
                <w:sz w:val="24"/>
                <w:szCs w:val="24"/>
                <w:color w:val="auto"/>
              </w:rPr>
            </w:pPr>
          </w:p>
        </w:tc>
        <w:tc>
          <w:tcPr>
            <w:tcW w:w="456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480"/>
              <w:spacing w:after="0"/>
              <w:rPr>
                <w:sz w:val="20"/>
                <w:szCs w:val="20"/>
                <w:color w:val="auto"/>
              </w:rPr>
            </w:pPr>
            <w:r>
              <w:rPr>
                <w:rFonts w:ascii="Arial" w:cs="Arial" w:eastAsia="Arial" w:hAnsi="Arial"/>
                <w:sz w:val="18"/>
                <w:szCs w:val="18"/>
                <w:color w:val="auto"/>
              </w:rPr>
              <w:t>February 21, 2017</w:t>
            </w:r>
          </w:p>
        </w:tc>
        <w:tc>
          <w:tcPr>
            <w:tcW w:w="0" w:type="dxa"/>
            <w:vAlign w:val="bottom"/>
          </w:tcPr>
          <w:p>
            <w:pPr>
              <w:spacing w:after="0"/>
              <w:rPr>
                <w:sz w:val="1"/>
                <w:szCs w:val="1"/>
                <w:color w:val="auto"/>
              </w:rPr>
            </w:pPr>
          </w:p>
        </w:tc>
      </w:tr>
      <w:tr>
        <w:trPr>
          <w:trHeight w:val="27"/>
        </w:trPr>
        <w:tc>
          <w:tcPr>
            <w:tcW w:w="4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460" w:type="dxa"/>
            <w:vAlign w:val="bottom"/>
          </w:tcPr>
          <w:p>
            <w:pPr>
              <w:jc w:val="center"/>
              <w:spacing w:after="0"/>
              <w:rPr>
                <w:sz w:val="20"/>
                <w:szCs w:val="20"/>
                <w:color w:val="auto"/>
              </w:rPr>
            </w:pPr>
            <w:r>
              <w:rPr>
                <w:rFonts w:ascii="Arial" w:cs="Arial" w:eastAsia="Arial" w:hAnsi="Arial"/>
                <w:sz w:val="14"/>
                <w:szCs w:val="14"/>
                <w:b w:val="1"/>
                <w:bCs w:val="1"/>
                <w:color w:val="auto"/>
                <w:w w:val="91"/>
              </w:rPr>
              <w:t>James E. Nevels</w:t>
            </w:r>
          </w:p>
        </w:tc>
        <w:tc>
          <w:tcPr>
            <w:tcW w:w="12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8"/>
        </w:trPr>
        <w:tc>
          <w:tcPr>
            <w:tcW w:w="4460" w:type="dxa"/>
            <w:vAlign w:val="bottom"/>
          </w:tcPr>
          <w:p>
            <w:pPr>
              <w:jc w:val="center"/>
              <w:ind w:left="259"/>
              <w:spacing w:after="0"/>
              <w:rPr>
                <w:sz w:val="20"/>
                <w:szCs w:val="20"/>
                <w:color w:val="auto"/>
              </w:rPr>
            </w:pPr>
            <w:r>
              <w:rPr>
                <w:rFonts w:ascii="Arial" w:cs="Arial" w:eastAsia="Arial" w:hAnsi="Arial"/>
                <w:sz w:val="18"/>
                <w:szCs w:val="18"/>
                <w:color w:val="auto"/>
                <w:w w:val="95"/>
              </w:rPr>
              <w:t>/S/ ANTHONY J. PALMER</w:t>
            </w:r>
          </w:p>
        </w:tc>
        <w:tc>
          <w:tcPr>
            <w:tcW w:w="120" w:type="dxa"/>
            <w:vAlign w:val="bottom"/>
          </w:tcPr>
          <w:p>
            <w:pPr>
              <w:spacing w:after="0"/>
              <w:rPr>
                <w:sz w:val="24"/>
                <w:szCs w:val="24"/>
                <w:color w:val="auto"/>
              </w:rPr>
            </w:pPr>
          </w:p>
        </w:tc>
        <w:tc>
          <w:tcPr>
            <w:tcW w:w="456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480"/>
              <w:spacing w:after="0"/>
              <w:rPr>
                <w:sz w:val="20"/>
                <w:szCs w:val="20"/>
                <w:color w:val="auto"/>
              </w:rPr>
            </w:pPr>
            <w:r>
              <w:rPr>
                <w:rFonts w:ascii="Arial" w:cs="Arial" w:eastAsia="Arial" w:hAnsi="Arial"/>
                <w:sz w:val="18"/>
                <w:szCs w:val="18"/>
                <w:color w:val="auto"/>
              </w:rPr>
              <w:t>February 21, 2017</w:t>
            </w:r>
          </w:p>
        </w:tc>
        <w:tc>
          <w:tcPr>
            <w:tcW w:w="0" w:type="dxa"/>
            <w:vAlign w:val="bottom"/>
          </w:tcPr>
          <w:p>
            <w:pPr>
              <w:spacing w:after="0"/>
              <w:rPr>
                <w:sz w:val="1"/>
                <w:szCs w:val="1"/>
                <w:color w:val="auto"/>
              </w:rPr>
            </w:pPr>
          </w:p>
        </w:tc>
      </w:tr>
      <w:tr>
        <w:trPr>
          <w:trHeight w:val="27"/>
        </w:trPr>
        <w:tc>
          <w:tcPr>
            <w:tcW w:w="4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460" w:type="dxa"/>
            <w:vAlign w:val="bottom"/>
          </w:tcPr>
          <w:p>
            <w:pPr>
              <w:jc w:val="center"/>
              <w:ind w:left="259"/>
              <w:spacing w:after="0"/>
              <w:rPr>
                <w:sz w:val="20"/>
                <w:szCs w:val="20"/>
                <w:color w:val="auto"/>
              </w:rPr>
            </w:pPr>
            <w:r>
              <w:rPr>
                <w:rFonts w:ascii="Arial" w:cs="Arial" w:eastAsia="Arial" w:hAnsi="Arial"/>
                <w:sz w:val="14"/>
                <w:szCs w:val="14"/>
                <w:b w:val="1"/>
                <w:bCs w:val="1"/>
                <w:color w:val="auto"/>
                <w:w w:val="94"/>
              </w:rPr>
              <w:t>Anthony J. Palmer</w:t>
            </w:r>
          </w:p>
        </w:tc>
        <w:tc>
          <w:tcPr>
            <w:tcW w:w="12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8"/>
        </w:trPr>
        <w:tc>
          <w:tcPr>
            <w:tcW w:w="4460" w:type="dxa"/>
            <w:vAlign w:val="bottom"/>
          </w:tcPr>
          <w:p>
            <w:pPr>
              <w:jc w:val="center"/>
              <w:ind w:left="259"/>
              <w:spacing w:after="0"/>
              <w:rPr>
                <w:sz w:val="20"/>
                <w:szCs w:val="20"/>
                <w:color w:val="auto"/>
              </w:rPr>
            </w:pPr>
            <w:r>
              <w:rPr>
                <w:rFonts w:ascii="Arial" w:cs="Arial" w:eastAsia="Arial" w:hAnsi="Arial"/>
                <w:sz w:val="18"/>
                <w:szCs w:val="18"/>
                <w:color w:val="auto"/>
                <w:w w:val="95"/>
              </w:rPr>
              <w:t>/S/ THOMAS J. RIDGE</w:t>
            </w:r>
          </w:p>
        </w:tc>
        <w:tc>
          <w:tcPr>
            <w:tcW w:w="120" w:type="dxa"/>
            <w:vAlign w:val="bottom"/>
          </w:tcPr>
          <w:p>
            <w:pPr>
              <w:spacing w:after="0"/>
              <w:rPr>
                <w:sz w:val="24"/>
                <w:szCs w:val="24"/>
                <w:color w:val="auto"/>
              </w:rPr>
            </w:pPr>
          </w:p>
        </w:tc>
        <w:tc>
          <w:tcPr>
            <w:tcW w:w="456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480"/>
              <w:spacing w:after="0"/>
              <w:rPr>
                <w:sz w:val="20"/>
                <w:szCs w:val="20"/>
                <w:color w:val="auto"/>
              </w:rPr>
            </w:pPr>
            <w:r>
              <w:rPr>
                <w:rFonts w:ascii="Arial" w:cs="Arial" w:eastAsia="Arial" w:hAnsi="Arial"/>
                <w:sz w:val="18"/>
                <w:szCs w:val="18"/>
                <w:color w:val="auto"/>
              </w:rPr>
              <w:t>February 21, 2017</w:t>
            </w:r>
          </w:p>
        </w:tc>
        <w:tc>
          <w:tcPr>
            <w:tcW w:w="0" w:type="dxa"/>
            <w:vAlign w:val="bottom"/>
          </w:tcPr>
          <w:p>
            <w:pPr>
              <w:spacing w:after="0"/>
              <w:rPr>
                <w:sz w:val="1"/>
                <w:szCs w:val="1"/>
                <w:color w:val="auto"/>
              </w:rPr>
            </w:pPr>
          </w:p>
        </w:tc>
      </w:tr>
      <w:tr>
        <w:trPr>
          <w:trHeight w:val="27"/>
        </w:trPr>
        <w:tc>
          <w:tcPr>
            <w:tcW w:w="4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460" w:type="dxa"/>
            <w:vAlign w:val="bottom"/>
          </w:tcPr>
          <w:p>
            <w:pPr>
              <w:jc w:val="center"/>
              <w:spacing w:after="0"/>
              <w:rPr>
                <w:sz w:val="20"/>
                <w:szCs w:val="20"/>
                <w:color w:val="auto"/>
              </w:rPr>
            </w:pPr>
            <w:r>
              <w:rPr>
                <w:rFonts w:ascii="Arial" w:cs="Arial" w:eastAsia="Arial" w:hAnsi="Arial"/>
                <w:sz w:val="14"/>
                <w:szCs w:val="14"/>
                <w:b w:val="1"/>
                <w:bCs w:val="1"/>
                <w:color w:val="auto"/>
                <w:w w:val="92"/>
              </w:rPr>
              <w:t>Thomas J. Ridge</w:t>
            </w:r>
          </w:p>
        </w:tc>
        <w:tc>
          <w:tcPr>
            <w:tcW w:w="12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8"/>
        </w:trPr>
        <w:tc>
          <w:tcPr>
            <w:tcW w:w="4460" w:type="dxa"/>
            <w:vAlign w:val="bottom"/>
          </w:tcPr>
          <w:p>
            <w:pPr>
              <w:jc w:val="center"/>
              <w:spacing w:after="0"/>
              <w:rPr>
                <w:sz w:val="20"/>
                <w:szCs w:val="20"/>
                <w:color w:val="auto"/>
              </w:rPr>
            </w:pPr>
            <w:r>
              <w:rPr>
                <w:rFonts w:ascii="Arial" w:cs="Arial" w:eastAsia="Arial" w:hAnsi="Arial"/>
                <w:sz w:val="18"/>
                <w:szCs w:val="18"/>
                <w:color w:val="auto"/>
                <w:w w:val="97"/>
              </w:rPr>
              <w:t>/S/ DAVID L. SHEDLARZ</w:t>
            </w:r>
          </w:p>
        </w:tc>
        <w:tc>
          <w:tcPr>
            <w:tcW w:w="120" w:type="dxa"/>
            <w:vAlign w:val="bottom"/>
          </w:tcPr>
          <w:p>
            <w:pPr>
              <w:spacing w:after="0"/>
              <w:rPr>
                <w:sz w:val="24"/>
                <w:szCs w:val="24"/>
                <w:color w:val="auto"/>
              </w:rPr>
            </w:pPr>
          </w:p>
        </w:tc>
        <w:tc>
          <w:tcPr>
            <w:tcW w:w="456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480"/>
              <w:spacing w:after="0"/>
              <w:rPr>
                <w:sz w:val="20"/>
                <w:szCs w:val="20"/>
                <w:color w:val="auto"/>
              </w:rPr>
            </w:pPr>
            <w:r>
              <w:rPr>
                <w:rFonts w:ascii="Arial" w:cs="Arial" w:eastAsia="Arial" w:hAnsi="Arial"/>
                <w:sz w:val="18"/>
                <w:szCs w:val="18"/>
                <w:color w:val="auto"/>
              </w:rPr>
              <w:t>February 21, 2017</w:t>
            </w:r>
          </w:p>
        </w:tc>
        <w:tc>
          <w:tcPr>
            <w:tcW w:w="0" w:type="dxa"/>
            <w:vAlign w:val="bottom"/>
          </w:tcPr>
          <w:p>
            <w:pPr>
              <w:spacing w:after="0"/>
              <w:rPr>
                <w:sz w:val="1"/>
                <w:szCs w:val="1"/>
                <w:color w:val="auto"/>
              </w:rPr>
            </w:pPr>
          </w:p>
        </w:tc>
      </w:tr>
      <w:tr>
        <w:trPr>
          <w:trHeight w:val="27"/>
        </w:trPr>
        <w:tc>
          <w:tcPr>
            <w:tcW w:w="4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460" w:type="dxa"/>
            <w:vAlign w:val="bottom"/>
          </w:tcPr>
          <w:p>
            <w:pPr>
              <w:jc w:val="center"/>
              <w:spacing w:after="0"/>
              <w:rPr>
                <w:sz w:val="20"/>
                <w:szCs w:val="20"/>
                <w:color w:val="auto"/>
              </w:rPr>
            </w:pPr>
            <w:r>
              <w:rPr>
                <w:rFonts w:ascii="Arial" w:cs="Arial" w:eastAsia="Arial" w:hAnsi="Arial"/>
                <w:sz w:val="14"/>
                <w:szCs w:val="14"/>
                <w:b w:val="1"/>
                <w:bCs w:val="1"/>
                <w:color w:val="auto"/>
                <w:w w:val="95"/>
              </w:rPr>
              <w:t>David L. Shedlarz</w:t>
            </w:r>
          </w:p>
        </w:tc>
        <w:tc>
          <w:tcPr>
            <w:tcW w:w="12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420"/>
          </w:cols>
          <w:pgMar w:left="240" w:top="580" w:right="239" w:bottom="1440" w:gutter="0" w:footer="0" w:header="0"/>
          <w:type w:val="continuous"/>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Schedule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HERSHEY COMPANY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2016, 2015 and 2014</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Additions</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Balance at</w:t>
            </w:r>
          </w:p>
        </w:tc>
        <w:tc>
          <w:tcPr>
            <w:tcW w:w="220" w:type="dxa"/>
            <w:vAlign w:val="bottom"/>
          </w:tcPr>
          <w:p>
            <w:pPr>
              <w:spacing w:after="0"/>
              <w:rPr>
                <w:sz w:val="13"/>
                <w:szCs w:val="13"/>
                <w:color w:val="auto"/>
              </w:rPr>
            </w:pPr>
          </w:p>
        </w:tc>
        <w:tc>
          <w:tcPr>
            <w:tcW w:w="11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Charged to</w:t>
            </w:r>
          </w:p>
        </w:tc>
        <w:tc>
          <w:tcPr>
            <w:tcW w:w="320" w:type="dxa"/>
            <w:vAlign w:val="bottom"/>
          </w:tcPr>
          <w:p>
            <w:pPr>
              <w:spacing w:after="0"/>
              <w:rPr>
                <w:sz w:val="13"/>
                <w:szCs w:val="13"/>
                <w:color w:val="auto"/>
              </w:rPr>
            </w:pPr>
          </w:p>
        </w:tc>
        <w:tc>
          <w:tcPr>
            <w:tcW w:w="104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5"/>
              </w:rPr>
              <w:t>Charged</w:t>
            </w:r>
          </w:p>
        </w:tc>
        <w:tc>
          <w:tcPr>
            <w:tcW w:w="220" w:type="dxa"/>
            <w:vAlign w:val="bottom"/>
          </w:tcPr>
          <w:p>
            <w:pPr>
              <w:spacing w:after="0"/>
              <w:rPr>
                <w:sz w:val="13"/>
                <w:szCs w:val="13"/>
                <w:color w:val="auto"/>
              </w:rPr>
            </w:pPr>
          </w:p>
        </w:tc>
        <w:tc>
          <w:tcPr>
            <w:tcW w:w="11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9"/>
              </w:rPr>
              <w:t>Deductions</w:t>
            </w:r>
          </w:p>
        </w:tc>
        <w:tc>
          <w:tcPr>
            <w:tcW w:w="260" w:type="dxa"/>
            <w:vAlign w:val="bottom"/>
          </w:tcPr>
          <w:p>
            <w:pPr>
              <w:spacing w:after="0"/>
              <w:rPr>
                <w:sz w:val="13"/>
                <w:szCs w:val="13"/>
                <w:color w:val="auto"/>
              </w:rPr>
            </w:pPr>
          </w:p>
        </w:tc>
        <w:tc>
          <w:tcPr>
            <w:tcW w:w="1000" w:type="dxa"/>
            <w:vAlign w:val="bottom"/>
          </w:tcPr>
          <w:p>
            <w:pPr>
              <w:jc w:val="center"/>
              <w:ind w:right="74"/>
              <w:spacing w:after="0" w:line="153" w:lineRule="exact"/>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49"/>
        </w:trPr>
        <w:tc>
          <w:tcPr>
            <w:tcW w:w="45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Description</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Beginning</w:t>
            </w:r>
          </w:p>
        </w:tc>
        <w:tc>
          <w:tcPr>
            <w:tcW w:w="22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Costs and</w:t>
            </w:r>
          </w:p>
        </w:tc>
        <w:tc>
          <w:tcPr>
            <w:tcW w:w="32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9"/>
              </w:rPr>
              <w:t>to Other</w:t>
            </w:r>
          </w:p>
        </w:tc>
        <w:tc>
          <w:tcPr>
            <w:tcW w:w="22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from</w:t>
            </w:r>
          </w:p>
        </w:tc>
        <w:tc>
          <w:tcPr>
            <w:tcW w:w="260" w:type="dxa"/>
            <w:vAlign w:val="bottom"/>
          </w:tcPr>
          <w:p>
            <w:pPr>
              <w:spacing w:after="0"/>
              <w:rPr>
                <w:sz w:val="12"/>
                <w:szCs w:val="12"/>
                <w:color w:val="auto"/>
              </w:rPr>
            </w:pPr>
          </w:p>
        </w:tc>
        <w:tc>
          <w:tcPr>
            <w:tcW w:w="100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w w:val="93"/>
              </w:rPr>
              <w:t>at End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2"/>
              </w:rPr>
              <w:t>of Period</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8"/>
              </w:rPr>
              <w:t>Expenses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90"/>
              </w:rPr>
              <w:t>Accounts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6"/>
              </w:rPr>
              <w:t>Reserves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2"/>
              </w:rPr>
              <w:t>of Period</w:t>
            </w:r>
          </w:p>
        </w:tc>
        <w:tc>
          <w:tcPr>
            <w:tcW w:w="0" w:type="dxa"/>
            <w:vAlign w:val="bottom"/>
          </w:tcPr>
          <w:p>
            <w:pPr>
              <w:spacing w:after="0"/>
              <w:rPr>
                <w:sz w:val="1"/>
                <w:szCs w:val="1"/>
                <w:color w:val="auto"/>
              </w:rPr>
            </w:pPr>
          </w:p>
        </w:tc>
      </w:tr>
      <w:tr>
        <w:trPr>
          <w:trHeight w:val="270"/>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In thousands of dollars</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For the year ended December 31, 2016</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Allowances deducted from assets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Accounts receivable—trade, net (a)</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32,638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174,314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(166,799)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40,153</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Valuation allowance on net deferred taxes (b)</w:t>
            </w:r>
          </w:p>
        </w:tc>
        <w:tc>
          <w:tcPr>
            <w:tcW w:w="2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207,055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28,430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235,485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Inventory obsolescence reserve (c)</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22,632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30,053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(32,642)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20,043</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 allowances deducted from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262,325</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232,797</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(199,441)</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295,681</w:t>
            </w:r>
          </w:p>
        </w:tc>
        <w:tc>
          <w:tcPr>
            <w:tcW w:w="0" w:type="dxa"/>
            <w:vAlign w:val="bottom"/>
          </w:tcPr>
          <w:p>
            <w:pPr>
              <w:spacing w:after="0"/>
              <w:rPr>
                <w:sz w:val="1"/>
                <w:szCs w:val="1"/>
                <w:color w:val="auto"/>
              </w:rPr>
            </w:pPr>
          </w:p>
        </w:tc>
      </w:tr>
      <w:tr>
        <w:trPr>
          <w:trHeight w:val="176"/>
        </w:trPr>
        <w:tc>
          <w:tcPr>
            <w:tcW w:w="4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4700" w:type="dxa"/>
            <w:vAlign w:val="bottom"/>
            <w:gridSpan w:val="2"/>
          </w:tcPr>
          <w:p>
            <w:pPr>
              <w:ind w:left="40"/>
              <w:spacing w:after="0"/>
              <w:rPr>
                <w:sz w:val="20"/>
                <w:szCs w:val="20"/>
                <w:color w:val="auto"/>
              </w:rPr>
            </w:pPr>
            <w:r>
              <w:rPr>
                <w:rFonts w:ascii="Arial" w:cs="Arial" w:eastAsia="Arial" w:hAnsi="Arial"/>
                <w:sz w:val="14"/>
                <w:szCs w:val="14"/>
                <w:b w:val="1"/>
                <w:bCs w:val="1"/>
                <w:color w:val="auto"/>
              </w:rPr>
              <w:t>For the year ended December 31, 2015</w:t>
            </w: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Allowances deducted from assets</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Accounts receivable—trade, net (a)</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15,885</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172,622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(155,869)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32,638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Valuation allowance on net deferred taxes (b)</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147,223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59,832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207,055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Inventory obsolescence reserve (c)</w:t>
            </w:r>
          </w:p>
        </w:tc>
        <w:tc>
          <w:tcPr>
            <w:tcW w:w="2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11,748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32,434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(21,550)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22,632</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allowances deducted from assets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174,856</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264,888</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(177,419)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262,325</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For the year ended December 31, 2014</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Allowances deducted from assets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Accounts receivable—trade, net (a)</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14,329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153,652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(152,096)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15,885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Valuation allowance on net deferred taxes (b)</w:t>
            </w:r>
          </w:p>
        </w:tc>
        <w:tc>
          <w:tcPr>
            <w:tcW w:w="2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87,159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60,064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147,223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Inventory obsolescence reserve (c)</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24,660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(13,476)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11,748</w:t>
            </w:r>
          </w:p>
        </w:tc>
        <w:tc>
          <w:tcPr>
            <w:tcW w:w="0" w:type="dxa"/>
            <w:vAlign w:val="bottom"/>
          </w:tcPr>
          <w:p>
            <w:pPr>
              <w:spacing w:after="0"/>
              <w:rPr>
                <w:sz w:val="1"/>
                <w:szCs w:val="1"/>
                <w:color w:val="auto"/>
              </w:rPr>
            </w:pPr>
          </w:p>
        </w:tc>
      </w:tr>
      <w:tr>
        <w:trPr>
          <w:trHeight w:val="25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 allowances deducted from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102,052</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238,376</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(165,572)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174,856</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left="500" w:hanging="249"/>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allowances for doubtful accounts, anticipated discounts and write-offs of uncollectible accounts receivable.</w:t>
      </w:r>
    </w:p>
    <w:p>
      <w:pPr>
        <w:spacing w:after="0" w:line="23" w:lineRule="exact"/>
        <w:rPr>
          <w:rFonts w:ascii="Arial" w:cs="Arial" w:eastAsia="Arial" w:hAnsi="Arial"/>
          <w:sz w:val="18"/>
          <w:szCs w:val="18"/>
          <w:color w:val="auto"/>
        </w:rPr>
      </w:pPr>
    </w:p>
    <w:p>
      <w:pPr>
        <w:ind w:left="500" w:hanging="249"/>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adjustments to the valuation allowance for deferred tax assets that we do not expect to realize.</w:t>
      </w:r>
    </w:p>
    <w:p>
      <w:pPr>
        <w:spacing w:after="0" w:line="9" w:lineRule="exact"/>
        <w:rPr>
          <w:rFonts w:ascii="Arial" w:cs="Arial" w:eastAsia="Arial" w:hAnsi="Arial"/>
          <w:sz w:val="18"/>
          <w:szCs w:val="18"/>
          <w:color w:val="auto"/>
        </w:rPr>
      </w:pPr>
    </w:p>
    <w:p>
      <w:pPr>
        <w:ind w:left="500" w:hanging="249"/>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adjustments to the inventory reserve, transfers, disposals and write-offs of obsolete inventory.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580" w:right="2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10"/>
        </w:trPr>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20" w:type="dxa"/>
            <w:vAlign w:val="bottom"/>
          </w:tcPr>
          <w:p>
            <w:pPr>
              <w:ind w:left="3560"/>
              <w:spacing w:after="0"/>
              <w:rPr>
                <w:sz w:val="20"/>
                <w:szCs w:val="20"/>
                <w:color w:val="auto"/>
              </w:rPr>
            </w:pPr>
            <w:r>
              <w:rPr>
                <w:rFonts w:ascii="Arial" w:cs="Arial" w:eastAsia="Arial" w:hAnsi="Arial"/>
                <w:sz w:val="16"/>
                <w:szCs w:val="16"/>
                <w:b w:val="1"/>
                <w:bCs w:val="1"/>
                <w:color w:val="auto"/>
              </w:rPr>
              <w:t>EXHIBIT INDEX</w:t>
            </w:r>
          </w:p>
        </w:tc>
      </w:tr>
      <w:tr>
        <w:trPr>
          <w:trHeight w:val="573"/>
        </w:trPr>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Exhibit</w:t>
            </w:r>
          </w:p>
        </w:tc>
        <w:tc>
          <w:tcPr>
            <w:tcW w:w="180" w:type="dxa"/>
            <w:vAlign w:val="bottom"/>
          </w:tcPr>
          <w:p>
            <w:pPr>
              <w:spacing w:after="0"/>
              <w:rPr>
                <w:sz w:val="24"/>
                <w:szCs w:val="24"/>
                <w:color w:val="auto"/>
              </w:rPr>
            </w:pPr>
          </w:p>
        </w:tc>
        <w:tc>
          <w:tcPr>
            <w:tcW w:w="9820" w:type="dxa"/>
            <w:vAlign w:val="bottom"/>
          </w:tcPr>
          <w:p>
            <w:pPr>
              <w:spacing w:after="0"/>
              <w:rPr>
                <w:sz w:val="24"/>
                <w:szCs w:val="24"/>
                <w:color w:val="auto"/>
              </w:rPr>
            </w:pPr>
          </w:p>
        </w:tc>
      </w:tr>
      <w:tr>
        <w:trPr>
          <w:trHeight w:val="210"/>
        </w:trPr>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5"/>
              </w:rPr>
              <w:t>Number</w:t>
            </w:r>
          </w:p>
        </w:tc>
        <w:tc>
          <w:tcPr>
            <w:tcW w:w="180" w:type="dxa"/>
            <w:vAlign w:val="bottom"/>
          </w:tcPr>
          <w:p>
            <w:pPr>
              <w:spacing w:after="0"/>
              <w:rPr>
                <w:sz w:val="18"/>
                <w:szCs w:val="18"/>
                <w:color w:val="auto"/>
              </w:rPr>
            </w:pPr>
          </w:p>
        </w:tc>
        <w:tc>
          <w:tcPr>
            <w:tcW w:w="9820" w:type="dxa"/>
            <w:vAlign w:val="bottom"/>
          </w:tcPr>
          <w:p>
            <w:pPr>
              <w:ind w:left="4420"/>
              <w:spacing w:after="0"/>
              <w:rPr>
                <w:sz w:val="20"/>
                <w:szCs w:val="20"/>
                <w:color w:val="auto"/>
              </w:rPr>
            </w:pPr>
            <w:r>
              <w:rPr>
                <w:rFonts w:ascii="Arial" w:cs="Arial" w:eastAsia="Arial" w:hAnsi="Arial"/>
                <w:sz w:val="16"/>
                <w:szCs w:val="16"/>
                <w:b w:val="1"/>
                <w:bCs w:val="1"/>
                <w:color w:val="auto"/>
              </w:rPr>
              <w:t>Description</w:t>
            </w:r>
          </w:p>
        </w:tc>
      </w:tr>
      <w:tr>
        <w:trPr>
          <w:trHeight w:val="33"/>
        </w:trPr>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0" w:type="dxa"/>
            <w:vAlign w:val="bottom"/>
            <w:tcBorders>
              <w:bottom w:val="single" w:sz="8" w:color="auto"/>
            </w:tcBorders>
            <w:gridSpan w:val="2"/>
          </w:tcPr>
          <w:p>
            <w:pPr>
              <w:spacing w:after="0"/>
              <w:rPr>
                <w:sz w:val="2"/>
                <w:szCs w:val="2"/>
                <w:color w:val="auto"/>
              </w:rPr>
            </w:pPr>
          </w:p>
        </w:tc>
      </w:tr>
      <w:tr>
        <w:trPr>
          <w:trHeight w:val="213"/>
        </w:trPr>
        <w:tc>
          <w:tcPr>
            <w:tcW w:w="1120" w:type="dxa"/>
            <w:vAlign w:val="bottom"/>
          </w:tcPr>
          <w:p>
            <w:pPr>
              <w:jc w:val="center"/>
              <w:spacing w:after="0"/>
              <w:rPr>
                <w:sz w:val="20"/>
                <w:szCs w:val="20"/>
                <w:color w:val="auto"/>
              </w:rPr>
            </w:pPr>
            <w:r>
              <w:rPr>
                <w:rFonts w:ascii="Arial" w:cs="Arial" w:eastAsia="Arial" w:hAnsi="Arial"/>
                <w:sz w:val="16"/>
                <w:szCs w:val="16"/>
                <w:color w:val="auto"/>
                <w:w w:val="89"/>
              </w:rPr>
              <w:t>2.1</w:t>
            </w:r>
          </w:p>
        </w:tc>
        <w:tc>
          <w:tcPr>
            <w:tcW w:w="120" w:type="dxa"/>
            <w:vAlign w:val="bottom"/>
          </w:tcPr>
          <w:p>
            <w:pPr>
              <w:spacing w:after="0"/>
              <w:rPr>
                <w:sz w:val="18"/>
                <w:szCs w:val="18"/>
                <w:color w:val="auto"/>
              </w:rPr>
            </w:pPr>
          </w:p>
        </w:tc>
        <w:tc>
          <w:tcPr>
            <w:tcW w:w="10000" w:type="dxa"/>
            <w:vAlign w:val="bottom"/>
            <w:gridSpan w:val="2"/>
          </w:tcPr>
          <w:p>
            <w:pPr>
              <w:ind w:left="20"/>
              <w:spacing w:after="0"/>
              <w:rPr>
                <w:sz w:val="20"/>
                <w:szCs w:val="20"/>
                <w:color w:val="auto"/>
              </w:rPr>
            </w:pPr>
            <w:r>
              <w:rPr>
                <w:rFonts w:ascii="Arial" w:cs="Arial" w:eastAsia="Arial" w:hAnsi="Arial"/>
                <w:sz w:val="16"/>
                <w:szCs w:val="16"/>
                <w:color w:val="auto"/>
                <w:w w:val="92"/>
              </w:rPr>
              <w:t>Share Purchase Agreement by and among Shanghai Golden Monkey Food Joint Stock Co., Ltd., various shareholders thereof and Hershey Netherlands</w:t>
            </w:r>
          </w:p>
        </w:tc>
      </w:tr>
      <w:tr>
        <w:trPr>
          <w:trHeight w:val="203"/>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0" w:type="dxa"/>
            <w:vAlign w:val="bottom"/>
            <w:gridSpan w:val="2"/>
          </w:tcPr>
          <w:p>
            <w:pPr>
              <w:ind w:left="20"/>
              <w:spacing w:after="0"/>
              <w:rPr>
                <w:sz w:val="20"/>
                <w:szCs w:val="20"/>
                <w:color w:val="auto"/>
              </w:rPr>
            </w:pPr>
            <w:r>
              <w:rPr>
                <w:rFonts w:ascii="Arial" w:cs="Arial" w:eastAsia="Arial" w:hAnsi="Arial"/>
                <w:sz w:val="16"/>
                <w:szCs w:val="16"/>
                <w:color w:val="auto"/>
                <w:w w:val="95"/>
              </w:rPr>
              <w:t>B.V., a wholly-owned subsidiary of the Company, as of December 18, 2013, is incorporated by reference from Exhibit 2.1 to the Company’s Annual</w:t>
            </w:r>
          </w:p>
        </w:tc>
      </w:tr>
      <w:tr>
        <w:trPr>
          <w:trHeight w:val="20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0" w:type="dxa"/>
            <w:vAlign w:val="bottom"/>
            <w:gridSpan w:val="2"/>
          </w:tcPr>
          <w:p>
            <w:pPr>
              <w:ind w:left="20"/>
              <w:spacing w:after="0"/>
              <w:rPr>
                <w:sz w:val="20"/>
                <w:szCs w:val="20"/>
                <w:color w:val="auto"/>
              </w:rPr>
            </w:pPr>
            <w:r>
              <w:rPr>
                <w:rFonts w:ascii="Arial" w:cs="Arial" w:eastAsia="Arial" w:hAnsi="Arial"/>
                <w:sz w:val="16"/>
                <w:szCs w:val="16"/>
                <w:color w:val="auto"/>
              </w:rPr>
              <w:t>Report on Form 10-K for the fiscal year ended December 31, 2013.</w:t>
            </w:r>
          </w:p>
        </w:tc>
      </w:tr>
      <w:tr>
        <w:trPr>
          <w:trHeight w:val="253"/>
        </w:trPr>
        <w:tc>
          <w:tcPr>
            <w:tcW w:w="1120" w:type="dxa"/>
            <w:vAlign w:val="bottom"/>
          </w:tcPr>
          <w:p>
            <w:pPr>
              <w:jc w:val="center"/>
              <w:spacing w:after="0"/>
              <w:rPr>
                <w:sz w:val="20"/>
                <w:szCs w:val="20"/>
                <w:color w:val="auto"/>
              </w:rPr>
            </w:pPr>
            <w:r>
              <w:rPr>
                <w:rFonts w:ascii="Arial" w:cs="Arial" w:eastAsia="Arial" w:hAnsi="Arial"/>
                <w:sz w:val="16"/>
                <w:szCs w:val="16"/>
                <w:color w:val="auto"/>
                <w:w w:val="89"/>
              </w:rPr>
              <w:t>3.1</w:t>
            </w:r>
          </w:p>
        </w:tc>
        <w:tc>
          <w:tcPr>
            <w:tcW w:w="120" w:type="dxa"/>
            <w:vAlign w:val="bottom"/>
          </w:tcPr>
          <w:p>
            <w:pPr>
              <w:spacing w:after="0"/>
              <w:rPr>
                <w:sz w:val="21"/>
                <w:szCs w:val="21"/>
                <w:color w:val="auto"/>
              </w:rPr>
            </w:pPr>
          </w:p>
        </w:tc>
        <w:tc>
          <w:tcPr>
            <w:tcW w:w="10000" w:type="dxa"/>
            <w:vAlign w:val="bottom"/>
            <w:gridSpan w:val="2"/>
          </w:tcPr>
          <w:p>
            <w:pPr>
              <w:ind w:left="20"/>
              <w:spacing w:after="0"/>
              <w:rPr>
                <w:sz w:val="20"/>
                <w:szCs w:val="20"/>
                <w:color w:val="auto"/>
              </w:rPr>
            </w:pPr>
            <w:r>
              <w:rPr>
                <w:rFonts w:ascii="Arial" w:cs="Arial" w:eastAsia="Arial" w:hAnsi="Arial"/>
                <w:sz w:val="16"/>
                <w:szCs w:val="16"/>
                <w:color w:val="auto"/>
                <w:w w:val="94"/>
              </w:rPr>
              <w:t>The Company’s Restated Certificate of Incorporation, as amended, is incorporated by reference from Exhibit 3 to the Company’s Quarterly Report on</w:t>
            </w:r>
          </w:p>
        </w:tc>
      </w:tr>
      <w:tr>
        <w:trPr>
          <w:trHeight w:val="20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0" w:type="dxa"/>
            <w:vAlign w:val="bottom"/>
            <w:gridSpan w:val="2"/>
          </w:tcPr>
          <w:p>
            <w:pPr>
              <w:ind w:left="20"/>
              <w:spacing w:after="0"/>
              <w:rPr>
                <w:sz w:val="20"/>
                <w:szCs w:val="20"/>
                <w:color w:val="auto"/>
              </w:rPr>
            </w:pPr>
            <w:r>
              <w:rPr>
                <w:rFonts w:ascii="Arial" w:cs="Arial" w:eastAsia="Arial" w:hAnsi="Arial"/>
                <w:sz w:val="16"/>
                <w:szCs w:val="16"/>
                <w:color w:val="auto"/>
              </w:rPr>
              <w:t>Form 10-Q for the quarter ended April 3, 2005.</w:t>
            </w:r>
          </w:p>
        </w:tc>
      </w:tr>
      <w:tr>
        <w:trPr>
          <w:trHeight w:val="334"/>
        </w:trPr>
        <w:tc>
          <w:tcPr>
            <w:tcW w:w="1120" w:type="dxa"/>
            <w:vAlign w:val="bottom"/>
          </w:tcPr>
          <w:p>
            <w:pPr>
              <w:jc w:val="center"/>
              <w:spacing w:after="0"/>
              <w:rPr>
                <w:sz w:val="20"/>
                <w:szCs w:val="20"/>
                <w:color w:val="auto"/>
              </w:rPr>
            </w:pPr>
            <w:r>
              <w:rPr>
                <w:rFonts w:ascii="Arial" w:cs="Arial" w:eastAsia="Arial" w:hAnsi="Arial"/>
                <w:sz w:val="16"/>
                <w:szCs w:val="16"/>
                <w:color w:val="auto"/>
                <w:w w:val="89"/>
              </w:rPr>
              <w:t>3.2</w:t>
            </w:r>
          </w:p>
        </w:tc>
        <w:tc>
          <w:tcPr>
            <w:tcW w:w="120" w:type="dxa"/>
            <w:vAlign w:val="bottom"/>
          </w:tcPr>
          <w:p>
            <w:pPr>
              <w:spacing w:after="0"/>
              <w:rPr>
                <w:sz w:val="24"/>
                <w:szCs w:val="24"/>
                <w:color w:val="auto"/>
              </w:rPr>
            </w:pPr>
          </w:p>
        </w:tc>
        <w:tc>
          <w:tcPr>
            <w:tcW w:w="10000" w:type="dxa"/>
            <w:vAlign w:val="bottom"/>
            <w:gridSpan w:val="2"/>
          </w:tcPr>
          <w:p>
            <w:pPr>
              <w:ind w:left="20"/>
              <w:spacing w:after="0"/>
              <w:rPr>
                <w:sz w:val="20"/>
                <w:szCs w:val="20"/>
                <w:color w:val="auto"/>
              </w:rPr>
            </w:pPr>
            <w:r>
              <w:rPr>
                <w:rFonts w:ascii="Arial" w:cs="Arial" w:eastAsia="Arial" w:hAnsi="Arial"/>
                <w:sz w:val="16"/>
                <w:szCs w:val="16"/>
                <w:color w:val="auto"/>
                <w:w w:val="93"/>
              </w:rPr>
              <w:t>The Company's By-laws, as amended and restated as of April 1, 2015, are incorporated by reference from Exhibit 3.1 to the Company’s Current Report</w:t>
            </w:r>
          </w:p>
        </w:tc>
      </w:tr>
      <w:tr>
        <w:trPr>
          <w:trHeight w:val="20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0" w:type="dxa"/>
            <w:vAlign w:val="bottom"/>
            <w:gridSpan w:val="2"/>
          </w:tcPr>
          <w:p>
            <w:pPr>
              <w:ind w:left="20"/>
              <w:spacing w:after="0"/>
              <w:rPr>
                <w:sz w:val="20"/>
                <w:szCs w:val="20"/>
                <w:color w:val="auto"/>
              </w:rPr>
            </w:pPr>
            <w:r>
              <w:rPr>
                <w:rFonts w:ascii="Arial" w:cs="Arial" w:eastAsia="Arial" w:hAnsi="Arial"/>
                <w:sz w:val="16"/>
                <w:szCs w:val="16"/>
                <w:color w:val="auto"/>
              </w:rPr>
              <w:t>on Form 8-K filed April 2, 2015.</w:t>
            </w:r>
          </w:p>
        </w:tc>
      </w:tr>
      <w:tr>
        <w:trPr>
          <w:trHeight w:val="334"/>
        </w:trPr>
        <w:tc>
          <w:tcPr>
            <w:tcW w:w="112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120" w:type="dxa"/>
            <w:vAlign w:val="bottom"/>
          </w:tcPr>
          <w:p>
            <w:pPr>
              <w:spacing w:after="0"/>
              <w:rPr>
                <w:sz w:val="24"/>
                <w:szCs w:val="24"/>
                <w:color w:val="auto"/>
              </w:rPr>
            </w:pPr>
          </w:p>
        </w:tc>
        <w:tc>
          <w:tcPr>
            <w:tcW w:w="10000" w:type="dxa"/>
            <w:vAlign w:val="bottom"/>
            <w:gridSpan w:val="2"/>
          </w:tcPr>
          <w:p>
            <w:pPr>
              <w:ind w:left="20"/>
              <w:spacing w:after="0"/>
              <w:rPr>
                <w:sz w:val="20"/>
                <w:szCs w:val="20"/>
                <w:color w:val="auto"/>
              </w:rPr>
            </w:pPr>
            <w:r>
              <w:rPr>
                <w:rFonts w:ascii="Arial" w:cs="Arial" w:eastAsia="Arial" w:hAnsi="Arial"/>
                <w:sz w:val="16"/>
                <w:szCs w:val="16"/>
                <w:color w:val="auto"/>
                <w:w w:val="96"/>
              </w:rPr>
              <w:t>The Company has issued certain long-term debt instruments, no one class of which creates indebtedness exceeding 10% of the total assets of the</w:t>
            </w:r>
          </w:p>
        </w:tc>
      </w:tr>
      <w:tr>
        <w:trPr>
          <w:trHeight w:val="20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0" w:type="dxa"/>
            <w:vAlign w:val="bottom"/>
            <w:gridSpan w:val="2"/>
          </w:tcPr>
          <w:p>
            <w:pPr>
              <w:ind w:left="20"/>
              <w:spacing w:after="0"/>
              <w:rPr>
                <w:sz w:val="20"/>
                <w:szCs w:val="20"/>
                <w:color w:val="auto"/>
              </w:rPr>
            </w:pPr>
            <w:r>
              <w:rPr>
                <w:rFonts w:ascii="Arial" w:cs="Arial" w:eastAsia="Arial" w:hAnsi="Arial"/>
                <w:sz w:val="16"/>
                <w:szCs w:val="16"/>
                <w:color w:val="auto"/>
              </w:rPr>
              <w:t>Company and its subsidiaries on a consolidated basis. These classes consist of the following:</w:t>
            </w:r>
          </w:p>
        </w:tc>
      </w:tr>
      <w:tr>
        <w:trPr>
          <w:trHeight w:val="338"/>
        </w:trPr>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w w:val="98"/>
              </w:rPr>
              <w:t>1)</w:t>
            </w:r>
          </w:p>
        </w:tc>
        <w:tc>
          <w:tcPr>
            <w:tcW w:w="9820" w:type="dxa"/>
            <w:vAlign w:val="bottom"/>
          </w:tcPr>
          <w:p>
            <w:pPr>
              <w:ind w:left="20"/>
              <w:spacing w:after="0"/>
              <w:rPr>
                <w:sz w:val="20"/>
                <w:szCs w:val="20"/>
                <w:color w:val="auto"/>
              </w:rPr>
            </w:pPr>
            <w:r>
              <w:rPr>
                <w:rFonts w:ascii="Arial" w:cs="Arial" w:eastAsia="Arial" w:hAnsi="Arial"/>
                <w:sz w:val="16"/>
                <w:szCs w:val="16"/>
                <w:color w:val="auto"/>
              </w:rPr>
              <w:t>1.600% Notes due 2018</w:t>
            </w:r>
          </w:p>
        </w:tc>
      </w:tr>
      <w:tr>
        <w:trPr>
          <w:trHeight w:val="270"/>
        </w:trPr>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w w:val="98"/>
              </w:rPr>
              <w:t>2)</w:t>
            </w:r>
          </w:p>
        </w:tc>
        <w:tc>
          <w:tcPr>
            <w:tcW w:w="9820" w:type="dxa"/>
            <w:vAlign w:val="bottom"/>
          </w:tcPr>
          <w:p>
            <w:pPr>
              <w:ind w:left="20"/>
              <w:spacing w:after="0"/>
              <w:rPr>
                <w:sz w:val="20"/>
                <w:szCs w:val="20"/>
                <w:color w:val="auto"/>
              </w:rPr>
            </w:pPr>
            <w:r>
              <w:rPr>
                <w:rFonts w:ascii="Arial" w:cs="Arial" w:eastAsia="Arial" w:hAnsi="Arial"/>
                <w:sz w:val="16"/>
                <w:szCs w:val="16"/>
                <w:color w:val="auto"/>
              </w:rPr>
              <w:t>4.125% Notes due 2020</w:t>
            </w:r>
          </w:p>
        </w:tc>
      </w:tr>
      <w:tr>
        <w:trPr>
          <w:trHeight w:val="270"/>
        </w:trPr>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w w:val="98"/>
              </w:rPr>
              <w:t>3)</w:t>
            </w:r>
          </w:p>
        </w:tc>
        <w:tc>
          <w:tcPr>
            <w:tcW w:w="9820" w:type="dxa"/>
            <w:vAlign w:val="bottom"/>
          </w:tcPr>
          <w:p>
            <w:pPr>
              <w:ind w:left="20"/>
              <w:spacing w:after="0"/>
              <w:rPr>
                <w:sz w:val="20"/>
                <w:szCs w:val="20"/>
                <w:color w:val="auto"/>
              </w:rPr>
            </w:pPr>
            <w:r>
              <w:rPr>
                <w:rFonts w:ascii="Arial" w:cs="Arial" w:eastAsia="Arial" w:hAnsi="Arial"/>
                <w:sz w:val="16"/>
                <w:szCs w:val="16"/>
                <w:color w:val="auto"/>
              </w:rPr>
              <w:t>8.8% Debentures due 2021</w:t>
            </w:r>
          </w:p>
        </w:tc>
      </w:tr>
      <w:tr>
        <w:trPr>
          <w:trHeight w:val="270"/>
        </w:trPr>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w w:val="98"/>
              </w:rPr>
              <w:t>4)</w:t>
            </w:r>
          </w:p>
        </w:tc>
        <w:tc>
          <w:tcPr>
            <w:tcW w:w="9820" w:type="dxa"/>
            <w:vAlign w:val="bottom"/>
          </w:tcPr>
          <w:p>
            <w:pPr>
              <w:ind w:left="20"/>
              <w:spacing w:after="0"/>
              <w:rPr>
                <w:sz w:val="20"/>
                <w:szCs w:val="20"/>
                <w:color w:val="auto"/>
              </w:rPr>
            </w:pPr>
            <w:r>
              <w:rPr>
                <w:rFonts w:ascii="Arial" w:cs="Arial" w:eastAsia="Arial" w:hAnsi="Arial"/>
                <w:sz w:val="16"/>
                <w:szCs w:val="16"/>
                <w:color w:val="auto"/>
              </w:rPr>
              <w:t>2.625% Notes due 2023</w:t>
            </w:r>
          </w:p>
        </w:tc>
      </w:tr>
      <w:tr>
        <w:trPr>
          <w:trHeight w:val="270"/>
        </w:trPr>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w w:val="98"/>
              </w:rPr>
              <w:t>5)</w:t>
            </w:r>
          </w:p>
        </w:tc>
        <w:tc>
          <w:tcPr>
            <w:tcW w:w="9820" w:type="dxa"/>
            <w:vAlign w:val="bottom"/>
          </w:tcPr>
          <w:p>
            <w:pPr>
              <w:ind w:left="20"/>
              <w:spacing w:after="0"/>
              <w:rPr>
                <w:sz w:val="20"/>
                <w:szCs w:val="20"/>
                <w:color w:val="auto"/>
              </w:rPr>
            </w:pPr>
            <w:r>
              <w:rPr>
                <w:rFonts w:ascii="Arial" w:cs="Arial" w:eastAsia="Arial" w:hAnsi="Arial"/>
                <w:sz w:val="16"/>
                <w:szCs w:val="16"/>
                <w:color w:val="auto"/>
              </w:rPr>
              <w:t>3.200% Notes due 2025</w:t>
            </w:r>
          </w:p>
        </w:tc>
      </w:tr>
      <w:tr>
        <w:trPr>
          <w:trHeight w:val="270"/>
        </w:trPr>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w w:val="98"/>
              </w:rPr>
              <w:t>6)</w:t>
            </w:r>
          </w:p>
        </w:tc>
        <w:tc>
          <w:tcPr>
            <w:tcW w:w="9820" w:type="dxa"/>
            <w:vAlign w:val="bottom"/>
          </w:tcPr>
          <w:p>
            <w:pPr>
              <w:ind w:left="20"/>
              <w:spacing w:after="0"/>
              <w:rPr>
                <w:sz w:val="20"/>
                <w:szCs w:val="20"/>
                <w:color w:val="auto"/>
              </w:rPr>
            </w:pPr>
            <w:r>
              <w:rPr>
                <w:rFonts w:ascii="Arial" w:cs="Arial" w:eastAsia="Arial" w:hAnsi="Arial"/>
                <w:sz w:val="16"/>
                <w:szCs w:val="16"/>
                <w:color w:val="auto"/>
              </w:rPr>
              <w:t>2.300% Notes due 2026</w:t>
            </w:r>
          </w:p>
        </w:tc>
      </w:tr>
      <w:tr>
        <w:trPr>
          <w:trHeight w:val="270"/>
        </w:trPr>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w w:val="98"/>
              </w:rPr>
              <w:t>7)</w:t>
            </w:r>
          </w:p>
        </w:tc>
        <w:tc>
          <w:tcPr>
            <w:tcW w:w="9820" w:type="dxa"/>
            <w:vAlign w:val="bottom"/>
          </w:tcPr>
          <w:p>
            <w:pPr>
              <w:ind w:left="20"/>
              <w:spacing w:after="0"/>
              <w:rPr>
                <w:sz w:val="20"/>
                <w:szCs w:val="20"/>
                <w:color w:val="auto"/>
              </w:rPr>
            </w:pPr>
            <w:r>
              <w:rPr>
                <w:rFonts w:ascii="Arial" w:cs="Arial" w:eastAsia="Arial" w:hAnsi="Arial"/>
                <w:sz w:val="16"/>
                <w:szCs w:val="16"/>
                <w:color w:val="auto"/>
              </w:rPr>
              <w:t>7.2% Debentures due 2027</w:t>
            </w:r>
          </w:p>
        </w:tc>
      </w:tr>
      <w:tr>
        <w:trPr>
          <w:trHeight w:val="270"/>
        </w:trPr>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w w:val="98"/>
              </w:rPr>
              <w:t>8)</w:t>
            </w:r>
          </w:p>
        </w:tc>
        <w:tc>
          <w:tcPr>
            <w:tcW w:w="9820" w:type="dxa"/>
            <w:vAlign w:val="bottom"/>
          </w:tcPr>
          <w:p>
            <w:pPr>
              <w:ind w:left="20"/>
              <w:spacing w:after="0"/>
              <w:rPr>
                <w:sz w:val="20"/>
                <w:szCs w:val="20"/>
                <w:color w:val="auto"/>
              </w:rPr>
            </w:pPr>
            <w:r>
              <w:rPr>
                <w:rFonts w:ascii="Arial" w:cs="Arial" w:eastAsia="Arial" w:hAnsi="Arial"/>
                <w:sz w:val="16"/>
                <w:szCs w:val="16"/>
                <w:color w:val="auto"/>
              </w:rPr>
              <w:t>3.375% Notes due 2046</w:t>
            </w:r>
          </w:p>
        </w:tc>
      </w:tr>
      <w:tr>
        <w:trPr>
          <w:trHeight w:val="270"/>
        </w:trPr>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w w:val="98"/>
              </w:rPr>
              <w:t>9)</w:t>
            </w:r>
          </w:p>
        </w:tc>
        <w:tc>
          <w:tcPr>
            <w:tcW w:w="9820" w:type="dxa"/>
            <w:vAlign w:val="bottom"/>
          </w:tcPr>
          <w:p>
            <w:pPr>
              <w:ind w:left="20"/>
              <w:spacing w:after="0"/>
              <w:rPr>
                <w:sz w:val="20"/>
                <w:szCs w:val="20"/>
                <w:color w:val="auto"/>
              </w:rPr>
            </w:pPr>
            <w:r>
              <w:rPr>
                <w:rFonts w:ascii="Arial" w:cs="Arial" w:eastAsia="Arial" w:hAnsi="Arial"/>
                <w:sz w:val="16"/>
                <w:szCs w:val="16"/>
                <w:color w:val="auto"/>
              </w:rPr>
              <w:t>Other Obligations</w:t>
            </w:r>
          </w:p>
        </w:tc>
      </w:tr>
      <w:tr>
        <w:trPr>
          <w:trHeight w:val="266"/>
        </w:trPr>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0" w:type="dxa"/>
            <w:vAlign w:val="bottom"/>
            <w:gridSpan w:val="2"/>
          </w:tcPr>
          <w:p>
            <w:pPr>
              <w:ind w:left="20"/>
              <w:spacing w:after="0"/>
              <w:rPr>
                <w:sz w:val="20"/>
                <w:szCs w:val="20"/>
                <w:color w:val="auto"/>
              </w:rPr>
            </w:pPr>
            <w:r>
              <w:rPr>
                <w:rFonts w:ascii="Arial" w:cs="Arial" w:eastAsia="Arial" w:hAnsi="Arial"/>
                <w:sz w:val="16"/>
                <w:szCs w:val="16"/>
                <w:color w:val="auto"/>
                <w:w w:val="94"/>
              </w:rPr>
              <w:t>The Company undertakes to furnish copies of the agreements governing these debt instruments to the Securities and Exchange Commission upon its</w:t>
            </w:r>
          </w:p>
        </w:tc>
      </w:tr>
      <w:tr>
        <w:trPr>
          <w:trHeight w:val="20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0" w:type="dxa"/>
            <w:vAlign w:val="bottom"/>
            <w:gridSpan w:val="2"/>
          </w:tcPr>
          <w:p>
            <w:pPr>
              <w:ind w:left="20"/>
              <w:spacing w:after="0"/>
              <w:rPr>
                <w:sz w:val="20"/>
                <w:szCs w:val="20"/>
                <w:color w:val="auto"/>
              </w:rPr>
            </w:pPr>
            <w:r>
              <w:rPr>
                <w:rFonts w:ascii="Arial" w:cs="Arial" w:eastAsia="Arial" w:hAnsi="Arial"/>
                <w:sz w:val="16"/>
                <w:szCs w:val="16"/>
                <w:color w:val="auto"/>
              </w:rPr>
              <w:t>request.</w:t>
            </w:r>
          </w:p>
        </w:tc>
      </w:tr>
      <w:tr>
        <w:trPr>
          <w:trHeight w:val="253"/>
        </w:trPr>
        <w:tc>
          <w:tcPr>
            <w:tcW w:w="1240" w:type="dxa"/>
            <w:vAlign w:val="bottom"/>
            <w:gridSpan w:val="2"/>
          </w:tcPr>
          <w:p>
            <w:pPr>
              <w:jc w:val="center"/>
              <w:ind w:right="140"/>
              <w:spacing w:after="0"/>
              <w:rPr>
                <w:sz w:val="20"/>
                <w:szCs w:val="20"/>
                <w:color w:val="auto"/>
              </w:rPr>
            </w:pPr>
            <w:r>
              <w:rPr>
                <w:rFonts w:ascii="Arial" w:cs="Arial" w:eastAsia="Arial" w:hAnsi="Arial"/>
                <w:sz w:val="16"/>
                <w:szCs w:val="16"/>
                <w:color w:val="auto"/>
                <w:w w:val="90"/>
              </w:rPr>
              <w:t>10.1(a)</w:t>
            </w:r>
          </w:p>
        </w:tc>
        <w:tc>
          <w:tcPr>
            <w:tcW w:w="10000" w:type="dxa"/>
            <w:vAlign w:val="bottom"/>
            <w:gridSpan w:val="2"/>
          </w:tcPr>
          <w:p>
            <w:pPr>
              <w:ind w:left="20"/>
              <w:spacing w:after="0"/>
              <w:rPr>
                <w:sz w:val="20"/>
                <w:szCs w:val="20"/>
                <w:color w:val="auto"/>
              </w:rPr>
            </w:pPr>
            <w:r>
              <w:rPr>
                <w:rFonts w:ascii="Arial" w:cs="Arial" w:eastAsia="Arial" w:hAnsi="Arial"/>
                <w:sz w:val="16"/>
                <w:szCs w:val="16"/>
                <w:i w:val="1"/>
                <w:iCs w:val="1"/>
                <w:color w:val="auto"/>
                <w:w w:val="99"/>
              </w:rPr>
              <w:t xml:space="preserve">Kit Kat® </w:t>
            </w:r>
            <w:r>
              <w:rPr>
                <w:rFonts w:ascii="Arial" w:cs="Arial" w:eastAsia="Arial" w:hAnsi="Arial"/>
                <w:sz w:val="16"/>
                <w:szCs w:val="16"/>
                <w:color w:val="auto"/>
                <w:w w:val="99"/>
              </w:rPr>
              <w:t>and</w:t>
            </w:r>
            <w:r>
              <w:rPr>
                <w:rFonts w:ascii="Arial" w:cs="Arial" w:eastAsia="Arial" w:hAnsi="Arial"/>
                <w:sz w:val="16"/>
                <w:szCs w:val="16"/>
                <w:i w:val="1"/>
                <w:iCs w:val="1"/>
                <w:color w:val="auto"/>
                <w:w w:val="99"/>
              </w:rPr>
              <w:t xml:space="preserve"> Rolo® </w:t>
            </w:r>
            <w:r>
              <w:rPr>
                <w:rFonts w:ascii="Arial" w:cs="Arial" w:eastAsia="Arial" w:hAnsi="Arial"/>
                <w:sz w:val="16"/>
                <w:szCs w:val="16"/>
                <w:color w:val="auto"/>
                <w:w w:val="99"/>
              </w:rPr>
              <w:t>License Agreement (the “License Agreement”) between the Company and Rowntree Mackintosh Confectionery Limited is</w:t>
            </w:r>
          </w:p>
        </w:tc>
      </w:tr>
      <w:tr>
        <w:trPr>
          <w:trHeight w:val="20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0" w:type="dxa"/>
            <w:vAlign w:val="bottom"/>
            <w:gridSpan w:val="2"/>
          </w:tcPr>
          <w:p>
            <w:pPr>
              <w:ind w:left="20"/>
              <w:spacing w:after="0"/>
              <w:rPr>
                <w:sz w:val="20"/>
                <w:szCs w:val="20"/>
                <w:color w:val="auto"/>
              </w:rPr>
            </w:pPr>
            <w:r>
              <w:rPr>
                <w:rFonts w:ascii="Arial" w:cs="Arial" w:eastAsia="Arial" w:hAnsi="Arial"/>
                <w:sz w:val="16"/>
                <w:szCs w:val="16"/>
                <w:color w:val="auto"/>
              </w:rPr>
              <w:t>incorporated by reference from Exhibit 10(a) to the Company’s Annual Report on Form 10-K for the fiscal year ended December 31, 1980.</w:t>
            </w:r>
          </w:p>
        </w:tc>
      </w:tr>
      <w:tr>
        <w:trPr>
          <w:trHeight w:val="253"/>
        </w:trPr>
        <w:tc>
          <w:tcPr>
            <w:tcW w:w="124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10.1(b)</w:t>
            </w:r>
          </w:p>
        </w:tc>
        <w:tc>
          <w:tcPr>
            <w:tcW w:w="10000" w:type="dxa"/>
            <w:vAlign w:val="bottom"/>
            <w:gridSpan w:val="2"/>
          </w:tcPr>
          <w:p>
            <w:pPr>
              <w:ind w:left="20"/>
              <w:spacing w:after="0"/>
              <w:rPr>
                <w:sz w:val="20"/>
                <w:szCs w:val="20"/>
                <w:color w:val="auto"/>
              </w:rPr>
            </w:pPr>
            <w:r>
              <w:rPr>
                <w:rFonts w:ascii="Arial" w:cs="Arial" w:eastAsia="Arial" w:hAnsi="Arial"/>
                <w:sz w:val="16"/>
                <w:szCs w:val="16"/>
                <w:color w:val="auto"/>
                <w:w w:val="95"/>
              </w:rPr>
              <w:t>Amendment to the License Agreement is incorporated by reference from Exhibit 19 to the Company’s Quarterly Report on Form 10-Q for the quarter</w:t>
            </w:r>
          </w:p>
        </w:tc>
      </w:tr>
      <w:tr>
        <w:trPr>
          <w:trHeight w:val="20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0" w:type="dxa"/>
            <w:vAlign w:val="bottom"/>
            <w:gridSpan w:val="2"/>
          </w:tcPr>
          <w:p>
            <w:pPr>
              <w:ind w:left="20"/>
              <w:spacing w:after="0"/>
              <w:rPr>
                <w:sz w:val="20"/>
                <w:szCs w:val="20"/>
                <w:color w:val="auto"/>
              </w:rPr>
            </w:pPr>
            <w:r>
              <w:rPr>
                <w:rFonts w:ascii="Arial" w:cs="Arial" w:eastAsia="Arial" w:hAnsi="Arial"/>
                <w:sz w:val="16"/>
                <w:szCs w:val="16"/>
                <w:color w:val="auto"/>
              </w:rPr>
              <w:t>ended July 3, 1988.</w:t>
            </w:r>
          </w:p>
        </w:tc>
      </w:tr>
      <w:tr>
        <w:trPr>
          <w:trHeight w:val="253"/>
        </w:trPr>
        <w:tc>
          <w:tcPr>
            <w:tcW w:w="1240" w:type="dxa"/>
            <w:vAlign w:val="bottom"/>
            <w:gridSpan w:val="2"/>
          </w:tcPr>
          <w:p>
            <w:pPr>
              <w:jc w:val="center"/>
              <w:ind w:right="140"/>
              <w:spacing w:after="0"/>
              <w:rPr>
                <w:sz w:val="20"/>
                <w:szCs w:val="20"/>
                <w:color w:val="auto"/>
              </w:rPr>
            </w:pPr>
            <w:r>
              <w:rPr>
                <w:rFonts w:ascii="Arial" w:cs="Arial" w:eastAsia="Arial" w:hAnsi="Arial"/>
                <w:sz w:val="16"/>
                <w:szCs w:val="16"/>
                <w:color w:val="auto"/>
                <w:w w:val="92"/>
              </w:rPr>
              <w:t>10.1(c)</w:t>
            </w:r>
          </w:p>
        </w:tc>
        <w:tc>
          <w:tcPr>
            <w:tcW w:w="10000" w:type="dxa"/>
            <w:vAlign w:val="bottom"/>
            <w:gridSpan w:val="2"/>
          </w:tcPr>
          <w:p>
            <w:pPr>
              <w:ind w:left="20"/>
              <w:spacing w:after="0"/>
              <w:rPr>
                <w:sz w:val="20"/>
                <w:szCs w:val="20"/>
                <w:color w:val="auto"/>
              </w:rPr>
            </w:pPr>
            <w:r>
              <w:rPr>
                <w:rFonts w:ascii="Arial" w:cs="Arial" w:eastAsia="Arial" w:hAnsi="Arial"/>
                <w:sz w:val="16"/>
                <w:szCs w:val="16"/>
                <w:color w:val="auto"/>
                <w:w w:val="96"/>
              </w:rPr>
              <w:t>Assignment of the License Agreement by Rowntree Mackintosh Confectionery Limited to Société des Produits Nestlé SA as of January 1, 1990 is</w:t>
            </w:r>
          </w:p>
        </w:tc>
      </w:tr>
      <w:tr>
        <w:trPr>
          <w:trHeight w:val="20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0" w:type="dxa"/>
            <w:vAlign w:val="bottom"/>
            <w:gridSpan w:val="2"/>
          </w:tcPr>
          <w:p>
            <w:pPr>
              <w:ind w:left="20"/>
              <w:spacing w:after="0"/>
              <w:rPr>
                <w:sz w:val="20"/>
                <w:szCs w:val="20"/>
                <w:color w:val="auto"/>
              </w:rPr>
            </w:pPr>
            <w:r>
              <w:rPr>
                <w:rFonts w:ascii="Arial" w:cs="Arial" w:eastAsia="Arial" w:hAnsi="Arial"/>
                <w:sz w:val="16"/>
                <w:szCs w:val="16"/>
                <w:color w:val="auto"/>
              </w:rPr>
              <w:t>incorporated by reference from Exhibit 19 to the Company’s Annual Report on Form 10-K for the fiscal year ended December 31, 1990.</w:t>
            </w:r>
          </w:p>
        </w:tc>
      </w:tr>
      <w:tr>
        <w:trPr>
          <w:trHeight w:val="253"/>
        </w:trPr>
        <w:tc>
          <w:tcPr>
            <w:tcW w:w="112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120" w:type="dxa"/>
            <w:vAlign w:val="bottom"/>
          </w:tcPr>
          <w:p>
            <w:pPr>
              <w:spacing w:after="0"/>
              <w:rPr>
                <w:sz w:val="21"/>
                <w:szCs w:val="21"/>
                <w:color w:val="auto"/>
              </w:rPr>
            </w:pPr>
          </w:p>
        </w:tc>
        <w:tc>
          <w:tcPr>
            <w:tcW w:w="10000" w:type="dxa"/>
            <w:vAlign w:val="bottom"/>
            <w:gridSpan w:val="2"/>
          </w:tcPr>
          <w:p>
            <w:pPr>
              <w:ind w:left="20"/>
              <w:spacing w:after="0"/>
              <w:rPr>
                <w:sz w:val="20"/>
                <w:szCs w:val="20"/>
                <w:color w:val="auto"/>
              </w:rPr>
            </w:pPr>
            <w:r>
              <w:rPr>
                <w:rFonts w:ascii="Arial" w:cs="Arial" w:eastAsia="Arial" w:hAnsi="Arial"/>
                <w:sz w:val="16"/>
                <w:szCs w:val="16"/>
                <w:i w:val="1"/>
                <w:iCs w:val="1"/>
                <w:color w:val="auto"/>
                <w:w w:val="93"/>
              </w:rPr>
              <w:t xml:space="preserve">Peter Paul/York </w:t>
            </w:r>
            <w:r>
              <w:rPr>
                <w:rFonts w:ascii="Arial" w:cs="Arial" w:eastAsia="Arial" w:hAnsi="Arial"/>
                <w:sz w:val="16"/>
                <w:szCs w:val="16"/>
                <w:color w:val="auto"/>
                <w:w w:val="93"/>
              </w:rPr>
              <w:t>Domestic Trademark &amp; Technology License Agreement between the Company and Cadbury Schweppes Inc. (now Kraft Foods Ireland</w:t>
            </w:r>
          </w:p>
        </w:tc>
      </w:tr>
      <w:tr>
        <w:trPr>
          <w:trHeight w:val="203"/>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0" w:type="dxa"/>
            <w:vAlign w:val="bottom"/>
            <w:gridSpan w:val="2"/>
          </w:tcPr>
          <w:p>
            <w:pPr>
              <w:ind w:left="20"/>
              <w:spacing w:after="0"/>
              <w:rPr>
                <w:sz w:val="20"/>
                <w:szCs w:val="20"/>
                <w:color w:val="auto"/>
              </w:rPr>
            </w:pPr>
            <w:r>
              <w:rPr>
                <w:rFonts w:ascii="Arial" w:cs="Arial" w:eastAsia="Arial" w:hAnsi="Arial"/>
                <w:sz w:val="16"/>
                <w:szCs w:val="16"/>
                <w:color w:val="auto"/>
                <w:w w:val="96"/>
              </w:rPr>
              <w:t>Intellectual Property Limited) dated August 25, 1988, is incorporated by reference from Exhibit 2(a) to the Company’s Current Report on Form 8-K</w:t>
            </w:r>
          </w:p>
        </w:tc>
      </w:tr>
      <w:tr>
        <w:trPr>
          <w:trHeight w:val="20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0" w:type="dxa"/>
            <w:vAlign w:val="bottom"/>
            <w:gridSpan w:val="2"/>
          </w:tcPr>
          <w:p>
            <w:pPr>
              <w:ind w:left="20"/>
              <w:spacing w:after="0"/>
              <w:rPr>
                <w:sz w:val="20"/>
                <w:szCs w:val="20"/>
                <w:color w:val="auto"/>
              </w:rPr>
            </w:pPr>
            <w:r>
              <w:rPr>
                <w:rFonts w:ascii="Arial" w:cs="Arial" w:eastAsia="Arial" w:hAnsi="Arial"/>
                <w:sz w:val="16"/>
                <w:szCs w:val="16"/>
                <w:color w:val="auto"/>
              </w:rPr>
              <w:t>dated September 8, 1988.</w:t>
            </w:r>
          </w:p>
        </w:tc>
      </w:tr>
      <w:tr>
        <w:trPr>
          <w:trHeight w:val="253"/>
        </w:trPr>
        <w:tc>
          <w:tcPr>
            <w:tcW w:w="1120" w:type="dxa"/>
            <w:vAlign w:val="bottom"/>
          </w:tcPr>
          <w:p>
            <w:pPr>
              <w:jc w:val="center"/>
              <w:spacing w:after="0"/>
              <w:rPr>
                <w:sz w:val="20"/>
                <w:szCs w:val="20"/>
                <w:color w:val="auto"/>
              </w:rPr>
            </w:pPr>
            <w:r>
              <w:rPr>
                <w:rFonts w:ascii="Arial" w:cs="Arial" w:eastAsia="Arial" w:hAnsi="Arial"/>
                <w:sz w:val="16"/>
                <w:szCs w:val="16"/>
                <w:color w:val="auto"/>
                <w:w w:val="89"/>
              </w:rPr>
              <w:t>10.3</w:t>
            </w:r>
          </w:p>
        </w:tc>
        <w:tc>
          <w:tcPr>
            <w:tcW w:w="120" w:type="dxa"/>
            <w:vAlign w:val="bottom"/>
          </w:tcPr>
          <w:p>
            <w:pPr>
              <w:spacing w:after="0"/>
              <w:rPr>
                <w:sz w:val="21"/>
                <w:szCs w:val="21"/>
                <w:color w:val="auto"/>
              </w:rPr>
            </w:pPr>
          </w:p>
        </w:tc>
        <w:tc>
          <w:tcPr>
            <w:tcW w:w="10000" w:type="dxa"/>
            <w:vAlign w:val="bottom"/>
            <w:gridSpan w:val="2"/>
          </w:tcPr>
          <w:p>
            <w:pPr>
              <w:ind w:left="20"/>
              <w:spacing w:after="0"/>
              <w:rPr>
                <w:sz w:val="20"/>
                <w:szCs w:val="20"/>
                <w:color w:val="auto"/>
              </w:rPr>
            </w:pPr>
            <w:r>
              <w:rPr>
                <w:rFonts w:ascii="Arial" w:cs="Arial" w:eastAsia="Arial" w:hAnsi="Arial"/>
                <w:sz w:val="16"/>
                <w:szCs w:val="16"/>
                <w:i w:val="1"/>
                <w:iCs w:val="1"/>
                <w:color w:val="auto"/>
                <w:w w:val="93"/>
              </w:rPr>
              <w:t xml:space="preserve">Cadbury </w:t>
            </w:r>
            <w:r>
              <w:rPr>
                <w:rFonts w:ascii="Arial" w:cs="Arial" w:eastAsia="Arial" w:hAnsi="Arial"/>
                <w:sz w:val="16"/>
                <w:szCs w:val="16"/>
                <w:color w:val="auto"/>
                <w:w w:val="93"/>
              </w:rPr>
              <w:t>Trademark &amp; Technology License Agreement between the Company and Cadbury Limited (now Cadbury UK Limited) dated August 25, 1988,</w:t>
            </w:r>
          </w:p>
        </w:tc>
      </w:tr>
      <w:tr>
        <w:trPr>
          <w:trHeight w:val="20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0" w:type="dxa"/>
            <w:vAlign w:val="bottom"/>
            <w:gridSpan w:val="2"/>
          </w:tcPr>
          <w:p>
            <w:pPr>
              <w:ind w:left="20"/>
              <w:spacing w:after="0"/>
              <w:rPr>
                <w:sz w:val="20"/>
                <w:szCs w:val="20"/>
                <w:color w:val="auto"/>
              </w:rPr>
            </w:pPr>
            <w:r>
              <w:rPr>
                <w:rFonts w:ascii="Arial" w:cs="Arial" w:eastAsia="Arial" w:hAnsi="Arial"/>
                <w:sz w:val="16"/>
                <w:szCs w:val="16"/>
                <w:color w:val="auto"/>
              </w:rPr>
              <w:t>is incorporated by reference from Exhibit 2(a) to the Company’s Current Report on Form 8-K dated September 8, 1988.</w:t>
            </w:r>
          </w:p>
        </w:tc>
      </w:tr>
      <w:tr>
        <w:trPr>
          <w:trHeight w:val="253"/>
        </w:trPr>
        <w:tc>
          <w:tcPr>
            <w:tcW w:w="1240" w:type="dxa"/>
            <w:vAlign w:val="bottom"/>
            <w:gridSpan w:val="2"/>
          </w:tcPr>
          <w:p>
            <w:pPr>
              <w:jc w:val="center"/>
              <w:ind w:right="140"/>
              <w:spacing w:after="0"/>
              <w:rPr>
                <w:sz w:val="20"/>
                <w:szCs w:val="20"/>
                <w:color w:val="auto"/>
              </w:rPr>
            </w:pPr>
            <w:r>
              <w:rPr>
                <w:rFonts w:ascii="Arial" w:cs="Arial" w:eastAsia="Arial" w:hAnsi="Arial"/>
                <w:sz w:val="16"/>
                <w:szCs w:val="16"/>
                <w:color w:val="auto"/>
                <w:w w:val="90"/>
              </w:rPr>
              <w:t>10.4(a)</w:t>
            </w:r>
          </w:p>
        </w:tc>
        <w:tc>
          <w:tcPr>
            <w:tcW w:w="10000" w:type="dxa"/>
            <w:vAlign w:val="bottom"/>
            <w:gridSpan w:val="2"/>
          </w:tcPr>
          <w:p>
            <w:pPr>
              <w:ind w:left="20"/>
              <w:spacing w:after="0"/>
              <w:rPr>
                <w:sz w:val="20"/>
                <w:szCs w:val="20"/>
                <w:color w:val="auto"/>
              </w:rPr>
            </w:pPr>
            <w:r>
              <w:rPr>
                <w:rFonts w:ascii="Arial" w:cs="Arial" w:eastAsia="Arial" w:hAnsi="Arial"/>
                <w:sz w:val="16"/>
                <w:szCs w:val="16"/>
                <w:color w:val="auto"/>
                <w:w w:val="95"/>
              </w:rPr>
              <w:t>Trademark and Technology License Agreement between Huhtamäki and the Company dated December 30, 1996, is incorporated by reference from</w:t>
            </w:r>
          </w:p>
        </w:tc>
      </w:tr>
      <w:tr>
        <w:trPr>
          <w:trHeight w:val="20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0" w:type="dxa"/>
            <w:vAlign w:val="bottom"/>
            <w:gridSpan w:val="2"/>
          </w:tcPr>
          <w:p>
            <w:pPr>
              <w:ind w:left="20"/>
              <w:spacing w:after="0"/>
              <w:rPr>
                <w:sz w:val="20"/>
                <w:szCs w:val="20"/>
                <w:color w:val="auto"/>
              </w:rPr>
            </w:pPr>
            <w:r>
              <w:rPr>
                <w:rFonts w:ascii="Arial" w:cs="Arial" w:eastAsia="Arial" w:hAnsi="Arial"/>
                <w:sz w:val="16"/>
                <w:szCs w:val="16"/>
                <w:color w:val="auto"/>
              </w:rPr>
              <w:t>Exhibit 10 to the Company’s Current Report on Form 8-K filed February 26, 1997.</w:t>
            </w:r>
          </w:p>
        </w:tc>
      </w:tr>
      <w:tr>
        <w:trPr>
          <w:trHeight w:val="253"/>
        </w:trPr>
        <w:tc>
          <w:tcPr>
            <w:tcW w:w="124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10.4(b)</w:t>
            </w:r>
          </w:p>
        </w:tc>
        <w:tc>
          <w:tcPr>
            <w:tcW w:w="10000" w:type="dxa"/>
            <w:vAlign w:val="bottom"/>
            <w:gridSpan w:val="2"/>
          </w:tcPr>
          <w:p>
            <w:pPr>
              <w:ind w:left="20"/>
              <w:spacing w:after="0"/>
              <w:rPr>
                <w:sz w:val="20"/>
                <w:szCs w:val="20"/>
                <w:color w:val="auto"/>
              </w:rPr>
            </w:pPr>
            <w:r>
              <w:rPr>
                <w:rFonts w:ascii="Arial" w:cs="Arial" w:eastAsia="Arial" w:hAnsi="Arial"/>
                <w:sz w:val="16"/>
                <w:szCs w:val="16"/>
                <w:color w:val="auto"/>
                <w:w w:val="92"/>
              </w:rPr>
              <w:t>Amended and Restated Trademark and Technology License Agreement between Huhtamäki and the Company is incorporated by reference from Exhibit</w:t>
            </w:r>
          </w:p>
        </w:tc>
      </w:tr>
      <w:tr>
        <w:trPr>
          <w:trHeight w:val="20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0" w:type="dxa"/>
            <w:vAlign w:val="bottom"/>
            <w:gridSpan w:val="2"/>
          </w:tcPr>
          <w:p>
            <w:pPr>
              <w:ind w:left="20"/>
              <w:spacing w:after="0"/>
              <w:rPr>
                <w:sz w:val="20"/>
                <w:szCs w:val="20"/>
                <w:color w:val="auto"/>
              </w:rPr>
            </w:pPr>
            <w:r>
              <w:rPr>
                <w:rFonts w:ascii="Arial" w:cs="Arial" w:eastAsia="Arial" w:hAnsi="Arial"/>
                <w:sz w:val="16"/>
                <w:szCs w:val="16"/>
                <w:color w:val="auto"/>
              </w:rPr>
              <w:t>10.2 to the Company’s Annual Report on Form 10-K for the fiscal year ended December 31, 1999.</w:t>
            </w:r>
          </w:p>
        </w:tc>
      </w:tr>
      <w:tr>
        <w:trPr>
          <w:trHeight w:val="253"/>
        </w:trPr>
        <w:tc>
          <w:tcPr>
            <w:tcW w:w="1240" w:type="dxa"/>
            <w:vAlign w:val="bottom"/>
            <w:gridSpan w:val="2"/>
          </w:tcPr>
          <w:p>
            <w:pPr>
              <w:jc w:val="center"/>
              <w:ind w:right="140"/>
              <w:spacing w:after="0"/>
              <w:rPr>
                <w:sz w:val="20"/>
                <w:szCs w:val="20"/>
                <w:color w:val="auto"/>
              </w:rPr>
            </w:pPr>
            <w:r>
              <w:rPr>
                <w:rFonts w:ascii="Arial" w:cs="Arial" w:eastAsia="Arial" w:hAnsi="Arial"/>
                <w:sz w:val="16"/>
                <w:szCs w:val="16"/>
                <w:color w:val="auto"/>
                <w:w w:val="90"/>
              </w:rPr>
              <w:t>10.5(a)</w:t>
            </w:r>
          </w:p>
        </w:tc>
        <w:tc>
          <w:tcPr>
            <w:tcW w:w="10000" w:type="dxa"/>
            <w:vAlign w:val="bottom"/>
            <w:gridSpan w:val="2"/>
          </w:tcPr>
          <w:p>
            <w:pPr>
              <w:ind w:left="20"/>
              <w:spacing w:after="0"/>
              <w:rPr>
                <w:sz w:val="20"/>
                <w:szCs w:val="20"/>
                <w:color w:val="auto"/>
              </w:rPr>
            </w:pPr>
            <w:r>
              <w:rPr>
                <w:rFonts w:ascii="Arial" w:cs="Arial" w:eastAsia="Arial" w:hAnsi="Arial"/>
                <w:sz w:val="16"/>
                <w:szCs w:val="16"/>
                <w:color w:val="auto"/>
                <w:w w:val="92"/>
              </w:rPr>
              <w:t>Five Year Credit Agreement dated as of October 14, 2011, among the Company and the banks, financial institutions and other institutional lenders listed</w:t>
            </w:r>
          </w:p>
        </w:tc>
      </w:tr>
      <w:tr>
        <w:trPr>
          <w:trHeight w:val="203"/>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0" w:type="dxa"/>
            <w:vAlign w:val="bottom"/>
            <w:gridSpan w:val="2"/>
          </w:tcPr>
          <w:p>
            <w:pPr>
              <w:ind w:left="20"/>
              <w:spacing w:after="0"/>
              <w:rPr>
                <w:sz w:val="20"/>
                <w:szCs w:val="20"/>
                <w:color w:val="auto"/>
              </w:rPr>
            </w:pPr>
            <w:r>
              <w:rPr>
                <w:rFonts w:ascii="Arial" w:cs="Arial" w:eastAsia="Arial" w:hAnsi="Arial"/>
                <w:sz w:val="16"/>
                <w:szCs w:val="16"/>
                <w:color w:val="auto"/>
                <w:w w:val="93"/>
              </w:rPr>
              <w:t>on the respective signature pages thereof (“Lenders”), Bank of America, N.A., as administrative agent for the Lenders, JPMorgan Chase Bank, N.A., as</w:t>
            </w:r>
          </w:p>
        </w:tc>
      </w:tr>
      <w:tr>
        <w:trPr>
          <w:trHeight w:val="203"/>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0" w:type="dxa"/>
            <w:vAlign w:val="bottom"/>
            <w:gridSpan w:val="2"/>
          </w:tcPr>
          <w:p>
            <w:pPr>
              <w:ind w:left="20"/>
              <w:spacing w:after="0"/>
              <w:rPr>
                <w:sz w:val="20"/>
                <w:szCs w:val="20"/>
                <w:color w:val="auto"/>
              </w:rPr>
            </w:pPr>
            <w:r>
              <w:rPr>
                <w:rFonts w:ascii="Arial" w:cs="Arial" w:eastAsia="Arial" w:hAnsi="Arial"/>
                <w:sz w:val="16"/>
                <w:szCs w:val="16"/>
                <w:color w:val="auto"/>
                <w:w w:val="96"/>
              </w:rPr>
              <w:t>syndication agent, Citibank, N.A. and PNC Bank, National Association, as documentation agents, and Bank of America Merrill Lynch, J.P. Morgan</w:t>
            </w:r>
          </w:p>
        </w:tc>
      </w:tr>
      <w:tr>
        <w:trPr>
          <w:trHeight w:val="203"/>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0" w:type="dxa"/>
            <w:vAlign w:val="bottom"/>
            <w:gridSpan w:val="2"/>
          </w:tcPr>
          <w:p>
            <w:pPr>
              <w:ind w:left="20"/>
              <w:spacing w:after="0"/>
              <w:rPr>
                <w:sz w:val="20"/>
                <w:szCs w:val="20"/>
                <w:color w:val="auto"/>
              </w:rPr>
            </w:pPr>
            <w:r>
              <w:rPr>
                <w:rFonts w:ascii="Arial" w:cs="Arial" w:eastAsia="Arial" w:hAnsi="Arial"/>
                <w:sz w:val="16"/>
                <w:szCs w:val="16"/>
                <w:color w:val="auto"/>
                <w:w w:val="97"/>
              </w:rPr>
              <w:t>Securities LLC, Citigroup Global Markets, Inc. and PNC Capital Markets LLC, as joint lead arrangers and joint book managers, is incorporated by</w:t>
            </w:r>
          </w:p>
        </w:tc>
      </w:tr>
      <w:tr>
        <w:trPr>
          <w:trHeight w:val="20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0" w:type="dxa"/>
            <w:vAlign w:val="bottom"/>
            <w:gridSpan w:val="2"/>
          </w:tcPr>
          <w:p>
            <w:pPr>
              <w:ind w:left="20"/>
              <w:spacing w:after="0"/>
              <w:rPr>
                <w:sz w:val="20"/>
                <w:szCs w:val="20"/>
                <w:color w:val="auto"/>
              </w:rPr>
            </w:pPr>
            <w:r>
              <w:rPr>
                <w:rFonts w:ascii="Arial" w:cs="Arial" w:eastAsia="Arial" w:hAnsi="Arial"/>
                <w:sz w:val="16"/>
                <w:szCs w:val="16"/>
                <w:color w:val="auto"/>
              </w:rPr>
              <w:t>reference from Exhibit 10.1 to the Company's Current Report on Form 8-K filed October 20, 2011.</w:t>
            </w:r>
          </w:p>
        </w:tc>
      </w:tr>
      <w:tr>
        <w:trPr>
          <w:trHeight w:val="492"/>
        </w:trPr>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20" w:type="dxa"/>
            <w:vAlign w:val="bottom"/>
          </w:tcPr>
          <w:p>
            <w:pPr>
              <w:ind w:left="3980"/>
              <w:spacing w:after="0"/>
              <w:rPr>
                <w:sz w:val="20"/>
                <w:szCs w:val="20"/>
                <w:color w:val="auto"/>
              </w:rPr>
            </w:pPr>
            <w:r>
              <w:rPr>
                <w:rFonts w:ascii="Arial" w:cs="Arial" w:eastAsia="Arial" w:hAnsi="Arial"/>
                <w:sz w:val="18"/>
                <w:szCs w:val="18"/>
                <w:color w:val="auto"/>
              </w:rPr>
              <w:t>101</w:t>
            </w:r>
          </w:p>
        </w:tc>
      </w:tr>
    </w:tbl>
    <w:p>
      <w:pPr>
        <w:sectPr>
          <w:pgSz w:w="11900" w:h="16838" w:orient="portrait"/>
          <w:cols w:equalWidth="0" w:num="1">
            <w:col w:w="11240"/>
          </w:cols>
          <w:pgMar w:left="420" w:top="828" w:right="239" w:bottom="1440" w:gutter="0" w:footer="0" w:header="0"/>
        </w:sectPr>
      </w:pPr>
    </w:p>
    <w:bookmarkStart w:id="103" w:name="page104"/>
    <w:bookmarkEnd w:id="10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0" w:type="dxa"/>
            <w:vAlign w:val="bottom"/>
          </w:tcPr>
          <w:p>
            <w:pPr>
              <w:jc w:val="center"/>
              <w:ind w:right="119"/>
              <w:spacing w:after="0"/>
              <w:rPr>
                <w:sz w:val="20"/>
                <w:szCs w:val="20"/>
                <w:color w:val="auto"/>
              </w:rPr>
            </w:pPr>
            <w:r>
              <w:rPr>
                <w:rFonts w:ascii="Arial" w:cs="Arial" w:eastAsia="Arial" w:hAnsi="Arial"/>
                <w:sz w:val="16"/>
                <w:szCs w:val="16"/>
                <w:color w:val="auto"/>
                <w:w w:val="94"/>
              </w:rPr>
              <w:t>10.5(b)</w:t>
            </w:r>
          </w:p>
        </w:tc>
        <w:tc>
          <w:tcPr>
            <w:tcW w:w="10180" w:type="dxa"/>
            <w:vAlign w:val="bottom"/>
          </w:tcPr>
          <w:p>
            <w:pPr>
              <w:ind w:left="220"/>
              <w:spacing w:after="0"/>
              <w:rPr>
                <w:sz w:val="20"/>
                <w:szCs w:val="20"/>
                <w:color w:val="auto"/>
              </w:rPr>
            </w:pPr>
            <w:r>
              <w:rPr>
                <w:rFonts w:ascii="Arial" w:cs="Arial" w:eastAsia="Arial" w:hAnsi="Arial"/>
                <w:sz w:val="16"/>
                <w:szCs w:val="16"/>
                <w:color w:val="auto"/>
                <w:w w:val="95"/>
              </w:rPr>
              <w:t>Amendment No. 1 to Credit Agreement dated as of November 12, 2013, among the Company, the banks, financial institutions and other institutional</w:t>
            </w:r>
          </w:p>
        </w:tc>
      </w:tr>
      <w:tr>
        <w:trPr>
          <w:trHeight w:val="203"/>
        </w:trPr>
        <w:tc>
          <w:tcPr>
            <w:tcW w:w="760" w:type="dxa"/>
            <w:vAlign w:val="bottom"/>
          </w:tcPr>
          <w:p>
            <w:pPr>
              <w:spacing w:after="0"/>
              <w:rPr>
                <w:sz w:val="17"/>
                <w:szCs w:val="17"/>
                <w:color w:val="auto"/>
              </w:rPr>
            </w:pPr>
          </w:p>
        </w:tc>
        <w:tc>
          <w:tcPr>
            <w:tcW w:w="10180" w:type="dxa"/>
            <w:vAlign w:val="bottom"/>
          </w:tcPr>
          <w:p>
            <w:pPr>
              <w:ind w:left="220"/>
              <w:spacing w:after="0"/>
              <w:rPr>
                <w:sz w:val="20"/>
                <w:szCs w:val="20"/>
                <w:color w:val="auto"/>
              </w:rPr>
            </w:pPr>
            <w:r>
              <w:rPr>
                <w:rFonts w:ascii="Arial" w:cs="Arial" w:eastAsia="Arial" w:hAnsi="Arial"/>
                <w:sz w:val="16"/>
                <w:szCs w:val="16"/>
                <w:color w:val="auto"/>
                <w:w w:val="94"/>
              </w:rPr>
              <w:t>lenders who are parties to the Five Year Credit Agreement and Bank of America, N.A., as agent, is incorporated by reference from Exhibit 10.6 to the</w:t>
            </w:r>
          </w:p>
        </w:tc>
      </w:tr>
      <w:tr>
        <w:trPr>
          <w:trHeight w:val="206"/>
        </w:trPr>
        <w:tc>
          <w:tcPr>
            <w:tcW w:w="760" w:type="dxa"/>
            <w:vAlign w:val="bottom"/>
          </w:tcPr>
          <w:p>
            <w:pPr>
              <w:spacing w:after="0"/>
              <w:rPr>
                <w:sz w:val="17"/>
                <w:szCs w:val="17"/>
                <w:color w:val="auto"/>
              </w:rPr>
            </w:pPr>
          </w:p>
        </w:tc>
        <w:tc>
          <w:tcPr>
            <w:tcW w:w="10180" w:type="dxa"/>
            <w:vAlign w:val="bottom"/>
          </w:tcPr>
          <w:p>
            <w:pPr>
              <w:ind w:left="220"/>
              <w:spacing w:after="0"/>
              <w:rPr>
                <w:sz w:val="20"/>
                <w:szCs w:val="20"/>
                <w:color w:val="auto"/>
              </w:rPr>
            </w:pPr>
            <w:r>
              <w:rPr>
                <w:rFonts w:ascii="Arial" w:cs="Arial" w:eastAsia="Arial" w:hAnsi="Arial"/>
                <w:sz w:val="16"/>
                <w:szCs w:val="16"/>
                <w:color w:val="auto"/>
              </w:rPr>
              <w:t>Company’s Annual Report on Form 10-K for the fiscal year ended December 31, 2013.</w:t>
            </w:r>
          </w:p>
        </w:tc>
      </w:tr>
      <w:tr>
        <w:trPr>
          <w:trHeight w:val="253"/>
        </w:trPr>
        <w:tc>
          <w:tcPr>
            <w:tcW w:w="760" w:type="dxa"/>
            <w:vAlign w:val="bottom"/>
          </w:tcPr>
          <w:p>
            <w:pPr>
              <w:jc w:val="center"/>
              <w:ind w:right="119"/>
              <w:spacing w:after="0"/>
              <w:rPr>
                <w:sz w:val="20"/>
                <w:szCs w:val="20"/>
                <w:color w:val="auto"/>
              </w:rPr>
            </w:pPr>
            <w:r>
              <w:rPr>
                <w:rFonts w:ascii="Arial" w:cs="Arial" w:eastAsia="Arial" w:hAnsi="Arial"/>
                <w:sz w:val="16"/>
                <w:szCs w:val="16"/>
                <w:color w:val="auto"/>
                <w:w w:val="89"/>
              </w:rPr>
              <w:t>10.6</w:t>
            </w:r>
          </w:p>
        </w:tc>
        <w:tc>
          <w:tcPr>
            <w:tcW w:w="10180" w:type="dxa"/>
            <w:vAlign w:val="bottom"/>
          </w:tcPr>
          <w:p>
            <w:pPr>
              <w:ind w:left="220"/>
              <w:spacing w:after="0"/>
              <w:rPr>
                <w:sz w:val="20"/>
                <w:szCs w:val="20"/>
                <w:color w:val="auto"/>
              </w:rPr>
            </w:pPr>
            <w:r>
              <w:rPr>
                <w:rFonts w:ascii="Arial" w:cs="Arial" w:eastAsia="Arial" w:hAnsi="Arial"/>
                <w:sz w:val="16"/>
                <w:szCs w:val="16"/>
                <w:color w:val="auto"/>
                <w:w w:val="93"/>
              </w:rPr>
              <w:t>364 Day Credit Agreement, dated as of June 16, 2016, among the Company and Citibank, N.A, as lender and administrative agent, is incorporated by</w:t>
            </w:r>
          </w:p>
        </w:tc>
      </w:tr>
      <w:tr>
        <w:trPr>
          <w:trHeight w:val="206"/>
        </w:trPr>
        <w:tc>
          <w:tcPr>
            <w:tcW w:w="760" w:type="dxa"/>
            <w:vAlign w:val="bottom"/>
          </w:tcPr>
          <w:p>
            <w:pPr>
              <w:spacing w:after="0"/>
              <w:rPr>
                <w:sz w:val="17"/>
                <w:szCs w:val="17"/>
                <w:color w:val="auto"/>
              </w:rPr>
            </w:pPr>
          </w:p>
        </w:tc>
        <w:tc>
          <w:tcPr>
            <w:tcW w:w="10180" w:type="dxa"/>
            <w:vAlign w:val="bottom"/>
          </w:tcPr>
          <w:p>
            <w:pPr>
              <w:ind w:left="220"/>
              <w:spacing w:after="0"/>
              <w:rPr>
                <w:sz w:val="20"/>
                <w:szCs w:val="20"/>
                <w:color w:val="auto"/>
              </w:rPr>
            </w:pPr>
            <w:r>
              <w:rPr>
                <w:rFonts w:ascii="Arial" w:cs="Arial" w:eastAsia="Arial" w:hAnsi="Arial"/>
                <w:sz w:val="16"/>
                <w:szCs w:val="16"/>
                <w:color w:val="auto"/>
              </w:rPr>
              <w:t>reference from Exhibit 10.1 to the Company’s Current Report on Form 8-K filed June 17, 2016.</w:t>
            </w:r>
          </w:p>
        </w:tc>
      </w:tr>
      <w:tr>
        <w:trPr>
          <w:trHeight w:val="253"/>
        </w:trPr>
        <w:tc>
          <w:tcPr>
            <w:tcW w:w="760" w:type="dxa"/>
            <w:vAlign w:val="bottom"/>
          </w:tcPr>
          <w:p>
            <w:pPr>
              <w:jc w:val="center"/>
              <w:ind w:right="139"/>
              <w:spacing w:after="0"/>
              <w:rPr>
                <w:sz w:val="20"/>
                <w:szCs w:val="20"/>
                <w:color w:val="auto"/>
              </w:rPr>
            </w:pPr>
            <w:r>
              <w:rPr>
                <w:rFonts w:ascii="Arial" w:cs="Arial" w:eastAsia="Arial" w:hAnsi="Arial"/>
                <w:sz w:val="16"/>
                <w:szCs w:val="16"/>
                <w:color w:val="auto"/>
                <w:w w:val="90"/>
              </w:rPr>
              <w:t>10.7(a)</w:t>
            </w:r>
          </w:p>
        </w:tc>
        <w:tc>
          <w:tcPr>
            <w:tcW w:w="10180" w:type="dxa"/>
            <w:vAlign w:val="bottom"/>
          </w:tcPr>
          <w:p>
            <w:pPr>
              <w:ind w:left="220"/>
              <w:spacing w:after="0"/>
              <w:rPr>
                <w:sz w:val="20"/>
                <w:szCs w:val="20"/>
                <w:color w:val="auto"/>
              </w:rPr>
            </w:pPr>
            <w:r>
              <w:rPr>
                <w:rFonts w:ascii="Arial" w:cs="Arial" w:eastAsia="Arial" w:hAnsi="Arial"/>
                <w:sz w:val="16"/>
                <w:szCs w:val="16"/>
                <w:color w:val="auto"/>
                <w:w w:val="96"/>
              </w:rPr>
              <w:t>Master Innovation and Supply Agreement between the Company and Barry Callebaut, AG, dated July 13, 2007, is incorporated by reference from</w:t>
            </w:r>
          </w:p>
        </w:tc>
      </w:tr>
      <w:tr>
        <w:trPr>
          <w:trHeight w:val="206"/>
        </w:trPr>
        <w:tc>
          <w:tcPr>
            <w:tcW w:w="760" w:type="dxa"/>
            <w:vAlign w:val="bottom"/>
          </w:tcPr>
          <w:p>
            <w:pPr>
              <w:spacing w:after="0"/>
              <w:rPr>
                <w:sz w:val="17"/>
                <w:szCs w:val="17"/>
                <w:color w:val="auto"/>
              </w:rPr>
            </w:pPr>
          </w:p>
        </w:tc>
        <w:tc>
          <w:tcPr>
            <w:tcW w:w="10180" w:type="dxa"/>
            <w:vAlign w:val="bottom"/>
          </w:tcPr>
          <w:p>
            <w:pPr>
              <w:ind w:left="220"/>
              <w:spacing w:after="0"/>
              <w:rPr>
                <w:sz w:val="20"/>
                <w:szCs w:val="20"/>
                <w:color w:val="auto"/>
              </w:rPr>
            </w:pPr>
            <w:r>
              <w:rPr>
                <w:rFonts w:ascii="Arial" w:cs="Arial" w:eastAsia="Arial" w:hAnsi="Arial"/>
                <w:sz w:val="16"/>
                <w:szCs w:val="16"/>
                <w:color w:val="auto"/>
              </w:rPr>
              <w:t>Exhibit 10.1 to the Company’s Current Report on Form 8-K filed July 19, 2007.</w:t>
            </w:r>
          </w:p>
        </w:tc>
      </w:tr>
      <w:tr>
        <w:trPr>
          <w:trHeight w:val="253"/>
        </w:trPr>
        <w:tc>
          <w:tcPr>
            <w:tcW w:w="760" w:type="dxa"/>
            <w:vAlign w:val="bottom"/>
          </w:tcPr>
          <w:p>
            <w:pPr>
              <w:jc w:val="center"/>
              <w:ind w:right="119"/>
              <w:spacing w:after="0"/>
              <w:rPr>
                <w:sz w:val="20"/>
                <w:szCs w:val="20"/>
                <w:color w:val="auto"/>
              </w:rPr>
            </w:pPr>
            <w:r>
              <w:rPr>
                <w:rFonts w:ascii="Arial" w:cs="Arial" w:eastAsia="Arial" w:hAnsi="Arial"/>
                <w:sz w:val="16"/>
                <w:szCs w:val="16"/>
                <w:color w:val="auto"/>
                <w:w w:val="94"/>
              </w:rPr>
              <w:t>10.7(b)</w:t>
            </w:r>
          </w:p>
        </w:tc>
        <w:tc>
          <w:tcPr>
            <w:tcW w:w="10180" w:type="dxa"/>
            <w:vAlign w:val="bottom"/>
          </w:tcPr>
          <w:p>
            <w:pPr>
              <w:ind w:left="220"/>
              <w:spacing w:after="0"/>
              <w:rPr>
                <w:sz w:val="20"/>
                <w:szCs w:val="20"/>
                <w:color w:val="auto"/>
              </w:rPr>
            </w:pPr>
            <w:r>
              <w:rPr>
                <w:rFonts w:ascii="Arial" w:cs="Arial" w:eastAsia="Arial" w:hAnsi="Arial"/>
                <w:sz w:val="16"/>
                <w:szCs w:val="16"/>
                <w:color w:val="auto"/>
                <w:w w:val="93"/>
              </w:rPr>
              <w:t>First Amendment to Master Innovation and Supply Agreement between the Company and Barry Callebaut, AG, dated April 14, 2011, is incorporated by</w:t>
            </w:r>
          </w:p>
        </w:tc>
      </w:tr>
      <w:tr>
        <w:trPr>
          <w:trHeight w:val="206"/>
        </w:trPr>
        <w:tc>
          <w:tcPr>
            <w:tcW w:w="760" w:type="dxa"/>
            <w:vAlign w:val="bottom"/>
          </w:tcPr>
          <w:p>
            <w:pPr>
              <w:spacing w:after="0"/>
              <w:rPr>
                <w:sz w:val="17"/>
                <w:szCs w:val="17"/>
                <w:color w:val="auto"/>
              </w:rPr>
            </w:pPr>
          </w:p>
        </w:tc>
        <w:tc>
          <w:tcPr>
            <w:tcW w:w="10180" w:type="dxa"/>
            <w:vAlign w:val="bottom"/>
          </w:tcPr>
          <w:p>
            <w:pPr>
              <w:ind w:left="220"/>
              <w:spacing w:after="0"/>
              <w:rPr>
                <w:sz w:val="20"/>
                <w:szCs w:val="20"/>
                <w:color w:val="auto"/>
              </w:rPr>
            </w:pPr>
            <w:r>
              <w:rPr>
                <w:rFonts w:ascii="Arial" w:cs="Arial" w:eastAsia="Arial" w:hAnsi="Arial"/>
                <w:sz w:val="16"/>
                <w:szCs w:val="16"/>
                <w:color w:val="auto"/>
              </w:rPr>
              <w:t>reference from Exhibit 10.4 to the Company’s Quarterly Report on Form 10-Q for the quarter ended July 3, 2011.</w:t>
            </w:r>
          </w:p>
        </w:tc>
      </w:tr>
      <w:tr>
        <w:trPr>
          <w:trHeight w:val="253"/>
        </w:trPr>
        <w:tc>
          <w:tcPr>
            <w:tcW w:w="760" w:type="dxa"/>
            <w:vAlign w:val="bottom"/>
          </w:tcPr>
          <w:p>
            <w:pPr>
              <w:jc w:val="center"/>
              <w:ind w:right="119"/>
              <w:spacing w:after="0"/>
              <w:rPr>
                <w:sz w:val="20"/>
                <w:szCs w:val="20"/>
                <w:color w:val="auto"/>
              </w:rPr>
            </w:pPr>
            <w:r>
              <w:rPr>
                <w:rFonts w:ascii="Arial" w:cs="Arial" w:eastAsia="Arial" w:hAnsi="Arial"/>
                <w:sz w:val="16"/>
                <w:szCs w:val="16"/>
                <w:color w:val="auto"/>
                <w:w w:val="89"/>
              </w:rPr>
              <w:t>10.8</w:t>
            </w:r>
          </w:p>
        </w:tc>
        <w:tc>
          <w:tcPr>
            <w:tcW w:w="10180" w:type="dxa"/>
            <w:vAlign w:val="bottom"/>
          </w:tcPr>
          <w:p>
            <w:pPr>
              <w:ind w:left="220"/>
              <w:spacing w:after="0"/>
              <w:rPr>
                <w:sz w:val="20"/>
                <w:szCs w:val="20"/>
                <w:color w:val="auto"/>
              </w:rPr>
            </w:pPr>
            <w:r>
              <w:rPr>
                <w:rFonts w:ascii="Arial" w:cs="Arial" w:eastAsia="Arial" w:hAnsi="Arial"/>
                <w:sz w:val="16"/>
                <w:szCs w:val="16"/>
                <w:color w:val="auto"/>
                <w:w w:val="96"/>
              </w:rPr>
              <w:t>Supply Agreement for Monterrey, Mexico, between the Company and Barry Callebaut, AG, dated July 13, 2007, is incorporated by reference from</w:t>
            </w:r>
          </w:p>
        </w:tc>
      </w:tr>
      <w:tr>
        <w:trPr>
          <w:trHeight w:val="206"/>
        </w:trPr>
        <w:tc>
          <w:tcPr>
            <w:tcW w:w="760" w:type="dxa"/>
            <w:vAlign w:val="bottom"/>
          </w:tcPr>
          <w:p>
            <w:pPr>
              <w:spacing w:after="0"/>
              <w:rPr>
                <w:sz w:val="17"/>
                <w:szCs w:val="17"/>
                <w:color w:val="auto"/>
              </w:rPr>
            </w:pPr>
          </w:p>
        </w:tc>
        <w:tc>
          <w:tcPr>
            <w:tcW w:w="10180" w:type="dxa"/>
            <w:vAlign w:val="bottom"/>
          </w:tcPr>
          <w:p>
            <w:pPr>
              <w:ind w:left="220"/>
              <w:spacing w:after="0"/>
              <w:rPr>
                <w:sz w:val="20"/>
                <w:szCs w:val="20"/>
                <w:color w:val="auto"/>
              </w:rPr>
            </w:pPr>
            <w:r>
              <w:rPr>
                <w:rFonts w:ascii="Arial" w:cs="Arial" w:eastAsia="Arial" w:hAnsi="Arial"/>
                <w:sz w:val="16"/>
                <w:szCs w:val="16"/>
                <w:color w:val="auto"/>
              </w:rPr>
              <w:t>Exhibit 10.2 to the Company’s Current Report on Form 8-K filed July 19, 2007.</w:t>
            </w:r>
          </w:p>
        </w:tc>
      </w:tr>
      <w:tr>
        <w:trPr>
          <w:trHeight w:val="253"/>
        </w:trPr>
        <w:tc>
          <w:tcPr>
            <w:tcW w:w="760" w:type="dxa"/>
            <w:vAlign w:val="bottom"/>
          </w:tcPr>
          <w:p>
            <w:pPr>
              <w:jc w:val="center"/>
              <w:ind w:right="119"/>
              <w:spacing w:after="0"/>
              <w:rPr>
                <w:sz w:val="20"/>
                <w:szCs w:val="20"/>
                <w:color w:val="auto"/>
              </w:rPr>
            </w:pPr>
            <w:r>
              <w:rPr>
                <w:rFonts w:ascii="Arial" w:cs="Arial" w:eastAsia="Arial" w:hAnsi="Arial"/>
                <w:sz w:val="16"/>
                <w:szCs w:val="16"/>
                <w:color w:val="auto"/>
                <w:w w:val="89"/>
              </w:rPr>
              <w:t>10.9</w:t>
            </w:r>
          </w:p>
        </w:tc>
        <w:tc>
          <w:tcPr>
            <w:tcW w:w="10180" w:type="dxa"/>
            <w:vAlign w:val="bottom"/>
          </w:tcPr>
          <w:p>
            <w:pPr>
              <w:ind w:left="220"/>
              <w:spacing w:after="0"/>
              <w:rPr>
                <w:sz w:val="20"/>
                <w:szCs w:val="20"/>
                <w:color w:val="auto"/>
              </w:rPr>
            </w:pPr>
            <w:r>
              <w:rPr>
                <w:rFonts w:ascii="Arial" w:cs="Arial" w:eastAsia="Arial" w:hAnsi="Arial"/>
                <w:sz w:val="16"/>
                <w:szCs w:val="16"/>
                <w:color w:val="auto"/>
                <w:w w:val="91"/>
              </w:rPr>
              <w:t>The Company’s Equity and Incentive Compensation Plan, amended and restated February 22, 2011, and approved by our stockholders on April 28, 2011,</w:t>
            </w:r>
          </w:p>
        </w:tc>
      </w:tr>
      <w:tr>
        <w:trPr>
          <w:trHeight w:val="257"/>
        </w:trPr>
        <w:tc>
          <w:tcPr>
            <w:tcW w:w="760" w:type="dxa"/>
            <w:vAlign w:val="bottom"/>
          </w:tcPr>
          <w:p>
            <w:pPr>
              <w:spacing w:after="0"/>
              <w:rPr>
                <w:sz w:val="22"/>
                <w:szCs w:val="22"/>
                <w:color w:val="auto"/>
              </w:rPr>
            </w:pPr>
          </w:p>
        </w:tc>
        <w:tc>
          <w:tcPr>
            <w:tcW w:w="10180" w:type="dxa"/>
            <w:vAlign w:val="bottom"/>
          </w:tcPr>
          <w:p>
            <w:pPr>
              <w:ind w:left="220"/>
              <w:spacing w:after="0"/>
              <w:rPr>
                <w:sz w:val="20"/>
                <w:szCs w:val="20"/>
                <w:color w:val="auto"/>
              </w:rPr>
            </w:pPr>
            <w:r>
              <w:rPr>
                <w:rFonts w:ascii="Arial" w:cs="Arial" w:eastAsia="Arial" w:hAnsi="Arial"/>
                <w:sz w:val="16"/>
                <w:szCs w:val="16"/>
                <w:color w:val="auto"/>
              </w:rPr>
              <w:t>is incorporated by reference from Appendix B to the Company’s proxy statement filed March 15, 2011.</w:t>
            </w:r>
            <w:r>
              <w:rPr>
                <w:rFonts w:ascii="Arial" w:cs="Arial" w:eastAsia="Arial" w:hAnsi="Arial"/>
                <w:sz w:val="21"/>
                <w:szCs w:val="21"/>
                <w:color w:val="auto"/>
                <w:vertAlign w:val="superscript"/>
              </w:rPr>
              <w:t>+</w:t>
            </w:r>
          </w:p>
        </w:tc>
      </w:tr>
      <w:tr>
        <w:trPr>
          <w:trHeight w:val="203"/>
        </w:trPr>
        <w:tc>
          <w:tcPr>
            <w:tcW w:w="760" w:type="dxa"/>
            <w:vAlign w:val="bottom"/>
          </w:tcPr>
          <w:p>
            <w:pPr>
              <w:jc w:val="center"/>
              <w:ind w:right="139"/>
              <w:spacing w:after="0"/>
              <w:rPr>
                <w:sz w:val="20"/>
                <w:szCs w:val="20"/>
                <w:color w:val="auto"/>
              </w:rPr>
            </w:pPr>
            <w:r>
              <w:rPr>
                <w:rFonts w:ascii="Arial" w:cs="Arial" w:eastAsia="Arial" w:hAnsi="Arial"/>
                <w:sz w:val="16"/>
                <w:szCs w:val="16"/>
                <w:color w:val="auto"/>
                <w:w w:val="90"/>
              </w:rPr>
              <w:t>10.10(a)</w:t>
            </w:r>
          </w:p>
        </w:tc>
        <w:tc>
          <w:tcPr>
            <w:tcW w:w="10180" w:type="dxa"/>
            <w:vAlign w:val="bottom"/>
          </w:tcPr>
          <w:p>
            <w:pPr>
              <w:ind w:left="220"/>
              <w:spacing w:after="0"/>
              <w:rPr>
                <w:sz w:val="20"/>
                <w:szCs w:val="20"/>
                <w:color w:val="auto"/>
              </w:rPr>
            </w:pPr>
            <w:r>
              <w:rPr>
                <w:rFonts w:ascii="Arial" w:cs="Arial" w:eastAsia="Arial" w:hAnsi="Arial"/>
                <w:sz w:val="16"/>
                <w:szCs w:val="16"/>
                <w:color w:val="auto"/>
                <w:w w:val="95"/>
              </w:rPr>
              <w:t>Form of Notice of Award of Restricted Stock Units (pre-February 15, 2016 version) is incorporated by reference from Exhibit 10.9 to the Company’s</w:t>
            </w:r>
          </w:p>
        </w:tc>
      </w:tr>
      <w:tr>
        <w:trPr>
          <w:trHeight w:val="257"/>
        </w:trPr>
        <w:tc>
          <w:tcPr>
            <w:tcW w:w="760" w:type="dxa"/>
            <w:vAlign w:val="bottom"/>
          </w:tcPr>
          <w:p>
            <w:pPr>
              <w:spacing w:after="0"/>
              <w:rPr>
                <w:sz w:val="22"/>
                <w:szCs w:val="22"/>
                <w:color w:val="auto"/>
              </w:rPr>
            </w:pPr>
          </w:p>
        </w:tc>
        <w:tc>
          <w:tcPr>
            <w:tcW w:w="10180" w:type="dxa"/>
            <w:vAlign w:val="bottom"/>
          </w:tcPr>
          <w:p>
            <w:pPr>
              <w:ind w:left="220"/>
              <w:spacing w:after="0"/>
              <w:rPr>
                <w:sz w:val="20"/>
                <w:szCs w:val="20"/>
                <w:color w:val="auto"/>
              </w:rPr>
            </w:pPr>
            <w:r>
              <w:rPr>
                <w:rFonts w:ascii="Arial" w:cs="Arial" w:eastAsia="Arial" w:hAnsi="Arial"/>
                <w:sz w:val="16"/>
                <w:szCs w:val="16"/>
                <w:color w:val="auto"/>
              </w:rPr>
              <w:t>Annual Report on Form 10-K for the fiscal year ended December 31, 2016.</w:t>
            </w:r>
            <w:r>
              <w:rPr>
                <w:rFonts w:ascii="Arial" w:cs="Arial" w:eastAsia="Arial" w:hAnsi="Arial"/>
                <w:sz w:val="21"/>
                <w:szCs w:val="21"/>
                <w:color w:val="auto"/>
                <w:vertAlign w:val="superscript"/>
              </w:rPr>
              <w:t>+</w:t>
            </w:r>
          </w:p>
        </w:tc>
      </w:tr>
      <w:tr>
        <w:trPr>
          <w:trHeight w:val="270"/>
        </w:trPr>
        <w:tc>
          <w:tcPr>
            <w:tcW w:w="760" w:type="dxa"/>
            <w:vAlign w:val="bottom"/>
          </w:tcPr>
          <w:p>
            <w:pPr>
              <w:jc w:val="center"/>
              <w:ind w:right="119"/>
              <w:spacing w:after="0"/>
              <w:rPr>
                <w:sz w:val="20"/>
                <w:szCs w:val="20"/>
                <w:color w:val="auto"/>
              </w:rPr>
            </w:pPr>
            <w:r>
              <w:rPr>
                <w:rFonts w:ascii="Arial" w:cs="Arial" w:eastAsia="Arial" w:hAnsi="Arial"/>
                <w:sz w:val="16"/>
                <w:szCs w:val="16"/>
                <w:color w:val="auto"/>
                <w:w w:val="93"/>
              </w:rPr>
              <w:t>10.10(b)</w:t>
            </w:r>
          </w:p>
        </w:tc>
        <w:tc>
          <w:tcPr>
            <w:tcW w:w="10180" w:type="dxa"/>
            <w:vAlign w:val="bottom"/>
          </w:tcPr>
          <w:p>
            <w:pPr>
              <w:ind w:left="220"/>
              <w:spacing w:after="0"/>
              <w:rPr>
                <w:sz w:val="20"/>
                <w:szCs w:val="20"/>
                <w:color w:val="auto"/>
              </w:rPr>
            </w:pPr>
            <w:r>
              <w:rPr>
                <w:rFonts w:ascii="Arial" w:cs="Arial" w:eastAsia="Arial" w:hAnsi="Arial"/>
                <w:sz w:val="16"/>
                <w:szCs w:val="16"/>
                <w:color w:val="auto"/>
              </w:rPr>
              <w:t>Form of Notice of Award of Restricted Stock Units (effective February 15, 2016).*</w:t>
            </w:r>
            <w:r>
              <w:rPr>
                <w:rFonts w:ascii="Arial" w:cs="Arial" w:eastAsia="Arial" w:hAnsi="Arial"/>
                <w:sz w:val="21"/>
                <w:szCs w:val="21"/>
                <w:color w:val="auto"/>
                <w:vertAlign w:val="superscript"/>
              </w:rPr>
              <w:t>+</w:t>
            </w:r>
          </w:p>
        </w:tc>
      </w:tr>
      <w:tr>
        <w:trPr>
          <w:trHeight w:val="203"/>
        </w:trPr>
        <w:tc>
          <w:tcPr>
            <w:tcW w:w="760" w:type="dxa"/>
            <w:vAlign w:val="bottom"/>
          </w:tcPr>
          <w:p>
            <w:pPr>
              <w:jc w:val="center"/>
              <w:ind w:right="139"/>
              <w:spacing w:after="0"/>
              <w:rPr>
                <w:sz w:val="20"/>
                <w:szCs w:val="20"/>
                <w:color w:val="auto"/>
              </w:rPr>
            </w:pPr>
            <w:r>
              <w:rPr>
                <w:rFonts w:ascii="Arial" w:cs="Arial" w:eastAsia="Arial" w:hAnsi="Arial"/>
                <w:sz w:val="16"/>
                <w:szCs w:val="16"/>
                <w:color w:val="auto"/>
                <w:w w:val="90"/>
              </w:rPr>
              <w:t>10.11(a)</w:t>
            </w:r>
          </w:p>
        </w:tc>
        <w:tc>
          <w:tcPr>
            <w:tcW w:w="10180" w:type="dxa"/>
            <w:vAlign w:val="bottom"/>
          </w:tcPr>
          <w:p>
            <w:pPr>
              <w:ind w:left="220"/>
              <w:spacing w:after="0"/>
              <w:rPr>
                <w:sz w:val="20"/>
                <w:szCs w:val="20"/>
                <w:color w:val="auto"/>
              </w:rPr>
            </w:pPr>
            <w:r>
              <w:rPr>
                <w:rFonts w:ascii="Arial" w:cs="Arial" w:eastAsia="Arial" w:hAnsi="Arial"/>
                <w:sz w:val="16"/>
                <w:szCs w:val="16"/>
                <w:color w:val="auto"/>
                <w:w w:val="93"/>
              </w:rPr>
              <w:t>Form of Notice of Special Award of Restricted Stock Units (pro-rata vest, pre-February 15, 2016 version) is incorporated by reference from Exhibit 10.2</w:t>
            </w:r>
          </w:p>
        </w:tc>
      </w:tr>
      <w:tr>
        <w:trPr>
          <w:trHeight w:val="257"/>
        </w:trPr>
        <w:tc>
          <w:tcPr>
            <w:tcW w:w="760" w:type="dxa"/>
            <w:vAlign w:val="bottom"/>
          </w:tcPr>
          <w:p>
            <w:pPr>
              <w:spacing w:after="0"/>
              <w:rPr>
                <w:sz w:val="22"/>
                <w:szCs w:val="22"/>
                <w:color w:val="auto"/>
              </w:rPr>
            </w:pPr>
          </w:p>
        </w:tc>
        <w:tc>
          <w:tcPr>
            <w:tcW w:w="10180" w:type="dxa"/>
            <w:vAlign w:val="bottom"/>
          </w:tcPr>
          <w:p>
            <w:pPr>
              <w:ind w:left="220"/>
              <w:spacing w:after="0"/>
              <w:rPr>
                <w:sz w:val="20"/>
                <w:szCs w:val="20"/>
                <w:color w:val="auto"/>
              </w:rPr>
            </w:pPr>
            <w:r>
              <w:rPr>
                <w:rFonts w:ascii="Arial" w:cs="Arial" w:eastAsia="Arial" w:hAnsi="Arial"/>
                <w:sz w:val="16"/>
                <w:szCs w:val="16"/>
                <w:color w:val="auto"/>
              </w:rPr>
              <w:t>to the Company’s Current Report on Form 8-K filed June 16, 2011.</w:t>
            </w:r>
            <w:r>
              <w:rPr>
                <w:rFonts w:ascii="Arial" w:cs="Arial" w:eastAsia="Arial" w:hAnsi="Arial"/>
                <w:sz w:val="21"/>
                <w:szCs w:val="21"/>
                <w:color w:val="auto"/>
                <w:vertAlign w:val="superscript"/>
              </w:rPr>
              <w:t>+</w:t>
            </w:r>
          </w:p>
        </w:tc>
      </w:tr>
      <w:tr>
        <w:trPr>
          <w:trHeight w:val="203"/>
        </w:trPr>
        <w:tc>
          <w:tcPr>
            <w:tcW w:w="760" w:type="dxa"/>
            <w:vAlign w:val="bottom"/>
          </w:tcPr>
          <w:p>
            <w:pPr>
              <w:jc w:val="center"/>
              <w:ind w:right="119"/>
              <w:spacing w:after="0"/>
              <w:rPr>
                <w:sz w:val="20"/>
                <w:szCs w:val="20"/>
                <w:color w:val="auto"/>
              </w:rPr>
            </w:pPr>
            <w:r>
              <w:rPr>
                <w:rFonts w:ascii="Arial" w:cs="Arial" w:eastAsia="Arial" w:hAnsi="Arial"/>
                <w:sz w:val="16"/>
                <w:szCs w:val="16"/>
                <w:color w:val="auto"/>
                <w:w w:val="93"/>
              </w:rPr>
              <w:t>10.11(b)</w:t>
            </w:r>
          </w:p>
        </w:tc>
        <w:tc>
          <w:tcPr>
            <w:tcW w:w="10180" w:type="dxa"/>
            <w:vAlign w:val="bottom"/>
          </w:tcPr>
          <w:p>
            <w:pPr>
              <w:ind w:left="220"/>
              <w:spacing w:after="0"/>
              <w:rPr>
                <w:sz w:val="20"/>
                <w:szCs w:val="20"/>
                <w:color w:val="auto"/>
              </w:rPr>
            </w:pPr>
            <w:r>
              <w:rPr>
                <w:rFonts w:ascii="Arial" w:cs="Arial" w:eastAsia="Arial" w:hAnsi="Arial"/>
                <w:sz w:val="16"/>
                <w:szCs w:val="16"/>
                <w:color w:val="auto"/>
                <w:w w:val="93"/>
              </w:rPr>
              <w:t>Form of Notice of Special Award of Restricted Stock Units (pro-rata vest, effective February 15, 2016) is incorporated by reference from Exhibit 10.1 to</w:t>
            </w:r>
          </w:p>
        </w:tc>
      </w:tr>
      <w:tr>
        <w:trPr>
          <w:trHeight w:val="257"/>
        </w:trPr>
        <w:tc>
          <w:tcPr>
            <w:tcW w:w="760" w:type="dxa"/>
            <w:vAlign w:val="bottom"/>
          </w:tcPr>
          <w:p>
            <w:pPr>
              <w:spacing w:after="0"/>
              <w:rPr>
                <w:sz w:val="22"/>
                <w:szCs w:val="22"/>
                <w:color w:val="auto"/>
              </w:rPr>
            </w:pPr>
          </w:p>
        </w:tc>
        <w:tc>
          <w:tcPr>
            <w:tcW w:w="10180" w:type="dxa"/>
            <w:vAlign w:val="bottom"/>
          </w:tcPr>
          <w:p>
            <w:pPr>
              <w:ind w:left="220"/>
              <w:spacing w:after="0"/>
              <w:rPr>
                <w:sz w:val="20"/>
                <w:szCs w:val="20"/>
                <w:color w:val="auto"/>
              </w:rPr>
            </w:pPr>
            <w:r>
              <w:rPr>
                <w:rFonts w:ascii="Arial" w:cs="Arial" w:eastAsia="Arial" w:hAnsi="Arial"/>
                <w:sz w:val="16"/>
                <w:szCs w:val="16"/>
                <w:color w:val="auto"/>
              </w:rPr>
              <w:t>the Company’s Current Report on Form 8-K filed June 17, 2016.</w:t>
            </w:r>
            <w:r>
              <w:rPr>
                <w:rFonts w:ascii="Arial" w:cs="Arial" w:eastAsia="Arial" w:hAnsi="Arial"/>
                <w:sz w:val="21"/>
                <w:szCs w:val="21"/>
                <w:color w:val="auto"/>
                <w:vertAlign w:val="superscript"/>
              </w:rPr>
              <w:t>+</w:t>
            </w:r>
          </w:p>
        </w:tc>
      </w:tr>
      <w:tr>
        <w:trPr>
          <w:trHeight w:val="203"/>
        </w:trPr>
        <w:tc>
          <w:tcPr>
            <w:tcW w:w="760" w:type="dxa"/>
            <w:vAlign w:val="bottom"/>
          </w:tcPr>
          <w:p>
            <w:pPr>
              <w:jc w:val="center"/>
              <w:ind w:right="139"/>
              <w:spacing w:after="0"/>
              <w:rPr>
                <w:sz w:val="20"/>
                <w:szCs w:val="20"/>
                <w:color w:val="auto"/>
              </w:rPr>
            </w:pPr>
            <w:r>
              <w:rPr>
                <w:rFonts w:ascii="Arial" w:cs="Arial" w:eastAsia="Arial" w:hAnsi="Arial"/>
                <w:sz w:val="16"/>
                <w:szCs w:val="16"/>
                <w:color w:val="auto"/>
                <w:w w:val="91"/>
              </w:rPr>
              <w:t>10.11(c)</w:t>
            </w:r>
          </w:p>
        </w:tc>
        <w:tc>
          <w:tcPr>
            <w:tcW w:w="10180" w:type="dxa"/>
            <w:vAlign w:val="bottom"/>
          </w:tcPr>
          <w:p>
            <w:pPr>
              <w:ind w:left="220"/>
              <w:spacing w:after="0"/>
              <w:rPr>
                <w:sz w:val="20"/>
                <w:szCs w:val="20"/>
                <w:color w:val="auto"/>
              </w:rPr>
            </w:pPr>
            <w:r>
              <w:rPr>
                <w:rFonts w:ascii="Arial" w:cs="Arial" w:eastAsia="Arial" w:hAnsi="Arial"/>
                <w:sz w:val="16"/>
                <w:szCs w:val="16"/>
                <w:color w:val="auto"/>
                <w:w w:val="95"/>
              </w:rPr>
              <w:t>Form of Notice of Special Award of Restricted Stock Units (3-year cliff vest) is incorporated by reference from Exhibit 10.1 to the Company’s Current</w:t>
            </w:r>
          </w:p>
        </w:tc>
      </w:tr>
      <w:tr>
        <w:trPr>
          <w:trHeight w:val="257"/>
        </w:trPr>
        <w:tc>
          <w:tcPr>
            <w:tcW w:w="760" w:type="dxa"/>
            <w:vAlign w:val="bottom"/>
          </w:tcPr>
          <w:p>
            <w:pPr>
              <w:spacing w:after="0"/>
              <w:rPr>
                <w:sz w:val="22"/>
                <w:szCs w:val="22"/>
                <w:color w:val="auto"/>
              </w:rPr>
            </w:pPr>
          </w:p>
        </w:tc>
        <w:tc>
          <w:tcPr>
            <w:tcW w:w="10180" w:type="dxa"/>
            <w:vAlign w:val="bottom"/>
          </w:tcPr>
          <w:p>
            <w:pPr>
              <w:ind w:left="220"/>
              <w:spacing w:after="0"/>
              <w:rPr>
                <w:sz w:val="20"/>
                <w:szCs w:val="20"/>
                <w:color w:val="auto"/>
              </w:rPr>
            </w:pPr>
            <w:r>
              <w:rPr>
                <w:rFonts w:ascii="Arial" w:cs="Arial" w:eastAsia="Arial" w:hAnsi="Arial"/>
                <w:sz w:val="16"/>
                <w:szCs w:val="16"/>
                <w:color w:val="auto"/>
              </w:rPr>
              <w:t>Report on Form 8-K filed February 18, 2016.</w:t>
            </w:r>
            <w:r>
              <w:rPr>
                <w:rFonts w:ascii="Arial" w:cs="Arial" w:eastAsia="Arial" w:hAnsi="Arial"/>
                <w:sz w:val="21"/>
                <w:szCs w:val="21"/>
                <w:color w:val="auto"/>
                <w:vertAlign w:val="superscript"/>
              </w:rPr>
              <w:t>+</w:t>
            </w:r>
          </w:p>
        </w:tc>
      </w:tr>
      <w:tr>
        <w:trPr>
          <w:trHeight w:val="203"/>
        </w:trPr>
        <w:tc>
          <w:tcPr>
            <w:tcW w:w="760" w:type="dxa"/>
            <w:vAlign w:val="bottom"/>
          </w:tcPr>
          <w:p>
            <w:pPr>
              <w:jc w:val="center"/>
              <w:ind w:right="139"/>
              <w:spacing w:after="0"/>
              <w:rPr>
                <w:sz w:val="20"/>
                <w:szCs w:val="20"/>
                <w:color w:val="auto"/>
              </w:rPr>
            </w:pPr>
            <w:r>
              <w:rPr>
                <w:rFonts w:ascii="Arial" w:cs="Arial" w:eastAsia="Arial" w:hAnsi="Arial"/>
                <w:sz w:val="16"/>
                <w:szCs w:val="16"/>
                <w:color w:val="auto"/>
                <w:w w:val="90"/>
              </w:rPr>
              <w:t>10.12(a)</w:t>
            </w:r>
          </w:p>
        </w:tc>
        <w:tc>
          <w:tcPr>
            <w:tcW w:w="10180" w:type="dxa"/>
            <w:vAlign w:val="bottom"/>
          </w:tcPr>
          <w:p>
            <w:pPr>
              <w:ind w:left="220"/>
              <w:spacing w:after="0"/>
              <w:rPr>
                <w:sz w:val="20"/>
                <w:szCs w:val="20"/>
                <w:color w:val="auto"/>
              </w:rPr>
            </w:pPr>
            <w:r>
              <w:rPr>
                <w:rFonts w:ascii="Arial" w:cs="Arial" w:eastAsia="Arial" w:hAnsi="Arial"/>
                <w:sz w:val="16"/>
                <w:szCs w:val="16"/>
                <w:color w:val="auto"/>
                <w:w w:val="96"/>
              </w:rPr>
              <w:t>Terms and Conditions of Nonqualified Stock Option Awards under the Equity and Incentive Compensation Plan (pre-February 15, 2016 version) is</w:t>
            </w:r>
          </w:p>
        </w:tc>
      </w:tr>
      <w:tr>
        <w:trPr>
          <w:trHeight w:val="257"/>
        </w:trPr>
        <w:tc>
          <w:tcPr>
            <w:tcW w:w="760" w:type="dxa"/>
            <w:vAlign w:val="bottom"/>
          </w:tcPr>
          <w:p>
            <w:pPr>
              <w:spacing w:after="0"/>
              <w:rPr>
                <w:sz w:val="22"/>
                <w:szCs w:val="22"/>
                <w:color w:val="auto"/>
              </w:rPr>
            </w:pPr>
          </w:p>
        </w:tc>
        <w:tc>
          <w:tcPr>
            <w:tcW w:w="10180" w:type="dxa"/>
            <w:vAlign w:val="bottom"/>
          </w:tcPr>
          <w:p>
            <w:pPr>
              <w:ind w:left="220"/>
              <w:spacing w:after="0"/>
              <w:rPr>
                <w:sz w:val="20"/>
                <w:szCs w:val="20"/>
                <w:color w:val="auto"/>
              </w:rPr>
            </w:pPr>
            <w:r>
              <w:rPr>
                <w:rFonts w:ascii="Arial" w:cs="Arial" w:eastAsia="Arial" w:hAnsi="Arial"/>
                <w:sz w:val="16"/>
                <w:szCs w:val="16"/>
                <w:color w:val="auto"/>
              </w:rPr>
              <w:t>incorporated by reference from Exhibit 10.2 to the Company’s Current Report on Form 8-K filed February 24, 2012.</w:t>
            </w:r>
            <w:r>
              <w:rPr>
                <w:rFonts w:ascii="Arial" w:cs="Arial" w:eastAsia="Arial" w:hAnsi="Arial"/>
                <w:sz w:val="21"/>
                <w:szCs w:val="21"/>
                <w:color w:val="auto"/>
                <w:vertAlign w:val="superscript"/>
              </w:rPr>
              <w:t>+</w:t>
            </w:r>
          </w:p>
        </w:tc>
      </w:tr>
      <w:tr>
        <w:trPr>
          <w:trHeight w:val="270"/>
        </w:trPr>
        <w:tc>
          <w:tcPr>
            <w:tcW w:w="760" w:type="dxa"/>
            <w:vAlign w:val="bottom"/>
          </w:tcPr>
          <w:p>
            <w:pPr>
              <w:jc w:val="center"/>
              <w:ind w:right="119"/>
              <w:spacing w:after="0"/>
              <w:rPr>
                <w:sz w:val="20"/>
                <w:szCs w:val="20"/>
                <w:color w:val="auto"/>
              </w:rPr>
            </w:pPr>
            <w:r>
              <w:rPr>
                <w:rFonts w:ascii="Arial" w:cs="Arial" w:eastAsia="Arial" w:hAnsi="Arial"/>
                <w:sz w:val="16"/>
                <w:szCs w:val="16"/>
                <w:color w:val="auto"/>
                <w:w w:val="93"/>
              </w:rPr>
              <w:t>10.12(b)</w:t>
            </w:r>
          </w:p>
        </w:tc>
        <w:tc>
          <w:tcPr>
            <w:tcW w:w="10180" w:type="dxa"/>
            <w:vAlign w:val="bottom"/>
          </w:tcPr>
          <w:p>
            <w:pPr>
              <w:ind w:left="220"/>
              <w:spacing w:after="0"/>
              <w:rPr>
                <w:sz w:val="20"/>
                <w:szCs w:val="20"/>
                <w:color w:val="auto"/>
              </w:rPr>
            </w:pPr>
            <w:r>
              <w:rPr>
                <w:rFonts w:ascii="Arial" w:cs="Arial" w:eastAsia="Arial" w:hAnsi="Arial"/>
                <w:sz w:val="16"/>
                <w:szCs w:val="16"/>
                <w:color w:val="auto"/>
                <w:w w:val="97"/>
              </w:rPr>
              <w:t>Terms and Conditions of Nonqualified Stock Option Awards under the Equity and Incentive Compensation Plan (effective February 15, 2016).*</w:t>
            </w:r>
            <w:r>
              <w:rPr>
                <w:rFonts w:ascii="Arial" w:cs="Arial" w:eastAsia="Arial" w:hAnsi="Arial"/>
                <w:sz w:val="21"/>
                <w:szCs w:val="21"/>
                <w:color w:val="auto"/>
                <w:w w:val="97"/>
                <w:vertAlign w:val="superscript"/>
              </w:rPr>
              <w:t>+</w:t>
            </w:r>
          </w:p>
        </w:tc>
      </w:tr>
      <w:tr>
        <w:trPr>
          <w:trHeight w:val="203"/>
        </w:trPr>
        <w:tc>
          <w:tcPr>
            <w:tcW w:w="760" w:type="dxa"/>
            <w:vAlign w:val="bottom"/>
          </w:tcPr>
          <w:p>
            <w:pPr>
              <w:jc w:val="center"/>
              <w:ind w:right="139"/>
              <w:spacing w:after="0"/>
              <w:rPr>
                <w:sz w:val="20"/>
                <w:szCs w:val="20"/>
                <w:color w:val="auto"/>
              </w:rPr>
            </w:pPr>
            <w:r>
              <w:rPr>
                <w:rFonts w:ascii="Arial" w:cs="Arial" w:eastAsia="Arial" w:hAnsi="Arial"/>
                <w:sz w:val="16"/>
                <w:szCs w:val="16"/>
                <w:color w:val="auto"/>
                <w:w w:val="90"/>
              </w:rPr>
              <w:t>10.13(a)</w:t>
            </w:r>
          </w:p>
        </w:tc>
        <w:tc>
          <w:tcPr>
            <w:tcW w:w="10180" w:type="dxa"/>
            <w:vAlign w:val="bottom"/>
          </w:tcPr>
          <w:p>
            <w:pPr>
              <w:ind w:left="220"/>
              <w:spacing w:after="0"/>
              <w:rPr>
                <w:sz w:val="20"/>
                <w:szCs w:val="20"/>
                <w:color w:val="auto"/>
              </w:rPr>
            </w:pPr>
            <w:r>
              <w:rPr>
                <w:rFonts w:ascii="Arial" w:cs="Arial" w:eastAsia="Arial" w:hAnsi="Arial"/>
                <w:sz w:val="16"/>
                <w:szCs w:val="16"/>
                <w:color w:val="auto"/>
                <w:w w:val="93"/>
              </w:rPr>
              <w:t>Form of Notice of Award of Performance Stock Units (pre-February 15, 2016 version) is incorporated by reference from Exhibit 10.1 to the Company's</w:t>
            </w:r>
          </w:p>
        </w:tc>
      </w:tr>
      <w:tr>
        <w:trPr>
          <w:trHeight w:val="270"/>
        </w:trPr>
        <w:tc>
          <w:tcPr>
            <w:tcW w:w="760" w:type="dxa"/>
            <w:vAlign w:val="bottom"/>
          </w:tcPr>
          <w:p>
            <w:pPr>
              <w:spacing w:after="0"/>
              <w:rPr>
                <w:sz w:val="23"/>
                <w:szCs w:val="23"/>
                <w:color w:val="auto"/>
              </w:rPr>
            </w:pPr>
          </w:p>
        </w:tc>
        <w:tc>
          <w:tcPr>
            <w:tcW w:w="10180" w:type="dxa"/>
            <w:vAlign w:val="bottom"/>
          </w:tcPr>
          <w:p>
            <w:pPr>
              <w:ind w:left="220"/>
              <w:spacing w:after="0"/>
              <w:rPr>
                <w:sz w:val="20"/>
                <w:szCs w:val="20"/>
                <w:color w:val="auto"/>
              </w:rPr>
            </w:pPr>
            <w:r>
              <w:rPr>
                <w:rFonts w:ascii="Arial" w:cs="Arial" w:eastAsia="Arial" w:hAnsi="Arial"/>
                <w:sz w:val="16"/>
                <w:szCs w:val="16"/>
                <w:color w:val="auto"/>
              </w:rPr>
              <w:t>Current Report on Form 8-K filed February 24, 2012.</w:t>
            </w:r>
            <w:r>
              <w:rPr>
                <w:rFonts w:ascii="Arial" w:cs="Arial" w:eastAsia="Arial" w:hAnsi="Arial"/>
                <w:sz w:val="21"/>
                <w:szCs w:val="21"/>
                <w:color w:val="auto"/>
                <w:vertAlign w:val="superscript"/>
              </w:rPr>
              <w:t>+</w:t>
            </w:r>
          </w:p>
        </w:tc>
      </w:tr>
      <w:tr>
        <w:trPr>
          <w:trHeight w:val="270"/>
        </w:trPr>
        <w:tc>
          <w:tcPr>
            <w:tcW w:w="760" w:type="dxa"/>
            <w:vAlign w:val="bottom"/>
          </w:tcPr>
          <w:p>
            <w:pPr>
              <w:jc w:val="center"/>
              <w:ind w:right="119"/>
              <w:spacing w:after="0"/>
              <w:rPr>
                <w:sz w:val="20"/>
                <w:szCs w:val="20"/>
                <w:color w:val="auto"/>
              </w:rPr>
            </w:pPr>
            <w:r>
              <w:rPr>
                <w:rFonts w:ascii="Arial" w:cs="Arial" w:eastAsia="Arial" w:hAnsi="Arial"/>
                <w:sz w:val="16"/>
                <w:szCs w:val="16"/>
                <w:color w:val="auto"/>
                <w:w w:val="93"/>
              </w:rPr>
              <w:t>10.13(b)</w:t>
            </w:r>
          </w:p>
        </w:tc>
        <w:tc>
          <w:tcPr>
            <w:tcW w:w="10180" w:type="dxa"/>
            <w:vAlign w:val="bottom"/>
          </w:tcPr>
          <w:p>
            <w:pPr>
              <w:ind w:left="220"/>
              <w:spacing w:after="0"/>
              <w:rPr>
                <w:sz w:val="20"/>
                <w:szCs w:val="20"/>
                <w:color w:val="auto"/>
              </w:rPr>
            </w:pPr>
            <w:r>
              <w:rPr>
                <w:rFonts w:ascii="Arial" w:cs="Arial" w:eastAsia="Arial" w:hAnsi="Arial"/>
                <w:sz w:val="16"/>
                <w:szCs w:val="16"/>
                <w:color w:val="auto"/>
              </w:rPr>
              <w:t>Form of Notice of Award of Performance Stock Units (effective February 15, 2016).*</w:t>
            </w:r>
            <w:r>
              <w:rPr>
                <w:rFonts w:ascii="Arial" w:cs="Arial" w:eastAsia="Arial" w:hAnsi="Arial"/>
                <w:sz w:val="21"/>
                <w:szCs w:val="21"/>
                <w:color w:val="auto"/>
                <w:vertAlign w:val="superscript"/>
              </w:rPr>
              <w:t>+</w:t>
            </w:r>
          </w:p>
        </w:tc>
      </w:tr>
      <w:tr>
        <w:trPr>
          <w:trHeight w:val="203"/>
        </w:trPr>
        <w:tc>
          <w:tcPr>
            <w:tcW w:w="760" w:type="dxa"/>
            <w:vAlign w:val="bottom"/>
          </w:tcPr>
          <w:p>
            <w:pPr>
              <w:jc w:val="center"/>
              <w:ind w:right="119"/>
              <w:spacing w:after="0"/>
              <w:rPr>
                <w:sz w:val="20"/>
                <w:szCs w:val="20"/>
                <w:color w:val="auto"/>
              </w:rPr>
            </w:pPr>
            <w:r>
              <w:rPr>
                <w:rFonts w:ascii="Arial" w:cs="Arial" w:eastAsia="Arial" w:hAnsi="Arial"/>
                <w:sz w:val="16"/>
                <w:szCs w:val="16"/>
                <w:color w:val="auto"/>
                <w:w w:val="89"/>
              </w:rPr>
              <w:t>10.14</w:t>
            </w:r>
          </w:p>
        </w:tc>
        <w:tc>
          <w:tcPr>
            <w:tcW w:w="10180" w:type="dxa"/>
            <w:vAlign w:val="bottom"/>
          </w:tcPr>
          <w:p>
            <w:pPr>
              <w:ind w:left="220"/>
              <w:spacing w:after="0"/>
              <w:rPr>
                <w:sz w:val="20"/>
                <w:szCs w:val="20"/>
                <w:color w:val="auto"/>
              </w:rPr>
            </w:pPr>
            <w:r>
              <w:rPr>
                <w:rFonts w:ascii="Arial" w:cs="Arial" w:eastAsia="Arial" w:hAnsi="Arial"/>
                <w:sz w:val="16"/>
                <w:szCs w:val="16"/>
                <w:color w:val="auto"/>
                <w:w w:val="93"/>
              </w:rPr>
              <w:t>The Long-Term Incentive Program Participation Agreement is incorporated by reference from Exhibit 10.2 to the Company's Current Report on Form 8-</w:t>
            </w:r>
          </w:p>
        </w:tc>
      </w:tr>
      <w:tr>
        <w:trPr>
          <w:trHeight w:val="257"/>
        </w:trPr>
        <w:tc>
          <w:tcPr>
            <w:tcW w:w="760" w:type="dxa"/>
            <w:vAlign w:val="bottom"/>
          </w:tcPr>
          <w:p>
            <w:pPr>
              <w:spacing w:after="0"/>
              <w:rPr>
                <w:sz w:val="22"/>
                <w:szCs w:val="22"/>
                <w:color w:val="auto"/>
              </w:rPr>
            </w:pPr>
          </w:p>
        </w:tc>
        <w:tc>
          <w:tcPr>
            <w:tcW w:w="10180" w:type="dxa"/>
            <w:vAlign w:val="bottom"/>
          </w:tcPr>
          <w:p>
            <w:pPr>
              <w:ind w:left="220"/>
              <w:spacing w:after="0"/>
              <w:rPr>
                <w:sz w:val="20"/>
                <w:szCs w:val="20"/>
                <w:color w:val="auto"/>
              </w:rPr>
            </w:pPr>
            <w:r>
              <w:rPr>
                <w:rFonts w:ascii="Arial" w:cs="Arial" w:eastAsia="Arial" w:hAnsi="Arial"/>
                <w:sz w:val="16"/>
                <w:szCs w:val="16"/>
                <w:color w:val="auto"/>
              </w:rPr>
              <w:t>K filed February 18, 2005.</w:t>
            </w:r>
            <w:r>
              <w:rPr>
                <w:rFonts w:ascii="Arial" w:cs="Arial" w:eastAsia="Arial" w:hAnsi="Arial"/>
                <w:sz w:val="21"/>
                <w:szCs w:val="21"/>
                <w:color w:val="auto"/>
                <w:vertAlign w:val="superscript"/>
              </w:rPr>
              <w:t>+</w:t>
            </w:r>
          </w:p>
        </w:tc>
      </w:tr>
      <w:tr>
        <w:trPr>
          <w:trHeight w:val="203"/>
        </w:trPr>
        <w:tc>
          <w:tcPr>
            <w:tcW w:w="760" w:type="dxa"/>
            <w:vAlign w:val="bottom"/>
          </w:tcPr>
          <w:p>
            <w:pPr>
              <w:jc w:val="center"/>
              <w:ind w:right="119"/>
              <w:spacing w:after="0"/>
              <w:rPr>
                <w:sz w:val="20"/>
                <w:szCs w:val="20"/>
                <w:color w:val="auto"/>
              </w:rPr>
            </w:pPr>
            <w:r>
              <w:rPr>
                <w:rFonts w:ascii="Arial" w:cs="Arial" w:eastAsia="Arial" w:hAnsi="Arial"/>
                <w:sz w:val="16"/>
                <w:szCs w:val="16"/>
                <w:color w:val="auto"/>
                <w:w w:val="89"/>
              </w:rPr>
              <w:t>10.15</w:t>
            </w:r>
          </w:p>
        </w:tc>
        <w:tc>
          <w:tcPr>
            <w:tcW w:w="10180" w:type="dxa"/>
            <w:vAlign w:val="bottom"/>
          </w:tcPr>
          <w:p>
            <w:pPr>
              <w:ind w:left="220"/>
              <w:spacing w:after="0"/>
              <w:rPr>
                <w:sz w:val="20"/>
                <w:szCs w:val="20"/>
                <w:color w:val="auto"/>
              </w:rPr>
            </w:pPr>
            <w:r>
              <w:rPr>
                <w:rFonts w:ascii="Arial" w:cs="Arial" w:eastAsia="Arial" w:hAnsi="Arial"/>
                <w:sz w:val="16"/>
                <w:szCs w:val="16"/>
                <w:color w:val="auto"/>
                <w:w w:val="97"/>
              </w:rPr>
              <w:t>The Company’s Deferred Compensation Plan, Amended and Restated as of June 27, 2012, is incorporated by reference from Exhibit 10.3 to the</w:t>
            </w:r>
          </w:p>
        </w:tc>
      </w:tr>
      <w:tr>
        <w:trPr>
          <w:trHeight w:val="257"/>
        </w:trPr>
        <w:tc>
          <w:tcPr>
            <w:tcW w:w="760" w:type="dxa"/>
            <w:vAlign w:val="bottom"/>
          </w:tcPr>
          <w:p>
            <w:pPr>
              <w:spacing w:after="0"/>
              <w:rPr>
                <w:sz w:val="22"/>
                <w:szCs w:val="22"/>
                <w:color w:val="auto"/>
              </w:rPr>
            </w:pPr>
          </w:p>
        </w:tc>
        <w:tc>
          <w:tcPr>
            <w:tcW w:w="10180" w:type="dxa"/>
            <w:vAlign w:val="bottom"/>
          </w:tcPr>
          <w:p>
            <w:pPr>
              <w:ind w:left="220"/>
              <w:spacing w:after="0"/>
              <w:rPr>
                <w:sz w:val="20"/>
                <w:szCs w:val="20"/>
                <w:color w:val="auto"/>
              </w:rPr>
            </w:pPr>
            <w:r>
              <w:rPr>
                <w:rFonts w:ascii="Arial" w:cs="Arial" w:eastAsia="Arial" w:hAnsi="Arial"/>
                <w:sz w:val="16"/>
                <w:szCs w:val="16"/>
                <w:color w:val="auto"/>
              </w:rPr>
              <w:t>Company’s Quarterly Report on Form 10-Q for the quarter ended July 1, 2012.</w:t>
            </w:r>
            <w:r>
              <w:rPr>
                <w:rFonts w:ascii="Arial" w:cs="Arial" w:eastAsia="Arial" w:hAnsi="Arial"/>
                <w:sz w:val="21"/>
                <w:szCs w:val="21"/>
                <w:color w:val="auto"/>
                <w:vertAlign w:val="superscript"/>
              </w:rPr>
              <w:t>+</w:t>
            </w:r>
          </w:p>
        </w:tc>
      </w:tr>
      <w:tr>
        <w:trPr>
          <w:trHeight w:val="203"/>
        </w:trPr>
        <w:tc>
          <w:tcPr>
            <w:tcW w:w="760" w:type="dxa"/>
            <w:vAlign w:val="bottom"/>
          </w:tcPr>
          <w:p>
            <w:pPr>
              <w:jc w:val="center"/>
              <w:ind w:right="139"/>
              <w:spacing w:after="0"/>
              <w:rPr>
                <w:sz w:val="20"/>
                <w:szCs w:val="20"/>
                <w:color w:val="auto"/>
              </w:rPr>
            </w:pPr>
            <w:r>
              <w:rPr>
                <w:rFonts w:ascii="Arial" w:cs="Arial" w:eastAsia="Arial" w:hAnsi="Arial"/>
                <w:sz w:val="16"/>
                <w:szCs w:val="16"/>
                <w:color w:val="auto"/>
                <w:w w:val="90"/>
              </w:rPr>
              <w:t>10.16(a)</w:t>
            </w:r>
          </w:p>
        </w:tc>
        <w:tc>
          <w:tcPr>
            <w:tcW w:w="10180" w:type="dxa"/>
            <w:vAlign w:val="bottom"/>
          </w:tcPr>
          <w:p>
            <w:pPr>
              <w:ind w:left="220"/>
              <w:spacing w:after="0"/>
              <w:rPr>
                <w:sz w:val="20"/>
                <w:szCs w:val="20"/>
                <w:color w:val="auto"/>
              </w:rPr>
            </w:pPr>
            <w:r>
              <w:rPr>
                <w:rFonts w:ascii="Arial" w:cs="Arial" w:eastAsia="Arial" w:hAnsi="Arial"/>
                <w:sz w:val="16"/>
                <w:szCs w:val="16"/>
                <w:color w:val="auto"/>
                <w:w w:val="92"/>
              </w:rPr>
              <w:t>The Company’s Supplemental Executive Retirement Plan, Amended and Restated as of October 2, 2007, is incorporated by reference from Exhibit 10.6</w:t>
            </w:r>
          </w:p>
        </w:tc>
      </w:tr>
      <w:tr>
        <w:trPr>
          <w:trHeight w:val="257"/>
        </w:trPr>
        <w:tc>
          <w:tcPr>
            <w:tcW w:w="760" w:type="dxa"/>
            <w:vAlign w:val="bottom"/>
          </w:tcPr>
          <w:p>
            <w:pPr>
              <w:spacing w:after="0"/>
              <w:rPr>
                <w:sz w:val="22"/>
                <w:szCs w:val="22"/>
                <w:color w:val="auto"/>
              </w:rPr>
            </w:pPr>
          </w:p>
        </w:tc>
        <w:tc>
          <w:tcPr>
            <w:tcW w:w="10180" w:type="dxa"/>
            <w:vAlign w:val="bottom"/>
          </w:tcPr>
          <w:p>
            <w:pPr>
              <w:ind w:left="220"/>
              <w:spacing w:after="0"/>
              <w:rPr>
                <w:sz w:val="20"/>
                <w:szCs w:val="20"/>
                <w:color w:val="auto"/>
              </w:rPr>
            </w:pPr>
            <w:r>
              <w:rPr>
                <w:rFonts w:ascii="Arial" w:cs="Arial" w:eastAsia="Arial" w:hAnsi="Arial"/>
                <w:sz w:val="16"/>
                <w:szCs w:val="16"/>
                <w:color w:val="auto"/>
              </w:rPr>
              <w:t>to the Company’s Annual Report on Form 10-K for the fiscal year ended December 31, 2007.</w:t>
            </w:r>
            <w:r>
              <w:rPr>
                <w:rFonts w:ascii="Arial" w:cs="Arial" w:eastAsia="Arial" w:hAnsi="Arial"/>
                <w:sz w:val="21"/>
                <w:szCs w:val="21"/>
                <w:color w:val="auto"/>
                <w:vertAlign w:val="superscript"/>
              </w:rPr>
              <w:t>+</w:t>
            </w:r>
          </w:p>
        </w:tc>
      </w:tr>
      <w:tr>
        <w:trPr>
          <w:trHeight w:val="203"/>
        </w:trPr>
        <w:tc>
          <w:tcPr>
            <w:tcW w:w="760" w:type="dxa"/>
            <w:vAlign w:val="bottom"/>
          </w:tcPr>
          <w:p>
            <w:pPr>
              <w:jc w:val="center"/>
              <w:ind w:right="119"/>
              <w:spacing w:after="0"/>
              <w:rPr>
                <w:sz w:val="20"/>
                <w:szCs w:val="20"/>
                <w:color w:val="auto"/>
              </w:rPr>
            </w:pPr>
            <w:r>
              <w:rPr>
                <w:rFonts w:ascii="Arial" w:cs="Arial" w:eastAsia="Arial" w:hAnsi="Arial"/>
                <w:sz w:val="16"/>
                <w:szCs w:val="16"/>
                <w:color w:val="auto"/>
                <w:w w:val="93"/>
              </w:rPr>
              <w:t>10.16(b)</w:t>
            </w:r>
          </w:p>
        </w:tc>
        <w:tc>
          <w:tcPr>
            <w:tcW w:w="10180" w:type="dxa"/>
            <w:vAlign w:val="bottom"/>
          </w:tcPr>
          <w:p>
            <w:pPr>
              <w:ind w:left="220"/>
              <w:spacing w:after="0"/>
              <w:rPr>
                <w:sz w:val="20"/>
                <w:szCs w:val="20"/>
                <w:color w:val="auto"/>
              </w:rPr>
            </w:pPr>
            <w:r>
              <w:rPr>
                <w:rFonts w:ascii="Arial" w:cs="Arial" w:eastAsia="Arial" w:hAnsi="Arial"/>
                <w:sz w:val="16"/>
                <w:szCs w:val="16"/>
                <w:color w:val="auto"/>
                <w:w w:val="91"/>
              </w:rPr>
              <w:t>First Amendment to the Company’s Supplemental Executive Retirement Plan, Amended and Restated as of October 2, 2007, is incorporated by reference</w:t>
            </w:r>
          </w:p>
        </w:tc>
      </w:tr>
      <w:tr>
        <w:trPr>
          <w:trHeight w:val="257"/>
        </w:trPr>
        <w:tc>
          <w:tcPr>
            <w:tcW w:w="760" w:type="dxa"/>
            <w:vAlign w:val="bottom"/>
          </w:tcPr>
          <w:p>
            <w:pPr>
              <w:spacing w:after="0"/>
              <w:rPr>
                <w:sz w:val="22"/>
                <w:szCs w:val="22"/>
                <w:color w:val="auto"/>
              </w:rPr>
            </w:pPr>
          </w:p>
        </w:tc>
        <w:tc>
          <w:tcPr>
            <w:tcW w:w="10180" w:type="dxa"/>
            <w:vAlign w:val="bottom"/>
          </w:tcPr>
          <w:p>
            <w:pPr>
              <w:ind w:left="220"/>
              <w:spacing w:after="0"/>
              <w:rPr>
                <w:sz w:val="20"/>
                <w:szCs w:val="20"/>
                <w:color w:val="auto"/>
              </w:rPr>
            </w:pPr>
            <w:r>
              <w:rPr>
                <w:rFonts w:ascii="Arial" w:cs="Arial" w:eastAsia="Arial" w:hAnsi="Arial"/>
                <w:sz w:val="16"/>
                <w:szCs w:val="16"/>
                <w:color w:val="auto"/>
              </w:rPr>
              <w:t>from Exhibit 10.5 to the Company’s Annual Report on Form 10-K for the fiscal year ended December 31, 2008.</w:t>
            </w:r>
            <w:r>
              <w:rPr>
                <w:rFonts w:ascii="Arial" w:cs="Arial" w:eastAsia="Arial" w:hAnsi="Arial"/>
                <w:sz w:val="21"/>
                <w:szCs w:val="21"/>
                <w:color w:val="auto"/>
                <w:vertAlign w:val="superscript"/>
              </w:rPr>
              <w:t>+</w:t>
            </w:r>
          </w:p>
        </w:tc>
      </w:tr>
      <w:tr>
        <w:trPr>
          <w:trHeight w:val="203"/>
        </w:trPr>
        <w:tc>
          <w:tcPr>
            <w:tcW w:w="760" w:type="dxa"/>
            <w:vAlign w:val="bottom"/>
          </w:tcPr>
          <w:p>
            <w:pPr>
              <w:jc w:val="center"/>
              <w:ind w:right="119"/>
              <w:spacing w:after="0"/>
              <w:rPr>
                <w:sz w:val="20"/>
                <w:szCs w:val="20"/>
                <w:color w:val="auto"/>
              </w:rPr>
            </w:pPr>
            <w:r>
              <w:rPr>
                <w:rFonts w:ascii="Arial" w:cs="Arial" w:eastAsia="Arial" w:hAnsi="Arial"/>
                <w:sz w:val="16"/>
                <w:szCs w:val="16"/>
                <w:color w:val="auto"/>
                <w:w w:val="89"/>
              </w:rPr>
              <w:t>10.17</w:t>
            </w:r>
          </w:p>
        </w:tc>
        <w:tc>
          <w:tcPr>
            <w:tcW w:w="10180" w:type="dxa"/>
            <w:vAlign w:val="bottom"/>
          </w:tcPr>
          <w:p>
            <w:pPr>
              <w:ind w:left="220"/>
              <w:spacing w:after="0"/>
              <w:rPr>
                <w:sz w:val="20"/>
                <w:szCs w:val="20"/>
                <w:color w:val="auto"/>
              </w:rPr>
            </w:pPr>
            <w:r>
              <w:rPr>
                <w:rFonts w:ascii="Arial" w:cs="Arial" w:eastAsia="Arial" w:hAnsi="Arial"/>
                <w:sz w:val="16"/>
                <w:szCs w:val="16"/>
                <w:color w:val="auto"/>
                <w:w w:val="92"/>
              </w:rPr>
              <w:t>The Company’s Compensation Limit Replacement Plan, Amended and Restated as of January 1, 2009, is incorporated by reference from Exhibit 10.6 to</w:t>
            </w:r>
          </w:p>
        </w:tc>
      </w:tr>
      <w:tr>
        <w:trPr>
          <w:trHeight w:val="257"/>
        </w:trPr>
        <w:tc>
          <w:tcPr>
            <w:tcW w:w="760" w:type="dxa"/>
            <w:vAlign w:val="bottom"/>
          </w:tcPr>
          <w:p>
            <w:pPr>
              <w:spacing w:after="0"/>
              <w:rPr>
                <w:sz w:val="22"/>
                <w:szCs w:val="22"/>
                <w:color w:val="auto"/>
              </w:rPr>
            </w:pPr>
          </w:p>
        </w:tc>
        <w:tc>
          <w:tcPr>
            <w:tcW w:w="10180" w:type="dxa"/>
            <w:vAlign w:val="bottom"/>
          </w:tcPr>
          <w:p>
            <w:pPr>
              <w:ind w:left="220"/>
              <w:spacing w:after="0"/>
              <w:rPr>
                <w:sz w:val="20"/>
                <w:szCs w:val="20"/>
                <w:color w:val="auto"/>
              </w:rPr>
            </w:pPr>
            <w:r>
              <w:rPr>
                <w:rFonts w:ascii="Arial" w:cs="Arial" w:eastAsia="Arial" w:hAnsi="Arial"/>
                <w:sz w:val="16"/>
                <w:szCs w:val="16"/>
                <w:color w:val="auto"/>
              </w:rPr>
              <w:t>the Company’s Annual Report on Form 10-K for the fiscal year ended December 31, 2008.</w:t>
            </w:r>
            <w:r>
              <w:rPr>
                <w:rFonts w:ascii="Arial" w:cs="Arial" w:eastAsia="Arial" w:hAnsi="Arial"/>
                <w:sz w:val="21"/>
                <w:szCs w:val="21"/>
                <w:color w:val="auto"/>
                <w:vertAlign w:val="superscript"/>
              </w:rPr>
              <w:t>+</w:t>
            </w:r>
          </w:p>
        </w:tc>
      </w:tr>
      <w:tr>
        <w:trPr>
          <w:trHeight w:val="203"/>
        </w:trPr>
        <w:tc>
          <w:tcPr>
            <w:tcW w:w="760" w:type="dxa"/>
            <w:vAlign w:val="bottom"/>
          </w:tcPr>
          <w:p>
            <w:pPr>
              <w:jc w:val="center"/>
              <w:ind w:right="119"/>
              <w:spacing w:after="0"/>
              <w:rPr>
                <w:sz w:val="20"/>
                <w:szCs w:val="20"/>
                <w:color w:val="auto"/>
              </w:rPr>
            </w:pPr>
            <w:r>
              <w:rPr>
                <w:rFonts w:ascii="Arial" w:cs="Arial" w:eastAsia="Arial" w:hAnsi="Arial"/>
                <w:sz w:val="16"/>
                <w:szCs w:val="16"/>
                <w:color w:val="auto"/>
                <w:w w:val="89"/>
              </w:rPr>
              <w:t>10.18</w:t>
            </w:r>
          </w:p>
        </w:tc>
        <w:tc>
          <w:tcPr>
            <w:tcW w:w="10180" w:type="dxa"/>
            <w:vAlign w:val="bottom"/>
          </w:tcPr>
          <w:p>
            <w:pPr>
              <w:ind w:left="220"/>
              <w:spacing w:after="0"/>
              <w:rPr>
                <w:sz w:val="20"/>
                <w:szCs w:val="20"/>
                <w:color w:val="auto"/>
              </w:rPr>
            </w:pPr>
            <w:r>
              <w:rPr>
                <w:rFonts w:ascii="Arial" w:cs="Arial" w:eastAsia="Arial" w:hAnsi="Arial"/>
                <w:sz w:val="16"/>
                <w:szCs w:val="16"/>
                <w:color w:val="auto"/>
                <w:w w:val="93"/>
              </w:rPr>
              <w:t>The Company’s Executive Benefits Protection Plan (Group 3A), Amended and Restated as of June 27, 2012, is incorporated by reference from Exhibit</w:t>
            </w:r>
          </w:p>
        </w:tc>
      </w:tr>
      <w:tr>
        <w:trPr>
          <w:trHeight w:val="257"/>
        </w:trPr>
        <w:tc>
          <w:tcPr>
            <w:tcW w:w="760" w:type="dxa"/>
            <w:vAlign w:val="bottom"/>
          </w:tcPr>
          <w:p>
            <w:pPr>
              <w:spacing w:after="0"/>
              <w:rPr>
                <w:sz w:val="22"/>
                <w:szCs w:val="22"/>
                <w:color w:val="auto"/>
              </w:rPr>
            </w:pPr>
          </w:p>
        </w:tc>
        <w:tc>
          <w:tcPr>
            <w:tcW w:w="10180" w:type="dxa"/>
            <w:vAlign w:val="bottom"/>
          </w:tcPr>
          <w:p>
            <w:pPr>
              <w:ind w:left="220"/>
              <w:spacing w:after="0"/>
              <w:rPr>
                <w:sz w:val="20"/>
                <w:szCs w:val="20"/>
                <w:color w:val="auto"/>
              </w:rPr>
            </w:pPr>
            <w:r>
              <w:rPr>
                <w:rFonts w:ascii="Arial" w:cs="Arial" w:eastAsia="Arial" w:hAnsi="Arial"/>
                <w:sz w:val="16"/>
                <w:szCs w:val="16"/>
                <w:color w:val="auto"/>
              </w:rPr>
              <w:t>10.2 to the Company’s Quarterly Report on Form 10-Q for the quarter ended July 1, 2012.</w:t>
            </w:r>
            <w:r>
              <w:rPr>
                <w:rFonts w:ascii="Arial" w:cs="Arial" w:eastAsia="Arial" w:hAnsi="Arial"/>
                <w:sz w:val="21"/>
                <w:szCs w:val="21"/>
                <w:color w:val="auto"/>
                <w:vertAlign w:val="superscript"/>
              </w:rPr>
              <w:t>+</w:t>
            </w:r>
          </w:p>
        </w:tc>
      </w:tr>
      <w:tr>
        <w:trPr>
          <w:trHeight w:val="203"/>
        </w:trPr>
        <w:tc>
          <w:tcPr>
            <w:tcW w:w="760" w:type="dxa"/>
            <w:vAlign w:val="bottom"/>
          </w:tcPr>
          <w:p>
            <w:pPr>
              <w:jc w:val="center"/>
              <w:ind w:right="119"/>
              <w:spacing w:after="0"/>
              <w:rPr>
                <w:sz w:val="20"/>
                <w:szCs w:val="20"/>
                <w:color w:val="auto"/>
              </w:rPr>
            </w:pPr>
            <w:r>
              <w:rPr>
                <w:rFonts w:ascii="Arial" w:cs="Arial" w:eastAsia="Arial" w:hAnsi="Arial"/>
                <w:sz w:val="16"/>
                <w:szCs w:val="16"/>
                <w:color w:val="auto"/>
                <w:w w:val="89"/>
              </w:rPr>
              <w:t>10.19</w:t>
            </w:r>
          </w:p>
        </w:tc>
        <w:tc>
          <w:tcPr>
            <w:tcW w:w="10180" w:type="dxa"/>
            <w:vAlign w:val="bottom"/>
          </w:tcPr>
          <w:p>
            <w:pPr>
              <w:ind w:left="220"/>
              <w:spacing w:after="0"/>
              <w:rPr>
                <w:sz w:val="20"/>
                <w:szCs w:val="20"/>
                <w:color w:val="auto"/>
              </w:rPr>
            </w:pPr>
            <w:r>
              <w:rPr>
                <w:rFonts w:ascii="Arial" w:cs="Arial" w:eastAsia="Arial" w:hAnsi="Arial"/>
                <w:sz w:val="16"/>
                <w:szCs w:val="16"/>
                <w:color w:val="auto"/>
                <w:w w:val="94"/>
              </w:rPr>
              <w:t>The Company's Executive Benefits Protection Plan (Group 3), Amended and Restated as of June 27, 2012, is incorporated by reference from Exhibit</w:t>
            </w:r>
          </w:p>
        </w:tc>
      </w:tr>
      <w:tr>
        <w:trPr>
          <w:trHeight w:val="257"/>
        </w:trPr>
        <w:tc>
          <w:tcPr>
            <w:tcW w:w="760" w:type="dxa"/>
            <w:vAlign w:val="bottom"/>
          </w:tcPr>
          <w:p>
            <w:pPr>
              <w:spacing w:after="0"/>
              <w:rPr>
                <w:sz w:val="22"/>
                <w:szCs w:val="22"/>
                <w:color w:val="auto"/>
              </w:rPr>
            </w:pPr>
          </w:p>
        </w:tc>
        <w:tc>
          <w:tcPr>
            <w:tcW w:w="10180" w:type="dxa"/>
            <w:vAlign w:val="bottom"/>
          </w:tcPr>
          <w:p>
            <w:pPr>
              <w:ind w:left="220"/>
              <w:spacing w:after="0"/>
              <w:rPr>
                <w:sz w:val="20"/>
                <w:szCs w:val="20"/>
                <w:color w:val="auto"/>
              </w:rPr>
            </w:pPr>
            <w:r>
              <w:rPr>
                <w:rFonts w:ascii="Arial" w:cs="Arial" w:eastAsia="Arial" w:hAnsi="Arial"/>
                <w:sz w:val="16"/>
                <w:szCs w:val="16"/>
                <w:color w:val="auto"/>
              </w:rPr>
              <w:t>10.18 to the Company’s Annual Report on Form 10-K for the fiscal year ended December 31, 2016.</w:t>
            </w:r>
            <w:r>
              <w:rPr>
                <w:rFonts w:ascii="Arial" w:cs="Arial" w:eastAsia="Arial" w:hAnsi="Arial"/>
                <w:sz w:val="21"/>
                <w:szCs w:val="21"/>
                <w:color w:val="auto"/>
                <w:vertAlign w:val="superscript"/>
              </w:rPr>
              <w:t>+</w:t>
            </w:r>
          </w:p>
        </w:tc>
      </w:tr>
      <w:tr>
        <w:trPr>
          <w:trHeight w:val="203"/>
        </w:trPr>
        <w:tc>
          <w:tcPr>
            <w:tcW w:w="760" w:type="dxa"/>
            <w:vAlign w:val="bottom"/>
          </w:tcPr>
          <w:p>
            <w:pPr>
              <w:jc w:val="center"/>
              <w:ind w:right="119"/>
              <w:spacing w:after="0"/>
              <w:rPr>
                <w:sz w:val="20"/>
                <w:szCs w:val="20"/>
                <w:color w:val="auto"/>
              </w:rPr>
            </w:pPr>
            <w:r>
              <w:rPr>
                <w:rFonts w:ascii="Arial" w:cs="Arial" w:eastAsia="Arial" w:hAnsi="Arial"/>
                <w:sz w:val="16"/>
                <w:szCs w:val="16"/>
                <w:color w:val="auto"/>
                <w:w w:val="89"/>
              </w:rPr>
              <w:t>10.20</w:t>
            </w:r>
          </w:p>
        </w:tc>
        <w:tc>
          <w:tcPr>
            <w:tcW w:w="10180" w:type="dxa"/>
            <w:vAlign w:val="bottom"/>
          </w:tcPr>
          <w:p>
            <w:pPr>
              <w:ind w:left="220"/>
              <w:spacing w:after="0"/>
              <w:rPr>
                <w:sz w:val="20"/>
                <w:szCs w:val="20"/>
                <w:color w:val="auto"/>
              </w:rPr>
            </w:pPr>
            <w:r>
              <w:rPr>
                <w:rFonts w:ascii="Arial" w:cs="Arial" w:eastAsia="Arial" w:hAnsi="Arial"/>
                <w:sz w:val="16"/>
                <w:szCs w:val="16"/>
                <w:color w:val="auto"/>
                <w:w w:val="94"/>
              </w:rPr>
              <w:t>Executive Confidentiality and Restrictive Covenant Agreement, adopted as of February 16, 2009, is incorporated by reference from Exhibit 10.4 to the</w:t>
            </w:r>
          </w:p>
        </w:tc>
      </w:tr>
      <w:tr>
        <w:trPr>
          <w:trHeight w:val="281"/>
        </w:trPr>
        <w:tc>
          <w:tcPr>
            <w:tcW w:w="760" w:type="dxa"/>
            <w:vAlign w:val="bottom"/>
          </w:tcPr>
          <w:p>
            <w:pPr>
              <w:spacing w:after="0"/>
              <w:rPr>
                <w:sz w:val="24"/>
                <w:szCs w:val="24"/>
                <w:color w:val="auto"/>
              </w:rPr>
            </w:pPr>
          </w:p>
        </w:tc>
        <w:tc>
          <w:tcPr>
            <w:tcW w:w="10180" w:type="dxa"/>
            <w:vAlign w:val="bottom"/>
          </w:tcPr>
          <w:p>
            <w:pPr>
              <w:ind w:left="220"/>
              <w:spacing w:after="0"/>
              <w:rPr>
                <w:sz w:val="20"/>
                <w:szCs w:val="20"/>
                <w:color w:val="auto"/>
              </w:rPr>
            </w:pPr>
            <w:r>
              <w:rPr>
                <w:rFonts w:ascii="Arial" w:cs="Arial" w:eastAsia="Arial" w:hAnsi="Arial"/>
                <w:sz w:val="16"/>
                <w:szCs w:val="16"/>
                <w:color w:val="auto"/>
              </w:rPr>
              <w:t>Company’s Annual Report on Form 10-K for the fiscal year ended December 31, 2008.</w:t>
            </w:r>
            <w:r>
              <w:rPr>
                <w:rFonts w:ascii="Arial" w:cs="Arial" w:eastAsia="Arial" w:hAnsi="Arial"/>
                <w:sz w:val="21"/>
                <w:szCs w:val="21"/>
                <w:color w:val="auto"/>
                <w:vertAlign w:val="superscript"/>
              </w:rPr>
              <w:t>+</w:t>
            </w:r>
          </w:p>
        </w:tc>
      </w:tr>
      <w:tr>
        <w:trPr>
          <w:trHeight w:val="418"/>
        </w:trPr>
        <w:tc>
          <w:tcPr>
            <w:tcW w:w="760" w:type="dxa"/>
            <w:vAlign w:val="bottom"/>
          </w:tcPr>
          <w:p>
            <w:pPr>
              <w:spacing w:after="0"/>
              <w:rPr>
                <w:sz w:val="24"/>
                <w:szCs w:val="24"/>
                <w:color w:val="auto"/>
              </w:rPr>
            </w:pPr>
          </w:p>
        </w:tc>
        <w:tc>
          <w:tcPr>
            <w:tcW w:w="10180" w:type="dxa"/>
            <w:vAlign w:val="bottom"/>
          </w:tcPr>
          <w:p>
            <w:pPr>
              <w:ind w:left="4360"/>
              <w:spacing w:after="0"/>
              <w:rPr>
                <w:sz w:val="20"/>
                <w:szCs w:val="20"/>
                <w:color w:val="auto"/>
              </w:rPr>
            </w:pPr>
            <w:r>
              <w:rPr>
                <w:rFonts w:ascii="Arial" w:cs="Arial" w:eastAsia="Arial" w:hAnsi="Arial"/>
                <w:sz w:val="18"/>
                <w:szCs w:val="18"/>
                <w:color w:val="auto"/>
              </w:rPr>
              <w:t>102</w:t>
            </w:r>
          </w:p>
        </w:tc>
      </w:tr>
    </w:tbl>
    <w:p>
      <w:pPr>
        <w:sectPr>
          <w:pgSz w:w="11900" w:h="16838" w:orient="portrait"/>
          <w:cols w:equalWidth="0" w:num="1">
            <w:col w:w="10940"/>
          </w:cols>
          <w:pgMar w:left="700" w:top="832" w:right="259" w:bottom="1440" w:gutter="0" w:footer="0" w:header="0"/>
        </w:sectPr>
      </w:pPr>
    </w:p>
    <w:bookmarkStart w:id="104" w:name="page105"/>
    <w:bookmarkEnd w:id="10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0" w:type="dxa"/>
            <w:vAlign w:val="bottom"/>
          </w:tcPr>
          <w:p>
            <w:pPr>
              <w:jc w:val="center"/>
              <w:ind w:right="119"/>
              <w:spacing w:after="0"/>
              <w:rPr>
                <w:sz w:val="20"/>
                <w:szCs w:val="20"/>
                <w:color w:val="auto"/>
              </w:rPr>
            </w:pPr>
            <w:r>
              <w:rPr>
                <w:rFonts w:ascii="Arial" w:cs="Arial" w:eastAsia="Arial" w:hAnsi="Arial"/>
                <w:sz w:val="16"/>
                <w:szCs w:val="16"/>
                <w:color w:val="auto"/>
                <w:w w:val="90"/>
              </w:rPr>
              <w:t>10.21(a)</w:t>
            </w:r>
          </w:p>
        </w:tc>
        <w:tc>
          <w:tcPr>
            <w:tcW w:w="10080" w:type="dxa"/>
            <w:vAlign w:val="bottom"/>
          </w:tcPr>
          <w:p>
            <w:pPr>
              <w:ind w:left="220"/>
              <w:spacing w:after="0"/>
              <w:rPr>
                <w:sz w:val="20"/>
                <w:szCs w:val="20"/>
                <w:color w:val="auto"/>
              </w:rPr>
            </w:pPr>
            <w:r>
              <w:rPr>
                <w:rFonts w:ascii="Arial" w:cs="Arial" w:eastAsia="Arial" w:hAnsi="Arial"/>
                <w:sz w:val="16"/>
                <w:szCs w:val="16"/>
                <w:color w:val="auto"/>
                <w:w w:val="92"/>
              </w:rPr>
              <w:t>Employee Confidentiality and Restrictive Covenant Agreement, amended as of February 18, 2013, is incorporated by reference from Exhibit 10.1 to the</w:t>
            </w:r>
          </w:p>
        </w:tc>
      </w:tr>
      <w:tr>
        <w:trPr>
          <w:trHeight w:val="257"/>
        </w:trPr>
        <w:tc>
          <w:tcPr>
            <w:tcW w:w="780" w:type="dxa"/>
            <w:vAlign w:val="bottom"/>
          </w:tcPr>
          <w:p>
            <w:pPr>
              <w:spacing w:after="0"/>
              <w:rPr>
                <w:sz w:val="22"/>
                <w:szCs w:val="22"/>
                <w:color w:val="auto"/>
              </w:rPr>
            </w:pPr>
          </w:p>
        </w:tc>
        <w:tc>
          <w:tcPr>
            <w:tcW w:w="10080" w:type="dxa"/>
            <w:vAlign w:val="bottom"/>
          </w:tcPr>
          <w:p>
            <w:pPr>
              <w:ind w:left="220"/>
              <w:spacing w:after="0"/>
              <w:rPr>
                <w:sz w:val="20"/>
                <w:szCs w:val="20"/>
                <w:color w:val="auto"/>
              </w:rPr>
            </w:pPr>
            <w:r>
              <w:rPr>
                <w:rFonts w:ascii="Arial" w:cs="Arial" w:eastAsia="Arial" w:hAnsi="Arial"/>
                <w:sz w:val="16"/>
                <w:szCs w:val="16"/>
                <w:color w:val="auto"/>
              </w:rPr>
              <w:t>Company's Quarterly Report on Form 10-Q for the quarter ended March 31, 2013.</w:t>
            </w:r>
            <w:r>
              <w:rPr>
                <w:rFonts w:ascii="Arial" w:cs="Arial" w:eastAsia="Arial" w:hAnsi="Arial"/>
                <w:sz w:val="21"/>
                <w:szCs w:val="21"/>
                <w:color w:val="auto"/>
                <w:vertAlign w:val="superscript"/>
              </w:rPr>
              <w:t>+</w:t>
            </w:r>
          </w:p>
        </w:tc>
      </w:tr>
      <w:tr>
        <w:trPr>
          <w:trHeight w:val="270"/>
        </w:trPr>
        <w:tc>
          <w:tcPr>
            <w:tcW w:w="780" w:type="dxa"/>
            <w:vAlign w:val="bottom"/>
          </w:tcPr>
          <w:p>
            <w:pPr>
              <w:jc w:val="center"/>
              <w:ind w:right="99"/>
              <w:spacing w:after="0"/>
              <w:rPr>
                <w:sz w:val="20"/>
                <w:szCs w:val="20"/>
                <w:color w:val="auto"/>
              </w:rPr>
            </w:pPr>
            <w:r>
              <w:rPr>
                <w:rFonts w:ascii="Arial" w:cs="Arial" w:eastAsia="Arial" w:hAnsi="Arial"/>
                <w:sz w:val="16"/>
                <w:szCs w:val="16"/>
                <w:color w:val="auto"/>
                <w:w w:val="93"/>
              </w:rPr>
              <w:t>10.21(b)</w:t>
            </w:r>
          </w:p>
        </w:tc>
        <w:tc>
          <w:tcPr>
            <w:tcW w:w="10080" w:type="dxa"/>
            <w:vAlign w:val="bottom"/>
          </w:tcPr>
          <w:p>
            <w:pPr>
              <w:ind w:left="220"/>
              <w:spacing w:after="0"/>
              <w:rPr>
                <w:sz w:val="20"/>
                <w:szCs w:val="20"/>
                <w:color w:val="auto"/>
              </w:rPr>
            </w:pPr>
            <w:r>
              <w:rPr>
                <w:rFonts w:ascii="Arial" w:cs="Arial" w:eastAsia="Arial" w:hAnsi="Arial"/>
                <w:sz w:val="16"/>
                <w:szCs w:val="16"/>
                <w:color w:val="auto"/>
              </w:rPr>
              <w:t>Employee Confidentiality and Restrictive Covenant Agreement, amended as of October 10, 2016.*</w:t>
            </w:r>
            <w:r>
              <w:rPr>
                <w:rFonts w:ascii="Arial" w:cs="Arial" w:eastAsia="Arial" w:hAnsi="Arial"/>
                <w:sz w:val="21"/>
                <w:szCs w:val="21"/>
                <w:color w:val="auto"/>
                <w:vertAlign w:val="superscript"/>
              </w:rPr>
              <w:t>+</w:t>
            </w:r>
          </w:p>
        </w:tc>
      </w:tr>
      <w:tr>
        <w:trPr>
          <w:trHeight w:val="203"/>
        </w:trPr>
        <w:tc>
          <w:tcPr>
            <w:tcW w:w="780" w:type="dxa"/>
            <w:vAlign w:val="bottom"/>
          </w:tcPr>
          <w:p>
            <w:pPr>
              <w:jc w:val="center"/>
              <w:ind w:right="119"/>
              <w:spacing w:after="0"/>
              <w:rPr>
                <w:sz w:val="20"/>
                <w:szCs w:val="20"/>
                <w:color w:val="auto"/>
              </w:rPr>
            </w:pPr>
            <w:r>
              <w:rPr>
                <w:rFonts w:ascii="Arial" w:cs="Arial" w:eastAsia="Arial" w:hAnsi="Arial"/>
                <w:sz w:val="16"/>
                <w:szCs w:val="16"/>
                <w:color w:val="auto"/>
                <w:w w:val="90"/>
              </w:rPr>
              <w:t>10.22(a)</w:t>
            </w:r>
          </w:p>
        </w:tc>
        <w:tc>
          <w:tcPr>
            <w:tcW w:w="10080" w:type="dxa"/>
            <w:vAlign w:val="bottom"/>
          </w:tcPr>
          <w:p>
            <w:pPr>
              <w:ind w:left="220"/>
              <w:spacing w:after="0"/>
              <w:rPr>
                <w:sz w:val="20"/>
                <w:szCs w:val="20"/>
                <w:color w:val="auto"/>
              </w:rPr>
            </w:pPr>
            <w:r>
              <w:rPr>
                <w:rFonts w:ascii="Arial" w:cs="Arial" w:eastAsia="Arial" w:hAnsi="Arial"/>
                <w:sz w:val="16"/>
                <w:szCs w:val="16"/>
                <w:color w:val="auto"/>
                <w:w w:val="93"/>
              </w:rPr>
              <w:t>Executive Employment Agreement with John P. Bilbrey, dated as of August 7, 2012, is incorporated by reference from Exhibit 10.1 to the Company's</w:t>
            </w:r>
          </w:p>
        </w:tc>
      </w:tr>
      <w:tr>
        <w:trPr>
          <w:trHeight w:val="270"/>
        </w:trPr>
        <w:tc>
          <w:tcPr>
            <w:tcW w:w="780" w:type="dxa"/>
            <w:vAlign w:val="bottom"/>
          </w:tcPr>
          <w:p>
            <w:pPr>
              <w:spacing w:after="0"/>
              <w:rPr>
                <w:sz w:val="23"/>
                <w:szCs w:val="23"/>
                <w:color w:val="auto"/>
              </w:rPr>
            </w:pPr>
          </w:p>
        </w:tc>
        <w:tc>
          <w:tcPr>
            <w:tcW w:w="10080" w:type="dxa"/>
            <w:vAlign w:val="bottom"/>
          </w:tcPr>
          <w:p>
            <w:pPr>
              <w:ind w:left="220"/>
              <w:spacing w:after="0"/>
              <w:rPr>
                <w:sz w:val="20"/>
                <w:szCs w:val="20"/>
                <w:color w:val="auto"/>
              </w:rPr>
            </w:pPr>
            <w:r>
              <w:rPr>
                <w:rFonts w:ascii="Arial" w:cs="Arial" w:eastAsia="Arial" w:hAnsi="Arial"/>
                <w:sz w:val="16"/>
                <w:szCs w:val="16"/>
                <w:color w:val="auto"/>
              </w:rPr>
              <w:t>Quarterly Report on Form 10-Q for the quarter ended July 1, 2012.</w:t>
            </w:r>
            <w:r>
              <w:rPr>
                <w:rFonts w:ascii="Arial" w:cs="Arial" w:eastAsia="Arial" w:hAnsi="Arial"/>
                <w:sz w:val="21"/>
                <w:szCs w:val="21"/>
                <w:color w:val="auto"/>
                <w:vertAlign w:val="superscript"/>
              </w:rPr>
              <w:t>+</w:t>
            </w:r>
          </w:p>
        </w:tc>
      </w:tr>
      <w:tr>
        <w:trPr>
          <w:trHeight w:val="203"/>
        </w:trPr>
        <w:tc>
          <w:tcPr>
            <w:tcW w:w="780" w:type="dxa"/>
            <w:vAlign w:val="bottom"/>
          </w:tcPr>
          <w:p>
            <w:pPr>
              <w:jc w:val="center"/>
              <w:ind w:right="99"/>
              <w:spacing w:after="0"/>
              <w:rPr>
                <w:sz w:val="20"/>
                <w:szCs w:val="20"/>
                <w:color w:val="auto"/>
              </w:rPr>
            </w:pPr>
            <w:r>
              <w:rPr>
                <w:rFonts w:ascii="Arial" w:cs="Arial" w:eastAsia="Arial" w:hAnsi="Arial"/>
                <w:sz w:val="16"/>
                <w:szCs w:val="16"/>
                <w:color w:val="auto"/>
                <w:w w:val="93"/>
              </w:rPr>
              <w:t>10.22(b)</w:t>
            </w:r>
          </w:p>
        </w:tc>
        <w:tc>
          <w:tcPr>
            <w:tcW w:w="10080" w:type="dxa"/>
            <w:vAlign w:val="bottom"/>
          </w:tcPr>
          <w:p>
            <w:pPr>
              <w:ind w:left="220"/>
              <w:spacing w:after="0"/>
              <w:rPr>
                <w:sz w:val="20"/>
                <w:szCs w:val="20"/>
                <w:color w:val="auto"/>
              </w:rPr>
            </w:pPr>
            <w:r>
              <w:rPr>
                <w:rFonts w:ascii="Arial" w:cs="Arial" w:eastAsia="Arial" w:hAnsi="Arial"/>
                <w:sz w:val="16"/>
                <w:szCs w:val="16"/>
                <w:color w:val="auto"/>
                <w:w w:val="98"/>
              </w:rPr>
              <w:t>First Amendment to Executive Employment Agreement, dated as of November 16, 2015, by and between the Company and John P. Bilbrey is</w:t>
            </w:r>
          </w:p>
        </w:tc>
      </w:tr>
      <w:tr>
        <w:trPr>
          <w:trHeight w:val="257"/>
        </w:trPr>
        <w:tc>
          <w:tcPr>
            <w:tcW w:w="780" w:type="dxa"/>
            <w:vAlign w:val="bottom"/>
          </w:tcPr>
          <w:p>
            <w:pPr>
              <w:spacing w:after="0"/>
              <w:rPr>
                <w:sz w:val="22"/>
                <w:szCs w:val="22"/>
                <w:color w:val="auto"/>
              </w:rPr>
            </w:pPr>
          </w:p>
        </w:tc>
        <w:tc>
          <w:tcPr>
            <w:tcW w:w="10080" w:type="dxa"/>
            <w:vAlign w:val="bottom"/>
          </w:tcPr>
          <w:p>
            <w:pPr>
              <w:ind w:left="220"/>
              <w:spacing w:after="0"/>
              <w:rPr>
                <w:sz w:val="20"/>
                <w:szCs w:val="20"/>
                <w:color w:val="auto"/>
              </w:rPr>
            </w:pPr>
            <w:r>
              <w:rPr>
                <w:rFonts w:ascii="Arial" w:cs="Arial" w:eastAsia="Arial" w:hAnsi="Arial"/>
                <w:sz w:val="16"/>
                <w:szCs w:val="16"/>
                <w:color w:val="auto"/>
              </w:rPr>
              <w:t>incorporated by reference from Exhibit 10.1 to the Company's Current Report on Form 8-K filed November 19, 2015.</w:t>
            </w:r>
            <w:r>
              <w:rPr>
                <w:rFonts w:ascii="Arial" w:cs="Arial" w:eastAsia="Arial" w:hAnsi="Arial"/>
                <w:sz w:val="21"/>
                <w:szCs w:val="21"/>
                <w:color w:val="auto"/>
                <w:vertAlign w:val="superscript"/>
              </w:rPr>
              <w:t>+</w:t>
            </w:r>
          </w:p>
        </w:tc>
      </w:tr>
      <w:tr>
        <w:trPr>
          <w:trHeight w:val="203"/>
        </w:trPr>
        <w:tc>
          <w:tcPr>
            <w:tcW w:w="780" w:type="dxa"/>
            <w:vAlign w:val="bottom"/>
          </w:tcPr>
          <w:p>
            <w:pPr>
              <w:jc w:val="center"/>
              <w:ind w:right="99"/>
              <w:spacing w:after="0"/>
              <w:rPr>
                <w:sz w:val="20"/>
                <w:szCs w:val="20"/>
                <w:color w:val="auto"/>
              </w:rPr>
            </w:pPr>
            <w:r>
              <w:rPr>
                <w:rFonts w:ascii="Arial" w:cs="Arial" w:eastAsia="Arial" w:hAnsi="Arial"/>
                <w:sz w:val="16"/>
                <w:szCs w:val="16"/>
                <w:color w:val="auto"/>
                <w:w w:val="89"/>
              </w:rPr>
              <w:t>10.23</w:t>
            </w:r>
          </w:p>
        </w:tc>
        <w:tc>
          <w:tcPr>
            <w:tcW w:w="10080" w:type="dxa"/>
            <w:vAlign w:val="bottom"/>
          </w:tcPr>
          <w:p>
            <w:pPr>
              <w:ind w:left="220"/>
              <w:spacing w:after="0"/>
              <w:rPr>
                <w:sz w:val="20"/>
                <w:szCs w:val="20"/>
                <w:color w:val="auto"/>
              </w:rPr>
            </w:pPr>
            <w:r>
              <w:rPr>
                <w:rFonts w:ascii="Arial" w:cs="Arial" w:eastAsia="Arial" w:hAnsi="Arial"/>
                <w:sz w:val="16"/>
                <w:szCs w:val="16"/>
                <w:color w:val="auto"/>
                <w:w w:val="93"/>
              </w:rPr>
              <w:t>The Company’s Directors’ Compensation Plan, Amended and Restated as of December 2, 2008, is incorporated by reference from Exhibit 10.8 to the</w:t>
            </w:r>
          </w:p>
        </w:tc>
      </w:tr>
      <w:tr>
        <w:trPr>
          <w:trHeight w:val="206"/>
        </w:trPr>
        <w:tc>
          <w:tcPr>
            <w:tcW w:w="780" w:type="dxa"/>
            <w:vAlign w:val="bottom"/>
          </w:tcPr>
          <w:p>
            <w:pPr>
              <w:spacing w:after="0"/>
              <w:rPr>
                <w:sz w:val="17"/>
                <w:szCs w:val="17"/>
                <w:color w:val="auto"/>
              </w:rPr>
            </w:pPr>
          </w:p>
        </w:tc>
        <w:tc>
          <w:tcPr>
            <w:tcW w:w="10080" w:type="dxa"/>
            <w:vAlign w:val="bottom"/>
          </w:tcPr>
          <w:p>
            <w:pPr>
              <w:ind w:left="220"/>
              <w:spacing w:after="0"/>
              <w:rPr>
                <w:sz w:val="20"/>
                <w:szCs w:val="20"/>
                <w:color w:val="auto"/>
              </w:rPr>
            </w:pPr>
            <w:r>
              <w:rPr>
                <w:rFonts w:ascii="Arial" w:cs="Arial" w:eastAsia="Arial" w:hAnsi="Arial"/>
                <w:sz w:val="16"/>
                <w:szCs w:val="16"/>
                <w:color w:val="auto"/>
              </w:rPr>
              <w:t>Company’s Annual Report on Form 10-K for the fiscal year ended December 31, 2008.</w:t>
            </w:r>
          </w:p>
        </w:tc>
      </w:tr>
      <w:tr>
        <w:trPr>
          <w:trHeight w:val="257"/>
        </w:trPr>
        <w:tc>
          <w:tcPr>
            <w:tcW w:w="780" w:type="dxa"/>
            <w:vAlign w:val="bottom"/>
          </w:tcPr>
          <w:p>
            <w:pPr>
              <w:jc w:val="center"/>
              <w:ind w:right="99"/>
              <w:spacing w:after="0"/>
              <w:rPr>
                <w:sz w:val="20"/>
                <w:szCs w:val="20"/>
                <w:color w:val="auto"/>
              </w:rPr>
            </w:pPr>
            <w:r>
              <w:rPr>
                <w:rFonts w:ascii="Arial" w:cs="Arial" w:eastAsia="Arial" w:hAnsi="Arial"/>
                <w:sz w:val="16"/>
                <w:szCs w:val="16"/>
                <w:color w:val="auto"/>
                <w:w w:val="89"/>
              </w:rPr>
              <w:t>12.1</w:t>
            </w:r>
          </w:p>
        </w:tc>
        <w:tc>
          <w:tcPr>
            <w:tcW w:w="10080" w:type="dxa"/>
            <w:vAlign w:val="bottom"/>
          </w:tcPr>
          <w:p>
            <w:pPr>
              <w:ind w:left="220"/>
              <w:spacing w:after="0"/>
              <w:rPr>
                <w:sz w:val="20"/>
                <w:szCs w:val="20"/>
                <w:color w:val="auto"/>
              </w:rPr>
            </w:pPr>
            <w:r>
              <w:rPr>
                <w:rFonts w:ascii="Arial" w:cs="Arial" w:eastAsia="Arial" w:hAnsi="Arial"/>
                <w:sz w:val="16"/>
                <w:szCs w:val="16"/>
                <w:color w:val="auto"/>
              </w:rPr>
              <w:t>Computation of ratio of earnings to fixed charges statement.*</w:t>
            </w:r>
          </w:p>
        </w:tc>
      </w:tr>
      <w:tr>
        <w:trPr>
          <w:trHeight w:val="266"/>
        </w:trPr>
        <w:tc>
          <w:tcPr>
            <w:tcW w:w="780" w:type="dxa"/>
            <w:vAlign w:val="bottom"/>
          </w:tcPr>
          <w:p>
            <w:pPr>
              <w:jc w:val="center"/>
              <w:ind w:right="99"/>
              <w:spacing w:after="0"/>
              <w:rPr>
                <w:sz w:val="20"/>
                <w:szCs w:val="20"/>
                <w:color w:val="auto"/>
              </w:rPr>
            </w:pPr>
            <w:r>
              <w:rPr>
                <w:rFonts w:ascii="Arial" w:cs="Arial" w:eastAsia="Arial" w:hAnsi="Arial"/>
                <w:sz w:val="16"/>
                <w:szCs w:val="16"/>
                <w:color w:val="auto"/>
                <w:w w:val="89"/>
              </w:rPr>
              <w:t>16.1</w:t>
            </w:r>
          </w:p>
        </w:tc>
        <w:tc>
          <w:tcPr>
            <w:tcW w:w="10080" w:type="dxa"/>
            <w:vAlign w:val="bottom"/>
          </w:tcPr>
          <w:p>
            <w:pPr>
              <w:ind w:left="220"/>
              <w:spacing w:after="0"/>
              <w:rPr>
                <w:sz w:val="20"/>
                <w:szCs w:val="20"/>
                <w:color w:val="auto"/>
              </w:rPr>
            </w:pPr>
            <w:r>
              <w:rPr>
                <w:rFonts w:ascii="Arial" w:cs="Arial" w:eastAsia="Arial" w:hAnsi="Arial"/>
                <w:sz w:val="16"/>
                <w:szCs w:val="16"/>
                <w:color w:val="auto"/>
                <w:w w:val="93"/>
              </w:rPr>
              <w:t>Letter from KPMG, LLP, dated April 27, 2016, regarding dismissal as the Company’s independent registered public accounting firm is incorporated by</w:t>
            </w:r>
          </w:p>
        </w:tc>
      </w:tr>
      <w:tr>
        <w:trPr>
          <w:trHeight w:val="206"/>
        </w:trPr>
        <w:tc>
          <w:tcPr>
            <w:tcW w:w="780" w:type="dxa"/>
            <w:vAlign w:val="bottom"/>
          </w:tcPr>
          <w:p>
            <w:pPr>
              <w:spacing w:after="0"/>
              <w:rPr>
                <w:sz w:val="17"/>
                <w:szCs w:val="17"/>
                <w:color w:val="auto"/>
              </w:rPr>
            </w:pPr>
          </w:p>
        </w:tc>
        <w:tc>
          <w:tcPr>
            <w:tcW w:w="10080" w:type="dxa"/>
            <w:vAlign w:val="bottom"/>
          </w:tcPr>
          <w:p>
            <w:pPr>
              <w:ind w:left="220"/>
              <w:spacing w:after="0"/>
              <w:rPr>
                <w:sz w:val="20"/>
                <w:szCs w:val="20"/>
                <w:color w:val="auto"/>
              </w:rPr>
            </w:pPr>
            <w:r>
              <w:rPr>
                <w:rFonts w:ascii="Arial" w:cs="Arial" w:eastAsia="Arial" w:hAnsi="Arial"/>
                <w:sz w:val="16"/>
                <w:szCs w:val="16"/>
                <w:color w:val="auto"/>
              </w:rPr>
              <w:t>reference from Exhibit 16.1 to the Company’s Current Report on Form 8-K filed April 27, 2016.</w:t>
            </w:r>
          </w:p>
        </w:tc>
      </w:tr>
      <w:tr>
        <w:trPr>
          <w:trHeight w:val="257"/>
        </w:trPr>
        <w:tc>
          <w:tcPr>
            <w:tcW w:w="780" w:type="dxa"/>
            <w:vAlign w:val="bottom"/>
          </w:tcPr>
          <w:p>
            <w:pPr>
              <w:jc w:val="center"/>
              <w:ind w:right="99"/>
              <w:spacing w:after="0"/>
              <w:rPr>
                <w:sz w:val="20"/>
                <w:szCs w:val="20"/>
                <w:color w:val="auto"/>
              </w:rPr>
            </w:pPr>
            <w:r>
              <w:rPr>
                <w:rFonts w:ascii="Arial" w:cs="Arial" w:eastAsia="Arial" w:hAnsi="Arial"/>
                <w:sz w:val="16"/>
                <w:szCs w:val="16"/>
                <w:color w:val="auto"/>
                <w:w w:val="89"/>
              </w:rPr>
              <w:t>21.1</w:t>
            </w:r>
          </w:p>
        </w:tc>
        <w:tc>
          <w:tcPr>
            <w:tcW w:w="10080" w:type="dxa"/>
            <w:vAlign w:val="bottom"/>
          </w:tcPr>
          <w:p>
            <w:pPr>
              <w:ind w:left="220"/>
              <w:spacing w:after="0"/>
              <w:rPr>
                <w:sz w:val="20"/>
                <w:szCs w:val="20"/>
                <w:color w:val="auto"/>
              </w:rPr>
            </w:pPr>
            <w:r>
              <w:rPr>
                <w:rFonts w:ascii="Arial" w:cs="Arial" w:eastAsia="Arial" w:hAnsi="Arial"/>
                <w:sz w:val="16"/>
                <w:szCs w:val="16"/>
                <w:color w:val="auto"/>
              </w:rPr>
              <w:t>Subsidiaries of the Registrant.*</w:t>
            </w:r>
          </w:p>
        </w:tc>
      </w:tr>
      <w:tr>
        <w:trPr>
          <w:trHeight w:val="270"/>
        </w:trPr>
        <w:tc>
          <w:tcPr>
            <w:tcW w:w="780" w:type="dxa"/>
            <w:vAlign w:val="bottom"/>
          </w:tcPr>
          <w:p>
            <w:pPr>
              <w:jc w:val="center"/>
              <w:ind w:right="99"/>
              <w:spacing w:after="0"/>
              <w:rPr>
                <w:sz w:val="20"/>
                <w:szCs w:val="20"/>
                <w:color w:val="auto"/>
              </w:rPr>
            </w:pPr>
            <w:r>
              <w:rPr>
                <w:rFonts w:ascii="Arial" w:cs="Arial" w:eastAsia="Arial" w:hAnsi="Arial"/>
                <w:sz w:val="16"/>
                <w:szCs w:val="16"/>
                <w:color w:val="auto"/>
                <w:w w:val="89"/>
              </w:rPr>
              <w:t>23.1</w:t>
            </w:r>
          </w:p>
        </w:tc>
        <w:tc>
          <w:tcPr>
            <w:tcW w:w="10080" w:type="dxa"/>
            <w:vAlign w:val="bottom"/>
          </w:tcPr>
          <w:p>
            <w:pPr>
              <w:ind w:left="220"/>
              <w:spacing w:after="0"/>
              <w:rPr>
                <w:sz w:val="20"/>
                <w:szCs w:val="20"/>
                <w:color w:val="auto"/>
              </w:rPr>
            </w:pPr>
            <w:r>
              <w:rPr>
                <w:rFonts w:ascii="Arial" w:cs="Arial" w:eastAsia="Arial" w:hAnsi="Arial"/>
                <w:sz w:val="16"/>
                <w:szCs w:val="16"/>
                <w:color w:val="auto"/>
              </w:rPr>
              <w:t>Consent of Independent Registered Public Accounting Firm.*</w:t>
            </w:r>
          </w:p>
        </w:tc>
      </w:tr>
      <w:tr>
        <w:trPr>
          <w:trHeight w:val="270"/>
        </w:trPr>
        <w:tc>
          <w:tcPr>
            <w:tcW w:w="780" w:type="dxa"/>
            <w:vAlign w:val="bottom"/>
          </w:tcPr>
          <w:p>
            <w:pPr>
              <w:jc w:val="center"/>
              <w:ind w:right="99"/>
              <w:spacing w:after="0"/>
              <w:rPr>
                <w:sz w:val="20"/>
                <w:szCs w:val="20"/>
                <w:color w:val="auto"/>
              </w:rPr>
            </w:pPr>
            <w:r>
              <w:rPr>
                <w:rFonts w:ascii="Arial" w:cs="Arial" w:eastAsia="Arial" w:hAnsi="Arial"/>
                <w:sz w:val="16"/>
                <w:szCs w:val="16"/>
                <w:color w:val="auto"/>
                <w:w w:val="89"/>
              </w:rPr>
              <w:t>31.1</w:t>
            </w:r>
          </w:p>
        </w:tc>
        <w:tc>
          <w:tcPr>
            <w:tcW w:w="10080" w:type="dxa"/>
            <w:vAlign w:val="bottom"/>
          </w:tcPr>
          <w:p>
            <w:pPr>
              <w:ind w:left="220"/>
              <w:spacing w:after="0"/>
              <w:rPr>
                <w:sz w:val="20"/>
                <w:szCs w:val="20"/>
                <w:color w:val="auto"/>
              </w:rPr>
            </w:pPr>
            <w:r>
              <w:rPr>
                <w:rFonts w:ascii="Arial" w:cs="Arial" w:eastAsia="Arial" w:hAnsi="Arial"/>
                <w:sz w:val="16"/>
                <w:szCs w:val="16"/>
                <w:color w:val="auto"/>
              </w:rPr>
              <w:t>Certification of John P. Bilbrey, Chief Executive Officer, pursuant to Section 302 of the Sarbanes-Oxley Act of 2002.*</w:t>
            </w:r>
          </w:p>
        </w:tc>
      </w:tr>
      <w:tr>
        <w:trPr>
          <w:trHeight w:val="270"/>
        </w:trPr>
        <w:tc>
          <w:tcPr>
            <w:tcW w:w="780" w:type="dxa"/>
            <w:vAlign w:val="bottom"/>
          </w:tcPr>
          <w:p>
            <w:pPr>
              <w:jc w:val="center"/>
              <w:ind w:right="99"/>
              <w:spacing w:after="0"/>
              <w:rPr>
                <w:sz w:val="20"/>
                <w:szCs w:val="20"/>
                <w:color w:val="auto"/>
              </w:rPr>
            </w:pPr>
            <w:r>
              <w:rPr>
                <w:rFonts w:ascii="Arial" w:cs="Arial" w:eastAsia="Arial" w:hAnsi="Arial"/>
                <w:sz w:val="16"/>
                <w:szCs w:val="16"/>
                <w:color w:val="auto"/>
                <w:w w:val="89"/>
              </w:rPr>
              <w:t>31.2</w:t>
            </w:r>
          </w:p>
        </w:tc>
        <w:tc>
          <w:tcPr>
            <w:tcW w:w="10080" w:type="dxa"/>
            <w:vAlign w:val="bottom"/>
          </w:tcPr>
          <w:p>
            <w:pPr>
              <w:ind w:left="220"/>
              <w:spacing w:after="0"/>
              <w:rPr>
                <w:sz w:val="20"/>
                <w:szCs w:val="20"/>
                <w:color w:val="auto"/>
              </w:rPr>
            </w:pPr>
            <w:r>
              <w:rPr>
                <w:rFonts w:ascii="Arial" w:cs="Arial" w:eastAsia="Arial" w:hAnsi="Arial"/>
                <w:sz w:val="16"/>
                <w:szCs w:val="16"/>
                <w:color w:val="auto"/>
              </w:rPr>
              <w:t>Certification of Patricia A. Little, Chief Financial Officer, pursuant to Section 302 of the Sarbanes-Oxley Act of 2002.*</w:t>
            </w:r>
          </w:p>
        </w:tc>
      </w:tr>
      <w:tr>
        <w:trPr>
          <w:trHeight w:val="266"/>
        </w:trPr>
        <w:tc>
          <w:tcPr>
            <w:tcW w:w="780" w:type="dxa"/>
            <w:vAlign w:val="bottom"/>
          </w:tcPr>
          <w:p>
            <w:pPr>
              <w:jc w:val="center"/>
              <w:ind w:right="99"/>
              <w:spacing w:after="0"/>
              <w:rPr>
                <w:sz w:val="20"/>
                <w:szCs w:val="20"/>
                <w:color w:val="auto"/>
              </w:rPr>
            </w:pPr>
            <w:r>
              <w:rPr>
                <w:rFonts w:ascii="Arial" w:cs="Arial" w:eastAsia="Arial" w:hAnsi="Arial"/>
                <w:sz w:val="16"/>
                <w:szCs w:val="16"/>
                <w:color w:val="auto"/>
                <w:w w:val="89"/>
              </w:rPr>
              <w:t>32.1</w:t>
            </w:r>
          </w:p>
        </w:tc>
        <w:tc>
          <w:tcPr>
            <w:tcW w:w="10080" w:type="dxa"/>
            <w:vAlign w:val="bottom"/>
          </w:tcPr>
          <w:p>
            <w:pPr>
              <w:ind w:left="220"/>
              <w:spacing w:after="0"/>
              <w:rPr>
                <w:sz w:val="20"/>
                <w:szCs w:val="20"/>
                <w:color w:val="auto"/>
              </w:rPr>
            </w:pPr>
            <w:r>
              <w:rPr>
                <w:rFonts w:ascii="Arial" w:cs="Arial" w:eastAsia="Arial" w:hAnsi="Arial"/>
                <w:sz w:val="16"/>
                <w:szCs w:val="16"/>
                <w:color w:val="auto"/>
                <w:w w:val="94"/>
              </w:rPr>
              <w:t>Certification of John P. Bilbrey, Chief Executive Officer, and Patricia A. Little, Chief Financial Officer, pursuant to Section 906 of the Sarbanes-Oxley</w:t>
            </w:r>
          </w:p>
        </w:tc>
      </w:tr>
      <w:tr>
        <w:trPr>
          <w:trHeight w:val="206"/>
        </w:trPr>
        <w:tc>
          <w:tcPr>
            <w:tcW w:w="780" w:type="dxa"/>
            <w:vAlign w:val="bottom"/>
          </w:tcPr>
          <w:p>
            <w:pPr>
              <w:spacing w:after="0"/>
              <w:rPr>
                <w:sz w:val="17"/>
                <w:szCs w:val="17"/>
                <w:color w:val="auto"/>
              </w:rPr>
            </w:pPr>
          </w:p>
        </w:tc>
        <w:tc>
          <w:tcPr>
            <w:tcW w:w="10080" w:type="dxa"/>
            <w:vAlign w:val="bottom"/>
          </w:tcPr>
          <w:p>
            <w:pPr>
              <w:ind w:left="220"/>
              <w:spacing w:after="0"/>
              <w:rPr>
                <w:sz w:val="20"/>
                <w:szCs w:val="20"/>
                <w:color w:val="auto"/>
              </w:rPr>
            </w:pPr>
            <w:r>
              <w:rPr>
                <w:rFonts w:ascii="Arial" w:cs="Arial" w:eastAsia="Arial" w:hAnsi="Arial"/>
                <w:sz w:val="16"/>
                <w:szCs w:val="16"/>
                <w:color w:val="auto"/>
              </w:rPr>
              <w:t>Act of 2002.**</w:t>
            </w:r>
          </w:p>
        </w:tc>
      </w:tr>
      <w:tr>
        <w:trPr>
          <w:trHeight w:val="257"/>
        </w:trPr>
        <w:tc>
          <w:tcPr>
            <w:tcW w:w="780" w:type="dxa"/>
            <w:vAlign w:val="bottom"/>
          </w:tcPr>
          <w:p>
            <w:pPr>
              <w:jc w:val="center"/>
              <w:ind w:right="119"/>
              <w:spacing w:after="0"/>
              <w:rPr>
                <w:sz w:val="20"/>
                <w:szCs w:val="20"/>
                <w:color w:val="auto"/>
              </w:rPr>
            </w:pPr>
            <w:r>
              <w:rPr>
                <w:rFonts w:ascii="Arial" w:cs="Arial" w:eastAsia="Arial" w:hAnsi="Arial"/>
                <w:sz w:val="16"/>
                <w:szCs w:val="16"/>
                <w:color w:val="auto"/>
                <w:w w:val="93"/>
              </w:rPr>
              <w:t>101.INS</w:t>
            </w:r>
          </w:p>
        </w:tc>
        <w:tc>
          <w:tcPr>
            <w:tcW w:w="10080" w:type="dxa"/>
            <w:vAlign w:val="bottom"/>
          </w:tcPr>
          <w:p>
            <w:pPr>
              <w:ind w:left="200"/>
              <w:spacing w:after="0"/>
              <w:rPr>
                <w:sz w:val="20"/>
                <w:szCs w:val="20"/>
                <w:color w:val="auto"/>
              </w:rPr>
            </w:pPr>
            <w:r>
              <w:rPr>
                <w:rFonts w:ascii="Arial" w:cs="Arial" w:eastAsia="Arial" w:hAnsi="Arial"/>
                <w:sz w:val="16"/>
                <w:szCs w:val="16"/>
                <w:color w:val="auto"/>
              </w:rPr>
              <w:t>XBRL Instance Document</w:t>
            </w:r>
          </w:p>
        </w:tc>
      </w:tr>
      <w:tr>
        <w:trPr>
          <w:trHeight w:val="270"/>
        </w:trPr>
        <w:tc>
          <w:tcPr>
            <w:tcW w:w="780" w:type="dxa"/>
            <w:vAlign w:val="bottom"/>
          </w:tcPr>
          <w:p>
            <w:pPr>
              <w:jc w:val="center"/>
              <w:ind w:right="99"/>
              <w:spacing w:after="0"/>
              <w:rPr>
                <w:sz w:val="20"/>
                <w:szCs w:val="20"/>
                <w:color w:val="auto"/>
              </w:rPr>
            </w:pPr>
            <w:r>
              <w:rPr>
                <w:rFonts w:ascii="Arial" w:cs="Arial" w:eastAsia="Arial" w:hAnsi="Arial"/>
                <w:sz w:val="16"/>
                <w:szCs w:val="16"/>
                <w:color w:val="auto"/>
                <w:w w:val="92"/>
              </w:rPr>
              <w:t>101.SCH</w:t>
            </w:r>
          </w:p>
        </w:tc>
        <w:tc>
          <w:tcPr>
            <w:tcW w:w="10080" w:type="dxa"/>
            <w:vAlign w:val="bottom"/>
          </w:tcPr>
          <w:p>
            <w:pPr>
              <w:ind w:left="200"/>
              <w:spacing w:after="0"/>
              <w:rPr>
                <w:sz w:val="20"/>
                <w:szCs w:val="20"/>
                <w:color w:val="auto"/>
              </w:rPr>
            </w:pPr>
            <w:r>
              <w:rPr>
                <w:rFonts w:ascii="Arial" w:cs="Arial" w:eastAsia="Arial" w:hAnsi="Arial"/>
                <w:sz w:val="16"/>
                <w:szCs w:val="16"/>
                <w:color w:val="auto"/>
              </w:rPr>
              <w:t>XBRL Taxonomy Extension Schema</w:t>
            </w:r>
          </w:p>
        </w:tc>
      </w:tr>
      <w:tr>
        <w:trPr>
          <w:trHeight w:val="270"/>
        </w:trPr>
        <w:tc>
          <w:tcPr>
            <w:tcW w:w="780" w:type="dxa"/>
            <w:vAlign w:val="bottom"/>
          </w:tcPr>
          <w:p>
            <w:pPr>
              <w:jc w:val="center"/>
              <w:ind w:right="99"/>
              <w:spacing w:after="0"/>
              <w:rPr>
                <w:sz w:val="20"/>
                <w:szCs w:val="20"/>
                <w:color w:val="auto"/>
              </w:rPr>
            </w:pPr>
            <w:r>
              <w:rPr>
                <w:rFonts w:ascii="Arial" w:cs="Arial" w:eastAsia="Arial" w:hAnsi="Arial"/>
                <w:sz w:val="16"/>
                <w:szCs w:val="16"/>
                <w:color w:val="auto"/>
                <w:w w:val="96"/>
              </w:rPr>
              <w:t>101.CAL</w:t>
            </w:r>
          </w:p>
        </w:tc>
        <w:tc>
          <w:tcPr>
            <w:tcW w:w="10080" w:type="dxa"/>
            <w:vAlign w:val="bottom"/>
          </w:tcPr>
          <w:p>
            <w:pPr>
              <w:ind w:left="200"/>
              <w:spacing w:after="0"/>
              <w:rPr>
                <w:sz w:val="20"/>
                <w:szCs w:val="20"/>
                <w:color w:val="auto"/>
              </w:rPr>
            </w:pPr>
            <w:r>
              <w:rPr>
                <w:rFonts w:ascii="Arial" w:cs="Arial" w:eastAsia="Arial" w:hAnsi="Arial"/>
                <w:sz w:val="16"/>
                <w:szCs w:val="16"/>
                <w:color w:val="auto"/>
              </w:rPr>
              <w:t>XBRL Taxonomy Extension Calculation Linkbase</w:t>
            </w:r>
          </w:p>
        </w:tc>
      </w:tr>
      <w:tr>
        <w:trPr>
          <w:trHeight w:val="270"/>
        </w:trPr>
        <w:tc>
          <w:tcPr>
            <w:tcW w:w="780" w:type="dxa"/>
            <w:vAlign w:val="bottom"/>
          </w:tcPr>
          <w:p>
            <w:pPr>
              <w:jc w:val="center"/>
              <w:ind w:right="99"/>
              <w:spacing w:after="0"/>
              <w:rPr>
                <w:sz w:val="20"/>
                <w:szCs w:val="20"/>
                <w:color w:val="auto"/>
              </w:rPr>
            </w:pPr>
            <w:r>
              <w:rPr>
                <w:rFonts w:ascii="Arial" w:cs="Arial" w:eastAsia="Arial" w:hAnsi="Arial"/>
                <w:sz w:val="16"/>
                <w:szCs w:val="16"/>
                <w:color w:val="auto"/>
                <w:w w:val="97"/>
              </w:rPr>
              <w:t>101.LAB</w:t>
            </w:r>
          </w:p>
        </w:tc>
        <w:tc>
          <w:tcPr>
            <w:tcW w:w="10080" w:type="dxa"/>
            <w:vAlign w:val="bottom"/>
          </w:tcPr>
          <w:p>
            <w:pPr>
              <w:ind w:left="220"/>
              <w:spacing w:after="0"/>
              <w:rPr>
                <w:sz w:val="20"/>
                <w:szCs w:val="20"/>
                <w:color w:val="auto"/>
              </w:rPr>
            </w:pPr>
            <w:r>
              <w:rPr>
                <w:rFonts w:ascii="Arial" w:cs="Arial" w:eastAsia="Arial" w:hAnsi="Arial"/>
                <w:sz w:val="16"/>
                <w:szCs w:val="16"/>
                <w:color w:val="auto"/>
              </w:rPr>
              <w:t>XBRL Taxonomy Extension Label Linkbase</w:t>
            </w:r>
          </w:p>
        </w:tc>
      </w:tr>
      <w:tr>
        <w:trPr>
          <w:trHeight w:val="270"/>
        </w:trPr>
        <w:tc>
          <w:tcPr>
            <w:tcW w:w="780" w:type="dxa"/>
            <w:vAlign w:val="bottom"/>
          </w:tcPr>
          <w:p>
            <w:pPr>
              <w:jc w:val="center"/>
              <w:ind w:right="119"/>
              <w:spacing w:after="0"/>
              <w:rPr>
                <w:sz w:val="20"/>
                <w:szCs w:val="20"/>
                <w:color w:val="auto"/>
              </w:rPr>
            </w:pPr>
            <w:r>
              <w:rPr>
                <w:rFonts w:ascii="Arial" w:cs="Arial" w:eastAsia="Arial" w:hAnsi="Arial"/>
                <w:sz w:val="16"/>
                <w:szCs w:val="16"/>
                <w:color w:val="auto"/>
                <w:w w:val="90"/>
              </w:rPr>
              <w:t>101.PRE</w:t>
            </w:r>
          </w:p>
        </w:tc>
        <w:tc>
          <w:tcPr>
            <w:tcW w:w="10080" w:type="dxa"/>
            <w:vAlign w:val="bottom"/>
          </w:tcPr>
          <w:p>
            <w:pPr>
              <w:ind w:left="220"/>
              <w:spacing w:after="0"/>
              <w:rPr>
                <w:sz w:val="20"/>
                <w:szCs w:val="20"/>
                <w:color w:val="auto"/>
              </w:rPr>
            </w:pPr>
            <w:r>
              <w:rPr>
                <w:rFonts w:ascii="Arial" w:cs="Arial" w:eastAsia="Arial" w:hAnsi="Arial"/>
                <w:sz w:val="16"/>
                <w:szCs w:val="16"/>
                <w:color w:val="auto"/>
              </w:rPr>
              <w:t>XBRL Taxonomy Extension Presentation Linkbase</w:t>
            </w:r>
          </w:p>
        </w:tc>
      </w:tr>
      <w:tr>
        <w:trPr>
          <w:trHeight w:val="270"/>
        </w:trPr>
        <w:tc>
          <w:tcPr>
            <w:tcW w:w="780" w:type="dxa"/>
            <w:vAlign w:val="bottom"/>
          </w:tcPr>
          <w:p>
            <w:pPr>
              <w:jc w:val="center"/>
              <w:ind w:right="99"/>
              <w:spacing w:after="0"/>
              <w:rPr>
                <w:sz w:val="20"/>
                <w:szCs w:val="20"/>
                <w:color w:val="auto"/>
              </w:rPr>
            </w:pPr>
            <w:r>
              <w:rPr>
                <w:rFonts w:ascii="Arial" w:cs="Arial" w:eastAsia="Arial" w:hAnsi="Arial"/>
                <w:sz w:val="16"/>
                <w:szCs w:val="16"/>
                <w:color w:val="auto"/>
                <w:w w:val="94"/>
              </w:rPr>
              <w:t>101.DEF</w:t>
            </w:r>
          </w:p>
        </w:tc>
        <w:tc>
          <w:tcPr>
            <w:tcW w:w="10080" w:type="dxa"/>
            <w:vAlign w:val="bottom"/>
          </w:tcPr>
          <w:p>
            <w:pPr>
              <w:ind w:left="220"/>
              <w:spacing w:after="0"/>
              <w:rPr>
                <w:sz w:val="20"/>
                <w:szCs w:val="20"/>
                <w:color w:val="auto"/>
              </w:rPr>
            </w:pPr>
            <w:r>
              <w:rPr>
                <w:rFonts w:ascii="Arial" w:cs="Arial" w:eastAsia="Arial" w:hAnsi="Arial"/>
                <w:sz w:val="16"/>
                <w:szCs w:val="16"/>
                <w:color w:val="auto"/>
              </w:rPr>
              <w:t>XBRL Taxonomy Extension Definition Linkbase</w:t>
            </w:r>
          </w:p>
        </w:tc>
      </w:tr>
    </w:tbl>
    <w:p>
      <w:pPr>
        <w:spacing w:after="0" w:line="388" w:lineRule="exact"/>
        <w:rPr>
          <w:sz w:val="20"/>
          <w:szCs w:val="20"/>
          <w:color w:val="auto"/>
        </w:rPr>
      </w:pPr>
    </w:p>
    <w:p>
      <w:pPr>
        <w:ind w:left="1000" w:hanging="743"/>
        <w:spacing w:after="0"/>
        <w:tabs>
          <w:tab w:leader="none" w:pos="10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86" w:lineRule="exact"/>
        <w:rPr>
          <w:sz w:val="20"/>
          <w:szCs w:val="20"/>
          <w:color w:val="auto"/>
        </w:rPr>
      </w:pPr>
    </w:p>
    <w:p>
      <w:pPr>
        <w:ind w:left="1000" w:hanging="784"/>
        <w:spacing w:after="0"/>
        <w:tabs>
          <w:tab w:leader="none" w:pos="10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Furnished herewith</w:t>
      </w:r>
    </w:p>
    <w:p>
      <w:pPr>
        <w:spacing w:after="0" w:line="86" w:lineRule="exact"/>
        <w:rPr>
          <w:sz w:val="20"/>
          <w:szCs w:val="20"/>
          <w:color w:val="auto"/>
        </w:rPr>
      </w:pPr>
    </w:p>
    <w:p>
      <w:pPr>
        <w:ind w:left="1000" w:hanging="748"/>
        <w:spacing w:after="0"/>
        <w:tabs>
          <w:tab w:leader="none" w:pos="10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Management contract,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0860"/>
          </w:cols>
          <w:pgMar w:left="680" w:top="832" w:right="35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10.10(b)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 Crystal A Drive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Hershey, Pennsylvania 17033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Notice of Award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right="20" w:firstLine="8"/>
        <w:spacing w:after="0" w:line="312" w:lineRule="auto"/>
        <w:tabs>
          <w:tab w:leader="none" w:pos="180"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EFFECTIVE DATE AND LEVEL OF AWARD</w:t>
      </w:r>
      <w:r>
        <w:rPr>
          <w:rFonts w:ascii="Arial" w:cs="Arial" w:eastAsia="Arial" w:hAnsi="Arial"/>
          <w:sz w:val="16"/>
          <w:szCs w:val="16"/>
          <w:color w:val="auto"/>
        </w:rPr>
        <w:t>. Effective _____________ (the “Grant Date”), Grantee has been awarded Restricted Stock Units (“RSUs”) representing ______ shares of Common Stock of The Hershey Company (“Hershey”). Each RSU represents the right to receive one share of Hershey’s Common Stock, $1.00 par value, at a future date and time, subject to the terms of this Notice of Award of Restricted Stock Units (the “Notice of Award”).</w:t>
      </w:r>
    </w:p>
    <w:p>
      <w:pPr>
        <w:spacing w:after="0" w:line="14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Grantee will have forty-five (45) days to accept the terms of this Notice of Award. By accepting the award of RSUs under this Notice of Award, Grantee accepts and agrees to: (i) these terms and conditions, (ii) the terms and conditions of The Hershey Company Equity and Incentive Compensation Plan (“EICP”), which are incorporated herein by reference, and (iii) as applicable, the terms and conditions of The Hershey Company Deferred Compensation Plan, which are incorporated herein by reference. This award of RSUs is expressly contingent upon Grantee agreeing to the obligations contained herein. Failure to agree to all the terms and conditions set forth herein in the form presented by Hershey shall result in the RSUs being cancelled, with no benefit to the Grantee.</w:t>
      </w:r>
    </w:p>
    <w:p>
      <w:pPr>
        <w:spacing w:after="0" w:line="193" w:lineRule="exact"/>
        <w:rPr>
          <w:sz w:val="20"/>
          <w:szCs w:val="20"/>
          <w:color w:val="auto"/>
        </w:rPr>
      </w:pPr>
    </w:p>
    <w:p>
      <w:pPr>
        <w:ind w:right="320"/>
        <w:spacing w:after="0" w:line="297" w:lineRule="auto"/>
        <w:rPr>
          <w:sz w:val="20"/>
          <w:szCs w:val="20"/>
          <w:color w:val="auto"/>
        </w:rPr>
      </w:pPr>
      <w:r>
        <w:rPr>
          <w:rFonts w:ascii="Arial" w:cs="Arial" w:eastAsia="Arial" w:hAnsi="Arial"/>
          <w:sz w:val="16"/>
          <w:szCs w:val="16"/>
          <w:color w:val="auto"/>
        </w:rPr>
        <w:t>The terms of this Notice of Award extend not only to the Grantee and Hershey, but also to Hershey’s past and present affiliated and related companies, subsidiaries, joint ventures, affiliated entities, parent companies and its and their respective successors and assigns, its and their past, present and future benefit and severance plans, including the EICP and the terms and conditions of The Hershey Company Deferred Compensation Plan, and their representatives, agents, trustees, officials, shareholders, officers, directors, employees, attorneys, benefit plan administrators and fiduciaries, both past and present, in their individual or representative capacities, and all of their successors and assigns (collectively with Hershey, the “Company ”).</w:t>
      </w:r>
    </w:p>
    <w:p>
      <w:pPr>
        <w:spacing w:after="0" w:line="158" w:lineRule="exact"/>
        <w:rPr>
          <w:sz w:val="20"/>
          <w:szCs w:val="20"/>
          <w:color w:val="auto"/>
        </w:rPr>
      </w:pPr>
    </w:p>
    <w:p>
      <w:pPr>
        <w:ind w:right="20" w:firstLine="8"/>
        <w:spacing w:after="0" w:line="277" w:lineRule="auto"/>
        <w:tabs>
          <w:tab w:leader="none" w:pos="18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Wherever used herein, the following terms shall have the meanings set forth below. </w:t>
      </w:r>
      <w:r>
        <w:rPr>
          <w:rFonts w:ascii="Arial" w:cs="Arial" w:eastAsia="Arial" w:hAnsi="Arial"/>
          <w:sz w:val="18"/>
          <w:szCs w:val="18"/>
          <w:b w:val="1"/>
          <w:bCs w:val="1"/>
          <w:i w:val="1"/>
          <w:iCs w:val="1"/>
          <w:color w:val="auto"/>
        </w:rPr>
        <w:t>Capitalized terms not otherwise defined in this Notice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of Award shall have the same meanings as set forth in the EICP.</w:t>
      </w:r>
    </w:p>
    <w:p>
      <w:pPr>
        <w:spacing w:after="0" w:line="170" w:lineRule="exact"/>
        <w:rPr>
          <w:rFonts w:ascii="Arial" w:cs="Arial" w:eastAsia="Arial" w:hAnsi="Arial"/>
          <w:sz w:val="18"/>
          <w:szCs w:val="18"/>
          <w:color w:val="auto"/>
        </w:rPr>
      </w:pPr>
    </w:p>
    <w:p>
      <w:pPr>
        <w:ind w:right="40" w:firstLine="656"/>
        <w:spacing w:after="0" w:line="277" w:lineRule="auto"/>
        <w:tabs>
          <w:tab w:leader="none" w:pos="943" w:val="left"/>
        </w:tabs>
        <w:numPr>
          <w:ilvl w:val="1"/>
          <w:numId w:val="48"/>
        </w:numPr>
        <w:rPr>
          <w:rFonts w:ascii="Arial" w:cs="Arial" w:eastAsia="Arial" w:hAnsi="Arial"/>
          <w:sz w:val="18"/>
          <w:szCs w:val="18"/>
          <w:color w:val="auto"/>
        </w:rPr>
      </w:pPr>
      <w:r>
        <w:rPr>
          <w:rFonts w:ascii="Arial" w:cs="Arial" w:eastAsia="Arial" w:hAnsi="Arial"/>
          <w:sz w:val="18"/>
          <w:szCs w:val="18"/>
          <w:color w:val="auto"/>
        </w:rPr>
        <w:t>“Business Relationships” means the Company’s relationships with customers, suppliers, agents, licensees, licensors and others that likewise give the Company a competitive advantage.</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“Committee” means the Compensation and Executive Organization Committee of the Board of Directors.</w:t>
      </w:r>
    </w:p>
    <w:p>
      <w:pPr>
        <w:spacing w:after="0" w:line="225" w:lineRule="exact"/>
        <w:rPr>
          <w:rFonts w:ascii="Arial" w:cs="Arial" w:eastAsia="Arial" w:hAnsi="Arial"/>
          <w:sz w:val="18"/>
          <w:szCs w:val="18"/>
          <w:color w:val="auto"/>
        </w:rPr>
      </w:pPr>
    </w:p>
    <w:p>
      <w:pPr>
        <w:ind w:firstLine="656"/>
        <w:spacing w:after="0" w:line="255" w:lineRule="auto"/>
        <w:tabs>
          <w:tab w:leader="none" w:pos="933" w:val="left"/>
        </w:tabs>
        <w:numPr>
          <w:ilvl w:val="1"/>
          <w:numId w:val="48"/>
        </w:numPr>
        <w:rPr>
          <w:rFonts w:ascii="Arial" w:cs="Arial" w:eastAsia="Arial" w:hAnsi="Arial"/>
          <w:sz w:val="18"/>
          <w:szCs w:val="18"/>
          <w:color w:val="auto"/>
        </w:rPr>
      </w:pPr>
      <w:r>
        <w:rPr>
          <w:rFonts w:ascii="Arial" w:cs="Arial" w:eastAsia="Arial" w:hAnsi="Arial"/>
          <w:sz w:val="18"/>
          <w:szCs w:val="18"/>
          <w:color w:val="auto"/>
        </w:rPr>
        <w:t>“Competing Business” means any business, person, entity or group of business entities, regardless of whether organized as a corporation, partnership (general or limited), joint venture, association or other organization that (i) conducts or is planning to conduct a business similar to and/or in competition with any business conducted or planned by the Company and for which Grantee was employed or performed services in a job or had knowledge of the operations of such business(es) over the last two (2) years of Grantee’s employment with Hershey, or (ii) designs, develops, produces, offers for sale or sells a product or service that can be used as a substitute for or is generally intended to satisfy the same customer needs for, any one or more products or services designed, developed, manufactured, produced or offered for sale or sold by the Company for which Grantee was employed or performed services in a job or had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106" w:name="page107"/>
    <w:bookmarkEnd w:id="106"/>
    <w:p>
      <w:pPr>
        <w:jc w:val="both"/>
        <w:ind w:right="140"/>
        <w:spacing w:after="0" w:line="264" w:lineRule="auto"/>
        <w:rPr>
          <w:sz w:val="20"/>
          <w:szCs w:val="20"/>
          <w:color w:val="auto"/>
        </w:rPr>
      </w:pPr>
      <w:r>
        <w:rPr>
          <w:rFonts w:ascii="Arial" w:cs="Arial" w:eastAsia="Arial" w:hAnsi="Arial"/>
          <w:sz w:val="18"/>
          <w:szCs w:val="18"/>
          <w:color w:val="auto"/>
        </w:rPr>
        <w:t>knowledge of the operations of such business(es) of the Company during the two (2) years prior to the termination of Grantee’s employment with Hershey. Grantee acknowledges that he/she will be deemed to have such knowledge if Grantee received, was in possession of or otherwise had access to Confidential Information regarding such business.</w:t>
      </w:r>
    </w:p>
    <w:p>
      <w:pPr>
        <w:spacing w:after="0" w:line="181" w:lineRule="exact"/>
        <w:rPr>
          <w:sz w:val="20"/>
          <w:szCs w:val="20"/>
          <w:color w:val="auto"/>
        </w:rPr>
      </w:pPr>
    </w:p>
    <w:p>
      <w:pPr>
        <w:ind w:firstLine="656"/>
        <w:spacing w:after="0" w:line="297" w:lineRule="auto"/>
        <w:tabs>
          <w:tab w:leader="none" w:pos="943" w:val="left"/>
        </w:tabs>
        <w:numPr>
          <w:ilvl w:val="1"/>
          <w:numId w:val="49"/>
        </w:numPr>
        <w:rPr>
          <w:rFonts w:ascii="Arial" w:cs="Arial" w:eastAsia="Arial" w:hAnsi="Arial"/>
          <w:sz w:val="16"/>
          <w:szCs w:val="16"/>
          <w:color w:val="auto"/>
        </w:rPr>
      </w:pPr>
      <w:r>
        <w:rPr>
          <w:rFonts w:ascii="Arial" w:cs="Arial" w:eastAsia="Arial" w:hAnsi="Arial"/>
          <w:sz w:val="16"/>
          <w:szCs w:val="16"/>
          <w:color w:val="auto"/>
        </w:rPr>
        <w:t>“Confidential Information” means trade secrets and other confidential and proprietary information relating to the Company’s business, including, but not limited to, information about Hershey’s manufacturing processes; manuals, recipes and ingredient percentages; engineering drawings; product and process research and development; new product information; cost information; supplier data; strategic business information; information related to Hershey’s legal strategies or legal advice rendered to Hershey; marketing, financial and business development information, plans, forecasts, reports and budgets; customer information; new product strategies, plans and project activities; and acquisition and divestiture strategies, plans and project activities.</w:t>
      </w:r>
    </w:p>
    <w:p>
      <w:pPr>
        <w:spacing w:after="0" w:line="158" w:lineRule="exact"/>
        <w:rPr>
          <w:rFonts w:ascii="Arial" w:cs="Arial" w:eastAsia="Arial" w:hAnsi="Arial"/>
          <w:sz w:val="16"/>
          <w:szCs w:val="16"/>
          <w:color w:val="auto"/>
        </w:rPr>
      </w:pPr>
    </w:p>
    <w:p>
      <w:pPr>
        <w:ind w:left="940" w:hanging="284"/>
        <w:spacing w:after="0"/>
        <w:tabs>
          <w:tab w:leader="none" w:pos="940" w:val="left"/>
        </w:tabs>
        <w:numPr>
          <w:ilvl w:val="1"/>
          <w:numId w:val="49"/>
        </w:numPr>
        <w:rPr>
          <w:rFonts w:ascii="Arial" w:cs="Arial" w:eastAsia="Arial" w:hAnsi="Arial"/>
          <w:sz w:val="16"/>
          <w:szCs w:val="16"/>
          <w:color w:val="auto"/>
        </w:rPr>
      </w:pPr>
      <w:r>
        <w:rPr>
          <w:rFonts w:ascii="Arial" w:cs="Arial" w:eastAsia="Arial" w:hAnsi="Arial"/>
          <w:sz w:val="16"/>
          <w:szCs w:val="16"/>
          <w:color w:val="auto"/>
        </w:rPr>
        <w:t>“Deferred Compensation Plan” means The Hershey Company Deferred Compensation Plan and any successor or replacement plan thereof.</w:t>
      </w:r>
    </w:p>
    <w:p>
      <w:pPr>
        <w:spacing w:after="0" w:line="248" w:lineRule="exact"/>
        <w:rPr>
          <w:rFonts w:ascii="Arial" w:cs="Arial" w:eastAsia="Arial" w:hAnsi="Arial"/>
          <w:sz w:val="16"/>
          <w:szCs w:val="16"/>
          <w:color w:val="auto"/>
        </w:rPr>
      </w:pPr>
    </w:p>
    <w:p>
      <w:pPr>
        <w:ind w:firstLine="656"/>
        <w:spacing w:after="0" w:line="264" w:lineRule="auto"/>
        <w:tabs>
          <w:tab w:leader="none" w:pos="913"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“Disabled” means Grantee is, by reason of any medically determinable physical or mental impairment which can be expected to result in death or can be expected to last for a continuous period of not less than 12 months, receiving income replacement benefits for a period of not less than three months under an accident and health plan covering employees of the Company.</w:t>
      </w:r>
    </w:p>
    <w:p>
      <w:pPr>
        <w:spacing w:after="0" w:line="181" w:lineRule="exact"/>
        <w:rPr>
          <w:rFonts w:ascii="Arial" w:cs="Arial" w:eastAsia="Arial" w:hAnsi="Arial"/>
          <w:sz w:val="18"/>
          <w:szCs w:val="18"/>
          <w:color w:val="auto"/>
        </w:rPr>
      </w:pPr>
    </w:p>
    <w:p>
      <w:pPr>
        <w:ind w:right="260" w:firstLine="656"/>
        <w:spacing w:after="0" w:line="264" w:lineRule="auto"/>
        <w:tabs>
          <w:tab w:leader="none" w:pos="943"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“Dividend Equivalent Right” means a right that entitles the Grantee to receive an amount equal to any cash dividends paid on a share of Common Stock, which dividends have a record date between the Grant Date and the date a Vested Unit is paid. Dividend Equivalent Rights will be paid in cash.</w:t>
      </w:r>
    </w:p>
    <w:p>
      <w:pPr>
        <w:spacing w:after="0" w:line="181" w:lineRule="exact"/>
        <w:rPr>
          <w:rFonts w:ascii="Arial" w:cs="Arial" w:eastAsia="Arial" w:hAnsi="Arial"/>
          <w:sz w:val="18"/>
          <w:szCs w:val="18"/>
          <w:color w:val="auto"/>
        </w:rPr>
      </w:pPr>
    </w:p>
    <w:p>
      <w:pPr>
        <w:ind w:left="960" w:hanging="304"/>
        <w:spacing w:after="0"/>
        <w:tabs>
          <w:tab w:leader="none" w:pos="960" w:val="left"/>
        </w:tabs>
        <w:numPr>
          <w:ilvl w:val="1"/>
          <w:numId w:val="49"/>
        </w:numPr>
        <w:rPr>
          <w:rFonts w:ascii="Arial" w:cs="Arial" w:eastAsia="Arial" w:hAnsi="Arial"/>
          <w:sz w:val="16"/>
          <w:szCs w:val="16"/>
          <w:color w:val="auto"/>
        </w:rPr>
      </w:pPr>
      <w:r>
        <w:rPr>
          <w:rFonts w:ascii="Arial" w:cs="Arial" w:eastAsia="Arial" w:hAnsi="Arial"/>
          <w:sz w:val="16"/>
          <w:szCs w:val="16"/>
          <w:color w:val="auto"/>
        </w:rPr>
        <w:t>“EICP” means The Hershey Company Equity and Incentive Compensation Plan, as in effect from time to time and any successor or replacement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plan thereof.</w:t>
      </w:r>
    </w:p>
    <w:p>
      <w:pPr>
        <w:spacing w:after="0" w:line="210" w:lineRule="exact"/>
        <w:rPr>
          <w:rFonts w:ascii="Arial" w:cs="Arial" w:eastAsia="Arial" w:hAnsi="Arial"/>
          <w:sz w:val="16"/>
          <w:szCs w:val="16"/>
          <w:color w:val="auto"/>
        </w:rPr>
      </w:pPr>
    </w:p>
    <w:p>
      <w:pPr>
        <w:ind w:left="880" w:hanging="224"/>
        <w:spacing w:after="0"/>
        <w:tabs>
          <w:tab w:leader="none" w:pos="8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“Material Contact” means contact for the purpose of furthering the Company’s business.</w:t>
      </w:r>
    </w:p>
    <w:p>
      <w:pPr>
        <w:spacing w:after="0" w:line="225" w:lineRule="exact"/>
        <w:rPr>
          <w:rFonts w:ascii="Arial" w:cs="Arial" w:eastAsia="Arial" w:hAnsi="Arial"/>
          <w:sz w:val="18"/>
          <w:szCs w:val="18"/>
          <w:color w:val="auto"/>
        </w:rPr>
      </w:pPr>
    </w:p>
    <w:p>
      <w:pPr>
        <w:ind w:right="20" w:firstLine="656"/>
        <w:spacing w:after="0" w:line="259" w:lineRule="auto"/>
        <w:tabs>
          <w:tab w:leader="none" w:pos="883" w:val="left"/>
        </w:tabs>
        <w:numPr>
          <w:ilvl w:val="1"/>
          <w:numId w:val="49"/>
        </w:numPr>
        <w:rPr>
          <w:rFonts w:ascii="Arial" w:cs="Arial" w:eastAsia="Arial" w:hAnsi="Arial"/>
          <w:sz w:val="18"/>
          <w:szCs w:val="18"/>
          <w:color w:val="auto"/>
        </w:rPr>
      </w:pPr>
      <w:r>
        <w:rPr>
          <w:rFonts w:ascii="Arial" w:cs="Arial" w:eastAsia="Arial" w:hAnsi="Arial"/>
          <w:sz w:val="18"/>
          <w:szCs w:val="18"/>
          <w:color w:val="auto"/>
        </w:rPr>
        <w:t>“Key Employee” means a “specified employee” under Code section 409A(a)(2)(B)(i) (i.e., a key employee (as defined in Code section 416(i) (without regard to paragraph (5) thereof)) of a corporation any stock in which is publicly traded on an established securities market or otherwise) and applicable Treasury regulations and other guidance under Code section 409A. Key Employees shall be determined in accordance with Code section 409A and pursuant to the methodology established by the Employee Benefits Committee.</w:t>
      </w:r>
    </w:p>
    <w:p>
      <w:pPr>
        <w:spacing w:after="0" w:line="186" w:lineRule="exact"/>
        <w:rPr>
          <w:rFonts w:ascii="Arial" w:cs="Arial" w:eastAsia="Arial" w:hAnsi="Arial"/>
          <w:sz w:val="18"/>
          <w:szCs w:val="18"/>
          <w:color w:val="auto"/>
        </w:rPr>
      </w:pPr>
    </w:p>
    <w:p>
      <w:pPr>
        <w:ind w:right="100" w:firstLine="656"/>
        <w:spacing w:after="0" w:line="277" w:lineRule="auto"/>
        <w:tabs>
          <w:tab w:leader="none" w:pos="943" w:val="left"/>
        </w:tabs>
        <w:numPr>
          <w:ilvl w:val="1"/>
          <w:numId w:val="49"/>
        </w:numPr>
        <w:rPr>
          <w:rFonts w:ascii="Arial" w:cs="Arial" w:eastAsia="Arial" w:hAnsi="Arial"/>
          <w:sz w:val="18"/>
          <w:szCs w:val="18"/>
          <w:color w:val="auto"/>
        </w:rPr>
      </w:pPr>
      <w:r>
        <w:rPr>
          <w:rFonts w:ascii="Arial" w:cs="Arial" w:eastAsia="Arial" w:hAnsi="Arial"/>
          <w:sz w:val="18"/>
          <w:szCs w:val="18"/>
          <w:color w:val="auto"/>
        </w:rPr>
        <w:t>A Grantee is “Retirement Eligible” on and after the date the Grantee has attained both his or her 55th birthday and been continuously employed by the Company for at least five (5) years.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“Separation from Service” or “Separate from Service” means a “separation from service” within the meaning of Code section 409A.</w:t>
      </w:r>
    </w:p>
    <w:p>
      <w:pPr>
        <w:spacing w:after="0" w:line="225" w:lineRule="exact"/>
        <w:rPr>
          <w:rFonts w:ascii="Arial" w:cs="Arial" w:eastAsia="Arial" w:hAnsi="Arial"/>
          <w:sz w:val="18"/>
          <w:szCs w:val="18"/>
          <w:color w:val="auto"/>
        </w:rPr>
      </w:pPr>
    </w:p>
    <w:p>
      <w:pPr>
        <w:ind w:right="40" w:firstLine="8"/>
        <w:spacing w:after="0" w:line="272" w:lineRule="auto"/>
        <w:tabs>
          <w:tab w:leader="none" w:pos="180"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VESTING DATES</w:t>
      </w:r>
      <w:r>
        <w:rPr>
          <w:rFonts w:ascii="Arial" w:cs="Arial" w:eastAsia="Arial" w:hAnsi="Arial"/>
          <w:sz w:val="17"/>
          <w:szCs w:val="17"/>
          <w:color w:val="auto"/>
        </w:rPr>
        <w:t>. The Grantee shall vest in the number of RSUs corresponding with each date described in the next sentence (each a “Vesting Date”) provided that the Grantee has remained in continuous employment with the Company from the Grant Date through such Vesting Date and has accepted and agreed to all terms and conditions of this agreement. Of the total RSUs awarded to the Grantee on the Grant Date (“Total Award”), twenty-five percent (25%) of the Total Award will become vested thirteen months after the Grant Date; an additional twenty-five percent (25%) of the Total Award will become vested on the second anniversary of the Grant Date; an additional twenty-five percent (25%) of the Total Award will become vested on the third anniversary of the Grant Date; and an additional and final twenty-five percent (25%) of the Total Award will become vested on the fourth anniversary of the Grant Date, except in Canada where thirty-three and one-third percent (33 1/3%) of the Total Award will</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800" w:right="259" w:bottom="1440" w:gutter="0" w:footer="0" w:header="0"/>
        </w:sectPr>
      </w:pPr>
    </w:p>
    <w:bookmarkStart w:id="107" w:name="page108"/>
    <w:bookmarkEnd w:id="107"/>
    <w:p>
      <w:pPr>
        <w:jc w:val="both"/>
        <w:ind w:right="120"/>
        <w:spacing w:after="0" w:line="264" w:lineRule="auto"/>
        <w:rPr>
          <w:sz w:val="20"/>
          <w:szCs w:val="20"/>
          <w:color w:val="auto"/>
        </w:rPr>
      </w:pPr>
      <w:r>
        <w:rPr>
          <w:rFonts w:ascii="Arial" w:cs="Arial" w:eastAsia="Arial" w:hAnsi="Arial"/>
          <w:sz w:val="18"/>
          <w:szCs w:val="18"/>
          <w:color w:val="auto"/>
        </w:rPr>
        <w:t>become vested thirteen months after the Grant Date; an additional thirty-three and one-third percent (33 1/3%) of the Total Award will become vested on the second anniversary of the Grant Date; and an additional and final thirty-three and one-third percent (33 1/3%) of the Total Award will become vested on the third anniversary of the Grant Date.</w:t>
      </w:r>
    </w:p>
    <w:p>
      <w:pPr>
        <w:spacing w:after="0" w:line="18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the event of a Change in Control, accelerated vesting of the unvested RSUs, if any, shall be determined in accordance with paragraph 15 of the EICP. In accordance with paragraph 15 of the EICP, if the unvested RSUs are assumed or replaced, or remain outstanding, such that the RSUs as assumed, replaced or continued qualify as a Replacement Award under paragraph 15 of the EICP, the occurrence of the Change in Control shall not affect the vesting or payment of the RSUs which shall then constitute a Replaced Award as defined in the EICP. However, if within two (2) years following the Change in Control, Grantee's employment is terminated by the Company for any reason other than for Cause (as defined in the EICP), by the Grantee for Good Reason, as a result of Grantee's death or as a result of Grantee becoming Disabled, the Grantee shall immediately vest in the Replacement Award upon such termination. Notwithstanding the foregoing, if the Committee determines that any remaining unvested RSUs are not replaced in connection with a Change in Control with awards meeting the requirements for Replacement Awards, the Grantee shall immediately vest in such RSUs upon the occurrence of the Change in Control, and the date of such Change in Control shall be a Vesting Date under this paragraph 3.</w:t>
      </w:r>
    </w:p>
    <w:p>
      <w:pPr>
        <w:spacing w:after="0" w:line="18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If prior to a Vesting Date, the Grantee’s employment with the Company terminates for any reason, then the unvested RSUs (and any related Dividend Equivalent Rights) subject to this Notice of Award shall terminate and be completely forfeited on the date of such termination of the Grantee’s employment unless the Grantee is entitled to any accelerated vesting of the unvested RSUs under the terms of the EICP or other Company-sponsored plan or agreement or as described in this paragraph 3 relating to a Change in Control, paragraph 4 or paragraph 12(G) below, in which case such accelerated vesting of the unvested RSUs will be in accordance with the terms of this Notice of Award or the applicable plan, agreement or local law. Notwithstanding anything in the EICP or this Notice of Award to the contrary, if the Grantee is terminated for Cause (as defined in the EICP) from the Company prior to payment pursuant to paragraph 5, all of the RSUs will immediately and automatically without any action on the part of the Grantee or the Company, be forfeited by the Grantee.</w:t>
      </w:r>
    </w:p>
    <w:p>
      <w:pPr>
        <w:spacing w:after="0" w:line="167" w:lineRule="exact"/>
        <w:rPr>
          <w:sz w:val="20"/>
          <w:szCs w:val="20"/>
          <w:color w:val="auto"/>
        </w:rPr>
      </w:pPr>
    </w:p>
    <w:p>
      <w:pPr>
        <w:ind w:left="180" w:hanging="172"/>
        <w:spacing w:after="0"/>
        <w:tabs>
          <w:tab w:leader="none" w:pos="18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SPECIAL VESTING CONDITIONS</w:t>
      </w:r>
      <w:r>
        <w:rPr>
          <w:rFonts w:ascii="Arial" w:cs="Arial" w:eastAsia="Arial" w:hAnsi="Arial"/>
          <w:sz w:val="18"/>
          <w:szCs w:val="18"/>
          <w:color w:val="auto"/>
        </w:rPr>
        <w:t>. The Committee has determined that the following special vesting conditions shall apply to this award.</w:t>
      </w:r>
    </w:p>
    <w:p>
      <w:pPr>
        <w:spacing w:after="0" w:line="225" w:lineRule="exact"/>
        <w:rPr>
          <w:rFonts w:ascii="Arial" w:cs="Arial" w:eastAsia="Arial" w:hAnsi="Arial"/>
          <w:sz w:val="18"/>
          <w:szCs w:val="18"/>
          <w:color w:val="auto"/>
        </w:rPr>
      </w:pPr>
    </w:p>
    <w:p>
      <w:pPr>
        <w:ind w:left="660" w:right="340" w:hanging="4"/>
        <w:spacing w:after="0" w:line="277" w:lineRule="auto"/>
        <w:tabs>
          <w:tab w:leader="none" w:pos="955" w:val="left"/>
        </w:tabs>
        <w:numPr>
          <w:ilvl w:val="1"/>
          <w:numId w:val="51"/>
        </w:numPr>
        <w:rPr>
          <w:rFonts w:ascii="Arial" w:cs="Arial" w:eastAsia="Arial" w:hAnsi="Arial"/>
          <w:sz w:val="18"/>
          <w:szCs w:val="18"/>
          <w:color w:val="auto"/>
        </w:rPr>
      </w:pPr>
      <w:r>
        <w:rPr>
          <w:rFonts w:ascii="Arial" w:cs="Arial" w:eastAsia="Arial" w:hAnsi="Arial"/>
          <w:sz w:val="18"/>
          <w:szCs w:val="18"/>
          <w:color w:val="auto"/>
        </w:rPr>
        <w:t>If the Grantee’s employment with the Company terminates (i) as a result of the Grantee’s death or (ii) solely as a result of Grantee becoming Disabled, then any remaining unvested RSUs shall vest immediately on the date of such termination.</w:t>
      </w:r>
    </w:p>
    <w:p>
      <w:pPr>
        <w:spacing w:after="0" w:line="170" w:lineRule="exact"/>
        <w:rPr>
          <w:rFonts w:ascii="Arial" w:cs="Arial" w:eastAsia="Arial" w:hAnsi="Arial"/>
          <w:sz w:val="18"/>
          <w:szCs w:val="18"/>
          <w:color w:val="auto"/>
        </w:rPr>
      </w:pPr>
    </w:p>
    <w:p>
      <w:pPr>
        <w:ind w:left="660" w:right="200" w:hanging="4"/>
        <w:spacing w:after="0" w:line="291" w:lineRule="auto"/>
        <w:tabs>
          <w:tab w:leader="none" w:pos="945" w:val="left"/>
        </w:tabs>
        <w:numPr>
          <w:ilvl w:val="1"/>
          <w:numId w:val="51"/>
        </w:numPr>
        <w:rPr>
          <w:rFonts w:ascii="Arial" w:cs="Arial" w:eastAsia="Arial" w:hAnsi="Arial"/>
          <w:sz w:val="16"/>
          <w:szCs w:val="16"/>
          <w:color w:val="auto"/>
        </w:rPr>
      </w:pPr>
      <w:r>
        <w:rPr>
          <w:rFonts w:ascii="Arial" w:cs="Arial" w:eastAsia="Arial" w:hAnsi="Arial"/>
          <w:sz w:val="16"/>
          <w:szCs w:val="16"/>
          <w:color w:val="auto"/>
        </w:rPr>
        <w:t>If the Grantee’s employment with the Company terminates (other than for Cause as defined in the EICP) when the Grantee is Retirement Eligible, then any remaining unvested RSUs shall vest immediately on the date of such termination, subject to adjustment as set forth in paragraph</w:t>
      </w:r>
    </w:p>
    <w:p>
      <w:pPr>
        <w:ind w:left="940" w:hanging="284"/>
        <w:spacing w:after="0"/>
        <w:tabs>
          <w:tab w:leader="none" w:pos="9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below.</w:t>
      </w:r>
    </w:p>
    <w:p>
      <w:pPr>
        <w:spacing w:after="0" w:line="211" w:lineRule="exact"/>
        <w:rPr>
          <w:sz w:val="20"/>
          <w:szCs w:val="20"/>
          <w:color w:val="auto"/>
        </w:rPr>
      </w:pPr>
    </w:p>
    <w:p>
      <w:pPr>
        <w:ind w:left="660" w:hanging="4"/>
        <w:spacing w:after="0" w:line="254" w:lineRule="auto"/>
        <w:tabs>
          <w:tab w:leader="none" w:pos="945" w:val="left"/>
        </w:tabs>
        <w:numPr>
          <w:ilvl w:val="0"/>
          <w:numId w:val="52"/>
        </w:numPr>
        <w:rPr>
          <w:rFonts w:ascii="Arial" w:cs="Arial" w:eastAsia="Arial" w:hAnsi="Arial"/>
          <w:sz w:val="18"/>
          <w:szCs w:val="18"/>
          <w:color w:val="auto"/>
        </w:rPr>
      </w:pPr>
      <w:r>
        <w:rPr>
          <w:rFonts w:ascii="Arial" w:cs="Arial" w:eastAsia="Arial" w:hAnsi="Arial"/>
          <w:sz w:val="18"/>
          <w:szCs w:val="18"/>
          <w:color w:val="auto"/>
        </w:rPr>
        <w:t>During the calendar year of the date of grant (the “Year of Grant”), if a Grantee terminates employment from the Company for any reason (other than death, becoming Disabled as defined herein, or for Cause, as defined in the EICP) on or after becoming Retirement Eligible, the Total Award will be adjusted to reflect Grantee’s period of employment during the Year of Grant. The number of RSUs the Grantee holds after adjustment is called the “Adjusted Award.” The Adjusted Award equals the Total Award multiplied by a fraction, the numerator of which equals the number of calendar months during the Year of Grant preceding the month during which Grantee’s termination date occurs and the denominator of which equals 12; provided, however, that any fractional share resulting from such calculation shall be eliminated by rounding the Adjusted Award down to the nearest whole number. In the event of such adjustment, any RSUs (and related Dividend Equivalent Rights) subject to this Notice of Award in excess of the Adjusted Award shall</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800" w:right="259" w:bottom="1440" w:gutter="0" w:footer="0" w:header="0"/>
        </w:sectPr>
      </w:pPr>
    </w:p>
    <w:bookmarkStart w:id="108" w:name="page109"/>
    <w:bookmarkEnd w:id="108"/>
    <w:p>
      <w:pPr>
        <w:ind w:left="660"/>
        <w:spacing w:after="0"/>
        <w:rPr>
          <w:sz w:val="20"/>
          <w:szCs w:val="20"/>
          <w:color w:val="auto"/>
        </w:rPr>
      </w:pPr>
      <w:r>
        <w:rPr>
          <w:rFonts w:ascii="Arial" w:cs="Arial" w:eastAsia="Arial" w:hAnsi="Arial"/>
          <w:sz w:val="18"/>
          <w:szCs w:val="18"/>
          <w:color w:val="auto"/>
        </w:rPr>
        <w:t>not vest pursuant to paragraph 4(B) but instead shall terminate and be completely forfeited on such date.</w:t>
      </w:r>
    </w:p>
    <w:p>
      <w:pPr>
        <w:spacing w:after="0" w:line="225" w:lineRule="exact"/>
        <w:rPr>
          <w:sz w:val="20"/>
          <w:szCs w:val="20"/>
          <w:color w:val="auto"/>
        </w:rPr>
      </w:pPr>
    </w:p>
    <w:p>
      <w:pPr>
        <w:ind w:firstLine="8"/>
        <w:spacing w:after="0" w:line="288" w:lineRule="auto"/>
        <w:tabs>
          <w:tab w:leader="none" w:pos="180"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PAYMENT OF AWARD</w:t>
      </w:r>
      <w:r>
        <w:rPr>
          <w:rFonts w:ascii="Arial" w:cs="Arial" w:eastAsia="Arial" w:hAnsi="Arial"/>
          <w:sz w:val="16"/>
          <w:szCs w:val="16"/>
          <w:color w:val="auto"/>
        </w:rPr>
        <w:t>. Unless deferred under the Deferred Compensation Plan, an RSU that has vested (“Vested Unit”) shall be paid in the form of a share of Common Stock, unless prohibited by applicable local law, in which case the Vested Unit will be paid in the cash equivalent, as of the earliest to occur of the following: (A) the applicable Vesting Date set forth in paragraph 3 above, (B) the date of Grantee’s death, (C) the date Grantee becomes Disabled; or</w:t>
      </w:r>
    </w:p>
    <w:p>
      <w:pPr>
        <w:ind w:right="40"/>
        <w:spacing w:after="0" w:line="269" w:lineRule="auto"/>
        <w:rPr>
          <w:rFonts w:ascii="Arial" w:cs="Arial" w:eastAsia="Arial" w:hAnsi="Arial"/>
          <w:sz w:val="16"/>
          <w:szCs w:val="16"/>
          <w:color w:val="auto"/>
        </w:rPr>
      </w:pPr>
      <w:r>
        <w:rPr>
          <w:rFonts w:ascii="Arial" w:cs="Arial" w:eastAsia="Arial" w:hAnsi="Arial"/>
          <w:sz w:val="16"/>
          <w:szCs w:val="16"/>
          <w:color w:val="auto"/>
        </w:rPr>
        <w:t>(D) the date of Grantee’s termination of employment which constitutes a Separation from Service. In the event the payment is made pursuant to clause (A) above, such payment shall be made as soon as practicable following the applicable Vesting Date, but in no event later than March 15 following the calendar year in which the applicable Vesting Date occurs. In the event payment is made pursuant to clause (B), (C) or (D) above, such payment shall be made on or before the sixtieth (60</w:t>
      </w:r>
      <w:r>
        <w:rPr>
          <w:rFonts w:ascii="Arial" w:cs="Arial" w:eastAsia="Arial" w:hAnsi="Arial"/>
          <w:sz w:val="22"/>
          <w:szCs w:val="22"/>
          <w:color w:val="auto"/>
          <w:vertAlign w:val="superscript"/>
        </w:rPr>
        <w:t>th</w:t>
      </w:r>
      <w:r>
        <w:rPr>
          <w:rFonts w:ascii="Arial" w:cs="Arial" w:eastAsia="Arial" w:hAnsi="Arial"/>
          <w:sz w:val="16"/>
          <w:szCs w:val="16"/>
          <w:color w:val="auto"/>
        </w:rPr>
        <w:t>) day following the date of the applicable event. In addition, the Grantee shall be entitled to receive a lump sum cash payment equal to the Dividend Equivalent Rights with respect to any Vested Units at the same time as the payment for such underlying Vested Units.</w:t>
      </w:r>
    </w:p>
    <w:p>
      <w:pPr>
        <w:spacing w:after="0" w:line="174"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Notwithstanding the foregoing, distributions due to a Separation from Service may not be made to a Key Employee before the date which is six months after the date of the Key Employee’s Separation from Service (or, if earlier, the date of death of the Key Employee). Any payments that would otherwise be made during this period of delay as a result of the Grantee’s Separation from Service shall be accumulated and paid within fifteen (15) days after the first day of the seventh month following the Grantee’s Separation from Service (or, if earlier, on or before the first day of the third month after the Participant’s death).</w:t>
      </w:r>
    </w:p>
    <w:p>
      <w:pPr>
        <w:spacing w:after="0" w:line="154" w:lineRule="exact"/>
        <w:rPr>
          <w:sz w:val="20"/>
          <w:szCs w:val="20"/>
          <w:color w:val="auto"/>
        </w:rPr>
      </w:pPr>
    </w:p>
    <w:p>
      <w:pPr>
        <w:ind w:right="20" w:firstLine="8"/>
        <w:spacing w:after="0" w:line="285" w:lineRule="auto"/>
        <w:tabs>
          <w:tab w:leader="none" w:pos="180"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NON-COMPETITION</w:t>
      </w:r>
      <w:r>
        <w:rPr>
          <w:rFonts w:ascii="Arial" w:cs="Arial" w:eastAsia="Arial" w:hAnsi="Arial"/>
          <w:sz w:val="16"/>
          <w:szCs w:val="16"/>
          <w:color w:val="auto"/>
        </w:rPr>
        <w:t>. Grantee acknowledges that due to the nature of his/her employment with Hershey, he/she has and will have access to, contact with, and Confidential Information about the Company’s business and Business Relationships. Grantee acknowledges that the Company has incurred considerable expense and invested considerable time and resources in developing its Confidential Information and Business Relationships, and that such Confidential Information and Business Relationships are critical to the success of the Company’s business. Accordingly, both (i) during the term of his/her employment with Hershey, and (ii) for a period of twelve (12) months following the termination of his/her employment, Grantee, except in the performance of his/her duties to Hershey, shall not, without the prior written consent of Hershey’s Chief Human Resources Officer, directly or indirectly serve or act in a consulting, employee or managerial capacity, or engage in oversight of any person who serves or acts in a consulting, employee or managerial capacity, as an officer, director, employee, consultant, advisor, independent contractor, agent or representative of a Competing Business. This restriction shall apply to any Competing Business that conducts business or plans to conduct business in the same or substantially similar geographic area in which Grantee was employed or, directly or indirectly, performed services for Hershey during the two years prior to his/her termination of employment. Grantee acknowledges: (i) that the Company’s business is conducted throughout the United States and the world, (ii) notwithstanding the state of incorporation or principal office of Hershey, it is expected that the Company will have business activities and have valuable business relationships within its industry throughout the United States and around the world, and (iii) as part of Grantee’s responsibilities, Grantee has conducted or may conduct business throughout the United States and around the world in furtherance of the Company’s business and its relationships. Grantee further acknowledges and understands that if he/she has any question about whether any prior position which Grantee has held at the Company over the last two (2) years subjects Grantee to specific restrictions, and will be used to identify Competing Business(es), Grantee should contact his/her Human Resource representative at Hershey.</w:t>
      </w:r>
    </w:p>
    <w:p>
      <w:pPr>
        <w:spacing w:after="0" w:line="177" w:lineRule="exact"/>
        <w:rPr>
          <w:rFonts w:ascii="Arial" w:cs="Arial" w:eastAsia="Arial" w:hAnsi="Arial"/>
          <w:sz w:val="16"/>
          <w:szCs w:val="16"/>
          <w:color w:val="auto"/>
        </w:rPr>
      </w:pPr>
    </w:p>
    <w:p>
      <w:pPr>
        <w:ind w:right="180" w:firstLine="8"/>
        <w:spacing w:after="0" w:line="302" w:lineRule="auto"/>
        <w:tabs>
          <w:tab w:leader="none" w:pos="180"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NON-SOLICITATION</w:t>
      </w:r>
      <w:r>
        <w:rPr>
          <w:rFonts w:ascii="Arial" w:cs="Arial" w:eastAsia="Arial" w:hAnsi="Arial"/>
          <w:sz w:val="16"/>
          <w:szCs w:val="16"/>
          <w:color w:val="auto"/>
        </w:rPr>
        <w:t>. Grantee acknowledges that the Company has invested and will invest significant time and money to recruit and retain its employees and to develop valuable, continuing relationships with existing and prospective clients and customers of the Company. Accordingly, recognizing that Grantee has obtained and will obtain valuable information about employees of the Company and their respective talents and areas of expertise and information about the Company’s customers, suppliers, business partners, and/or vendors and their requirements, Grantee agrees both (i)</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800" w:right="259" w:bottom="1440" w:gutter="0" w:footer="0" w:header="0"/>
        </w:sectPr>
      </w:pPr>
    </w:p>
    <w:bookmarkStart w:id="109" w:name="page110"/>
    <w:bookmarkEnd w:id="109"/>
    <w:p>
      <w:pPr>
        <w:ind w:right="520"/>
        <w:spacing w:after="0" w:line="264" w:lineRule="auto"/>
        <w:rPr>
          <w:sz w:val="20"/>
          <w:szCs w:val="20"/>
          <w:color w:val="auto"/>
        </w:rPr>
      </w:pPr>
      <w:r>
        <w:rPr>
          <w:rFonts w:ascii="Arial" w:cs="Arial" w:eastAsia="Arial" w:hAnsi="Arial"/>
          <w:sz w:val="18"/>
          <w:szCs w:val="18"/>
          <w:color w:val="auto"/>
        </w:rPr>
        <w:t>during the term of his/her employment, and (ii) for a period of twelve (12) months following his/her termination of employment, Grantee, except in the performance of his/her duties to Hershey, shall not directly or indirectly (including as an officer, director, employee, consultant, advisor, agent or representative), for himself/herself or on behalf of any other person or entity:</w:t>
      </w:r>
    </w:p>
    <w:p>
      <w:pPr>
        <w:spacing w:after="0" w:line="181" w:lineRule="exact"/>
        <w:rPr>
          <w:sz w:val="20"/>
          <w:szCs w:val="20"/>
          <w:color w:val="auto"/>
        </w:rPr>
      </w:pPr>
    </w:p>
    <w:p>
      <w:pPr>
        <w:ind w:left="660" w:right="20" w:hanging="4"/>
        <w:spacing w:after="0" w:line="312" w:lineRule="auto"/>
        <w:tabs>
          <w:tab w:leader="none" w:pos="955" w:val="left"/>
        </w:tabs>
        <w:numPr>
          <w:ilvl w:val="1"/>
          <w:numId w:val="55"/>
        </w:numPr>
        <w:rPr>
          <w:rFonts w:ascii="Arial" w:cs="Arial" w:eastAsia="Arial" w:hAnsi="Arial"/>
          <w:sz w:val="16"/>
          <w:szCs w:val="16"/>
          <w:color w:val="auto"/>
        </w:rPr>
      </w:pPr>
      <w:r>
        <w:rPr>
          <w:rFonts w:ascii="Arial" w:cs="Arial" w:eastAsia="Arial" w:hAnsi="Arial"/>
          <w:sz w:val="16"/>
          <w:szCs w:val="16"/>
          <w:color w:val="auto"/>
        </w:rPr>
        <w:t>for any purpose that is in competition with any of the aspects of the Company’s business, solicit, take away or engage, or participate in soliciting, taking away or engaging, any current or potential customers, suppliers, agents, licensees or licensors of the Company with whom Grantee had contact while employed by Hershey, or about whom Grantee had access to Confidential Information as a result of Grantee’s employment; or</w:t>
      </w:r>
    </w:p>
    <w:p>
      <w:pPr>
        <w:spacing w:after="0" w:line="146" w:lineRule="exact"/>
        <w:rPr>
          <w:rFonts w:ascii="Arial" w:cs="Arial" w:eastAsia="Arial" w:hAnsi="Arial"/>
          <w:sz w:val="16"/>
          <w:szCs w:val="16"/>
          <w:color w:val="auto"/>
        </w:rPr>
      </w:pPr>
    </w:p>
    <w:p>
      <w:pPr>
        <w:ind w:left="660" w:right="80" w:hanging="4"/>
        <w:spacing w:after="0" w:line="276" w:lineRule="auto"/>
        <w:tabs>
          <w:tab w:leader="none" w:pos="945" w:val="left"/>
        </w:tabs>
        <w:numPr>
          <w:ilvl w:val="1"/>
          <w:numId w:val="55"/>
        </w:numPr>
        <w:rPr>
          <w:rFonts w:ascii="Arial" w:cs="Arial" w:eastAsia="Arial" w:hAnsi="Arial"/>
          <w:sz w:val="17"/>
          <w:szCs w:val="17"/>
          <w:color w:val="auto"/>
        </w:rPr>
      </w:pPr>
      <w:r>
        <w:rPr>
          <w:rFonts w:ascii="Arial" w:cs="Arial" w:eastAsia="Arial" w:hAnsi="Arial"/>
          <w:sz w:val="17"/>
          <w:szCs w:val="17"/>
          <w:color w:val="auto"/>
        </w:rPr>
        <w:t>recruit, hire, or attempt to recruit or hire, or solicit or encourage to leave their employment with the Company (either directly or by assisting others), any Company employee with whom Grantee had Material Contact during the last two (2) years of Grantee’s employment with Hershey. Notwithstanding the foregoing, this paragraph shall not be violated by (i) general advertising or solicitation not specifically targeted at employees of the Company, or (ii) actions taken by any person or entity with which Grantee is associated if Grantee is not directly or indirectly involved in any manner in the matter and has not identified such employee of the Company for recruiting or solicitation.</w:t>
      </w:r>
    </w:p>
    <w:p>
      <w:pPr>
        <w:spacing w:after="0" w:line="172" w:lineRule="exact"/>
        <w:rPr>
          <w:rFonts w:ascii="Arial" w:cs="Arial" w:eastAsia="Arial" w:hAnsi="Arial"/>
          <w:sz w:val="17"/>
          <w:szCs w:val="17"/>
          <w:color w:val="auto"/>
        </w:rPr>
      </w:pPr>
    </w:p>
    <w:p>
      <w:pPr>
        <w:ind w:firstLine="8"/>
        <w:spacing w:after="0" w:line="269" w:lineRule="auto"/>
        <w:tabs>
          <w:tab w:leader="none" w:pos="180"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NON-DISCLOSURE OF CONFIDENTIAL INFORMATION</w:t>
      </w:r>
      <w:r>
        <w:rPr>
          <w:rFonts w:ascii="Arial" w:cs="Arial" w:eastAsia="Arial" w:hAnsi="Arial"/>
          <w:sz w:val="17"/>
          <w:szCs w:val="17"/>
          <w:color w:val="auto"/>
        </w:rPr>
        <w:t>. Grantee acknowledges that due to the nature of his/her employment and the position of trust that he/she holds or will hold with Hershey, he/she will have access to, learn, be provided with, and in some cases will prepare and create for the Company, Confidential Information. Grantee acknowledges and agrees that Confidential Information, whether or not in written form, is the exclusive property of Hershey, that it has been and will continue to be of critical importance to the business of Hershey, and that the disclosure of it will cause the Company substantial and irreparable harm. Accordingly, Grantee will not, either during his/her employment or at any time after the termination of his/her employment with Hershey, use or disclose any Confidential Information relating to the business of the Company which is not generally available to the public. Notwithstanding the foregoing provisions of this paragraph 8, Grantee may disclose or use any such information (i) when such disclosure or use may be required or appropriate in the good faith judgment of Grantee in the course of performing his/her duties to Hershey and in accordance with Hershey policies and procedures, (ii) when required by a court of law, by any governmental agency having supervisory authority over Grantee or the business of Hershey, or by any administrative or legislative body (including a committee thereof) with apparent jurisdiction, or (iii) with the prior written consent of Hershey’s General Counsel. Notwithstanding anything herein to the contrary, Grantee understands and agrees that his/her obligations under this Agreement shall be in addition to, rather than in lieu of, any obligations Grantee may have under any applicable statute or at common law.</w:t>
      </w:r>
    </w:p>
    <w:p>
      <w:pPr>
        <w:spacing w:after="0" w:line="179" w:lineRule="exact"/>
        <w:rPr>
          <w:rFonts w:ascii="Arial" w:cs="Arial" w:eastAsia="Arial" w:hAnsi="Arial"/>
          <w:sz w:val="17"/>
          <w:szCs w:val="17"/>
          <w:color w:val="auto"/>
        </w:rPr>
      </w:pPr>
    </w:p>
    <w:p>
      <w:pPr>
        <w:ind w:left="180" w:hanging="172"/>
        <w:spacing w:after="0"/>
        <w:tabs>
          <w:tab w:leader="none" w:pos="18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ADDITIONAL RESTRICTIONS AND LIMITATIONS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right="480" w:hanging="4"/>
        <w:spacing w:after="0" w:line="342" w:lineRule="auto"/>
        <w:tabs>
          <w:tab w:leader="none" w:pos="955" w:val="left"/>
        </w:tabs>
        <w:numPr>
          <w:ilvl w:val="1"/>
          <w:numId w:val="56"/>
        </w:numPr>
        <w:rPr>
          <w:rFonts w:ascii="Arial" w:cs="Arial" w:eastAsia="Arial" w:hAnsi="Arial"/>
          <w:sz w:val="16"/>
          <w:szCs w:val="16"/>
          <w:color w:val="auto"/>
        </w:rPr>
      </w:pPr>
      <w:r>
        <w:rPr>
          <w:rFonts w:ascii="Arial" w:cs="Arial" w:eastAsia="Arial" w:hAnsi="Arial"/>
          <w:sz w:val="16"/>
          <w:szCs w:val="16"/>
          <w:color w:val="auto"/>
        </w:rPr>
        <w:t>To the extent that the Grantee does not vest in any RSUs, all interest in such units, the related shares of Common Stock, and any Dividend Equivalent Rights shall be forfeited. The Grantee shall have no right or interest in any RSU or related share of Common Stock that is forfeited.</w:t>
      </w:r>
    </w:p>
    <w:p>
      <w:pPr>
        <w:spacing w:after="0" w:line="123" w:lineRule="exact"/>
        <w:rPr>
          <w:rFonts w:ascii="Arial" w:cs="Arial" w:eastAsia="Arial" w:hAnsi="Arial"/>
          <w:sz w:val="16"/>
          <w:szCs w:val="16"/>
          <w:color w:val="auto"/>
        </w:rPr>
      </w:pPr>
    </w:p>
    <w:p>
      <w:pPr>
        <w:ind w:left="660" w:right="160" w:hanging="4"/>
        <w:spacing w:after="0" w:line="264" w:lineRule="auto"/>
        <w:tabs>
          <w:tab w:leader="none" w:pos="945" w:val="left"/>
        </w:tabs>
        <w:numPr>
          <w:ilvl w:val="1"/>
          <w:numId w:val="56"/>
        </w:numPr>
        <w:rPr>
          <w:rFonts w:ascii="Arial" w:cs="Arial" w:eastAsia="Arial" w:hAnsi="Arial"/>
          <w:sz w:val="18"/>
          <w:szCs w:val="18"/>
          <w:color w:val="auto"/>
        </w:rPr>
      </w:pPr>
      <w:r>
        <w:rPr>
          <w:rFonts w:ascii="Arial" w:cs="Arial" w:eastAsia="Arial" w:hAnsi="Arial"/>
          <w:sz w:val="18"/>
          <w:szCs w:val="18"/>
          <w:color w:val="auto"/>
        </w:rPr>
        <w:t>Upon each issuance or transfer of shares of Common Stock in accordance with this Notice of Award, a number of RSUs equal to the number of shares of Common Stock issued or transferred to the Grantee shall be extinguished and such number of RSUs will not be considered to be held by the Grantee for any purpose.</w:t>
      </w:r>
    </w:p>
    <w:p>
      <w:pPr>
        <w:spacing w:after="0" w:line="181" w:lineRule="exact"/>
        <w:rPr>
          <w:rFonts w:ascii="Arial" w:cs="Arial" w:eastAsia="Arial" w:hAnsi="Arial"/>
          <w:sz w:val="18"/>
          <w:szCs w:val="18"/>
          <w:color w:val="auto"/>
        </w:rPr>
      </w:pPr>
    </w:p>
    <w:p>
      <w:pPr>
        <w:ind w:left="280" w:hanging="272"/>
        <w:spacing w:after="0"/>
        <w:tabs>
          <w:tab w:leader="none" w:pos="28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60" w:hanging="4"/>
        <w:spacing w:after="0" w:line="277" w:lineRule="auto"/>
        <w:tabs>
          <w:tab w:leader="none" w:pos="955"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Company’s obligation to deliver shares of Common Stock or cash to settle the Vested Units and Dividend Equivalent Rights shall be subject to the satisfaction of applicable tax</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800" w:right="239" w:bottom="1440" w:gutter="0" w:footer="0" w:header="0"/>
        </w:sectPr>
      </w:pPr>
    </w:p>
    <w:bookmarkStart w:id="110" w:name="page111"/>
    <w:bookmarkEnd w:id="110"/>
    <w:p>
      <w:pPr>
        <w:ind w:left="652"/>
        <w:spacing w:after="0"/>
        <w:rPr>
          <w:sz w:val="20"/>
          <w:szCs w:val="20"/>
          <w:color w:val="auto"/>
        </w:rPr>
      </w:pPr>
      <w:r>
        <w:rPr>
          <w:rFonts w:ascii="Arial" w:cs="Arial" w:eastAsia="Arial" w:hAnsi="Arial"/>
          <w:sz w:val="18"/>
          <w:szCs w:val="18"/>
          <w:color w:val="auto"/>
        </w:rPr>
        <w:t>withholding requirements. The Grantee must pay to the Company any applicable withholding tax due as a result of such payment.</w:t>
      </w:r>
    </w:p>
    <w:p>
      <w:pPr>
        <w:spacing w:after="0" w:line="225" w:lineRule="exact"/>
        <w:rPr>
          <w:sz w:val="20"/>
          <w:szCs w:val="20"/>
          <w:color w:val="auto"/>
        </w:rPr>
      </w:pPr>
    </w:p>
    <w:p>
      <w:pPr>
        <w:ind w:left="652" w:right="100" w:hanging="4"/>
        <w:spacing w:after="0" w:line="277" w:lineRule="auto"/>
        <w:tabs>
          <w:tab w:leader="none" w:pos="937"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Company shall have the right to reduce the number of shares of Common Stock issued to the Grantee to satisfy the minimum applicable tax withholding requirements.</w:t>
      </w:r>
    </w:p>
    <w:p>
      <w:pPr>
        <w:spacing w:after="0" w:line="170" w:lineRule="exact"/>
        <w:rPr>
          <w:rFonts w:ascii="Arial" w:cs="Arial" w:eastAsia="Arial" w:hAnsi="Arial"/>
          <w:sz w:val="18"/>
          <w:szCs w:val="18"/>
          <w:color w:val="auto"/>
        </w:rPr>
      </w:pPr>
    </w:p>
    <w:p>
      <w:pPr>
        <w:ind w:left="-8" w:right="580" w:firstLine="8"/>
        <w:spacing w:after="0" w:line="308" w:lineRule="auto"/>
        <w:tabs>
          <w:tab w:leader="none" w:pos="255"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OTHER LAWS</w:t>
      </w:r>
      <w:r>
        <w:rPr>
          <w:rFonts w:ascii="Arial" w:cs="Arial" w:eastAsia="Arial" w:hAnsi="Arial"/>
          <w:sz w:val="17"/>
          <w:szCs w:val="17"/>
          <w:color w:val="auto"/>
        </w:rPr>
        <w:t>. The Company shall have the right to refuse to issue or transfer any shares under this Notice of Award if the Company acting in its absolute discretion determines that the issuance or transfer of such Common Stock might violate any applicable law or regulation.</w:t>
      </w:r>
    </w:p>
    <w:p>
      <w:pPr>
        <w:spacing w:after="0" w:line="146" w:lineRule="exact"/>
        <w:rPr>
          <w:rFonts w:ascii="Arial" w:cs="Arial" w:eastAsia="Arial" w:hAnsi="Arial"/>
          <w:sz w:val="17"/>
          <w:szCs w:val="17"/>
          <w:color w:val="auto"/>
        </w:rPr>
      </w:pPr>
    </w:p>
    <w:p>
      <w:pPr>
        <w:ind w:left="272" w:hanging="272"/>
        <w:spacing w:after="0"/>
        <w:tabs>
          <w:tab w:leader="none" w:pos="272"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52" w:hanging="4"/>
        <w:spacing w:after="0" w:line="267" w:lineRule="auto"/>
        <w:tabs>
          <w:tab w:leader="none" w:pos="947" w:val="left"/>
        </w:tabs>
        <w:numPr>
          <w:ilvl w:val="1"/>
          <w:numId w:val="58"/>
        </w:numPr>
        <w:rPr>
          <w:rFonts w:ascii="Arial" w:cs="Arial" w:eastAsia="Arial" w:hAnsi="Arial"/>
          <w:sz w:val="17"/>
          <w:szCs w:val="17"/>
          <w:color w:val="auto"/>
        </w:rPr>
      </w:pPr>
      <w:r>
        <w:rPr>
          <w:rFonts w:ascii="Arial" w:cs="Arial" w:eastAsia="Arial" w:hAnsi="Arial"/>
          <w:sz w:val="17"/>
          <w:szCs w:val="17"/>
          <w:color w:val="auto"/>
        </w:rPr>
        <w:t>This Notice of Award shall be subject to all of the provisions, definitions, terms and conditions set forth in the EICP and any interpretations, rules and regulations promulgated by the Committee from time to time, all of which are incorporated by reference in this Notice of Award. By accepting the RSUs awarded herewith, Grantee acknowledges and agrees that the RSUs are awarded under and governed by the terms and conditions set forth in this document and in the EICP, and the Employee Confidentiality and Restrictive Covenant Agreement (or similar or successor agreement), if any, applicable to Grantee. Any dispute or disagreement which shall arise under, as a result of, or in any way relate to the interpretation, construction or administration of the EICP or the RSUs awarded thereunder shall be determined in all cases and for all purposes by the Committee or any successor committee, and any such determination shall be final, binding and conclusive for all purposes. In the event of any conflict between this Notice of Award and the Employee Confidentiality and Restrictive Covenant Agreement (or similar or successor agreement), if any, applicable to Grantee, this Notice of Award shall govern. Grantee acknowledges that a remedy at law for any breach or threatened breach of this Notice of Award would be inadequate and therefore agrees that the Company shall be entitled to injunctive relief in case of any such breach or threatened breach. Grantee acknowledges and agrees that the Company may apply to any court of law or equity of competent jurisdiction for specific performance and/or injunctive relief (without posting a bond or other security) in order to enforce or prevent any violation of this Notice of Award and that money damages would not be an adequate remedy. Grantee acknowledges and agrees that a violation of this Notice of Award would cause irreparable harm to the Company. The Company’s right to injunctive relief shall be cumulative and in addition to any other remedies available by law or equity. If a court determines that Grantee has breached or threatened to breach this Notice of Award, Grantee agrees to reimburse the Company for all reasonable attorneys’ fees and costs incurred in enforcing its terms. However, nothing contained herein shall be construed as prohibiting the Company from pursuing any other available remedies for a breach, which may include, but not be limited to, contract damages, lost profits and punitive damages.</w:t>
      </w:r>
    </w:p>
    <w:p>
      <w:pPr>
        <w:spacing w:after="0" w:line="191" w:lineRule="exact"/>
        <w:rPr>
          <w:rFonts w:ascii="Arial" w:cs="Arial" w:eastAsia="Arial" w:hAnsi="Arial"/>
          <w:sz w:val="17"/>
          <w:szCs w:val="17"/>
          <w:color w:val="auto"/>
        </w:rPr>
      </w:pPr>
    </w:p>
    <w:p>
      <w:pPr>
        <w:jc w:val="both"/>
        <w:ind w:left="652" w:right="60" w:hanging="4"/>
        <w:spacing w:after="0" w:line="279" w:lineRule="auto"/>
        <w:tabs>
          <w:tab w:leader="none" w:pos="937" w:val="left"/>
        </w:tabs>
        <w:numPr>
          <w:ilvl w:val="1"/>
          <w:numId w:val="58"/>
        </w:numPr>
        <w:rPr>
          <w:rFonts w:ascii="Arial" w:cs="Arial" w:eastAsia="Arial" w:hAnsi="Arial"/>
          <w:sz w:val="17"/>
          <w:szCs w:val="17"/>
          <w:color w:val="auto"/>
        </w:rPr>
      </w:pPr>
      <w:r>
        <w:rPr>
          <w:rFonts w:ascii="Arial" w:cs="Arial" w:eastAsia="Arial" w:hAnsi="Arial"/>
          <w:sz w:val="17"/>
          <w:szCs w:val="17"/>
          <w:color w:val="auto"/>
        </w:rPr>
        <w:t>Grantee acknowledges and agrees that in addition to the relief described in paragraph 12(A), if the Committee determines, in its sole judgment, that Grantee has violated or threatened to violate the terms of this Notice of Award or the EICP, then Hershey may cancel any part of the grant that has not vested. In addition, upon the request or direction of the Committee, Grantee shall also immediately deliver to Hershey, the cash equivalent of any RSUs that have vested under this Notice of Award, inclusive of any dividends paid on any vested shares.</w:t>
      </w:r>
    </w:p>
    <w:p>
      <w:pPr>
        <w:spacing w:after="0" w:line="171" w:lineRule="exact"/>
        <w:rPr>
          <w:rFonts w:ascii="Arial" w:cs="Arial" w:eastAsia="Arial" w:hAnsi="Arial"/>
          <w:sz w:val="17"/>
          <w:szCs w:val="17"/>
          <w:color w:val="auto"/>
        </w:rPr>
      </w:pPr>
    </w:p>
    <w:p>
      <w:pPr>
        <w:ind w:left="652" w:right="200" w:hanging="4"/>
        <w:spacing w:after="0" w:line="264" w:lineRule="auto"/>
        <w:tabs>
          <w:tab w:leader="none" w:pos="937" w:val="left"/>
        </w:tabs>
        <w:numPr>
          <w:ilvl w:val="1"/>
          <w:numId w:val="58"/>
        </w:numPr>
        <w:rPr>
          <w:rFonts w:ascii="Arial" w:cs="Arial" w:eastAsia="Arial" w:hAnsi="Arial"/>
          <w:sz w:val="18"/>
          <w:szCs w:val="18"/>
          <w:color w:val="auto"/>
        </w:rPr>
      </w:pPr>
      <w:r>
        <w:rPr>
          <w:rFonts w:ascii="Arial" w:cs="Arial" w:eastAsia="Arial" w:hAnsi="Arial"/>
          <w:sz w:val="18"/>
          <w:szCs w:val="18"/>
          <w:color w:val="auto"/>
        </w:rPr>
        <w:t>Notwithstanding anything in the EICP or this Notice of Award to the contrary, Grantee acknowledges that the Company may be entitled or required by law or Hershey policy to recoup compensation paid to Grantee pursuant to the EICP, and Grantee agrees to comply with any Company request or demand for recoupment.</w:t>
      </w:r>
    </w:p>
    <w:p>
      <w:pPr>
        <w:spacing w:after="0" w:line="181" w:lineRule="exact"/>
        <w:rPr>
          <w:rFonts w:ascii="Arial" w:cs="Arial" w:eastAsia="Arial" w:hAnsi="Arial"/>
          <w:sz w:val="18"/>
          <w:szCs w:val="18"/>
          <w:color w:val="auto"/>
        </w:rPr>
      </w:pPr>
    </w:p>
    <w:p>
      <w:pPr>
        <w:ind w:left="652" w:right="420" w:hanging="4"/>
        <w:spacing w:after="0" w:line="277" w:lineRule="auto"/>
        <w:tabs>
          <w:tab w:leader="none" w:pos="947" w:val="left"/>
        </w:tabs>
        <w:numPr>
          <w:ilvl w:val="1"/>
          <w:numId w:val="58"/>
        </w:numPr>
        <w:rPr>
          <w:rFonts w:ascii="Arial" w:cs="Arial" w:eastAsia="Arial" w:hAnsi="Arial"/>
          <w:sz w:val="18"/>
          <w:szCs w:val="18"/>
          <w:color w:val="auto"/>
        </w:rPr>
      </w:pPr>
      <w:r>
        <w:rPr>
          <w:rFonts w:ascii="Arial" w:cs="Arial" w:eastAsia="Arial" w:hAnsi="Arial"/>
          <w:sz w:val="18"/>
          <w:szCs w:val="18"/>
          <w:color w:val="auto"/>
        </w:rPr>
        <w:t>Grantee agrees that, at any time after Grantee’s termination of employment from Hershey, he/she will cooperate with the Company in (i) all investigations of any kind, (ii) helping to prepare</w:t>
      </w:r>
    </w:p>
    <w:p>
      <w:pPr>
        <w:spacing w:after="0" w:line="19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12"/>
          </w:cols>
          <w:pgMar w:left="248" w:top="800" w:right="239" w:bottom="1440" w:gutter="0" w:footer="0" w:header="0"/>
        </w:sectPr>
      </w:pPr>
    </w:p>
    <w:bookmarkStart w:id="111" w:name="page112"/>
    <w:bookmarkEnd w:id="111"/>
    <w:p>
      <w:pPr>
        <w:ind w:left="660"/>
        <w:spacing w:after="0" w:line="264" w:lineRule="auto"/>
        <w:rPr>
          <w:sz w:val="20"/>
          <w:szCs w:val="20"/>
          <w:color w:val="auto"/>
        </w:rPr>
      </w:pPr>
      <w:r>
        <w:rPr>
          <w:rFonts w:ascii="Arial" w:cs="Arial" w:eastAsia="Arial" w:hAnsi="Arial"/>
          <w:sz w:val="18"/>
          <w:szCs w:val="18"/>
          <w:color w:val="auto"/>
        </w:rPr>
        <w:t>and review documents and meetings with Company attorneys, and (iii) providing truthful testimony as a witness or a declarant during discovery and/or trial in connection with any present or future court, administrative, agency or arbitration proceeding involving the Company and with respect to which Grantee has relevant information.</w:t>
      </w:r>
    </w:p>
    <w:p>
      <w:pPr>
        <w:spacing w:after="0" w:line="181" w:lineRule="exact"/>
        <w:rPr>
          <w:sz w:val="20"/>
          <w:szCs w:val="20"/>
          <w:color w:val="auto"/>
        </w:rPr>
      </w:pPr>
    </w:p>
    <w:p>
      <w:pPr>
        <w:ind w:left="660" w:right="140" w:hanging="4"/>
        <w:spacing w:after="0" w:line="302" w:lineRule="auto"/>
        <w:tabs>
          <w:tab w:leader="none" w:pos="935" w:val="left"/>
        </w:tabs>
        <w:numPr>
          <w:ilvl w:val="1"/>
          <w:numId w:val="59"/>
        </w:numPr>
        <w:rPr>
          <w:rFonts w:ascii="Arial" w:cs="Arial" w:eastAsia="Arial" w:hAnsi="Arial"/>
          <w:sz w:val="16"/>
          <w:szCs w:val="16"/>
          <w:color w:val="auto"/>
        </w:rPr>
      </w:pPr>
      <w:r>
        <w:rPr>
          <w:rFonts w:ascii="Arial" w:cs="Arial" w:eastAsia="Arial" w:hAnsi="Arial"/>
          <w:sz w:val="16"/>
          <w:szCs w:val="16"/>
          <w:color w:val="auto"/>
        </w:rPr>
        <w:t>If one or more of the provisions of this Notice of Award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Notice of Award to be construed so as to foster the intent of this award and the EICP.</w:t>
      </w:r>
    </w:p>
    <w:p>
      <w:pPr>
        <w:spacing w:after="0" w:line="154" w:lineRule="exact"/>
        <w:rPr>
          <w:rFonts w:ascii="Arial" w:cs="Arial" w:eastAsia="Arial" w:hAnsi="Arial"/>
          <w:sz w:val="16"/>
          <w:szCs w:val="16"/>
          <w:color w:val="auto"/>
        </w:rPr>
      </w:pPr>
    </w:p>
    <w:p>
      <w:pPr>
        <w:ind w:left="660" w:right="400" w:hanging="4"/>
        <w:spacing w:after="0" w:line="308" w:lineRule="auto"/>
        <w:tabs>
          <w:tab w:leader="none" w:pos="925" w:val="left"/>
        </w:tabs>
        <w:numPr>
          <w:ilvl w:val="1"/>
          <w:numId w:val="59"/>
        </w:numPr>
        <w:rPr>
          <w:rFonts w:ascii="Arial" w:cs="Arial" w:eastAsia="Arial" w:hAnsi="Arial"/>
          <w:sz w:val="17"/>
          <w:szCs w:val="17"/>
          <w:color w:val="auto"/>
        </w:rPr>
      </w:pPr>
      <w:r>
        <w:rPr>
          <w:rFonts w:ascii="Arial" w:cs="Arial" w:eastAsia="Arial" w:hAnsi="Arial"/>
          <w:sz w:val="17"/>
          <w:szCs w:val="17"/>
          <w:color w:val="auto"/>
        </w:rPr>
        <w:t>The RSUs are intended to comply with Code section 409A and official guidance issued thereunder. Notwithstanding anything herein to the contrary, this Notice of Award shall be interpreted, operated and administered in a manner consistent with this intention.</w:t>
      </w:r>
    </w:p>
    <w:p>
      <w:pPr>
        <w:spacing w:after="0" w:line="146" w:lineRule="exact"/>
        <w:rPr>
          <w:rFonts w:ascii="Arial" w:cs="Arial" w:eastAsia="Arial" w:hAnsi="Arial"/>
          <w:sz w:val="17"/>
          <w:szCs w:val="17"/>
          <w:color w:val="auto"/>
        </w:rPr>
      </w:pPr>
    </w:p>
    <w:p>
      <w:pPr>
        <w:ind w:left="660" w:hanging="4"/>
        <w:spacing w:after="0" w:line="291" w:lineRule="auto"/>
        <w:tabs>
          <w:tab w:leader="none" w:pos="955" w:val="left"/>
        </w:tabs>
        <w:numPr>
          <w:ilvl w:val="1"/>
          <w:numId w:val="59"/>
        </w:numPr>
        <w:rPr>
          <w:rFonts w:ascii="Arial" w:cs="Arial" w:eastAsia="Arial" w:hAnsi="Arial"/>
          <w:sz w:val="16"/>
          <w:szCs w:val="16"/>
          <w:color w:val="auto"/>
        </w:rPr>
      </w:pPr>
      <w:r>
        <w:rPr>
          <w:rFonts w:ascii="Arial" w:cs="Arial" w:eastAsia="Arial" w:hAnsi="Arial"/>
          <w:sz w:val="16"/>
          <w:szCs w:val="16"/>
          <w:color w:val="auto"/>
        </w:rPr>
        <w:t>Notwithstanding anything herein to the contrary, in the event the Grantee: (i) is an employee of the Company in a country other than the United States (a “Foreign National”), (ii) is not subject to the federal income tax laws of the United States (“U.S. Tax Law”) for purposes of these RSUs, and (iii) has certain rights in the vesting and payment of the RSUs upon termination of employment under the laws of the country in which Grantee is employed, the vesting and payment of any unvested RSUs (and any related Dividend Equivalent Rights) will be in accordance with the terms of a severance agreement entered into between the Company and Grantee that complies with the laws of the country in which Grantee is employed or in the absence of a severance agreement, as may be required by the laws of such country; provided, however, if any RSUs, granted to such Foreign National are subject to U.S. Tax Law, the payment of such RSUs shall be governed by the terms of this Notice of Award.</w:t>
      </w:r>
    </w:p>
    <w:p>
      <w:pPr>
        <w:spacing w:after="0" w:line="167" w:lineRule="exact"/>
        <w:rPr>
          <w:rFonts w:ascii="Arial" w:cs="Arial" w:eastAsia="Arial" w:hAnsi="Arial"/>
          <w:sz w:val="16"/>
          <w:szCs w:val="16"/>
          <w:color w:val="auto"/>
        </w:rPr>
      </w:pPr>
    </w:p>
    <w:p>
      <w:pPr>
        <w:ind w:left="660" w:right="20" w:hanging="4"/>
        <w:spacing w:after="0" w:line="255" w:lineRule="auto"/>
        <w:tabs>
          <w:tab w:leader="none" w:pos="955"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award of RSUs and all terms and conditions related thereto, including those of the EICP, shall be governed by the laws of the Commonwealth of Pennsylvania. Grantee expressly consents that: (i) any action or proceeding relating to a breach or the enforceability of this Notice of Award will be brought only in the federal or state courts, as appropriate, located in the Commonwealth of Pennsylvania; and (ii) any such action or proceeding will be heard without a jury. Grantee expressly waives the right to bring any such action in any other jurisdiction and to have such action heard before a jury regardless of where such action is filed. The EICP shall control in the event there is a conflict between the EICP and these terms and conditions.</w:t>
      </w:r>
    </w:p>
    <w:p>
      <w:pPr>
        <w:spacing w:after="0" w:line="193" w:lineRule="exact"/>
        <w:rPr>
          <w:rFonts w:ascii="Arial" w:cs="Arial" w:eastAsia="Arial" w:hAnsi="Arial"/>
          <w:sz w:val="18"/>
          <w:szCs w:val="18"/>
          <w:color w:val="auto"/>
        </w:rPr>
      </w:pPr>
    </w:p>
    <w:p>
      <w:pPr>
        <w:ind w:right="140" w:firstLine="8"/>
        <w:spacing w:after="0" w:line="258" w:lineRule="auto"/>
        <w:tabs>
          <w:tab w:leader="none" w:pos="27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CONTACT INFORMATION</w:t>
      </w:r>
      <w:r>
        <w:rPr>
          <w:rFonts w:ascii="Arial" w:cs="Arial" w:eastAsia="Arial" w:hAnsi="Arial"/>
          <w:sz w:val="18"/>
          <w:szCs w:val="18"/>
          <w:color w:val="auto"/>
        </w:rPr>
        <w:t>. Copies of the EICP and the Information Statement (Prospectus) for the EICP are available upon request, from the myHR Support Center by calling</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1-800-878-0440 or by email to myHR@hersheys.com.</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20"/>
          </w:cols>
          <w:pgMar w:left="240" w:top="800"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10.12(b)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AND CONDITIONS OF NONQUALIFIED STOCK OPTION AWARDS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EQUITY AND INCENTIVE COMPENSATION PLAN</w:t>
      </w:r>
    </w:p>
    <w:p>
      <w:pPr>
        <w:spacing w:after="0" w:line="211" w:lineRule="exact"/>
        <w:rPr>
          <w:sz w:val="20"/>
          <w:szCs w:val="20"/>
          <w:color w:val="auto"/>
        </w:rPr>
      </w:pPr>
    </w:p>
    <w:p>
      <w:pPr>
        <w:jc w:val="both"/>
        <w:ind w:firstLine="656"/>
        <w:spacing w:after="0" w:line="276" w:lineRule="auto"/>
        <w:tabs>
          <w:tab w:leader="none" w:pos="969"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Optionee, by accepting the option to purchase shares of the Common Stock (the "Options") of The Hershey Company (“Hershey”) awarded to him/her on _____________ (the “Award Date”), accepts and agrees to: (i) these terms and conditions and (ii) the terms and conditions of The Hershey Company Equity and Incentive Compensation Plan (the "Plan"), which Plan is incorporated herein by reference. Receipt of the Options is expressly contingent upon Optionee agreeing to the obligations contained herein. Failure to agree to all the terms and conditions set forth herein within forty-five (45) days of receipt in the form presented by Hershey shall result in the Options being cancelled, with no benefit to Optionee.</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These terms and conditions extend not only to the Optionee and Hershey, but also to Hershey’s past and present affiliated and related companies, subsidiaries, joint ventures, affiliated entities, parent companies and its and their respective successors and assigns, its and their past, present and future benefit and severance plans, including the Plan, and its and their representatives, agents, trustees, officials, shareholders, officers, directors, employees, attorneys, benefit plan administrators and fiduciaries, both past and present, in their individual or representative capacities, and all of their successors and assigns (collectively with Hershey, the “Company”).</w:t>
      </w:r>
    </w:p>
    <w:p>
      <w:pPr>
        <w:spacing w:after="0" w:line="184" w:lineRule="exact"/>
        <w:rPr>
          <w:sz w:val="20"/>
          <w:szCs w:val="20"/>
          <w:color w:val="auto"/>
        </w:rPr>
      </w:pPr>
    </w:p>
    <w:p>
      <w:pPr>
        <w:jc w:val="both"/>
        <w:ind w:firstLine="656"/>
        <w:spacing w:after="0" w:line="272" w:lineRule="auto"/>
        <w:tabs>
          <w:tab w:leader="none" w:pos="996" w:val="left"/>
        </w:tabs>
        <w:numPr>
          <w:ilvl w:val="1"/>
          <w:numId w:val="62"/>
        </w:numPr>
        <w:rPr>
          <w:rFonts w:ascii="Arial" w:cs="Arial" w:eastAsia="Arial" w:hAnsi="Arial"/>
          <w:sz w:val="17"/>
          <w:szCs w:val="17"/>
          <w:color w:val="auto"/>
        </w:rPr>
      </w:pPr>
      <w:r>
        <w:rPr>
          <w:rFonts w:ascii="Arial" w:cs="Arial" w:eastAsia="Arial" w:hAnsi="Arial"/>
          <w:sz w:val="17"/>
          <w:szCs w:val="17"/>
          <w:color w:val="auto"/>
        </w:rPr>
        <w:t xml:space="preserve">The Options shall not be exercisable until vested. The Options shall be exercisable during the period </w:t>
      </w:r>
      <w:r>
        <w:rPr>
          <w:rFonts w:ascii="Arial" w:cs="Arial" w:eastAsia="Arial" w:hAnsi="Arial"/>
          <w:sz w:val="17"/>
          <w:szCs w:val="17"/>
          <w:b w:val="1"/>
          <w:bCs w:val="1"/>
          <w:color w:val="auto"/>
        </w:rPr>
        <w:t>___________</w:t>
      </w:r>
      <w:r>
        <w:rPr>
          <w:rFonts w:ascii="Arial" w:cs="Arial" w:eastAsia="Arial" w:hAnsi="Arial"/>
          <w:sz w:val="17"/>
          <w:szCs w:val="17"/>
          <w:color w:val="auto"/>
        </w:rPr>
        <w:t xml:space="preserve"> through ___________ (the “Exercise Period”), subject to the vesting schedule described in the next sentence and the provisions regarding termination set forth in paragraphs 3 and 5 below and in the Plan. Of the total Options awarded to the Optionee on the Award Date (“Total Award”), twenty-five percent (25%) of the Total Award will become vested on the first anniversary of the Award Date; an additional twenty-five percent (25%) of the Total Award will become vested on the second anniversary of the Award Date; an additional twenty-five percent (25%) of the Total Award will become vested on the third anniversary of the Award Date; and an additional and final twenty-five percent (25%) of the Total Award will become vested on the fourth anniversary of the Award Date. During the Exercise Period, vested Options may be exercised in whole or in part and on one or more than one occasion. The purchase price of any shares as to which the Options shall be exercised shall be paid in full at the time of such exercise.</w:t>
      </w:r>
    </w:p>
    <w:p>
      <w:pPr>
        <w:spacing w:after="0" w:line="176" w:lineRule="exact"/>
        <w:rPr>
          <w:rFonts w:ascii="Arial" w:cs="Arial" w:eastAsia="Arial" w:hAnsi="Arial"/>
          <w:sz w:val="17"/>
          <w:szCs w:val="17"/>
          <w:color w:val="auto"/>
        </w:rPr>
      </w:pPr>
    </w:p>
    <w:p>
      <w:pPr>
        <w:jc w:val="both"/>
        <w:ind w:firstLine="656"/>
        <w:spacing w:after="0" w:line="285" w:lineRule="auto"/>
        <w:tabs>
          <w:tab w:leader="none" w:pos="1001" w:val="left"/>
        </w:tabs>
        <w:numPr>
          <w:ilvl w:val="1"/>
          <w:numId w:val="62"/>
        </w:numPr>
        <w:rPr>
          <w:rFonts w:ascii="Arial" w:cs="Arial" w:eastAsia="Arial" w:hAnsi="Arial"/>
          <w:sz w:val="16"/>
          <w:szCs w:val="16"/>
          <w:color w:val="auto"/>
        </w:rPr>
      </w:pPr>
      <w:r>
        <w:rPr>
          <w:rFonts w:ascii="Arial" w:cs="Arial" w:eastAsia="Arial" w:hAnsi="Arial"/>
          <w:sz w:val="16"/>
          <w:szCs w:val="16"/>
          <w:color w:val="auto"/>
        </w:rPr>
        <w:t>In the event Optionee's employment with Hershey is terminated for any reason other than the occurrence of an event described in paragraph 5 below, or a “Change in Control” as described in this paragraph 3, Options shall terminate immediately upon termination of Optionee’s employment and may not be exercised after such termination of employment unless: (i) Optionee is eligible to receive severance benefits pursuant to a Hershey-sponsored severance benefits plan or an employment or severance or similar agreement to which Optionee is a party upon termination of employment, in which case vesting, exercise, and payment of the Options will be in accordance with the terms of such Hershey-sponsored severance benefits plan or such agreement; or</w:t>
      </w:r>
    </w:p>
    <w:p>
      <w:pPr>
        <w:spacing w:after="0" w:line="2" w:lineRule="exact"/>
        <w:rPr>
          <w:rFonts w:ascii="Arial" w:cs="Arial" w:eastAsia="Arial" w:hAnsi="Arial"/>
          <w:sz w:val="16"/>
          <w:szCs w:val="16"/>
          <w:color w:val="auto"/>
        </w:rPr>
      </w:pPr>
    </w:p>
    <w:p>
      <w:pPr>
        <w:jc w:val="both"/>
        <w:ind w:firstLine="8"/>
        <w:spacing w:after="0" w:line="254" w:lineRule="auto"/>
        <w:tabs>
          <w:tab w:leader="none" w:pos="269" w:val="left"/>
        </w:tabs>
        <w:numPr>
          <w:ilvl w:val="0"/>
          <w:numId w:val="63"/>
        </w:numPr>
        <w:rPr>
          <w:rFonts w:ascii="Arial" w:cs="Arial" w:eastAsia="Arial" w:hAnsi="Arial"/>
          <w:sz w:val="18"/>
          <w:szCs w:val="18"/>
          <w:color w:val="auto"/>
        </w:rPr>
      </w:pPr>
      <w:r>
        <w:rPr>
          <w:rFonts w:ascii="Arial" w:cs="Arial" w:eastAsia="Arial" w:hAnsi="Arial"/>
          <w:sz w:val="18"/>
          <w:szCs w:val="18"/>
          <w:color w:val="auto"/>
        </w:rPr>
        <w:t>Optionee is an employee of Hershey in a country other than the United States and has certain rights in the vesting, exercise and payment of Options upon termination of employment under the laws of the country in which Optionee is employed, in which case vesting, exercise and payment of the Options will be in accordance with the terms of a severance agreement entered into between Hershey and Optionee that complies with the laws of the country in which Optionee is employed.</w:t>
      </w:r>
    </w:p>
    <w:p>
      <w:pPr>
        <w:spacing w:after="0" w:line="19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the event of a Change in Control (as that term is defined in the Plan), to the extent the Options are assumed or replaced, or remain outstanding, such that the award as assumed, replaced or continued is a Replacement Award (as that term is defined in the Plan), the occurrence of the Change in Control shall not affect the vesting or exercisability of the Options which shall constitute a Replaced Award as defined in the Plan. However, if within two (2) years following the Change in Control, Optionee’s employment is terminated by Hershey for any reason other than for Cause (as that term is defined in the Plan), by the Optionee for Good Reason (as that term is defined in the Plan), or due to Optionee's death or total disability, the Replacement Award shall become fully vested and exercisable upon such termination.</w:t>
      </w:r>
    </w:p>
    <w:p>
      <w:pPr>
        <w:spacing w:after="0" w:line="19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Notwithstanding the foregoing, if the Committee (as that term is defined in paragraph 7 below) determines that the Options are not replaced in connection with a Change in Control with awards meeting the requirements for Replacement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113" w:name="page114"/>
    <w:bookmarkEnd w:id="113"/>
    <w:p>
      <w:pPr>
        <w:spacing w:after="0" w:line="277" w:lineRule="auto"/>
        <w:rPr>
          <w:sz w:val="20"/>
          <w:szCs w:val="20"/>
          <w:color w:val="auto"/>
        </w:rPr>
      </w:pPr>
      <w:r>
        <w:rPr>
          <w:rFonts w:ascii="Arial" w:cs="Arial" w:eastAsia="Arial" w:hAnsi="Arial"/>
          <w:sz w:val="18"/>
          <w:szCs w:val="18"/>
          <w:color w:val="auto"/>
        </w:rPr>
        <w:t>Awards, the Options shall become fully vested and exercisable upon the occurrence of the Change in Control, notwithstanding the vesting schedule set forth in paragraph 2 above.</w:t>
      </w:r>
    </w:p>
    <w:p>
      <w:pPr>
        <w:spacing w:after="0" w:line="170" w:lineRule="exact"/>
        <w:rPr>
          <w:sz w:val="20"/>
          <w:szCs w:val="20"/>
          <w:color w:val="auto"/>
        </w:rPr>
      </w:pPr>
    </w:p>
    <w:p>
      <w:pPr>
        <w:jc w:val="both"/>
        <w:ind w:firstLine="656"/>
        <w:spacing w:after="0" w:line="297" w:lineRule="auto"/>
        <w:tabs>
          <w:tab w:leader="none" w:pos="1008" w:val="left"/>
        </w:tabs>
        <w:numPr>
          <w:ilvl w:val="0"/>
          <w:numId w:val="64"/>
        </w:numPr>
        <w:rPr>
          <w:rFonts w:ascii="Arial" w:cs="Arial" w:eastAsia="Arial" w:hAnsi="Arial"/>
          <w:sz w:val="16"/>
          <w:szCs w:val="16"/>
          <w:color w:val="auto"/>
        </w:rPr>
      </w:pPr>
      <w:r>
        <w:rPr>
          <w:rFonts w:ascii="Arial" w:cs="Arial" w:eastAsia="Arial" w:hAnsi="Arial"/>
          <w:sz w:val="16"/>
          <w:szCs w:val="16"/>
          <w:color w:val="auto"/>
        </w:rPr>
        <w:t>If Optionee retires (as that term is defined in paragraph 5 below) after the Award Date and during the calendar year in which the Award Date occurs, the Total Award will be reduced on a pro-rata basis to reflect Optionee’s period of employment during the calendar year in which the Award Date occurs (the “Adjusted Award”). The Adjusted Award shall equal the Total Award multiplied by a fraction, the numerator of which equals the number of calendar months during such year preceding the month during which Optionee’s retirement date occurs and the denominator of which equals 12; provided, however, that any fractional share resulting from such calculation shall be eliminated by rounding the Adjusted Award down to the nearest whole number.</w:t>
      </w:r>
    </w:p>
    <w:p>
      <w:pPr>
        <w:spacing w:after="0" w:line="158"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foregoing provisions of this paragraph 4 notwithstanding, if a Change in Control occurs following the Award Date, and Optionee retires after the occurrence of the Change in Control but during the calendar year in which the Award Date occurs, the Total Award shall not be reduced as aforesaid.</w:t>
      </w:r>
    </w:p>
    <w:p>
      <w:pPr>
        <w:spacing w:after="0" w:line="124" w:lineRule="exact"/>
        <w:rPr>
          <w:sz w:val="20"/>
          <w:szCs w:val="20"/>
          <w:color w:val="auto"/>
        </w:rPr>
      </w:pPr>
    </w:p>
    <w:p>
      <w:pPr>
        <w:jc w:val="both"/>
        <w:ind w:firstLine="656"/>
        <w:spacing w:after="0" w:line="255" w:lineRule="auto"/>
        <w:tabs>
          <w:tab w:leader="none" w:pos="977"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the event Optionee retires, or his or her employment terminates due to death or total disability, the Options shall become fully vested, subject to the provisions regarding possible adjustment of the Total Award to an Adjusted Award as provided in paragraph 4, and Optionee (or his/her estate in the case of death) shall have three (3) years from the earliest date of death or total disability, or five (5) years from the date of retirement, to exercise his/her Options, provided such post-termination exercise period cannot extend beyond the last day of the Exercise Period set forth in paragraph 2 above, the date the Options expire. For purposes of this award, Optionee shall be deemed to have retired if his or her employment terminates for any reason other than for “Cause” (as that term is defined in the Plan) on or after the date the Optionee has both attained his or her 55th birthday and been continuously employed by Hershey for at least five (5) years.</w:t>
      </w:r>
    </w:p>
    <w:p>
      <w:pPr>
        <w:spacing w:after="0" w:line="189" w:lineRule="exact"/>
        <w:rPr>
          <w:rFonts w:ascii="Arial" w:cs="Arial" w:eastAsia="Arial" w:hAnsi="Arial"/>
          <w:sz w:val="18"/>
          <w:szCs w:val="18"/>
          <w:color w:val="auto"/>
        </w:rPr>
      </w:pPr>
    </w:p>
    <w:p>
      <w:pPr>
        <w:ind w:right="20" w:firstLine="656"/>
        <w:spacing w:after="0" w:line="277" w:lineRule="auto"/>
        <w:tabs>
          <w:tab w:leader="none" w:pos="1047"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Options shall be exercisable through the broker on record selected by Hershey to provide services for stock options, or by such other method as shall be established by Hershey from time to time.</w:t>
      </w:r>
    </w:p>
    <w:p>
      <w:pPr>
        <w:spacing w:after="0" w:line="170" w:lineRule="exact"/>
        <w:rPr>
          <w:rFonts w:ascii="Arial" w:cs="Arial" w:eastAsia="Arial" w:hAnsi="Arial"/>
          <w:sz w:val="18"/>
          <w:szCs w:val="18"/>
          <w:color w:val="auto"/>
        </w:rPr>
      </w:pPr>
    </w:p>
    <w:p>
      <w:pPr>
        <w:jc w:val="both"/>
        <w:ind w:firstLine="656"/>
        <w:spacing w:after="0" w:line="259" w:lineRule="auto"/>
        <w:tabs>
          <w:tab w:leader="none" w:pos="9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Compensation and Executive Organization Committee of the Board of Directors (the “Committee”), or any successor committee performing similar functions, may from time to time impose certain limitations or restrictions on the exercise of the Options by employees who are subject to employee minimum stock ownership requirements established by the Committee. Such limitations, restrictions and minimum stock ownership requirements are subject to change at the discretion of the Committee.</w:t>
      </w:r>
    </w:p>
    <w:p>
      <w:pPr>
        <w:spacing w:after="0" w:line="186" w:lineRule="exact"/>
        <w:rPr>
          <w:rFonts w:ascii="Arial" w:cs="Arial" w:eastAsia="Arial" w:hAnsi="Arial"/>
          <w:sz w:val="18"/>
          <w:szCs w:val="18"/>
          <w:color w:val="auto"/>
        </w:rPr>
      </w:pPr>
    </w:p>
    <w:p>
      <w:pPr>
        <w:jc w:val="both"/>
        <w:ind w:firstLine="656"/>
        <w:spacing w:after="0" w:line="302" w:lineRule="auto"/>
        <w:tabs>
          <w:tab w:leader="none" w:pos="963" w:val="left"/>
        </w:tabs>
        <w:numPr>
          <w:ilvl w:val="0"/>
          <w:numId w:val="65"/>
        </w:numPr>
        <w:rPr>
          <w:rFonts w:ascii="Arial" w:cs="Arial" w:eastAsia="Arial" w:hAnsi="Arial"/>
          <w:sz w:val="16"/>
          <w:szCs w:val="16"/>
          <w:color w:val="auto"/>
        </w:rPr>
      </w:pPr>
      <w:r>
        <w:rPr>
          <w:rFonts w:ascii="Arial" w:cs="Arial" w:eastAsia="Arial" w:hAnsi="Arial"/>
          <w:sz w:val="16"/>
          <w:szCs w:val="16"/>
          <w:color w:val="auto"/>
        </w:rPr>
        <w:t>Except to the extent that the Plan permits exercise in limited circumstances by persons other than the Optionee, the Options may not be assigned, transferred, pledged or hypothecated in any way whether by operation of law or otherwise, and shall not be subject to execution, attachment or similar process. Any attempted assignment, transfer, pledge, hypothecation or other disposition of the Options contrary to the provisions hereof or of the Plan, and the levy of any execution, attachment or similar process upon the Options, shall be null and void and without effect and shall cause the Options to terminate.</w:t>
      </w:r>
    </w:p>
    <w:p>
      <w:pPr>
        <w:spacing w:after="0" w:line="154" w:lineRule="exact"/>
        <w:rPr>
          <w:rFonts w:ascii="Arial" w:cs="Arial" w:eastAsia="Arial" w:hAnsi="Arial"/>
          <w:sz w:val="16"/>
          <w:szCs w:val="16"/>
          <w:color w:val="auto"/>
        </w:rPr>
      </w:pPr>
    </w:p>
    <w:p>
      <w:pPr>
        <w:ind w:left="980" w:hanging="324"/>
        <w:spacing w:after="0"/>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Non-Competition.</w:t>
      </w:r>
    </w:p>
    <w:p>
      <w:pPr>
        <w:spacing w:after="0" w:line="225" w:lineRule="exact"/>
        <w:rPr>
          <w:sz w:val="20"/>
          <w:szCs w:val="20"/>
          <w:color w:val="auto"/>
        </w:rPr>
      </w:pPr>
    </w:p>
    <w:p>
      <w:pPr>
        <w:jc w:val="both"/>
        <w:ind w:firstLine="656"/>
        <w:spacing w:after="0" w:line="269" w:lineRule="auto"/>
        <w:tabs>
          <w:tab w:leader="none" w:pos="1053" w:val="left"/>
        </w:tabs>
        <w:numPr>
          <w:ilvl w:val="0"/>
          <w:numId w:val="66"/>
        </w:numPr>
        <w:rPr>
          <w:rFonts w:ascii="Arial" w:cs="Arial" w:eastAsia="Arial" w:hAnsi="Arial"/>
          <w:sz w:val="17"/>
          <w:szCs w:val="17"/>
          <w:color w:val="auto"/>
        </w:rPr>
      </w:pPr>
      <w:r>
        <w:rPr>
          <w:rFonts w:ascii="Arial" w:cs="Arial" w:eastAsia="Arial" w:hAnsi="Arial"/>
          <w:sz w:val="17"/>
          <w:szCs w:val="17"/>
          <w:color w:val="auto"/>
        </w:rPr>
        <w:t>Optionee acknowledges that due to the nature of his/her employment with Hershey, he/she has and will have access to, contact with, and Confidential Information (as defined in paragraph 11) about the Company’s business and its relationships with customers, suppliers, agents, licensees, licensors and others that likewise give the Company a competitive advantage (“Business Relationships”). Optionee acknowledges that the Company has incurred considerable expense and invested considerable time and resources in developing its Confidential Information and Business Relationships, and that such Confidential Information and Business Relationships are critical to the success of the Company’s business. Accordingly, both (i) during the term of his/her employment with Hershey, and (ii) for a period of twelve (12) months following the termination of his/her employment, Optionee, except in the performance of his/her duties to Hershey, shall not, without the prior written consent of Hershey’s Chief Human Resources Officer, directly or indirectly serve or act in a consulting, employee or managerial capacity, or engage in oversight of any person who serves or acts in a consulting, employee or managerial capacity, as an officer, director, employee, consultant, advisor, independent contractor, agent or representative of a Competing Business, as defined below in paragraph 9(b). This restriction shall apply to any Competing Business that conducts business or plans to conduct business in the same or substantially similar geographic area in which Optionee was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8" w:right="239" w:bottom="1440" w:gutter="0" w:footer="0" w:header="0"/>
        </w:sectPr>
      </w:pPr>
    </w:p>
    <w:bookmarkStart w:id="114" w:name="page115"/>
    <w:bookmarkEnd w:id="114"/>
    <w:p>
      <w:pPr>
        <w:jc w:val="both"/>
        <w:spacing w:after="0" w:line="276" w:lineRule="auto"/>
        <w:rPr>
          <w:sz w:val="20"/>
          <w:szCs w:val="20"/>
          <w:color w:val="auto"/>
        </w:rPr>
      </w:pPr>
      <w:r>
        <w:rPr>
          <w:rFonts w:ascii="Arial" w:cs="Arial" w:eastAsia="Arial" w:hAnsi="Arial"/>
          <w:sz w:val="17"/>
          <w:szCs w:val="17"/>
          <w:color w:val="auto"/>
        </w:rPr>
        <w:t>employed or, directly or indirectly, performed services for Hershey during the two years prior to his/her termination of Optionee’s employment. Optionee acknowledges: (i) that the Company’s business is conducted throughout the United States and the world, (ii) notwithstanding the state of incorporation or principal office of Hershey, it is expected that the Company will have business activities and have valuable business relationships within its industry throughout the United States and around the world, and (iii) as part of Optionee’s responsibilities, Optionee has conducted or may conduct business throughout the United States and around the world in furtherance of the Company’s business and its relationships.</w:t>
      </w:r>
    </w:p>
    <w:p>
      <w:pPr>
        <w:spacing w:after="0" w:line="173" w:lineRule="exact"/>
        <w:rPr>
          <w:sz w:val="20"/>
          <w:szCs w:val="20"/>
          <w:color w:val="auto"/>
        </w:rPr>
      </w:pPr>
    </w:p>
    <w:p>
      <w:pPr>
        <w:jc w:val="both"/>
        <w:ind w:firstLine="656"/>
        <w:spacing w:after="0" w:line="269" w:lineRule="auto"/>
        <w:tabs>
          <w:tab w:leader="none" w:pos="987" w:val="left"/>
        </w:tabs>
        <w:numPr>
          <w:ilvl w:val="0"/>
          <w:numId w:val="67"/>
        </w:numPr>
        <w:rPr>
          <w:rFonts w:ascii="Arial" w:cs="Arial" w:eastAsia="Arial" w:hAnsi="Arial"/>
          <w:sz w:val="17"/>
          <w:szCs w:val="17"/>
          <w:color w:val="auto"/>
        </w:rPr>
      </w:pPr>
      <w:r>
        <w:rPr>
          <w:rFonts w:ascii="Arial" w:cs="Arial" w:eastAsia="Arial" w:hAnsi="Arial"/>
          <w:sz w:val="17"/>
          <w:szCs w:val="17"/>
          <w:color w:val="auto"/>
        </w:rPr>
        <w:t>For the purposes of this agreement, a “Competing Business” shall mean any business, person, entity or group of business entities, regardless of whether organized as a corporation, partnership (general or limited), joint venture, association or other organization that (i) conducts or is planning to conduct a business similar to and/or in competition with any business conducted or planned by the Company and for which Optionee was employed or performed services in a job or had knowledge of the operations of such business(es) over the last two (2) years of Optionee’s employment with Hershey, or (ii) designs, develops, produces, offers for sale or sells a product or service that can be used as a substitute for or is generally intended to satisfy the same customer needs for, any one or more products or services designed, developed, manufactured, produced or offered for sale or sold by the Company for which Optionee was employed or performed services in a job or had knowledge of the operations of such business(es) of the Company during the two (2) years prior to the termination of Optionee’s employment with Hershey. Optionee acknowledges that he/she will be deemed to have such knowledge if Optionee received, was in possession of or otherwise had access to Confidential Information, as defined below, regarding such business. Optionee further acknowledges and understands that if he/she has any question about whether any prior position which Optionee has held at the Company over the last two (2) years subjects Optionee to specific restrictions, and will be used to identify Competing Business(es), Optionee should contact his/her Human Resource representative at Hershey.</w:t>
      </w:r>
    </w:p>
    <w:p>
      <w:pPr>
        <w:spacing w:after="0" w:line="180" w:lineRule="exact"/>
        <w:rPr>
          <w:sz w:val="20"/>
          <w:szCs w:val="20"/>
          <w:color w:val="auto"/>
        </w:rPr>
      </w:pPr>
    </w:p>
    <w:p>
      <w:pPr>
        <w:jc w:val="both"/>
        <w:ind w:firstLine="656"/>
        <w:spacing w:after="0" w:line="255" w:lineRule="auto"/>
        <w:tabs>
          <w:tab w:leader="none" w:pos="1097"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Non-Solicitation. Optionee acknowledges that the Company has invested and will invest significant time and money to recruit and retain its employees and to develop valuable, continuing relationships with existing and prospective clients and customers of the Company. Accordingly, recognizing that Optionee has obtained and will obtain valuable information about employees of the Company and their respective talents and areas of expertise and information about the Company’s customers, suppliers, business partners, and/or vendors and their requirements, Optionee agrees both (i) during the term of his/her employment, and (ii) for a period of twelve (12) months following his/her termination of employment, Optionee, except in the performance of his/her duties to Hershey, shall not directly or indirectly (including as an officer, director, employee, consultant, advisor, agent or representative), for himself/herself or on behalf of any other person or entity:</w:t>
      </w:r>
    </w:p>
    <w:p>
      <w:pPr>
        <w:spacing w:after="0" w:line="189" w:lineRule="exact"/>
        <w:rPr>
          <w:sz w:val="20"/>
          <w:szCs w:val="20"/>
          <w:color w:val="auto"/>
        </w:rPr>
      </w:pPr>
    </w:p>
    <w:p>
      <w:pPr>
        <w:jc w:val="both"/>
        <w:ind w:firstLine="656"/>
        <w:spacing w:after="0" w:line="286" w:lineRule="auto"/>
        <w:tabs>
          <w:tab w:leader="none" w:pos="953" w:val="left"/>
        </w:tabs>
        <w:numPr>
          <w:ilvl w:val="0"/>
          <w:numId w:val="69"/>
        </w:numPr>
        <w:rPr>
          <w:rFonts w:ascii="Arial" w:cs="Arial" w:eastAsia="Arial" w:hAnsi="Arial"/>
          <w:sz w:val="17"/>
          <w:szCs w:val="17"/>
          <w:color w:val="auto"/>
        </w:rPr>
      </w:pPr>
      <w:r>
        <w:rPr>
          <w:rFonts w:ascii="Arial" w:cs="Arial" w:eastAsia="Arial" w:hAnsi="Arial"/>
          <w:sz w:val="17"/>
          <w:szCs w:val="17"/>
          <w:color w:val="auto"/>
        </w:rPr>
        <w:t>for any purpose that is in competition with any of the aspects of the Company’s business, solicit, take away or engage, or participate in soliciting, taking away or engaging, any current or potential customers, suppliers, agents, licensees or licensors of the Company with whom Optionee had contact while employed by Hershey, or about whom Optionee had access to Confidential Information as a result of Optionee’s employment; or</w:t>
      </w:r>
    </w:p>
    <w:p>
      <w:pPr>
        <w:spacing w:after="0" w:line="165" w:lineRule="exact"/>
        <w:rPr>
          <w:rFonts w:ascii="Arial" w:cs="Arial" w:eastAsia="Arial" w:hAnsi="Arial"/>
          <w:sz w:val="17"/>
          <w:szCs w:val="17"/>
          <w:color w:val="auto"/>
        </w:rPr>
      </w:pPr>
    </w:p>
    <w:p>
      <w:pPr>
        <w:jc w:val="both"/>
        <w:ind w:firstLine="656"/>
        <w:spacing w:after="0" w:line="255" w:lineRule="auto"/>
        <w:tabs>
          <w:tab w:leader="none" w:pos="1015"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recruit, hire, or attempt to recruit or hire, or solicit or encourage to leave their employment with the Company (either directly or by assisting others), any Company employee with whom Optionee had Material Contact during the last two (2) years of Optionee’s employment with Hershey. For purposes of this provision, “Material Contact” means contact for the purpose of furthering the Company’s business. Notwithstanding the foregoing, this paragraph shall not be violated by (i) general advertising or solicitation not specifically targeted at employees of the Company, or (ii) actions taken by any person or entity with which Optionee is associated if Optionee is not directly or indirectly involved in any manner in the matter and has not identified such employee of the Company for recruiting or solicitation.</w:t>
      </w:r>
    </w:p>
    <w:p>
      <w:pPr>
        <w:spacing w:after="0" w:line="193" w:lineRule="exact"/>
        <w:rPr>
          <w:sz w:val="20"/>
          <w:szCs w:val="20"/>
          <w:color w:val="auto"/>
        </w:rPr>
      </w:pPr>
    </w:p>
    <w:p>
      <w:pPr>
        <w:jc w:val="both"/>
        <w:ind w:firstLine="656"/>
        <w:spacing w:after="0" w:line="253" w:lineRule="auto"/>
        <w:tabs>
          <w:tab w:leader="none" w:pos="1053" w:val="left"/>
        </w:tabs>
        <w:numPr>
          <w:ilvl w:val="0"/>
          <w:numId w:val="70"/>
        </w:numPr>
        <w:rPr>
          <w:rFonts w:ascii="Arial" w:cs="Arial" w:eastAsia="Arial" w:hAnsi="Arial"/>
          <w:sz w:val="18"/>
          <w:szCs w:val="18"/>
          <w:color w:val="auto"/>
        </w:rPr>
      </w:pPr>
      <w:r>
        <w:rPr>
          <w:rFonts w:ascii="Arial" w:cs="Arial" w:eastAsia="Arial" w:hAnsi="Arial"/>
          <w:sz w:val="18"/>
          <w:szCs w:val="18"/>
          <w:color w:val="auto"/>
        </w:rPr>
        <w:t>Non-Disclosure of Confidential Information. Optionee acknowledges that due to the nature of his/her employment and the position of trust that he/she holds or will hold with Hershey, he/she will have access to, learn, be provided with, and in some cases will prepare and create for the Company, trade secrets and other confidential and proprietary information relating to the Company’s business, including, but not limited to, information about Hershey’s manufacturing processes; manuals, recipes and ingredient percentages; engineering drawings; product and process research and development; new product information; cost information; supplier data; strategic business information; information related to Hershey’s legal strategies or legal advice rendered to Hershey; marketing, financial and business development information, plans, forecasts, reports and budgets; customer information; new product strategies, plans and project activities; and acquisition and divestiture strategies, plans and project activities (collectively, “Confidential Information”). Optionee acknowledges and agrees that Confidential Information, whether or not in written form, is the exclusive property of Hershey, that it has been and will continue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8" w:right="239" w:bottom="1440" w:gutter="0" w:footer="0" w:header="0"/>
        </w:sectPr>
      </w:pPr>
    </w:p>
    <w:bookmarkStart w:id="115" w:name="page116"/>
    <w:bookmarkEnd w:id="115"/>
    <w:p>
      <w:pPr>
        <w:jc w:val="both"/>
        <w:spacing w:after="0" w:line="270" w:lineRule="auto"/>
        <w:rPr>
          <w:sz w:val="20"/>
          <w:szCs w:val="20"/>
          <w:color w:val="auto"/>
        </w:rPr>
      </w:pPr>
      <w:r>
        <w:rPr>
          <w:rFonts w:ascii="Arial" w:cs="Arial" w:eastAsia="Arial" w:hAnsi="Arial"/>
          <w:sz w:val="17"/>
          <w:szCs w:val="17"/>
          <w:color w:val="auto"/>
        </w:rPr>
        <w:t>to be of critical importance to the business of Hershey, and that the disclosure of it will cause the Company substantial and irreparable harm. Accordingly, Optionee will not, either during his/her employment or at any time after the termination of his/her employment with Hershey, use or disclose any Confidential Information relating to the business of the Company which is not generally available to the public. Notwithstanding the foregoing provisions of this paragraph 11, Optionee may disclose or use any such information (i) when such disclosure or use may be required or appropriate in the good faith judgment of Optionee in the course of performing his/her duties to Hershey and in accordance with Hershey policies and procedures, (ii) when required by a court of law, by any governmental agency having supervisory authority over Optionee or the business of Hershey, or by any administrative or legislative body (including a committee thereof) with apparent jurisdiction, or (iii) with the prior written consent of Hershey’s General Counsel. Notwithstanding anything herein to the contrary, Optionee understands and agrees that his/her obligations under these terms and conditions shall be in addition to, rather than in lieu of, any obligations Optionee may have under any applicable statute or at common law.</w:t>
      </w:r>
    </w:p>
    <w:p>
      <w:pPr>
        <w:spacing w:after="0" w:line="182" w:lineRule="exact"/>
        <w:rPr>
          <w:sz w:val="20"/>
          <w:szCs w:val="20"/>
          <w:color w:val="auto"/>
        </w:rPr>
      </w:pPr>
    </w:p>
    <w:p>
      <w:pPr>
        <w:jc w:val="both"/>
        <w:ind w:firstLine="656"/>
        <w:spacing w:after="0" w:line="268" w:lineRule="auto"/>
        <w:tabs>
          <w:tab w:leader="none" w:pos="1062" w:val="left"/>
        </w:tabs>
        <w:numPr>
          <w:ilvl w:val="0"/>
          <w:numId w:val="71"/>
        </w:numPr>
        <w:rPr>
          <w:rFonts w:ascii="Arial" w:cs="Arial" w:eastAsia="Arial" w:hAnsi="Arial"/>
          <w:sz w:val="17"/>
          <w:szCs w:val="17"/>
          <w:color w:val="auto"/>
        </w:rPr>
      </w:pPr>
      <w:r>
        <w:rPr>
          <w:rFonts w:ascii="Arial" w:cs="Arial" w:eastAsia="Arial" w:hAnsi="Arial"/>
          <w:sz w:val="17"/>
          <w:szCs w:val="17"/>
          <w:color w:val="auto"/>
        </w:rPr>
        <w:t>By accepting the Options awarded herewith, Optionee acknowledges and agrees that the Options are awarded under and governed by the terms and conditions set forth in this document and in the Plan. Any dispute or disagreement which shall arise under, as a result of, or in any way relate to the interpretation, construction or administration of the Plan or the Options awarded thereunder shall be determined in all cases and for all purposes by the Committee, or any successor committee, and any such determination shall be final, binding and conclusive for all purposes. Optionee acknowledges that a remedy at law for any breach or threatened breach of these terms and conditions would be inadequate and therefore agrees that the Company shall be entitled to injunctive relief in case of any such breach or threatened breach. Optionee acknowledges and agrees that the Company may apply to any court of law or equity of competent jurisdiction for specific performance and/or injunctive relief (without posting a bond or other security) in order to enforce or prevent any violation of these terms and conditions and that money damages would not be an adequate remedy. Optionee acknowledges and agrees that a violation of these terms and conditions would cause irreparable harm to the Company. The Company’s right to injunctive relief shall be cumulative and in addition to any other remedies available by law or equity. If a court determines that Optionee has breached or threatened to breach these terms and conditions, Optionee agrees to reimburse the Company for all reasonable attorneys’ fees and costs incurred in enforcing these terms and conditions. However, nothing contained herein shall be construed as prohibiting the Company from pursuing any other available remedies for a breach, which may include, but not be limited to, contract damages, lost profits and punitive damages.</w:t>
      </w:r>
    </w:p>
    <w:p>
      <w:pPr>
        <w:spacing w:after="0" w:line="187" w:lineRule="exact"/>
        <w:rPr>
          <w:rFonts w:ascii="Arial" w:cs="Arial" w:eastAsia="Arial" w:hAnsi="Arial"/>
          <w:sz w:val="17"/>
          <w:szCs w:val="17"/>
          <w:color w:val="auto"/>
        </w:rPr>
      </w:pPr>
    </w:p>
    <w:p>
      <w:pPr>
        <w:ind w:firstLine="656"/>
        <w:spacing w:after="0" w:line="277" w:lineRule="auto"/>
        <w:tabs>
          <w:tab w:leader="none" w:pos="1086" w:val="left"/>
        </w:tabs>
        <w:numPr>
          <w:ilvl w:val="0"/>
          <w:numId w:val="71"/>
        </w:numPr>
        <w:rPr>
          <w:rFonts w:ascii="Arial" w:cs="Arial" w:eastAsia="Arial" w:hAnsi="Arial"/>
          <w:sz w:val="18"/>
          <w:szCs w:val="18"/>
          <w:color w:val="auto"/>
        </w:rPr>
      </w:pPr>
      <w:r>
        <w:rPr>
          <w:rFonts w:ascii="Arial" w:cs="Arial" w:eastAsia="Arial" w:hAnsi="Arial"/>
          <w:sz w:val="18"/>
          <w:szCs w:val="18"/>
          <w:color w:val="auto"/>
        </w:rPr>
        <w:t>Optionee acknowledges and agrees that in addition to the relief described in paragraph 12, if the Committee determines, in its sole judgment, that Optionee has violated or threatened to violate these terms and conditions or the Plan, then:</w:t>
      </w:r>
    </w:p>
    <w:p>
      <w:pPr>
        <w:spacing w:after="0" w:line="170" w:lineRule="exact"/>
        <w:rPr>
          <w:sz w:val="20"/>
          <w:szCs w:val="20"/>
          <w:color w:val="auto"/>
        </w:rPr>
      </w:pPr>
    </w:p>
    <w:p>
      <w:pPr>
        <w:ind w:firstLine="656"/>
        <w:spacing w:after="0" w:line="277" w:lineRule="auto"/>
        <w:tabs>
          <w:tab w:leader="none" w:pos="972"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portion of the Options that Optionee has not exercised may immediately be cancelled, in which case Optionee shall forfeit any rights with respect to the Options as of the date of the Committee’s determination, and</w:t>
      </w:r>
    </w:p>
    <w:p>
      <w:pPr>
        <w:spacing w:after="0" w:line="170" w:lineRule="exact"/>
        <w:rPr>
          <w:rFonts w:ascii="Arial" w:cs="Arial" w:eastAsia="Arial" w:hAnsi="Arial"/>
          <w:sz w:val="18"/>
          <w:szCs w:val="18"/>
          <w:color w:val="auto"/>
        </w:rPr>
      </w:pPr>
    </w:p>
    <w:p>
      <w:pPr>
        <w:jc w:val="both"/>
        <w:ind w:firstLine="656"/>
        <w:spacing w:after="0" w:line="264" w:lineRule="auto"/>
        <w:tabs>
          <w:tab w:leader="none" w:pos="983" w:val="left"/>
        </w:tabs>
        <w:numPr>
          <w:ilvl w:val="0"/>
          <w:numId w:val="72"/>
        </w:numPr>
        <w:rPr>
          <w:rFonts w:ascii="Arial" w:cs="Arial" w:eastAsia="Arial" w:hAnsi="Arial"/>
          <w:sz w:val="18"/>
          <w:szCs w:val="18"/>
          <w:color w:val="auto"/>
        </w:rPr>
      </w:pPr>
      <w:r>
        <w:rPr>
          <w:rFonts w:ascii="Arial" w:cs="Arial" w:eastAsia="Arial" w:hAnsi="Arial"/>
          <w:sz w:val="18"/>
          <w:szCs w:val="18"/>
          <w:color w:val="auto"/>
        </w:rPr>
        <w:t>Upon the request or direction of the Committee, Optionee shall immediately deliver to Hershey, cash equal in value to the amount of any profit Optionee realized upon an exercise of the Options during the period beginning twelve (12) months prior to Optionee’s termination of employment and ending on the date of the Committee’s determination.</w:t>
      </w:r>
    </w:p>
    <w:p>
      <w:pPr>
        <w:spacing w:after="0" w:line="181" w:lineRule="exact"/>
        <w:rPr>
          <w:sz w:val="20"/>
          <w:szCs w:val="20"/>
          <w:color w:val="auto"/>
        </w:rPr>
      </w:pPr>
    </w:p>
    <w:p>
      <w:pPr>
        <w:jc w:val="both"/>
        <w:ind w:firstLine="656"/>
        <w:spacing w:after="0" w:line="312" w:lineRule="auto"/>
        <w:tabs>
          <w:tab w:leader="none" w:pos="1076" w:val="left"/>
        </w:tabs>
        <w:numPr>
          <w:ilvl w:val="0"/>
          <w:numId w:val="73"/>
        </w:numPr>
        <w:rPr>
          <w:rFonts w:ascii="Arial" w:cs="Arial" w:eastAsia="Arial" w:hAnsi="Arial"/>
          <w:sz w:val="16"/>
          <w:szCs w:val="16"/>
          <w:color w:val="auto"/>
        </w:rPr>
      </w:pPr>
      <w:r>
        <w:rPr>
          <w:rFonts w:ascii="Arial" w:cs="Arial" w:eastAsia="Arial" w:hAnsi="Arial"/>
          <w:sz w:val="16"/>
          <w:szCs w:val="16"/>
          <w:color w:val="auto"/>
        </w:rPr>
        <w:t>Notwithstanding anything in the Plan or these terms and conditions to the contrary, Optionee acknowledges that the Company may be entitled or required by law, Hershey policy or the requirements of an exchange on which the shares of Hershey Common Stock (the “Shares”) are listed for trading, to recoup compensation paid to Optionee pursuant to the Plan, and Optionee agrees to comply with any Company request or demand for recoupment.</w:t>
      </w:r>
    </w:p>
    <w:p>
      <w:pPr>
        <w:spacing w:after="0" w:line="146" w:lineRule="exact"/>
        <w:rPr>
          <w:rFonts w:ascii="Arial" w:cs="Arial" w:eastAsia="Arial" w:hAnsi="Arial"/>
          <w:sz w:val="16"/>
          <w:szCs w:val="16"/>
          <w:color w:val="auto"/>
        </w:rPr>
      </w:pPr>
    </w:p>
    <w:p>
      <w:pPr>
        <w:jc w:val="both"/>
        <w:ind w:firstLine="656"/>
        <w:spacing w:after="0" w:line="312" w:lineRule="auto"/>
        <w:tabs>
          <w:tab w:leader="none" w:pos="1053" w:val="left"/>
        </w:tabs>
        <w:numPr>
          <w:ilvl w:val="0"/>
          <w:numId w:val="73"/>
        </w:numPr>
        <w:rPr>
          <w:rFonts w:ascii="Arial" w:cs="Arial" w:eastAsia="Arial" w:hAnsi="Arial"/>
          <w:sz w:val="16"/>
          <w:szCs w:val="16"/>
          <w:color w:val="auto"/>
        </w:rPr>
      </w:pPr>
      <w:r>
        <w:rPr>
          <w:rFonts w:ascii="Arial" w:cs="Arial" w:eastAsia="Arial" w:hAnsi="Arial"/>
          <w:sz w:val="16"/>
          <w:szCs w:val="16"/>
          <w:color w:val="auto"/>
        </w:rPr>
        <w:t>In selling the "Shares" upon Optionee's exercise of his/her Options, Hershey is fulfilling in full its contractual obligation to Optionee by making such transfer, and Hershey shall have no further obligations or duties with respect thereto and is discharged and released from the same. The Company makes no representations to Optionee regarding the market price of the Shares or the information which is available to Optionee regarding the Shares.</w:t>
      </w:r>
    </w:p>
    <w:p>
      <w:pPr>
        <w:spacing w:after="0" w:line="146" w:lineRule="exact"/>
        <w:rPr>
          <w:rFonts w:ascii="Arial" w:cs="Arial" w:eastAsia="Arial" w:hAnsi="Arial"/>
          <w:sz w:val="16"/>
          <w:szCs w:val="16"/>
          <w:color w:val="auto"/>
        </w:rPr>
      </w:pPr>
    </w:p>
    <w:p>
      <w:pPr>
        <w:ind w:right="20" w:firstLine="656"/>
        <w:spacing w:after="0" w:line="277" w:lineRule="auto"/>
        <w:tabs>
          <w:tab w:leader="none" w:pos="1052"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Optionee may be restricted by the Company in its sole judgment from exercising any of the Options to the extent necessary to comply with insider trading or other provisions of federal or state securities laws.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8" w:right="239" w:bottom="1440" w:gutter="0" w:footer="0" w:header="0"/>
        </w:sectPr>
      </w:pPr>
    </w:p>
    <w:bookmarkStart w:id="116" w:name="page117"/>
    <w:bookmarkEnd w:id="116"/>
    <w:p>
      <w:pPr>
        <w:jc w:val="both"/>
        <w:ind w:firstLine="656"/>
        <w:spacing w:after="0" w:line="259" w:lineRule="auto"/>
        <w:tabs>
          <w:tab w:leader="none" w:pos="106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Optionee agrees that, at any time after his/her termination of employment from Hershey, he/she will cooperate with the Company in (i) all investigations of any kind, (ii) helping to prepare and review documents and meetings with Company attorneys, and (iii) providing truthful testimony as a witness or a declarant during discovery and/or trial in connection with any present or future court, administrative, agency or arbitration proceeding involving the Company and with respect to which Optionee has relevant information.</w:t>
      </w:r>
    </w:p>
    <w:p>
      <w:pPr>
        <w:spacing w:after="0" w:line="186" w:lineRule="exact"/>
        <w:rPr>
          <w:rFonts w:ascii="Arial" w:cs="Arial" w:eastAsia="Arial" w:hAnsi="Arial"/>
          <w:sz w:val="18"/>
          <w:szCs w:val="18"/>
          <w:color w:val="auto"/>
        </w:rPr>
      </w:pPr>
    </w:p>
    <w:p>
      <w:pPr>
        <w:jc w:val="both"/>
        <w:ind w:firstLine="656"/>
        <w:spacing w:after="0" w:line="297" w:lineRule="auto"/>
        <w:tabs>
          <w:tab w:leader="none" w:pos="1186"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award of Options and all terms and conditions related thereto, including those of the Plan, shall be governed by the laws of the Commonwealth of Pennsylvania. Optionee expressly consents that: (a) any action or proceeding relating to a breach or the enforceability of these terms and conditions will be brought only in the federal or state courts, as appropriate, located in the Commonwealth of Pennsylvania; and (b) any such action or proceeding will be heard without a jury. Optionee expressly waives the right to bring any such action in any other jurisdiction and to have such action heard before a jury regardless of where such action is filed. The Plan shall control in the event there is a conflict between the Plan and these terms and conditions.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8"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10.13(b)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 Crystal A Drive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Hershey, Pennsylvania 17033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Notice of Award of Performance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220" w:hanging="212"/>
        <w:spacing w:after="0"/>
        <w:tabs>
          <w:tab w:leader="none" w:pos="220"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EFFECTIVE DATE AND CONTINGENT TARGET AWARD</w:t>
      </w:r>
      <w:r>
        <w:rPr>
          <w:rFonts w:ascii="Arial" w:cs="Arial" w:eastAsia="Arial" w:hAnsi="Arial"/>
          <w:sz w:val="17"/>
          <w:szCs w:val="17"/>
          <w:color w:val="auto"/>
        </w:rPr>
        <w:t>. Effective _____________ (the “Grant Date”), Grantee will be awarded __________</w:t>
      </w:r>
    </w:p>
    <w:p>
      <w:pPr>
        <w:spacing w:after="0" w:line="34" w:lineRule="exact"/>
        <w:rPr>
          <w:rFonts w:ascii="Arial" w:cs="Arial" w:eastAsia="Arial" w:hAnsi="Arial"/>
          <w:sz w:val="17"/>
          <w:szCs w:val="17"/>
          <w:color w:val="auto"/>
        </w:rPr>
      </w:pPr>
    </w:p>
    <w:p>
      <w:pPr>
        <w:jc w:val="both"/>
        <w:spacing w:after="0" w:line="295" w:lineRule="auto"/>
        <w:rPr>
          <w:rFonts w:ascii="Arial" w:cs="Arial" w:eastAsia="Arial" w:hAnsi="Arial"/>
          <w:sz w:val="17"/>
          <w:szCs w:val="17"/>
          <w:color w:val="auto"/>
        </w:rPr>
      </w:pPr>
      <w:r>
        <w:rPr>
          <w:rFonts w:ascii="Arial" w:cs="Arial" w:eastAsia="Arial" w:hAnsi="Arial"/>
          <w:sz w:val="16"/>
          <w:szCs w:val="16"/>
          <w:color w:val="auto"/>
        </w:rPr>
        <w:t>contingent target Performance Stock Units (“PSUs”) pursuant to the terms of this agreement. The actual number of PSUs earned may be equal to, exceed or be less than the contingent target award, and will be based upon the Company’s attainment of the performance goals approved for the three-year performance cycle commencing in the year of the Grant Date (the “Performance Cycle”). Each earned PSU represents the right to receive one share of Hershey Common Stock, $1.00 par value, at a future date and time, subject to the terms of this Notice of Award of Performance Stock Units (the “Notice of Award”).</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Grantee will have forty-five (45) days to accept the terms of this Notice of Award. By accepting the award of PSUs under this Notice of Award, Grantee accepts and agrees to: (i) these terms and conditions, (ii) the terms and conditions of The Hershey Company Equity and Incentive Compensation Plan (“EICP”), which are incorporated herein by reference, and (iii) as applicable, the terms and conditions of The Hershey Company Deferred Compensation Plan, which are incorporated herein by reference. This award of PSUs is expressly contingent upon Grantee agreeing to the obligations contained herein. Failure to agree to all the terms and conditions set forth herein in the form presented by The Hershey Company (“Hershey”) shall result in the PSUs being cancelled, with no benefit to Grantee.</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terms of this Notice of Award extend not only to the Grantee and Hershey, but also to Hershey’s past and present affiliated and related companies, subsidiaries, joint ventures, affiliated entities, parent companies and its and their respective successors and assigns, its and their past, present and future benefit and severance plans, including the EICP and the terms and conditions of The Hershey Company Deferred Compensation Plan, and their representatives, agents, trustees, officials, shareholders, officers, directors, employees, attorneys, benefit plan administrators and fiduciaries, both past and present, in their individual or representative capacities, and all of their successors and assigns (collectively with Hershey, the “Company ”).</w:t>
      </w:r>
    </w:p>
    <w:p>
      <w:pPr>
        <w:spacing w:after="0" w:line="173" w:lineRule="exact"/>
        <w:rPr>
          <w:sz w:val="20"/>
          <w:szCs w:val="20"/>
          <w:color w:val="auto"/>
        </w:rPr>
      </w:pPr>
    </w:p>
    <w:p>
      <w:pPr>
        <w:ind w:firstLine="8"/>
        <w:spacing w:after="0" w:line="277" w:lineRule="auto"/>
        <w:tabs>
          <w:tab w:leader="none" w:pos="18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Wherever used herein, the following terms shall have the meanings set forth below. </w:t>
      </w:r>
      <w:r>
        <w:rPr>
          <w:rFonts w:ascii="Arial" w:cs="Arial" w:eastAsia="Arial" w:hAnsi="Arial"/>
          <w:sz w:val="18"/>
          <w:szCs w:val="18"/>
          <w:b w:val="1"/>
          <w:bCs w:val="1"/>
          <w:i w:val="1"/>
          <w:iCs w:val="1"/>
          <w:color w:val="auto"/>
        </w:rPr>
        <w:t>Capitalized terms not otherwise defined in this Notice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of Award shall have the same meanings as set forth in the EICP.</w:t>
      </w:r>
    </w:p>
    <w:p>
      <w:pPr>
        <w:spacing w:after="0" w:line="170" w:lineRule="exact"/>
        <w:rPr>
          <w:rFonts w:ascii="Arial" w:cs="Arial" w:eastAsia="Arial" w:hAnsi="Arial"/>
          <w:sz w:val="18"/>
          <w:szCs w:val="18"/>
          <w:color w:val="auto"/>
        </w:rPr>
      </w:pPr>
    </w:p>
    <w:p>
      <w:pPr>
        <w:ind w:firstLine="656"/>
        <w:spacing w:after="0" w:line="277" w:lineRule="auto"/>
        <w:tabs>
          <w:tab w:leader="none" w:pos="946" w:val="left"/>
        </w:tabs>
        <w:numPr>
          <w:ilvl w:val="2"/>
          <w:numId w:val="76"/>
        </w:numPr>
        <w:rPr>
          <w:rFonts w:ascii="Arial" w:cs="Arial" w:eastAsia="Arial" w:hAnsi="Arial"/>
          <w:sz w:val="18"/>
          <w:szCs w:val="18"/>
          <w:color w:val="auto"/>
        </w:rPr>
      </w:pPr>
      <w:r>
        <w:rPr>
          <w:rFonts w:ascii="Arial" w:cs="Arial" w:eastAsia="Arial" w:hAnsi="Arial"/>
          <w:sz w:val="18"/>
          <w:szCs w:val="18"/>
          <w:color w:val="auto"/>
        </w:rPr>
        <w:t>“Business Relationships” means the Company’s relationships with customers, suppliers, agents, licensees, licensors and others that likewise give the Company a competitive advantage.</w:t>
      </w:r>
    </w:p>
    <w:p>
      <w:pPr>
        <w:spacing w:after="0" w:line="386" w:lineRule="exact"/>
        <w:rPr>
          <w:rFonts w:ascii="Arial" w:cs="Arial" w:eastAsia="Arial" w:hAnsi="Arial"/>
          <w:sz w:val="18"/>
          <w:szCs w:val="18"/>
          <w:color w:val="auto"/>
        </w:rPr>
      </w:pPr>
    </w:p>
    <w:p>
      <w:pPr>
        <w:ind w:left="480" w:hanging="292"/>
        <w:spacing w:after="0"/>
        <w:tabs>
          <w:tab w:leader="none" w:pos="480" w:val="left"/>
        </w:tabs>
        <w:numPr>
          <w:ilvl w:val="1"/>
          <w:numId w:val="76"/>
        </w:numPr>
        <w:rPr>
          <w:rFonts w:ascii="Arial" w:cs="Arial" w:eastAsia="Arial" w:hAnsi="Arial"/>
          <w:sz w:val="18"/>
          <w:szCs w:val="18"/>
          <w:color w:val="auto"/>
        </w:rPr>
      </w:pPr>
      <w:r>
        <w:rPr>
          <w:rFonts w:ascii="Arial" w:cs="Arial" w:eastAsia="Arial" w:hAnsi="Arial"/>
          <w:sz w:val="18"/>
          <w:szCs w:val="18"/>
          <w:color w:val="auto"/>
        </w:rPr>
        <w:t>“Committee” means the Compensation and Executive Organization Committee of the Board of Directors.</w:t>
      </w:r>
    </w:p>
    <w:p>
      <w:pPr>
        <w:spacing w:after="0" w:line="225" w:lineRule="exact"/>
        <w:rPr>
          <w:rFonts w:ascii="Arial" w:cs="Arial" w:eastAsia="Arial" w:hAnsi="Arial"/>
          <w:sz w:val="18"/>
          <w:szCs w:val="18"/>
          <w:color w:val="auto"/>
        </w:rPr>
      </w:pPr>
    </w:p>
    <w:p>
      <w:pPr>
        <w:jc w:val="both"/>
        <w:ind w:firstLine="656"/>
        <w:spacing w:after="0" w:line="257" w:lineRule="auto"/>
        <w:tabs>
          <w:tab w:leader="none" w:pos="960" w:val="left"/>
        </w:tabs>
        <w:numPr>
          <w:ilvl w:val="2"/>
          <w:numId w:val="77"/>
        </w:numPr>
        <w:rPr>
          <w:rFonts w:ascii="Arial" w:cs="Arial" w:eastAsia="Arial" w:hAnsi="Arial"/>
          <w:sz w:val="18"/>
          <w:szCs w:val="18"/>
          <w:color w:val="auto"/>
        </w:rPr>
      </w:pPr>
      <w:r>
        <w:rPr>
          <w:rFonts w:ascii="Arial" w:cs="Arial" w:eastAsia="Arial" w:hAnsi="Arial"/>
          <w:sz w:val="18"/>
          <w:szCs w:val="18"/>
          <w:color w:val="auto"/>
        </w:rPr>
        <w:t>“Competing Business” means any business, person, entity or group of business entities, regardless of whether organized as a corporation, partnership (general or limited), joint venture, association or other organization that (i) conducts or is planning to conduct a business similar to and/or in competition with any business conducted or planned by the Company and for which Grantee was employed or performed services in a job or had knowledge of the operations of such business(es) over the last two (2) years of Grantee’s employment with Hershey, or (ii) designs, develops, produces, offers for sale or sells a product or service that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118" w:name="page119"/>
    <w:bookmarkEnd w:id="118"/>
    <w:p>
      <w:pPr>
        <w:jc w:val="both"/>
        <w:spacing w:after="0" w:line="257" w:lineRule="auto"/>
        <w:rPr>
          <w:sz w:val="20"/>
          <w:szCs w:val="20"/>
          <w:color w:val="auto"/>
        </w:rPr>
      </w:pPr>
      <w:r>
        <w:rPr>
          <w:rFonts w:ascii="Arial" w:cs="Arial" w:eastAsia="Arial" w:hAnsi="Arial"/>
          <w:sz w:val="18"/>
          <w:szCs w:val="18"/>
          <w:color w:val="auto"/>
        </w:rPr>
        <w:t>can be used as a substitute for or is generally intended to satisfy the same customer needs for, any one or more products or services designed, developed, manufactured, produced or offered for sale or sold by the Company for which Grantee was employed or performed services in a job or had knowledge of the operations of such business(es) of the Company during the two (2) years prior to the termination of Grantee’s employment with Hershey. Grantee acknowledges that he/she will be deemed to have such knowledge if Grantee received, was in possession of or otherwise had access to Confidential Information regarding such business.</w:t>
      </w:r>
    </w:p>
    <w:p>
      <w:pPr>
        <w:spacing w:after="0" w:line="188" w:lineRule="exact"/>
        <w:rPr>
          <w:sz w:val="20"/>
          <w:szCs w:val="20"/>
          <w:color w:val="auto"/>
        </w:rPr>
      </w:pPr>
    </w:p>
    <w:p>
      <w:pPr>
        <w:jc w:val="both"/>
        <w:ind w:firstLine="656"/>
        <w:spacing w:after="0" w:line="297" w:lineRule="auto"/>
        <w:tabs>
          <w:tab w:leader="none" w:pos="943" w:val="left"/>
        </w:tabs>
        <w:numPr>
          <w:ilvl w:val="1"/>
          <w:numId w:val="78"/>
        </w:numPr>
        <w:rPr>
          <w:rFonts w:ascii="Arial" w:cs="Arial" w:eastAsia="Arial" w:hAnsi="Arial"/>
          <w:sz w:val="16"/>
          <w:szCs w:val="16"/>
          <w:color w:val="auto"/>
        </w:rPr>
      </w:pPr>
      <w:r>
        <w:rPr>
          <w:rFonts w:ascii="Arial" w:cs="Arial" w:eastAsia="Arial" w:hAnsi="Arial"/>
          <w:sz w:val="16"/>
          <w:szCs w:val="16"/>
          <w:color w:val="auto"/>
        </w:rPr>
        <w:t>“Confidential Information” means trade secrets and other confidential and proprietary information relating to the Company’s business, including, but not limited to, information about Hershey’s manufacturing processes; manuals, recipes and ingredient percentages; engineering drawings; product and process research and development; new product information; cost information; supplier data; strategic business information; information related to Hershey’s legal strategies or legal advice rendered to Hershey; marketing, financial and business development information, plans, forecasts, reports and budgets; customer information; new product strategies, plans and project activities; and acquisition and divestiture strategies, plans and project activities.</w:t>
      </w:r>
    </w:p>
    <w:p>
      <w:pPr>
        <w:spacing w:after="0" w:line="158" w:lineRule="exact"/>
        <w:rPr>
          <w:rFonts w:ascii="Arial" w:cs="Arial" w:eastAsia="Arial" w:hAnsi="Arial"/>
          <w:sz w:val="16"/>
          <w:szCs w:val="16"/>
          <w:color w:val="auto"/>
        </w:rPr>
      </w:pPr>
    </w:p>
    <w:p>
      <w:pPr>
        <w:ind w:left="940" w:hanging="284"/>
        <w:spacing w:after="0"/>
        <w:tabs>
          <w:tab w:leader="none" w:pos="940" w:val="left"/>
        </w:tabs>
        <w:numPr>
          <w:ilvl w:val="1"/>
          <w:numId w:val="78"/>
        </w:numPr>
        <w:rPr>
          <w:rFonts w:ascii="Arial" w:cs="Arial" w:eastAsia="Arial" w:hAnsi="Arial"/>
          <w:sz w:val="16"/>
          <w:szCs w:val="16"/>
          <w:color w:val="auto"/>
        </w:rPr>
      </w:pPr>
      <w:r>
        <w:rPr>
          <w:rFonts w:ascii="Arial" w:cs="Arial" w:eastAsia="Arial" w:hAnsi="Arial"/>
          <w:sz w:val="16"/>
          <w:szCs w:val="16"/>
          <w:color w:val="auto"/>
        </w:rPr>
        <w:t>“Deferred Compensation Plan” means The Hershey Company Deferred Compensation Plan and any successor or replacement plan thereof.</w:t>
      </w:r>
    </w:p>
    <w:p>
      <w:pPr>
        <w:spacing w:after="0" w:line="248" w:lineRule="exact"/>
        <w:rPr>
          <w:rFonts w:ascii="Arial" w:cs="Arial" w:eastAsia="Arial" w:hAnsi="Arial"/>
          <w:sz w:val="16"/>
          <w:szCs w:val="16"/>
          <w:color w:val="auto"/>
        </w:rPr>
      </w:pPr>
    </w:p>
    <w:p>
      <w:pPr>
        <w:jc w:val="both"/>
        <w:ind w:firstLine="656"/>
        <w:spacing w:after="0" w:line="264" w:lineRule="auto"/>
        <w:tabs>
          <w:tab w:leader="none" w:pos="914" w:val="left"/>
        </w:tabs>
        <w:numPr>
          <w:ilvl w:val="1"/>
          <w:numId w:val="78"/>
        </w:numPr>
        <w:rPr>
          <w:rFonts w:ascii="Arial" w:cs="Arial" w:eastAsia="Arial" w:hAnsi="Arial"/>
          <w:sz w:val="18"/>
          <w:szCs w:val="18"/>
          <w:color w:val="auto"/>
        </w:rPr>
      </w:pPr>
      <w:r>
        <w:rPr>
          <w:rFonts w:ascii="Arial" w:cs="Arial" w:eastAsia="Arial" w:hAnsi="Arial"/>
          <w:sz w:val="18"/>
          <w:szCs w:val="18"/>
          <w:color w:val="auto"/>
        </w:rPr>
        <w:t>“Disabled” means Grantee is, by reason of any medically determinable physical or mental impairment which can be expected to result in death or can be expected to last for a continuous period of not less than 12 months, receiving income replacement benefits for a period of not less than three months under an accident and health plan covering employees of the Company.</w:t>
      </w:r>
    </w:p>
    <w:p>
      <w:pPr>
        <w:spacing w:after="0" w:line="181" w:lineRule="exact"/>
        <w:rPr>
          <w:rFonts w:ascii="Arial" w:cs="Arial" w:eastAsia="Arial" w:hAnsi="Arial"/>
          <w:sz w:val="18"/>
          <w:szCs w:val="18"/>
          <w:color w:val="auto"/>
        </w:rPr>
      </w:pPr>
    </w:p>
    <w:p>
      <w:pPr>
        <w:jc w:val="both"/>
        <w:ind w:firstLine="656"/>
        <w:spacing w:after="0" w:line="279" w:lineRule="auto"/>
        <w:tabs>
          <w:tab w:leader="none" w:pos="972" w:val="left"/>
        </w:tabs>
        <w:numPr>
          <w:ilvl w:val="1"/>
          <w:numId w:val="78"/>
        </w:numPr>
        <w:rPr>
          <w:rFonts w:ascii="Arial" w:cs="Arial" w:eastAsia="Arial" w:hAnsi="Arial"/>
          <w:sz w:val="17"/>
          <w:szCs w:val="17"/>
          <w:color w:val="auto"/>
        </w:rPr>
      </w:pPr>
      <w:r>
        <w:rPr>
          <w:rFonts w:ascii="Arial" w:cs="Arial" w:eastAsia="Arial" w:hAnsi="Arial"/>
          <w:sz w:val="17"/>
          <w:szCs w:val="17"/>
          <w:color w:val="auto"/>
        </w:rPr>
        <w:t>“Key Employee” means a “specified employee” under Internal Revenue Code (“Code”) section 409A(a)(2)(B)(i) (i.e., a key employee (as defined in Code section 416(i) (without regard to paragraph (5) thereof)) of a corporation any stock in which is publicly traded on an established securities market or otherwise) and applicable Treasury regulations and other guidance under Code section 409A. Key Employees shall be determined in accordance with Code section 409A and pursuant to the methodology established by the Employee Benefits Committee.</w:t>
      </w:r>
    </w:p>
    <w:p>
      <w:pPr>
        <w:spacing w:after="0" w:line="171" w:lineRule="exact"/>
        <w:rPr>
          <w:rFonts w:ascii="Arial" w:cs="Arial" w:eastAsia="Arial" w:hAnsi="Arial"/>
          <w:sz w:val="17"/>
          <w:szCs w:val="17"/>
          <w:color w:val="auto"/>
        </w:rPr>
      </w:pPr>
    </w:p>
    <w:p>
      <w:pPr>
        <w:ind w:firstLine="656"/>
        <w:spacing w:after="0" w:line="277" w:lineRule="auto"/>
        <w:tabs>
          <w:tab w:leader="none" w:pos="952" w:val="left"/>
        </w:tabs>
        <w:numPr>
          <w:ilvl w:val="1"/>
          <w:numId w:val="78"/>
        </w:numPr>
        <w:rPr>
          <w:rFonts w:ascii="Arial" w:cs="Arial" w:eastAsia="Arial" w:hAnsi="Arial"/>
          <w:sz w:val="18"/>
          <w:szCs w:val="18"/>
          <w:color w:val="auto"/>
        </w:rPr>
      </w:pPr>
      <w:r>
        <w:rPr>
          <w:rFonts w:ascii="Arial" w:cs="Arial" w:eastAsia="Arial" w:hAnsi="Arial"/>
          <w:sz w:val="18"/>
          <w:szCs w:val="18"/>
          <w:color w:val="auto"/>
        </w:rPr>
        <w:t>Wherever reference is made to “performance metric,” the reference is intended to refer to a Performance Goal and the performance period (the Performance Cycle or a calendar year within the Performance Cycle) over which attainment of the Performance Goal is measured.</w:t>
      </w:r>
    </w:p>
    <w:p>
      <w:pPr>
        <w:spacing w:after="0" w:line="170" w:lineRule="exact"/>
        <w:rPr>
          <w:rFonts w:ascii="Arial" w:cs="Arial" w:eastAsia="Arial" w:hAnsi="Arial"/>
          <w:sz w:val="18"/>
          <w:szCs w:val="18"/>
          <w:color w:val="auto"/>
        </w:rPr>
      </w:pPr>
    </w:p>
    <w:p>
      <w:pPr>
        <w:ind w:firstLine="656"/>
        <w:spacing w:after="0" w:line="277" w:lineRule="auto"/>
        <w:tabs>
          <w:tab w:leader="none" w:pos="879" w:val="left"/>
        </w:tabs>
        <w:numPr>
          <w:ilvl w:val="1"/>
          <w:numId w:val="78"/>
        </w:numPr>
        <w:rPr>
          <w:rFonts w:ascii="Arial" w:cs="Arial" w:eastAsia="Arial" w:hAnsi="Arial"/>
          <w:sz w:val="18"/>
          <w:szCs w:val="18"/>
          <w:color w:val="auto"/>
        </w:rPr>
      </w:pPr>
      <w:r>
        <w:rPr>
          <w:rFonts w:ascii="Arial" w:cs="Arial" w:eastAsia="Arial" w:hAnsi="Arial"/>
          <w:sz w:val="18"/>
          <w:szCs w:val="18"/>
          <w:color w:val="auto"/>
        </w:rPr>
        <w:t>“EICP” means The Hershey Company Equity and Incentive Compensation Plan, as in effect from time to time and any successor or replacement plan thereof.</w:t>
      </w:r>
    </w:p>
    <w:p>
      <w:pPr>
        <w:spacing w:after="0" w:line="170" w:lineRule="exact"/>
        <w:rPr>
          <w:rFonts w:ascii="Arial" w:cs="Arial" w:eastAsia="Arial" w:hAnsi="Arial"/>
          <w:sz w:val="18"/>
          <w:szCs w:val="18"/>
          <w:color w:val="auto"/>
        </w:rPr>
      </w:pPr>
    </w:p>
    <w:p>
      <w:pPr>
        <w:ind w:right="20" w:firstLine="656"/>
        <w:spacing w:after="0" w:line="277" w:lineRule="auto"/>
        <w:tabs>
          <w:tab w:leader="none" w:pos="891" w:val="left"/>
        </w:tabs>
        <w:numPr>
          <w:ilvl w:val="1"/>
          <w:numId w:val="78"/>
        </w:numPr>
        <w:rPr>
          <w:rFonts w:ascii="Arial" w:cs="Arial" w:eastAsia="Arial" w:hAnsi="Arial"/>
          <w:sz w:val="18"/>
          <w:szCs w:val="18"/>
          <w:color w:val="auto"/>
        </w:rPr>
      </w:pPr>
      <w:r>
        <w:rPr>
          <w:rFonts w:ascii="Arial" w:cs="Arial" w:eastAsia="Arial" w:hAnsi="Arial"/>
          <w:sz w:val="18"/>
          <w:szCs w:val="18"/>
          <w:color w:val="auto"/>
        </w:rPr>
        <w:t>A Grantee is “Retirement Eligible” on and after the date the Grantee has both attained his or her 55th birthday and been continuously employed by Hershey for at least five (5) years.</w:t>
      </w:r>
    </w:p>
    <w:p>
      <w:pPr>
        <w:spacing w:after="0" w:line="170" w:lineRule="exact"/>
        <w:rPr>
          <w:rFonts w:ascii="Arial" w:cs="Arial" w:eastAsia="Arial" w:hAnsi="Arial"/>
          <w:sz w:val="18"/>
          <w:szCs w:val="18"/>
          <w:color w:val="auto"/>
        </w:rPr>
      </w:pPr>
    </w:p>
    <w:p>
      <w:pPr>
        <w:ind w:left="960" w:hanging="304"/>
        <w:spacing w:after="0"/>
        <w:tabs>
          <w:tab w:leader="none" w:pos="9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“Material Contact” means contact for the purpose of furthering the Company’s business.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1"/>
          <w:numId w:val="78"/>
        </w:numPr>
        <w:rPr>
          <w:rFonts w:ascii="Arial" w:cs="Arial" w:eastAsia="Arial" w:hAnsi="Arial"/>
          <w:sz w:val="18"/>
          <w:szCs w:val="18"/>
          <w:color w:val="auto"/>
        </w:rPr>
      </w:pPr>
      <w:r>
        <w:rPr>
          <w:rFonts w:ascii="Arial" w:cs="Arial" w:eastAsia="Arial" w:hAnsi="Arial"/>
          <w:sz w:val="18"/>
          <w:szCs w:val="18"/>
          <w:color w:val="auto"/>
        </w:rPr>
        <w:t>“Separation from Service” or “Separate from Service” means a “separation from service” within the meaning of Code section 409A.</w:t>
      </w:r>
    </w:p>
    <w:p>
      <w:pPr>
        <w:spacing w:after="0" w:line="225" w:lineRule="exact"/>
        <w:rPr>
          <w:rFonts w:ascii="Arial" w:cs="Arial" w:eastAsia="Arial" w:hAnsi="Arial"/>
          <w:sz w:val="18"/>
          <w:szCs w:val="18"/>
          <w:color w:val="auto"/>
        </w:rPr>
      </w:pPr>
    </w:p>
    <w:p>
      <w:pPr>
        <w:jc w:val="both"/>
        <w:ind w:firstLine="8"/>
        <w:spacing w:after="0" w:line="312" w:lineRule="auto"/>
        <w:tabs>
          <w:tab w:leader="none" w:pos="180"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VESTING DATE</w:t>
      </w:r>
      <w:r>
        <w:rPr>
          <w:rFonts w:ascii="Arial" w:cs="Arial" w:eastAsia="Arial" w:hAnsi="Arial"/>
          <w:sz w:val="16"/>
          <w:szCs w:val="16"/>
          <w:color w:val="auto"/>
        </w:rPr>
        <w:t>. On December 31 of the final year of the Performance Cycle (the “Vesting Date”), the Grantee shall vest in the number of PSUs earned based on the Company’s actual performance during the Performance Cycle relative to each performance metric, provided that the Grantee has remained in continuous employment with the Company from the Grant Date through such date and has accepted and agreed to all terms and conditions in this agreement.</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event of a Change in Control, vesting of PSUs, if any, shall be determined in accordance with paragraph 15 of the EICP. In accordance with paragraph 15 of the EICP, if the PSUs are assumed or replaced, or remain outstanding, such that the PSUs as assumed, replaced or continued qualify as a Replacement Award under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016" w:right="239" w:bottom="1440" w:gutter="0" w:footer="0" w:header="0"/>
        </w:sectPr>
      </w:pPr>
    </w:p>
    <w:bookmarkStart w:id="119" w:name="page120"/>
    <w:bookmarkEnd w:id="119"/>
    <w:p>
      <w:pPr>
        <w:jc w:val="both"/>
        <w:spacing w:after="0" w:line="291" w:lineRule="auto"/>
        <w:rPr>
          <w:sz w:val="20"/>
          <w:szCs w:val="20"/>
          <w:color w:val="auto"/>
        </w:rPr>
      </w:pPr>
      <w:r>
        <w:rPr>
          <w:rFonts w:ascii="Arial" w:cs="Arial" w:eastAsia="Arial" w:hAnsi="Arial"/>
          <w:sz w:val="16"/>
          <w:szCs w:val="16"/>
          <w:color w:val="auto"/>
        </w:rPr>
        <w:t>paragraph 15 of the EICP, the occurrence of the Change in Control shall not affect the vesting or payment of the PSUs which shall then constitute a Replaced Award as defined in the EICP. However, if within two (2) years following the Change in Control and prior to the Vesting Date, Grantee's employment is terminated by the Company for any reason other than for Cause (as defined in the EICP), by the Grantee for Good Reason (as defined in the EICP), as a result of Grantee 's death or as a result of Grantee becoming Disabled, the Grantee shall immediately vest in the Replacement Award upon such termination based on the provisions of The Hershey Company Executive Benefits Protection Plan (“EBPP”) applicable to Grantee. Notwithstanding the foregoing, if the Committee determines that the PSUs are not replaced in connection with a Change in Control with awards meeting the requirements for Replacement Awards, the Grantee shall vest in the PSUs and receive payment in accordance with the provisions of the EBPP applicable to Grantee.</w:t>
      </w:r>
    </w:p>
    <w:p>
      <w:pPr>
        <w:spacing w:after="0" w:line="16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If prior to the Vesting Date, the Grantee’s employment with the Company terminates for any reason, then the PSUs subject to this Notice of Award shall terminate and be completely forfeited on the date of such termination of the Grantee’s employment unless the Grantee is entitled to vesting with respect to the PSUs under the terms of the EICP or other Company-sponsored plan or agreement or as described in this paragraph 3 relating to a Change in Control, paragraph 4 below relating to special vesting conditions or paragraph 13(G) below relating to Foreign Nationals, in which case such vesting of the PSUs will be in accordance with the terms of this Notice of Award or the applicable plan, agreement or local law. Notwithstanding anything in the EICP or this Notice of Award to the contrary, if the Grantee is terminated for Cause (as defined in the EICP) from the Company prior to payment pursuant to paragraph 6, all of the PSUs will immediately and automatically without any action on the part of the Grantee or the Company, be forfeited by the Grantee.</w:t>
      </w:r>
    </w:p>
    <w:p>
      <w:pPr>
        <w:spacing w:after="0" w:line="167" w:lineRule="exact"/>
        <w:rPr>
          <w:sz w:val="20"/>
          <w:szCs w:val="20"/>
          <w:color w:val="auto"/>
        </w:rPr>
      </w:pPr>
    </w:p>
    <w:p>
      <w:pPr>
        <w:ind w:left="180" w:hanging="172"/>
        <w:spacing w:after="0"/>
        <w:tabs>
          <w:tab w:leader="none" w:pos="18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SPECIAL VESTING CONDITIONS</w:t>
      </w:r>
      <w:r>
        <w:rPr>
          <w:rFonts w:ascii="Arial" w:cs="Arial" w:eastAsia="Arial" w:hAnsi="Arial"/>
          <w:sz w:val="18"/>
          <w:szCs w:val="18"/>
          <w:color w:val="auto"/>
        </w:rPr>
        <w:t>. The Committee has determined that the following special vesting conditions shall apply to this award.</w:t>
      </w:r>
    </w:p>
    <w:p>
      <w:pPr>
        <w:spacing w:after="0" w:line="225" w:lineRule="exact"/>
        <w:rPr>
          <w:rFonts w:ascii="Arial" w:cs="Arial" w:eastAsia="Arial" w:hAnsi="Arial"/>
          <w:sz w:val="18"/>
          <w:szCs w:val="18"/>
          <w:color w:val="auto"/>
        </w:rPr>
      </w:pPr>
    </w:p>
    <w:p>
      <w:pPr>
        <w:jc w:val="both"/>
        <w:ind w:left="660" w:hanging="4"/>
        <w:spacing w:after="0" w:line="255" w:lineRule="auto"/>
        <w:tabs>
          <w:tab w:leader="none" w:pos="969" w:val="left"/>
        </w:tabs>
        <w:numPr>
          <w:ilvl w:val="1"/>
          <w:numId w:val="80"/>
        </w:numPr>
        <w:rPr>
          <w:rFonts w:ascii="Arial" w:cs="Arial" w:eastAsia="Arial" w:hAnsi="Arial"/>
          <w:sz w:val="18"/>
          <w:szCs w:val="18"/>
          <w:color w:val="auto"/>
        </w:rPr>
      </w:pPr>
      <w:r>
        <w:rPr>
          <w:rFonts w:ascii="Arial" w:cs="Arial" w:eastAsia="Arial" w:hAnsi="Arial"/>
          <w:sz w:val="18"/>
          <w:szCs w:val="18"/>
          <w:color w:val="auto"/>
        </w:rPr>
        <w:t>If the Grantee’s employment with the Company terminates (i) as a result of the Grantee’s death or (ii) solely as a result of Grantee becoming Disabled, then the Grantee will vest immediately on the date of such termination in a prorated portion of the PSUs allocated to each performance metric in effect as of the date of employment termination and the number of PSUs earned, if any, will be determined based on Hershey’s financial statement accruals through the completed fiscal quarter immediately preceding termination of employment for each performance metric, provided, if such termination occurs during the first fiscal quarter, the number of earned PSUs will be based on the target number of PSUs allocated to each such performance metric.</w:t>
      </w:r>
    </w:p>
    <w:p>
      <w:pPr>
        <w:spacing w:after="0" w:line="193" w:lineRule="exact"/>
        <w:rPr>
          <w:rFonts w:ascii="Arial" w:cs="Arial" w:eastAsia="Arial" w:hAnsi="Arial"/>
          <w:sz w:val="18"/>
          <w:szCs w:val="18"/>
          <w:color w:val="auto"/>
        </w:rPr>
      </w:pPr>
    </w:p>
    <w:p>
      <w:pPr>
        <w:jc w:val="both"/>
        <w:ind w:left="660" w:hanging="4"/>
        <w:spacing w:after="0" w:line="286" w:lineRule="auto"/>
        <w:tabs>
          <w:tab w:leader="none" w:pos="968" w:val="left"/>
        </w:tabs>
        <w:numPr>
          <w:ilvl w:val="1"/>
          <w:numId w:val="80"/>
        </w:numPr>
        <w:rPr>
          <w:rFonts w:ascii="Arial" w:cs="Arial" w:eastAsia="Arial" w:hAnsi="Arial"/>
          <w:sz w:val="17"/>
          <w:szCs w:val="17"/>
          <w:color w:val="auto"/>
        </w:rPr>
      </w:pPr>
      <w:r>
        <w:rPr>
          <w:rFonts w:ascii="Arial" w:cs="Arial" w:eastAsia="Arial" w:hAnsi="Arial"/>
          <w:sz w:val="17"/>
          <w:szCs w:val="17"/>
          <w:color w:val="auto"/>
        </w:rPr>
        <w:t>If the Grantee’s employment with the Company terminates (other than for Cause (as defined in the EICP)) when the Grantee is Retirement Eligible, then the Grantee will vest upon the Vesting Date in a prorated portion of the PSUs allocated to each performance metric and the number of PSUs earned, if any, will be based on Hershey’s actual performance during the Performance Cycle for each performance metric.</w:t>
      </w:r>
    </w:p>
    <w:p>
      <w:pPr>
        <w:spacing w:after="0" w:line="165" w:lineRule="exact"/>
        <w:rPr>
          <w:rFonts w:ascii="Arial" w:cs="Arial" w:eastAsia="Arial" w:hAnsi="Arial"/>
          <w:sz w:val="17"/>
          <w:szCs w:val="17"/>
          <w:color w:val="auto"/>
        </w:rPr>
      </w:pPr>
    </w:p>
    <w:p>
      <w:pPr>
        <w:jc w:val="both"/>
        <w:ind w:left="660" w:hanging="4"/>
        <w:spacing w:after="0" w:line="254" w:lineRule="auto"/>
        <w:tabs>
          <w:tab w:leader="none" w:pos="946"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prorated portion of the earned PSUs allocated to each performance metric, determined as described in paragraphs 4(A) and 4(B) above, shall be equal to the number of PSUs allocated at the start of the Performance Cycle to such performance metric multiplied by a fraction, the numerator of which equals the number of full and partial calendar months during the performance period (the Performance Cycle or a calendar year within the Performance Cycle, as applicable) for such performance metric preceding the date of the Grantee’s termination and the denominator of which equals the number of months in the performance period for such performance metric. Any fractional share resulting from such calculations shall be eliminated by rounding down to the nearest whole number for each performance metric. Any PSUs subject to this Notice of Award in excess of the prorated amounts shall not vest pursuant to paragraph 4(A) or 4(B) but instead shall terminate and be completely forfeited as of the date of termination.</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017" w:right="239" w:bottom="1440" w:gutter="0" w:footer="0" w:header="0"/>
        </w:sectPr>
      </w:pPr>
    </w:p>
    <w:bookmarkStart w:id="120" w:name="page121"/>
    <w:bookmarkEnd w:id="120"/>
    <w:p>
      <w:pPr>
        <w:jc w:val="both"/>
        <w:ind w:firstLine="8"/>
        <w:spacing w:after="0" w:line="255" w:lineRule="auto"/>
        <w:tabs>
          <w:tab w:leader="none" w:pos="18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DETERMINATION OF EARNED PSUs</w:t>
      </w:r>
      <w:r>
        <w:rPr>
          <w:rFonts w:ascii="Arial" w:cs="Arial" w:eastAsia="Arial" w:hAnsi="Arial"/>
          <w:sz w:val="18"/>
          <w:szCs w:val="18"/>
          <w:color w:val="auto"/>
        </w:rPr>
        <w:t>. The number of PSUs earned, if any, with respect to each performance metric shall be determined following the conclusion of the Performance Cycle (and, if applicable, any performance period ending in the Performance Cycle), based upon achievement against the applicable Performance Goals. Any fractional share resulting from such calculations shall be eliminated by rounding to the nearest whole number for each performance metric. The determination of earned PSUs and the prorated amounts under paragraph 4(A) and 4(C) in the event of Grantee’s termination due to death or becoming Disabled will be made within 60 days following such termination. The final determination of the number of PSUs earned is subject to review, approval and modification by the Committee.</w:t>
      </w:r>
    </w:p>
    <w:p>
      <w:pPr>
        <w:spacing w:after="0" w:line="193" w:lineRule="exact"/>
        <w:rPr>
          <w:rFonts w:ascii="Arial" w:cs="Arial" w:eastAsia="Arial" w:hAnsi="Arial"/>
          <w:sz w:val="18"/>
          <w:szCs w:val="18"/>
          <w:color w:val="auto"/>
        </w:rPr>
      </w:pPr>
    </w:p>
    <w:p>
      <w:pPr>
        <w:jc w:val="both"/>
        <w:ind w:firstLine="8"/>
        <w:spacing w:after="0" w:line="272" w:lineRule="auto"/>
        <w:tabs>
          <w:tab w:leader="none" w:pos="180" w:val="left"/>
        </w:tabs>
        <w:numPr>
          <w:ilvl w:val="0"/>
          <w:numId w:val="81"/>
        </w:numPr>
        <w:rPr>
          <w:rFonts w:ascii="Arial" w:cs="Arial" w:eastAsia="Arial" w:hAnsi="Arial"/>
          <w:sz w:val="17"/>
          <w:szCs w:val="17"/>
          <w:color w:val="auto"/>
        </w:rPr>
      </w:pPr>
      <w:r>
        <w:rPr>
          <w:rFonts w:ascii="Arial" w:cs="Arial" w:eastAsia="Arial" w:hAnsi="Arial"/>
          <w:sz w:val="17"/>
          <w:szCs w:val="17"/>
          <w:u w:val="single" w:color="auto"/>
          <w:color w:val="auto"/>
        </w:rPr>
        <w:t>PAYMENT OF AWARD</w:t>
      </w:r>
      <w:r>
        <w:rPr>
          <w:rFonts w:ascii="Arial" w:cs="Arial" w:eastAsia="Arial" w:hAnsi="Arial"/>
          <w:sz w:val="17"/>
          <w:szCs w:val="17"/>
          <w:color w:val="auto"/>
        </w:rPr>
        <w:t>. Unless deferred under the Deferred Compensation Plan, earned PSUs that have vested (“Vested Units”) shall be paid in the form of a share of Common Stock, unless prohibited by applicable local law or as otherwise provided by the Committee or other applicable agreement or the EBPP, in which case the Vested Units will be paid in the cash equivalent, effective as of (A) the date the Committee approves the number of PSUs earned for the Performance Cycle (or, if earlier, the date the award vests in accordance with the provisions of paragraph 3 applicable upon a Change in Control), (B) the date of Grantee’s death, or (C) the date Grantee becomes Disabled. In the event payment is made pursuant to clause (A) above, such payment shall be made as soon as practicable following the Vesting Date and the Committee’s approval of the number of PSUs earned, but in no event later than March 15 following the calendar year in which the applicable date occurs. In the event payment is made pursuant to clause (B) or (C) above, such payment shall be made on or before the sixtieth (60</w:t>
      </w:r>
      <w:r>
        <w:rPr>
          <w:rFonts w:ascii="Arial" w:cs="Arial" w:eastAsia="Arial" w:hAnsi="Arial"/>
          <w:sz w:val="24"/>
          <w:szCs w:val="24"/>
          <w:color w:val="auto"/>
          <w:vertAlign w:val="superscript"/>
        </w:rPr>
        <w:t>th</w:t>
      </w:r>
      <w:r>
        <w:rPr>
          <w:rFonts w:ascii="Arial" w:cs="Arial" w:eastAsia="Arial" w:hAnsi="Arial"/>
          <w:sz w:val="17"/>
          <w:szCs w:val="17"/>
          <w:color w:val="auto"/>
        </w:rPr>
        <w:t>) day following the date of the applicable event.</w:t>
      </w:r>
    </w:p>
    <w:p>
      <w:pPr>
        <w:spacing w:after="0" w:line="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Notwithstanding the foregoing, distributions due to a Separation from Service may not be made to a Key Employee before the date which is six months after the date of the Key Employee’s Separation from Service (or, if earlier, the date of death of the Key Employee). Any payments that would otherwise be made during this period of delay as a result of the Grantee’s Separation from Service shall be accumulated and paid within fifteen (15) days after the first day of the seventh month following the Grantee’s Separation from Service (or, if earlier, on or before the first day of the third month after the Participant’s death).</w:t>
      </w:r>
    </w:p>
    <w:p>
      <w:pPr>
        <w:spacing w:after="0" w:line="154" w:lineRule="exact"/>
        <w:rPr>
          <w:sz w:val="20"/>
          <w:szCs w:val="20"/>
          <w:color w:val="auto"/>
        </w:rPr>
      </w:pPr>
    </w:p>
    <w:p>
      <w:pPr>
        <w:jc w:val="both"/>
        <w:ind w:firstLine="8"/>
        <w:spacing w:after="0" w:line="283" w:lineRule="auto"/>
        <w:tabs>
          <w:tab w:leader="none" w:pos="180"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NON-COMPETITION</w:t>
      </w:r>
      <w:r>
        <w:rPr>
          <w:rFonts w:ascii="Arial" w:cs="Arial" w:eastAsia="Arial" w:hAnsi="Arial"/>
          <w:sz w:val="16"/>
          <w:szCs w:val="16"/>
          <w:color w:val="auto"/>
        </w:rPr>
        <w:t>. Grantee acknowledges that due to the nature of his/her employment with Hershey, he/she has and will have access to, contact with, and Confidential Information about the Company’s business and Business Relationships. Grantee acknowledges that the Company has incurred considerable expense and invested considerable time and resources in developing its Confidential Information and Business Relationships, and that such Confidential Information and Business Relationships are critical to the success of the Company’s business. Accordingly, both (i) during the term of his/her employment with Hershey, and (ii) for a period of twelve (12) months following the termination of his/her employment, Grantee, except in the performance of his/her duties to Hershey, shall not, without the prior written consent of Hershey’s Chief Human Resources Officer, directly or indirectly serve or act in a consulting, employee or managerial capacity, or engage in oversight of any person who serves or acts in a consulting, employee or managerial capacity, as an officer, director, employee, consultant, advisor, independent contractor, agent or representative of a Competing Business. This restriction shall apply to any Competing Business that conducts business or plans to conduct business in the same or substantially similar geographic area in which Grantee was employed or, directly or indirectly, performed services for Hershey during the two years prior to his/her termination of Grantee’s employment. Grantee acknowledges:</w:t>
      </w:r>
    </w:p>
    <w:p>
      <w:pPr>
        <w:spacing w:after="0" w:line="5" w:lineRule="exact"/>
        <w:rPr>
          <w:rFonts w:ascii="Arial" w:cs="Arial" w:eastAsia="Arial" w:hAnsi="Arial"/>
          <w:sz w:val="16"/>
          <w:szCs w:val="16"/>
          <w:color w:val="auto"/>
        </w:rPr>
      </w:pPr>
    </w:p>
    <w:p>
      <w:pPr>
        <w:jc w:val="both"/>
        <w:spacing w:after="0" w:line="270" w:lineRule="auto"/>
        <w:rPr>
          <w:rFonts w:ascii="Arial" w:cs="Arial" w:eastAsia="Arial" w:hAnsi="Arial"/>
          <w:sz w:val="16"/>
          <w:szCs w:val="16"/>
          <w:color w:val="auto"/>
        </w:rPr>
      </w:pPr>
      <w:r>
        <w:rPr>
          <w:rFonts w:ascii="Arial" w:cs="Arial" w:eastAsia="Arial" w:hAnsi="Arial"/>
          <w:sz w:val="17"/>
          <w:szCs w:val="17"/>
          <w:color w:val="auto"/>
        </w:rPr>
        <w:t>(i) that the Company’s business is conducted throughout the United States and the world, (ii) notwithstanding the state of incorporation or principal office of Hershey, it is expected that the Company will have business activities and have valuable business relationships within its industry throughout the United States and around the world, and (iii) as part of Grantee’s responsibilities, Grantee has conducted or may conduct business throughout the United States and around the world in furtherance of the Company’s business and its relationships. Grantee further acknowledges and understands that if he/she has any question about whether any prior position which Grantee has held at the Company over the last two (2) years subjects Grantee to specific restrictions, and will be used to identify Competing Business(es), Grantee should contact his/her Human Resource representative at Hershey.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016" w:right="239" w:bottom="1440" w:gutter="0" w:footer="0" w:header="0"/>
        </w:sectPr>
      </w:pPr>
    </w:p>
    <w:bookmarkStart w:id="121" w:name="page122"/>
    <w:bookmarkEnd w:id="121"/>
    <w:p>
      <w:pPr>
        <w:jc w:val="both"/>
        <w:ind w:firstLine="8"/>
        <w:spacing w:after="0" w:line="255" w:lineRule="auto"/>
        <w:tabs>
          <w:tab w:leader="none" w:pos="207"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NON-SOLICITATION</w:t>
      </w:r>
      <w:r>
        <w:rPr>
          <w:rFonts w:ascii="Arial" w:cs="Arial" w:eastAsia="Arial" w:hAnsi="Arial"/>
          <w:sz w:val="18"/>
          <w:szCs w:val="18"/>
          <w:color w:val="auto"/>
        </w:rPr>
        <w:t>. Grantee acknowledges that the Company has invested and will invest significant time and money to recruit and retain its employees and to develop valuable, continuing relationships with existing and prospective clients and customers of the Company. Accordingly, recognizing that Grantee has obtained and will obtain valuable information about employees of the Company and their respective talents and areas of expertise and information about the Company’s customers, suppliers, business partners, and/or vendors and their requirements, Grantee agrees both (i) during the term of his/her employment, and (ii) for a period of twelve (12) months following his/her termination of employment, Grantee, except in the performance of his/her duties to Hershey, shall not directly or indirectly (including as an officer, director, employee, consultant, advisor, agent or representative), for himself/herself or on behalf of any other person or entity:</w:t>
      </w:r>
    </w:p>
    <w:p>
      <w:pPr>
        <w:spacing w:after="0" w:line="189" w:lineRule="exact"/>
        <w:rPr>
          <w:rFonts w:ascii="Arial" w:cs="Arial" w:eastAsia="Arial" w:hAnsi="Arial"/>
          <w:sz w:val="18"/>
          <w:szCs w:val="18"/>
          <w:color w:val="auto"/>
        </w:rPr>
      </w:pPr>
    </w:p>
    <w:p>
      <w:pPr>
        <w:jc w:val="both"/>
        <w:ind w:left="660" w:firstLine="50"/>
        <w:spacing w:after="0" w:line="312" w:lineRule="auto"/>
        <w:tabs>
          <w:tab w:leader="none" w:pos="1036" w:val="left"/>
        </w:tabs>
        <w:numPr>
          <w:ilvl w:val="2"/>
          <w:numId w:val="83"/>
        </w:numPr>
        <w:rPr>
          <w:rFonts w:ascii="Arial" w:cs="Arial" w:eastAsia="Arial" w:hAnsi="Arial"/>
          <w:sz w:val="16"/>
          <w:szCs w:val="16"/>
          <w:color w:val="auto"/>
        </w:rPr>
      </w:pPr>
      <w:r>
        <w:rPr>
          <w:rFonts w:ascii="Arial" w:cs="Arial" w:eastAsia="Arial" w:hAnsi="Arial"/>
          <w:sz w:val="16"/>
          <w:szCs w:val="16"/>
          <w:color w:val="auto"/>
        </w:rPr>
        <w:t>for any purpose that is in competition with any of the aspects of the Company’s business, solicit, take away or engage, or participate in soliciting, taking away or engaging, any current or potential customers, suppliers, agents, licensees or licensors of the Company with whom Grantee had contact while employed by Hershey, or about whom Grantee had access to Confidential Information as a result of Grantee’s employment; or</w:t>
      </w:r>
    </w:p>
    <w:p>
      <w:pPr>
        <w:spacing w:after="0" w:line="146" w:lineRule="exact"/>
        <w:rPr>
          <w:rFonts w:ascii="Arial" w:cs="Arial" w:eastAsia="Arial" w:hAnsi="Arial"/>
          <w:sz w:val="16"/>
          <w:szCs w:val="16"/>
          <w:color w:val="auto"/>
        </w:rPr>
      </w:pPr>
    </w:p>
    <w:p>
      <w:pPr>
        <w:jc w:val="both"/>
        <w:ind w:left="660" w:hanging="4"/>
        <w:spacing w:after="0" w:line="276" w:lineRule="auto"/>
        <w:tabs>
          <w:tab w:leader="none" w:pos="958" w:val="left"/>
        </w:tabs>
        <w:numPr>
          <w:ilvl w:val="1"/>
          <w:numId w:val="83"/>
        </w:numPr>
        <w:rPr>
          <w:rFonts w:ascii="Arial" w:cs="Arial" w:eastAsia="Arial" w:hAnsi="Arial"/>
          <w:sz w:val="17"/>
          <w:szCs w:val="17"/>
          <w:color w:val="auto"/>
        </w:rPr>
      </w:pPr>
      <w:r>
        <w:rPr>
          <w:rFonts w:ascii="Arial" w:cs="Arial" w:eastAsia="Arial" w:hAnsi="Arial"/>
          <w:sz w:val="17"/>
          <w:szCs w:val="17"/>
          <w:color w:val="auto"/>
        </w:rPr>
        <w:t>recruit, hire, or attempt to recruit or hire, or solicit or encourage to leave their employment with the Company (either directly or by assisting others), any Company employee with whom Grantee had Material Contact during the last two (2) years of Grantee’s employment with Hershey. Notwithstanding the foregoing, this paragraph shall not be violated by (i) general advertising or solicitation not specifically targeted at employees of the Company, or (ii) actions taken by any person or entity with which Grantee is associated if Grantee is not directly or indirectly involved in any manner in the matter and has not identified such employee of the Company for recruiting or solicitation.</w:t>
      </w:r>
    </w:p>
    <w:p>
      <w:pPr>
        <w:spacing w:after="0" w:line="172" w:lineRule="exact"/>
        <w:rPr>
          <w:rFonts w:ascii="Arial" w:cs="Arial" w:eastAsia="Arial" w:hAnsi="Arial"/>
          <w:sz w:val="17"/>
          <w:szCs w:val="17"/>
          <w:color w:val="auto"/>
        </w:rPr>
      </w:pPr>
    </w:p>
    <w:p>
      <w:pPr>
        <w:jc w:val="both"/>
        <w:ind w:firstLine="8"/>
        <w:spacing w:after="0" w:line="269" w:lineRule="auto"/>
        <w:tabs>
          <w:tab w:leader="none" w:pos="180" w:val="left"/>
        </w:tabs>
        <w:numPr>
          <w:ilvl w:val="0"/>
          <w:numId w:val="83"/>
        </w:numPr>
        <w:rPr>
          <w:rFonts w:ascii="Arial" w:cs="Arial" w:eastAsia="Arial" w:hAnsi="Arial"/>
          <w:sz w:val="17"/>
          <w:szCs w:val="17"/>
          <w:color w:val="auto"/>
        </w:rPr>
      </w:pPr>
      <w:r>
        <w:rPr>
          <w:rFonts w:ascii="Arial" w:cs="Arial" w:eastAsia="Arial" w:hAnsi="Arial"/>
          <w:sz w:val="17"/>
          <w:szCs w:val="17"/>
          <w:u w:val="single" w:color="auto"/>
          <w:color w:val="auto"/>
        </w:rPr>
        <w:t>NON-DISCLOSURE OF CONFIDENTIAL INFORMATION</w:t>
      </w:r>
      <w:r>
        <w:rPr>
          <w:rFonts w:ascii="Arial" w:cs="Arial" w:eastAsia="Arial" w:hAnsi="Arial"/>
          <w:sz w:val="17"/>
          <w:szCs w:val="17"/>
          <w:color w:val="auto"/>
        </w:rPr>
        <w:t>. Grantee acknowledges that due to the nature of his/her employment and the position of trust that he/she holds or will hold with Hershey, he/she will have access to, learn, be provided with, and in some cases will prepare and create for the Company, Confidential Information. Grantee acknowledges and agrees that Confidential Information, whether or not in written form, is the exclusive property of Hershey, that it has been and will continue to be of critical importance to the business of Hershey, and that the disclosure of it will cause the Company substantial and irreparable harm. Accordingly, Grantee will not, either during his/her employment or at any time after the termination of his/her employment with Hershey, use or disclose any Confidential Information relating to the business of the Company which is not generally available to the public. Notwithstanding the foregoing provisions of this paragraph 9, Grantee may disclose or use any such information (i) when such disclosure or use may be required or appropriate in the good faith judgment of Grantee in the course of performing his/her duties to Hershey and in accordance with Hershey policies and procedures, (ii) when required by a court of law, by any governmental agency having supervisory authority over Grantee or the business of Hershey, or by any administrative or legislative body (including a committee thereof) with apparent jurisdiction, or (iii) with the prior written consent of Hershey’s General Counsel. Notwithstanding anything herein to the contrary, Grantee understands and agrees that his/her obligations under this Agreement shall be in addition to, rather than in lieu of, any obligations Grantee may have under any applicable statute or at common law.</w:t>
      </w:r>
    </w:p>
    <w:p>
      <w:pPr>
        <w:spacing w:after="0" w:line="179" w:lineRule="exact"/>
        <w:rPr>
          <w:rFonts w:ascii="Arial" w:cs="Arial" w:eastAsia="Arial" w:hAnsi="Arial"/>
          <w:sz w:val="17"/>
          <w:szCs w:val="17"/>
          <w:color w:val="auto"/>
        </w:rPr>
      </w:pPr>
    </w:p>
    <w:p>
      <w:pPr>
        <w:ind w:left="420" w:hanging="412"/>
        <w:spacing w:after="0"/>
        <w:tabs>
          <w:tab w:leader="none" w:pos="42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ADDITIONAL RESTRICTIONS AND LIMITATIONS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hanging="4"/>
        <w:spacing w:after="0" w:line="308" w:lineRule="auto"/>
        <w:tabs>
          <w:tab w:leader="none" w:pos="969" w:val="left"/>
        </w:tabs>
        <w:numPr>
          <w:ilvl w:val="1"/>
          <w:numId w:val="83"/>
        </w:numPr>
        <w:rPr>
          <w:rFonts w:ascii="Arial" w:cs="Arial" w:eastAsia="Arial" w:hAnsi="Arial"/>
          <w:sz w:val="17"/>
          <w:szCs w:val="17"/>
          <w:color w:val="auto"/>
        </w:rPr>
      </w:pPr>
      <w:r>
        <w:rPr>
          <w:rFonts w:ascii="Arial" w:cs="Arial" w:eastAsia="Arial" w:hAnsi="Arial"/>
          <w:sz w:val="17"/>
          <w:szCs w:val="17"/>
          <w:color w:val="auto"/>
        </w:rPr>
        <w:t>To the extent that no PSUs are earned or the Grantee does not vest in any PSUs, all interest in such units and any related shares of Common Stock shall be forfeited. The Grantee shall have no right or interest in any PSU or related share of Common Stock that is forfeited.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963" w:val="left"/>
        </w:tabs>
        <w:numPr>
          <w:ilvl w:val="1"/>
          <w:numId w:val="83"/>
        </w:numPr>
        <w:rPr>
          <w:rFonts w:ascii="Arial" w:cs="Arial" w:eastAsia="Arial" w:hAnsi="Arial"/>
          <w:sz w:val="18"/>
          <w:szCs w:val="18"/>
          <w:color w:val="auto"/>
        </w:rPr>
      </w:pPr>
      <w:r>
        <w:rPr>
          <w:rFonts w:ascii="Arial" w:cs="Arial" w:eastAsia="Arial" w:hAnsi="Arial"/>
          <w:sz w:val="18"/>
          <w:szCs w:val="18"/>
          <w:color w:val="auto"/>
        </w:rPr>
        <w:t>Upon each issuance or transfer of shares of Common Stock in accordance with this Notice of Award, a number of Vested Units equal to the number of shares of Common Stock issued or transferred to the Grantee shall be extinguished and such number of Vested Units will not be considered to be held by the Grantee for any purpose.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33" w:right="239" w:bottom="1440" w:gutter="0" w:footer="0" w:header="0"/>
        </w:sectPr>
      </w:pPr>
    </w:p>
    <w:bookmarkStart w:id="122" w:name="page123"/>
    <w:bookmarkEnd w:id="122"/>
    <w:p>
      <w:pPr>
        <w:ind w:left="280" w:hanging="272"/>
        <w:spacing w:after="0"/>
        <w:tabs>
          <w:tab w:leader="none" w:pos="28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hanging="4"/>
        <w:spacing w:after="0" w:line="342" w:lineRule="auto"/>
        <w:tabs>
          <w:tab w:leader="none" w:pos="959" w:val="left"/>
        </w:tabs>
        <w:numPr>
          <w:ilvl w:val="1"/>
          <w:numId w:val="84"/>
        </w:numPr>
        <w:rPr>
          <w:rFonts w:ascii="Arial" w:cs="Arial" w:eastAsia="Arial" w:hAnsi="Arial"/>
          <w:sz w:val="16"/>
          <w:szCs w:val="16"/>
          <w:color w:val="auto"/>
        </w:rPr>
      </w:pPr>
      <w:r>
        <w:rPr>
          <w:rFonts w:ascii="Arial" w:cs="Arial" w:eastAsia="Arial" w:hAnsi="Arial"/>
          <w:sz w:val="16"/>
          <w:szCs w:val="16"/>
          <w:color w:val="auto"/>
        </w:rPr>
        <w:t>The Company’s obligation to deliver shares of Common Stock or cash to settle the Vested Units shall be subject to the satisfaction of applicable tax withholding requirements. The Grantee may pay to the Company any applicable withholding tax due as a result of such payment.</w:t>
      </w:r>
    </w:p>
    <w:p>
      <w:pPr>
        <w:spacing w:after="0" w:line="123" w:lineRule="exact"/>
        <w:rPr>
          <w:rFonts w:ascii="Arial" w:cs="Arial" w:eastAsia="Arial" w:hAnsi="Arial"/>
          <w:sz w:val="16"/>
          <w:szCs w:val="16"/>
          <w:color w:val="auto"/>
        </w:rPr>
      </w:pPr>
    </w:p>
    <w:p>
      <w:pPr>
        <w:ind w:left="660" w:hanging="4"/>
        <w:spacing w:after="0" w:line="308" w:lineRule="auto"/>
        <w:tabs>
          <w:tab w:leader="none" w:pos="948" w:val="left"/>
        </w:tabs>
        <w:numPr>
          <w:ilvl w:val="1"/>
          <w:numId w:val="84"/>
        </w:numPr>
        <w:rPr>
          <w:rFonts w:ascii="Arial" w:cs="Arial" w:eastAsia="Arial" w:hAnsi="Arial"/>
          <w:sz w:val="17"/>
          <w:szCs w:val="17"/>
          <w:color w:val="auto"/>
        </w:rPr>
      </w:pPr>
      <w:r>
        <w:rPr>
          <w:rFonts w:ascii="Arial" w:cs="Arial" w:eastAsia="Arial" w:hAnsi="Arial"/>
          <w:sz w:val="17"/>
          <w:szCs w:val="17"/>
          <w:color w:val="auto"/>
        </w:rPr>
        <w:t>Unless the Grantee has otherwise paid the withholding tax due, the Company shall withhold from any cash which may be paid and/or reduce the number of shares of Common Stock issued to the Grantee to satisfy the minimum applicable tax withholding requirements.</w:t>
      </w:r>
    </w:p>
    <w:p>
      <w:pPr>
        <w:spacing w:after="0" w:line="146" w:lineRule="exact"/>
        <w:rPr>
          <w:rFonts w:ascii="Arial" w:cs="Arial" w:eastAsia="Arial" w:hAnsi="Arial"/>
          <w:sz w:val="17"/>
          <w:szCs w:val="17"/>
          <w:color w:val="auto"/>
        </w:rPr>
      </w:pPr>
    </w:p>
    <w:p>
      <w:pPr>
        <w:ind w:firstLine="8"/>
        <w:spacing w:after="0" w:line="277" w:lineRule="auto"/>
        <w:tabs>
          <w:tab w:leader="none" w:pos="283"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OTHER LAWS</w:t>
      </w:r>
      <w:r>
        <w:rPr>
          <w:rFonts w:ascii="Arial" w:cs="Arial" w:eastAsia="Arial" w:hAnsi="Arial"/>
          <w:sz w:val="18"/>
          <w:szCs w:val="18"/>
          <w:color w:val="auto"/>
        </w:rPr>
        <w:t>. The Company shall have the right to refuse to issue or transfer any shares under this Notice of Award if the Company acting in its absolute discretion determines that the issuance or transfer of such Common Stock might violate any applicable law or regulation.</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hanging="4"/>
        <w:spacing w:after="0" w:line="267" w:lineRule="auto"/>
        <w:tabs>
          <w:tab w:leader="none" w:pos="970" w:val="left"/>
        </w:tabs>
        <w:numPr>
          <w:ilvl w:val="1"/>
          <w:numId w:val="84"/>
        </w:numPr>
        <w:rPr>
          <w:rFonts w:ascii="Arial" w:cs="Arial" w:eastAsia="Arial" w:hAnsi="Arial"/>
          <w:sz w:val="17"/>
          <w:szCs w:val="17"/>
          <w:color w:val="auto"/>
        </w:rPr>
      </w:pPr>
      <w:r>
        <w:rPr>
          <w:rFonts w:ascii="Arial" w:cs="Arial" w:eastAsia="Arial" w:hAnsi="Arial"/>
          <w:sz w:val="17"/>
          <w:szCs w:val="17"/>
          <w:color w:val="auto"/>
        </w:rPr>
        <w:t>This Notice of Award shall be subject to all of the provisions, definitions, terms and conditions set forth in the EICP and any interpretations, rules and regulations promulgated by the Committee from time to time, all of which are incorporated by reference in this Notice of Award. By accepting the PSUs awarded herewith, Grantee acknowledges and agrees that the PSUs are awarded under and governed by the terms and conditions set forth in this document and in the EICP, and the Employee Confidentiality and Restrictive Covenant Agreement (or similar or successor agreement), if any, applicable to Grantee. Any dispute or disagreement which shall arise under, as a result of, or in any way relate to the interpretation, construction or administration of the EICP or the PSUs awarded thereunder shall be determined in all cases and for all purposes by the Committee or any successor committee, and any such determination shall be final, binding and conclusive for all purposes. In the event of any conflict between this Notice of Award and the Employee Confidentiality and Restrictive Covenant Agreement (or similar or successor agreement), if any, applicable to Grantee, this Notice of Award shall govern. Grantee acknowledges that a remedy at law for any breach or threatened breach of this Notice of Award would be inadequate and therefore agrees that the Company shall be entitled to injunctive relief in case of any such breach or threatened breach. Grantee acknowledges and agrees that the Company may apply to any court of law or equity of competent jurisdiction for specific performance and/or injunctive relief (without posting a bond or other security) in order to enforce or prevent any violation of this Notice of Award and that money damages would not be an adequate remedy. Grantee acknowledges and agrees that a violation of this Notice of Award would cause irreparable harm to the Company. The Company’s right to injunctive relief shall be cumulative and in addition to any other remedies available by law or equity. If a court determines that Grantee has breached or threatened to breach this Notice of Award, Grantee agrees to reimburse the Company for all reasonable attorneys’ fees and costs incurred in enforcing its terms. However, nothing contained herein shall be construed as prohibiting the Company from pursuing any other available remedies for a breach, which may include, but not be limited to, contract damages, lost profits and punitive damages.</w:t>
      </w:r>
    </w:p>
    <w:p>
      <w:pPr>
        <w:spacing w:after="0" w:line="191" w:lineRule="exact"/>
        <w:rPr>
          <w:rFonts w:ascii="Arial" w:cs="Arial" w:eastAsia="Arial" w:hAnsi="Arial"/>
          <w:sz w:val="17"/>
          <w:szCs w:val="17"/>
          <w:color w:val="auto"/>
        </w:rPr>
      </w:pPr>
    </w:p>
    <w:p>
      <w:pPr>
        <w:jc w:val="both"/>
        <w:ind w:left="660" w:hanging="4"/>
        <w:spacing w:after="0" w:line="302" w:lineRule="auto"/>
        <w:tabs>
          <w:tab w:leader="none" w:pos="945" w:val="left"/>
        </w:tabs>
        <w:numPr>
          <w:ilvl w:val="1"/>
          <w:numId w:val="84"/>
        </w:numPr>
        <w:rPr>
          <w:rFonts w:ascii="Arial" w:cs="Arial" w:eastAsia="Arial" w:hAnsi="Arial"/>
          <w:sz w:val="16"/>
          <w:szCs w:val="16"/>
          <w:color w:val="auto"/>
        </w:rPr>
      </w:pPr>
      <w:r>
        <w:rPr>
          <w:rFonts w:ascii="Arial" w:cs="Arial" w:eastAsia="Arial" w:hAnsi="Arial"/>
          <w:sz w:val="16"/>
          <w:szCs w:val="16"/>
          <w:color w:val="auto"/>
        </w:rPr>
        <w:t>Grantee acknowledges and agrees that in addition to the relief described in paragraph 13(A), if the Committee determines, in its sole judgment, that Grantee has violated or threatened to violate the terms of this Notice of Award or the EICP, then Hershey may cancel any part of the award that has not vested. In addition, upon the request or direction of the Committee, Grantee shall also immediately deliver to Hershey, the cash equivalent of any PSUs that have vested and been distributed to Grantee under this Notice of Award, inclusive of any dividends paid on any vested shares.</w:t>
      </w:r>
    </w:p>
    <w:p>
      <w:pPr>
        <w:spacing w:after="0" w:line="154" w:lineRule="exact"/>
        <w:rPr>
          <w:rFonts w:ascii="Arial" w:cs="Arial" w:eastAsia="Arial" w:hAnsi="Arial"/>
          <w:sz w:val="16"/>
          <w:szCs w:val="16"/>
          <w:color w:val="auto"/>
        </w:rPr>
      </w:pPr>
    </w:p>
    <w:p>
      <w:pPr>
        <w:jc w:val="both"/>
        <w:ind w:left="660" w:hanging="4"/>
        <w:spacing w:after="0" w:line="264" w:lineRule="auto"/>
        <w:tabs>
          <w:tab w:leader="none" w:pos="958" w:val="left"/>
        </w:tabs>
        <w:numPr>
          <w:ilvl w:val="1"/>
          <w:numId w:val="84"/>
        </w:numPr>
        <w:rPr>
          <w:rFonts w:ascii="Arial" w:cs="Arial" w:eastAsia="Arial" w:hAnsi="Arial"/>
          <w:sz w:val="18"/>
          <w:szCs w:val="18"/>
          <w:color w:val="auto"/>
        </w:rPr>
      </w:pPr>
      <w:r>
        <w:rPr>
          <w:rFonts w:ascii="Arial" w:cs="Arial" w:eastAsia="Arial" w:hAnsi="Arial"/>
          <w:sz w:val="18"/>
          <w:szCs w:val="18"/>
          <w:color w:val="auto"/>
        </w:rPr>
        <w:t>Notwithstanding anything in the EICP or this Notice of Award to the contrary, Grantee acknowledges that the Company may be entitled or required by law or Hershey policy to recoup compensation paid to Grantee pursuant to the EICP, and Grantee agrees to comply with any Company request or demand for recoupment.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017" w:right="239" w:bottom="1440" w:gutter="0" w:footer="0" w:header="0"/>
        </w:sectPr>
      </w:pPr>
    </w:p>
    <w:bookmarkStart w:id="123" w:name="page124"/>
    <w:bookmarkEnd w:id="123"/>
    <w:p>
      <w:pPr>
        <w:jc w:val="both"/>
        <w:ind w:left="660" w:hanging="4"/>
        <w:spacing w:after="0" w:line="259" w:lineRule="auto"/>
        <w:tabs>
          <w:tab w:leader="none" w:pos="974" w:val="left"/>
        </w:tabs>
        <w:numPr>
          <w:ilvl w:val="1"/>
          <w:numId w:val="85"/>
        </w:numPr>
        <w:rPr>
          <w:rFonts w:ascii="Arial" w:cs="Arial" w:eastAsia="Arial" w:hAnsi="Arial"/>
          <w:sz w:val="18"/>
          <w:szCs w:val="18"/>
          <w:color w:val="auto"/>
        </w:rPr>
      </w:pPr>
      <w:r>
        <w:rPr>
          <w:rFonts w:ascii="Arial" w:cs="Arial" w:eastAsia="Arial" w:hAnsi="Arial"/>
          <w:sz w:val="18"/>
          <w:szCs w:val="18"/>
          <w:color w:val="auto"/>
        </w:rPr>
        <w:t>Grantee agrees that, at any time after Grantee’s termination of employment from Hershey, he/she will cooperate with the Company in (i) all investigations of any kind, (ii) helping to prepare and review documents and meetings with Company attorneys, and (iii) providing truthful testimony as a witness or a declarant during discovery and/or trial in connection with any present or future court, administrative, agency or arbitration proceeding involving the Company and with respect to which Grantee has relevant information</w:t>
      </w:r>
    </w:p>
    <w:p>
      <w:pPr>
        <w:spacing w:after="0" w:line="186" w:lineRule="exact"/>
        <w:rPr>
          <w:rFonts w:ascii="Arial" w:cs="Arial" w:eastAsia="Arial" w:hAnsi="Arial"/>
          <w:sz w:val="18"/>
          <w:szCs w:val="18"/>
          <w:color w:val="auto"/>
        </w:rPr>
      </w:pPr>
    </w:p>
    <w:p>
      <w:pPr>
        <w:jc w:val="both"/>
        <w:ind w:left="660" w:hanging="4"/>
        <w:spacing w:after="0" w:line="302" w:lineRule="auto"/>
        <w:tabs>
          <w:tab w:leader="none" w:pos="946" w:val="left"/>
        </w:tabs>
        <w:numPr>
          <w:ilvl w:val="1"/>
          <w:numId w:val="85"/>
        </w:numPr>
        <w:rPr>
          <w:rFonts w:ascii="Arial" w:cs="Arial" w:eastAsia="Arial" w:hAnsi="Arial"/>
          <w:sz w:val="16"/>
          <w:szCs w:val="16"/>
          <w:color w:val="auto"/>
        </w:rPr>
      </w:pPr>
      <w:r>
        <w:rPr>
          <w:rFonts w:ascii="Arial" w:cs="Arial" w:eastAsia="Arial" w:hAnsi="Arial"/>
          <w:sz w:val="16"/>
          <w:szCs w:val="16"/>
          <w:color w:val="auto"/>
        </w:rPr>
        <w:t>If one or more of the provisions of this Notice of Award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Notice of Award to be construed so as to foster the intent of this award and the EICP.</w:t>
      </w:r>
    </w:p>
    <w:p>
      <w:pPr>
        <w:spacing w:after="0" w:line="154" w:lineRule="exact"/>
        <w:rPr>
          <w:rFonts w:ascii="Arial" w:cs="Arial" w:eastAsia="Arial" w:hAnsi="Arial"/>
          <w:sz w:val="16"/>
          <w:szCs w:val="16"/>
          <w:color w:val="auto"/>
        </w:rPr>
      </w:pPr>
    </w:p>
    <w:p>
      <w:pPr>
        <w:ind w:left="660" w:hanging="4"/>
        <w:spacing w:after="0" w:line="277" w:lineRule="auto"/>
        <w:tabs>
          <w:tab w:leader="none" w:pos="950"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PSUs are intended to comply with Code section 409A and official guidance issued thereunder. Notwithstanding anything herein to the contrary, this Notice of Award shall be interpreted, operated and administered in a manner consistent with this intention.</w:t>
      </w:r>
    </w:p>
    <w:p>
      <w:pPr>
        <w:spacing w:after="0" w:line="170" w:lineRule="exact"/>
        <w:rPr>
          <w:rFonts w:ascii="Arial" w:cs="Arial" w:eastAsia="Arial" w:hAnsi="Arial"/>
          <w:sz w:val="18"/>
          <w:szCs w:val="18"/>
          <w:color w:val="auto"/>
        </w:rPr>
      </w:pPr>
    </w:p>
    <w:p>
      <w:pPr>
        <w:jc w:val="both"/>
        <w:ind w:left="660" w:hanging="4"/>
        <w:spacing w:after="0" w:line="272" w:lineRule="auto"/>
        <w:tabs>
          <w:tab w:leader="none" w:pos="959" w:val="left"/>
        </w:tabs>
        <w:numPr>
          <w:ilvl w:val="1"/>
          <w:numId w:val="85"/>
        </w:numPr>
        <w:rPr>
          <w:rFonts w:ascii="Arial" w:cs="Arial" w:eastAsia="Arial" w:hAnsi="Arial"/>
          <w:sz w:val="17"/>
          <w:szCs w:val="17"/>
          <w:color w:val="auto"/>
        </w:rPr>
      </w:pPr>
      <w:r>
        <w:rPr>
          <w:rFonts w:ascii="Arial" w:cs="Arial" w:eastAsia="Arial" w:hAnsi="Arial"/>
          <w:sz w:val="17"/>
          <w:szCs w:val="17"/>
          <w:color w:val="auto"/>
        </w:rPr>
        <w:t>Notwithstanding anything herein to the contrary, in the event the Grantee: (i) is an employee of the Company in a country other than the United States (a “Foreign National”), (ii) is not subject to the federal income tax laws of the United States (“U.S. Tax Law”) for purposes of these PSUs, and (iii) has certain rights in the vesting and payment of the PSUs upon termination of employment under the laws of the country in which Grantee is employed, the vesting and payment of any unvested PSUs will be in accordance with the terms of a severance agreement entered into between the Company and Grantee that complies with the laws of the country in which Grantee is employed or in the absence of a severance agreement, as may be required by the laws of such country; provided, however, if any PSUs, granted to such Foreign National, are subject to U.S. Tax Law, the payment of such PSUs shall be governed by the terms of this Notice of Award.</w:t>
      </w:r>
    </w:p>
    <w:p>
      <w:pPr>
        <w:spacing w:after="0" w:line="177" w:lineRule="exact"/>
        <w:rPr>
          <w:rFonts w:ascii="Arial" w:cs="Arial" w:eastAsia="Arial" w:hAnsi="Arial"/>
          <w:sz w:val="17"/>
          <w:szCs w:val="17"/>
          <w:color w:val="auto"/>
        </w:rPr>
      </w:pPr>
    </w:p>
    <w:p>
      <w:pPr>
        <w:jc w:val="both"/>
        <w:ind w:left="660" w:hanging="4"/>
        <w:spacing w:after="0" w:line="255" w:lineRule="auto"/>
        <w:tabs>
          <w:tab w:leader="none" w:pos="995"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award of PSUs and all terms and conditions related thereto, including those of the EICP, shall be governed by the laws of the Commonwealth of Pennsylvania. Grantee expressly consents that: (i) any action or proceeding relating to a breach or the enforceability of this Notice of Award will be brought only in the federal or state courts, as appropriate, located in the Commonwealth of Pennsylvania; and (ii) any such action or proceeding will be heard without a jury. Grantee expressly waives the right to bring any such action in any other jurisdiction and to have such action heard before a jury regardless of where such action is filed. The EICP shall control in the event there is a conflict between the EICP and these terms and conditions.</w:t>
      </w:r>
    </w:p>
    <w:p>
      <w:pPr>
        <w:spacing w:after="0" w:line="193" w:lineRule="exact"/>
        <w:rPr>
          <w:rFonts w:ascii="Arial" w:cs="Arial" w:eastAsia="Arial" w:hAnsi="Arial"/>
          <w:sz w:val="18"/>
          <w:szCs w:val="18"/>
          <w:color w:val="auto"/>
        </w:rPr>
      </w:pPr>
    </w:p>
    <w:p>
      <w:pPr>
        <w:jc w:val="both"/>
        <w:ind w:firstLine="8"/>
        <w:spacing w:after="0" w:line="264" w:lineRule="auto"/>
        <w:tabs>
          <w:tab w:leader="none" w:pos="297"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CONTACT INFORMATION</w:t>
      </w:r>
      <w:r>
        <w:rPr>
          <w:rFonts w:ascii="Arial" w:cs="Arial" w:eastAsia="Arial" w:hAnsi="Arial"/>
          <w:sz w:val="18"/>
          <w:szCs w:val="18"/>
          <w:color w:val="auto"/>
        </w:rPr>
        <w:t>. Copies of the EICP and Information Statement (Prospectus) for the EICP are available upon request from the myHR Support Center by calling 1-800-878-0440 or by email to myHR@hersheys.com. Contact the VP, Global Total Rewards for information relating to the performance metrics.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32"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10.21(b)</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EMPLOYEE CONFIDENTIALITY AND RESTRICTIVE COVENANT AGREEMENT</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EMPLOYEE  CONFIDENTIALITY  AND  RESTRICTIVE  COVENANT  AGREEMENT  (the  “Agreement”)  is  entered  into  as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____________ __, 20__ (the “Effective Date”), between The Hershey Company, a Delaware corporation (“Employer” or “Hershey”), and the undersigned</w:t>
      </w:r>
    </w:p>
    <w:p>
      <w:pPr>
        <w:spacing w:after="0" w:line="3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employee of Employer (“Employee”). This Agreement extends not only to Employee and Hershey, but also to Hershey’s past and present affiliated and related companies, subsidiaries, joint ventures, affiliated entities, parent companies and its and their respective successors and assigns, its and their past, present and future benefit and severance plans, including the Equity and Incentive Compensation Plan (“EICP”), and its and their representatives, agents, trustees, officials, shareholders, officers, directors, employees, attorneys, benefit plan administrators and fiduciaries, both past and present, in their individual or representative capacities, and all of their successors and assigns (collectively with Hershey, the “Company”).</w:t>
      </w:r>
    </w:p>
    <w:p>
      <w:pPr>
        <w:spacing w:after="0" w:line="1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Employee currently serves or is being hired or promoted to serve Hershey and has received and/or is eligible to receive current and future Options, RSU and/or PSU (as defined below) awards under the Long Term Incentive Program of the EICP or any similar or successor plan and/or is currently a participant in, or may become a participant in, the DB SERP and/or DC SERP (as defined below).</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Employer possesses certain valuable confidential, proprietary and/or trade secret information (collectively, “Confidential Information,” as further defined below) that gives Employer a competitive advantage.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WHEREAS, Employer has developed and maintained, at substantial expense and over a considerable period of time, Business Relationships.</w:t>
      </w:r>
    </w:p>
    <w:p>
      <w:pPr>
        <w:spacing w:after="0" w:line="23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as a result of Employee’s past, future, and/or continued employment, Employee has been and/or will be and/or will continue to be given access to, and has and/or will continue to assist in, the development and maintenance of Employer’s Confidential Information and Business Relationships, it is the parties’ intent to continue to safeguard such Confidential Information and Business Relationships both during and after the term of Employee’s employment with Employer.</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Employer’s reputation and present and future competitive position are dependent upon Employer’s ability to protect its interests in such Confidential Information and Business Relationships.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should Employee’s employment with Employer be terminated for any reason whatsoever, Employer desires: (1) to protect its Confidential Information; (2) to prevent the Employee from using or disclosing to others such Confidential Information; and (3) to limit Employee’s ability to solicit other employees, customers, suppliers, agents, licensees or licensors of Employer.</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NOW, THEREFORE, in consideration of (i) Employer employing Employee, (ii) Employer providing and continuing to provide Employee access to such Confidential Information and Business Relationships, (iii) Employer making Option awards, PSU awards, RSU awards and/or other equity awards to Employee under the next cycle and/or any future cycles in which Employee is eligible to participate, (iv) if applicable, Employer permitting Employee to participate in and be eligible to receive amounts in the future under defined benefit or defined contribution supplemental Employee retirement plans (DB SERP or DC SERP, as applicable), and/or (v) other good and valuable consideration, the sufficiency and receipt of which are hereby acknowledged, Employer and Employee agree as follows:</w:t>
      </w:r>
    </w:p>
    <w:p>
      <w:pPr>
        <w:spacing w:after="0" w:line="220" w:lineRule="exact"/>
        <w:rPr>
          <w:sz w:val="20"/>
          <w:szCs w:val="20"/>
          <w:color w:val="auto"/>
        </w:rPr>
      </w:pPr>
    </w:p>
    <w:p>
      <w:pPr>
        <w:jc w:val="both"/>
        <w:ind w:firstLine="656"/>
        <w:spacing w:after="0" w:line="311" w:lineRule="auto"/>
        <w:tabs>
          <w:tab w:leader="none" w:pos="1431" w:val="left"/>
        </w:tabs>
        <w:numPr>
          <w:ilvl w:val="0"/>
          <w:numId w:val="87"/>
        </w:numPr>
        <w:rPr>
          <w:rFonts w:ascii="Arial" w:cs="Arial" w:eastAsia="Arial" w:hAnsi="Arial"/>
          <w:sz w:val="18"/>
          <w:szCs w:val="18"/>
          <w:color w:val="auto"/>
        </w:rPr>
      </w:pPr>
      <w:r>
        <w:rPr>
          <w:rFonts w:ascii="Arial" w:cs="Arial" w:eastAsia="Arial" w:hAnsi="Arial"/>
          <w:sz w:val="18"/>
          <w:szCs w:val="18"/>
          <w:color w:val="auto"/>
        </w:rPr>
        <w:t>Scope. Employee agrees that he/she is entering into this Agreement knowingly and voluntarily on Employee’s own behalf and also on behalf of any heirs, agents, representatives, successors and assigns that Employee has now or may have in the future. Employee also agrees that this Agreement extends not only to Employee and Hershey, but also to the Company.</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580" w:right="239" w:bottom="1440" w:gutter="0" w:footer="0" w:header="0"/>
        </w:sectPr>
      </w:pPr>
    </w:p>
    <w:bookmarkStart w:id="125" w:name="page126"/>
    <w:bookmarkEnd w:id="125"/>
    <w:p>
      <w:pPr>
        <w:ind w:left="980" w:hanging="324"/>
        <w:spacing w:after="0"/>
        <w:tabs>
          <w:tab w:leader="none" w:pos="98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sz w:val="20"/>
          <w:szCs w:val="20"/>
          <w:color w:val="auto"/>
        </w:rPr>
      </w:pPr>
    </w:p>
    <w:p>
      <w:pPr>
        <w:ind w:firstLine="656"/>
        <w:spacing w:after="0" w:line="277" w:lineRule="auto"/>
        <w:tabs>
          <w:tab w:leader="none" w:pos="1137" w:val="left"/>
        </w:tabs>
        <w:numPr>
          <w:ilvl w:val="0"/>
          <w:numId w:val="89"/>
        </w:numPr>
        <w:rPr>
          <w:rFonts w:ascii="Arial" w:cs="Arial" w:eastAsia="Arial" w:hAnsi="Arial"/>
          <w:sz w:val="18"/>
          <w:szCs w:val="18"/>
          <w:color w:val="auto"/>
        </w:rPr>
      </w:pPr>
      <w:r>
        <w:rPr>
          <w:rFonts w:ascii="Arial" w:cs="Arial" w:eastAsia="Arial" w:hAnsi="Arial"/>
          <w:sz w:val="18"/>
          <w:szCs w:val="18"/>
          <w:color w:val="auto"/>
        </w:rPr>
        <w:t>“Business Relationships” means the Company’s relationships with customers, suppliers, agents, licensees, licensors and others that likewise give the Company a competitive advantage.</w:t>
      </w:r>
    </w:p>
    <w:p>
      <w:pPr>
        <w:spacing w:after="0" w:line="170" w:lineRule="exact"/>
        <w:rPr>
          <w:rFonts w:ascii="Arial" w:cs="Arial" w:eastAsia="Arial" w:hAnsi="Arial"/>
          <w:sz w:val="18"/>
          <w:szCs w:val="18"/>
          <w:color w:val="auto"/>
        </w:rPr>
      </w:pPr>
    </w:p>
    <w:p>
      <w:pPr>
        <w:jc w:val="both"/>
        <w:ind w:firstLine="656"/>
        <w:spacing w:after="0" w:line="268" w:lineRule="auto"/>
        <w:tabs>
          <w:tab w:leader="none" w:pos="1177" w:val="left"/>
        </w:tabs>
        <w:numPr>
          <w:ilvl w:val="0"/>
          <w:numId w:val="89"/>
        </w:numPr>
        <w:rPr>
          <w:rFonts w:ascii="Arial" w:cs="Arial" w:eastAsia="Arial" w:hAnsi="Arial"/>
          <w:sz w:val="17"/>
          <w:szCs w:val="17"/>
          <w:color w:val="auto"/>
        </w:rPr>
      </w:pPr>
      <w:r>
        <w:rPr>
          <w:rFonts w:ascii="Arial" w:cs="Arial" w:eastAsia="Arial" w:hAnsi="Arial"/>
          <w:sz w:val="17"/>
          <w:szCs w:val="17"/>
          <w:color w:val="auto"/>
        </w:rPr>
        <w:t>“Competing Business” means any business, person, entity or group of business entities, regardless of whether organized as a corporation, partnership (general or limited), joint venture, association or other organization that (i) conducts or is planning to conduct a business similar to and/or in competition with any business conducted or planned by the Company and for which Employee was employed or performed services in a job or had knowledge of the operations of such business(es) over the last two (2) years of Employee’s employment with the Company, or (ii) designs, develops, produces, offers for sale or sells a product or service that can be used as a substitute for or is generally intended to satisfy the same customer needs for, any one or more products or services designed, developed, manufactured, produced or offered for sale or sold by the Company and for which Employee was employed or performed services in a job or had knowledge of the operations of such business(es) of the Company during the two (2) years prior to Employee’s Termination of Employment. Employee acknowledges that Employee will be deemed to have such knowledge if Employee received, was in possession of or otherwise had access to Confidential Information (as defined below) regarding such business. For purposes of illustration only, Employee acknowledges and understands that each of the corporations, or entities (and any related entities, subsidiaries, affiliates or successors) set forth on the Addendum attached hereto is a Competing Business as of the date hereof. Employee further acknowledges and agrees that the Addendum attached hereto is not an exhaustive list and is not intended to include all of the Company’s current or future competitors, which Employee acknowledges may include other persons or entities in the future. Employee further acknowledges and understands that if Employee has any question about whether any prior position which Employee has held at the Company over the last two (2) years subjects Employee to specific restrictions, and will be used to identify Competing Business(es), Employee should contact Employee’s Human Resource representative.</w:t>
      </w:r>
    </w:p>
    <w:p>
      <w:pPr>
        <w:spacing w:after="0" w:line="183" w:lineRule="exact"/>
        <w:rPr>
          <w:rFonts w:ascii="Arial" w:cs="Arial" w:eastAsia="Arial" w:hAnsi="Arial"/>
          <w:sz w:val="17"/>
          <w:szCs w:val="17"/>
          <w:color w:val="auto"/>
        </w:rPr>
      </w:pPr>
    </w:p>
    <w:p>
      <w:pPr>
        <w:jc w:val="both"/>
        <w:ind w:firstLine="656"/>
        <w:spacing w:after="0" w:line="297" w:lineRule="auto"/>
        <w:tabs>
          <w:tab w:leader="none" w:pos="1173" w:val="left"/>
        </w:tabs>
        <w:numPr>
          <w:ilvl w:val="0"/>
          <w:numId w:val="89"/>
        </w:numPr>
        <w:rPr>
          <w:rFonts w:ascii="Arial" w:cs="Arial" w:eastAsia="Arial" w:hAnsi="Arial"/>
          <w:sz w:val="16"/>
          <w:szCs w:val="16"/>
          <w:color w:val="auto"/>
        </w:rPr>
      </w:pPr>
      <w:r>
        <w:rPr>
          <w:rFonts w:ascii="Arial" w:cs="Arial" w:eastAsia="Arial" w:hAnsi="Arial"/>
          <w:sz w:val="16"/>
          <w:szCs w:val="16"/>
          <w:color w:val="auto"/>
        </w:rPr>
        <w:t>“Confidential Information” means trade secrets and other confidential and proprietary information relating to the Company’s business, including, but not limited to, information about Hershey’s manufacturing processes; manuals, recipes and ingredient percentages; engineering drawings; product and process research and development; new product information; cost information; supplier data; strategic business information; information related to Hershey’s legal strategies or legal advice rendered to Hershey; marketing, financial and business development information, plans, forecasts, reports and budgets; customer information; new product strategies, plans and project activities; and acquisition and divestiture strategies, plans and project activities.</w:t>
      </w:r>
    </w:p>
    <w:p>
      <w:pPr>
        <w:spacing w:after="0" w:line="158" w:lineRule="exact"/>
        <w:rPr>
          <w:rFonts w:ascii="Arial" w:cs="Arial" w:eastAsia="Arial" w:hAnsi="Arial"/>
          <w:sz w:val="16"/>
          <w:szCs w:val="16"/>
          <w:color w:val="auto"/>
        </w:rPr>
      </w:pPr>
    </w:p>
    <w:p>
      <w:pPr>
        <w:ind w:left="1040" w:hanging="384"/>
        <w:spacing w:after="0"/>
        <w:tabs>
          <w:tab w:leader="none" w:pos="10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“Material Contact” means contact for the purpose of furthering the Company’s business.</w:t>
      </w:r>
    </w:p>
    <w:p>
      <w:pPr>
        <w:spacing w:after="0" w:line="225" w:lineRule="exact"/>
        <w:rPr>
          <w:rFonts w:ascii="Arial" w:cs="Arial" w:eastAsia="Arial" w:hAnsi="Arial"/>
          <w:sz w:val="18"/>
          <w:szCs w:val="18"/>
          <w:color w:val="auto"/>
        </w:rPr>
      </w:pPr>
    </w:p>
    <w:p>
      <w:pPr>
        <w:ind w:firstLine="656"/>
        <w:spacing w:after="0" w:line="277" w:lineRule="auto"/>
        <w:tabs>
          <w:tab w:leader="none" w:pos="1071" w:val="left"/>
        </w:tabs>
        <w:numPr>
          <w:ilvl w:val="0"/>
          <w:numId w:val="89"/>
        </w:numPr>
        <w:rPr>
          <w:rFonts w:ascii="Arial" w:cs="Arial" w:eastAsia="Arial" w:hAnsi="Arial"/>
          <w:sz w:val="18"/>
          <w:szCs w:val="18"/>
          <w:color w:val="auto"/>
        </w:rPr>
      </w:pPr>
      <w:r>
        <w:rPr>
          <w:rFonts w:ascii="Arial" w:cs="Arial" w:eastAsia="Arial" w:hAnsi="Arial"/>
          <w:sz w:val="18"/>
          <w:szCs w:val="18"/>
          <w:color w:val="auto"/>
        </w:rPr>
        <w:t>“Options”, “RSU” and “PSU” shall mean stock options, restricted stock unit/restricted stock awards and performance stock unit/performance stock awards, respectively, granted under the EICP.</w:t>
      </w:r>
    </w:p>
    <w:p>
      <w:pPr>
        <w:spacing w:after="0" w:line="170" w:lineRule="exact"/>
        <w:rPr>
          <w:rFonts w:ascii="Arial" w:cs="Arial" w:eastAsia="Arial" w:hAnsi="Arial"/>
          <w:sz w:val="18"/>
          <w:szCs w:val="18"/>
          <w:color w:val="auto"/>
        </w:rPr>
      </w:pPr>
    </w:p>
    <w:p>
      <w:pPr>
        <w:ind w:right="20" w:firstLine="656"/>
        <w:spacing w:after="0" w:line="277" w:lineRule="auto"/>
        <w:tabs>
          <w:tab w:leader="none" w:pos="1011" w:val="left"/>
        </w:tabs>
        <w:numPr>
          <w:ilvl w:val="0"/>
          <w:numId w:val="89"/>
        </w:numPr>
        <w:rPr>
          <w:rFonts w:ascii="Arial" w:cs="Arial" w:eastAsia="Arial" w:hAnsi="Arial"/>
          <w:sz w:val="18"/>
          <w:szCs w:val="18"/>
          <w:color w:val="auto"/>
        </w:rPr>
      </w:pPr>
      <w:r>
        <w:rPr>
          <w:rFonts w:ascii="Arial" w:cs="Arial" w:eastAsia="Arial" w:hAnsi="Arial"/>
          <w:sz w:val="18"/>
          <w:szCs w:val="18"/>
          <w:color w:val="auto"/>
        </w:rPr>
        <w:t>“Termination of Employment” means any separation from employment with the Company regardless of the reason, including any voluntary and involuntary reason. The termination date for purposes of this Agreement shall be the last day of Employee’s employment.</w:t>
      </w:r>
    </w:p>
    <w:p>
      <w:pPr>
        <w:spacing w:after="0" w:line="170" w:lineRule="exact"/>
        <w:rPr>
          <w:rFonts w:ascii="Arial" w:cs="Arial" w:eastAsia="Arial" w:hAnsi="Arial"/>
          <w:sz w:val="18"/>
          <w:szCs w:val="18"/>
          <w:color w:val="auto"/>
        </w:rPr>
      </w:pPr>
    </w:p>
    <w:p>
      <w:pPr>
        <w:ind w:firstLine="656"/>
        <w:spacing w:after="0" w:line="277" w:lineRule="auto"/>
        <w:tabs>
          <w:tab w:leader="none" w:pos="1079" w:val="left"/>
        </w:tabs>
        <w:numPr>
          <w:ilvl w:val="0"/>
          <w:numId w:val="89"/>
        </w:numPr>
        <w:rPr>
          <w:rFonts w:ascii="Arial" w:cs="Arial" w:eastAsia="Arial" w:hAnsi="Arial"/>
          <w:sz w:val="18"/>
          <w:szCs w:val="18"/>
          <w:color w:val="auto"/>
        </w:rPr>
      </w:pPr>
      <w:r>
        <w:rPr>
          <w:rFonts w:ascii="Arial" w:cs="Arial" w:eastAsia="Arial" w:hAnsi="Arial"/>
          <w:sz w:val="18"/>
          <w:szCs w:val="18"/>
          <w:color w:val="auto"/>
        </w:rPr>
        <w:t>“DB SERP” means The Hershey Company Amended and Restated (2007) Supplemental Executive Retirement Plan, as amended by Hershey from time to time.</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89"/>
        </w:numPr>
        <w:rPr>
          <w:rFonts w:ascii="Arial" w:cs="Arial" w:eastAsia="Arial" w:hAnsi="Arial"/>
          <w:sz w:val="17"/>
          <w:szCs w:val="17"/>
          <w:color w:val="auto"/>
        </w:rPr>
      </w:pPr>
      <w:r>
        <w:rPr>
          <w:rFonts w:ascii="Arial" w:cs="Arial" w:eastAsia="Arial" w:hAnsi="Arial"/>
          <w:sz w:val="17"/>
          <w:szCs w:val="17"/>
          <w:color w:val="auto"/>
        </w:rPr>
        <w:t>“DC SERP” means The Hershey Company Defined Contribution Executive Retirement Plan, as amended by Hershey from time to time.</w:t>
      </w:r>
    </w:p>
    <w:p>
      <w:pPr>
        <w:spacing w:after="0" w:line="237" w:lineRule="exact"/>
        <w:rPr>
          <w:sz w:val="20"/>
          <w:szCs w:val="20"/>
          <w:color w:val="auto"/>
        </w:rPr>
      </w:pPr>
    </w:p>
    <w:p>
      <w:pPr>
        <w:jc w:val="both"/>
        <w:ind w:firstLine="656"/>
        <w:spacing w:after="0" w:line="293" w:lineRule="auto"/>
        <w:tabs>
          <w:tab w:leader="none" w:pos="963"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Non-Disclosure of Confidential Information</w:t>
      </w:r>
      <w:r>
        <w:rPr>
          <w:rFonts w:ascii="Arial" w:cs="Arial" w:eastAsia="Arial" w:hAnsi="Arial"/>
          <w:sz w:val="16"/>
          <w:szCs w:val="16"/>
          <w:color w:val="auto"/>
        </w:rPr>
        <w:t>. Employee acknowledges that due to the nature of his/her employment and the position of trust that he/she holds or will hold with Employer, he/she will have access to, learn, be provided with, and in some cases will prepare and create for Employer, Confidential Information. Employee acknowledges and agrees that Confidential Information, whether or not in written form, is the exclusive property of Employer, that it has been and will continue to be of critical importance to the business of Employer, and that the disclosure of it will cause Employer substantial and irreparable harm. Accordingly, Employee will not, either during his/her employment or at any time after the Termination of Employment, use or disclose any Confidential Information relating to the business of Employer which is not generally available to the public. Notwithstanding the foregoing</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8" w:right="239" w:bottom="1440" w:gutter="0" w:footer="0" w:header="0"/>
        </w:sectPr>
      </w:pPr>
    </w:p>
    <w:bookmarkStart w:id="126" w:name="page127"/>
    <w:bookmarkEnd w:id="126"/>
    <w:p>
      <w:pPr>
        <w:jc w:val="both"/>
        <w:spacing w:after="0" w:line="273" w:lineRule="auto"/>
        <w:rPr>
          <w:sz w:val="20"/>
          <w:szCs w:val="20"/>
          <w:color w:val="auto"/>
        </w:rPr>
      </w:pPr>
      <w:r>
        <w:rPr>
          <w:rFonts w:ascii="Arial" w:cs="Arial" w:eastAsia="Arial" w:hAnsi="Arial"/>
          <w:sz w:val="17"/>
          <w:szCs w:val="17"/>
          <w:color w:val="auto"/>
        </w:rPr>
        <w:t>provisions of this Paragraph 3, Employee may disclose or use any such information (i) when such disclosure or use may be required or appropriate in the good faith judgment of Employee in the course of performing his/her duties to Employer and in accordance with Employer policies and procedures, (ii) when required by a court of law, by any governmental agency having supervisory authority over Employee or the business of Employer, or by any administrative or legislative body (including a committee thereof) with apparent jurisdiction, or (iii) with the prior written consent of Employer’s General Counsel. Notwithstanding anything herein to the contrary, Employee understands and agrees that his/her obligations under this Agreement shall be in addition to, rather than in lieu of, any obligations Employee may have under any applicable statute or at common law.</w:t>
      </w:r>
    </w:p>
    <w:p>
      <w:pPr>
        <w:spacing w:after="0" w:line="1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Employee is hereby notified in accordance with the Defend Trade Secrets Act of 2016 that Employee will not be held criminally or civilly liable under any federal or state trade secret law for the disclosure of a trade secret that is made in confidence to a federal, state, or local government official, either directly or indirectly, or to an attorney solely for the purpose of reporting or investigating a suspected violation of law, or is made in a complaint or other document that is filed under seal in a lawsuit or other proceeding. If Employee files a lawsuit for retaliation against Employer for reporting a suspected violation of law, Employee may disclose the Company’s trade secrets to Employee’s attorney and use the trade secret information in the court proceeding, provided Employee files any document containing the trade secret under seal, and does not disclose the trade secret, except pursuant to court order.</w:t>
      </w:r>
    </w:p>
    <w:p>
      <w:pPr>
        <w:spacing w:after="0" w:line="165" w:lineRule="exact"/>
        <w:rPr>
          <w:sz w:val="20"/>
          <w:szCs w:val="20"/>
          <w:color w:val="auto"/>
        </w:rPr>
      </w:pPr>
    </w:p>
    <w:p>
      <w:pPr>
        <w:jc w:val="both"/>
        <w:ind w:firstLine="656"/>
        <w:spacing w:after="0" w:line="286" w:lineRule="auto"/>
        <w:tabs>
          <w:tab w:leader="none" w:pos="1017"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Non-Competition</w:t>
      </w:r>
      <w:r>
        <w:rPr>
          <w:rFonts w:ascii="Arial" w:cs="Arial" w:eastAsia="Arial" w:hAnsi="Arial"/>
          <w:sz w:val="16"/>
          <w:szCs w:val="16"/>
          <w:color w:val="auto"/>
        </w:rPr>
        <w:t>. Employee acknowledges that due to the nature of his/her employment with Employer, he/she has and will have access to, contact with, and Confidential Information about the Company’s business and Business Relationships. Employee acknowledges that Employer has incurred considerable expense and invested considerable time and resources in developing its Confidential Information and Business Relationships, and that such Confidential Information and Business Relationships are critical to the success of Employer’s business. Accordingly, both (i) during the term of his/her employment with the Company, and (ii) for a period of twelve (12) months following the Termination of Employment, Employee, except in the performance of his/her duties to Employer, shall not, without the prior written consent of Employer’s Chief Human Resources Officer, directly or indirectly serve or act in a consulting, employee or managerial capacity, or engage in oversight of any person who serves or acts in a consulting, employee or managerial capacity, as an officer, director, employee, consultant, advisor, independent contractor, agent or representative of a Competing Business. This restriction shall apply to any Competing Business that conducts business or plans to conduct business in the same or substantially similar geographic area in which Employee was employed or, directly or indirectly, performed services for the Company during the two (2) years prior to his/her Termination of Employment. Employee acknowledges (i) that the Company’s business is conducted throughout the United States and the world, (ii) notwithstanding the state of incorporation or principal office of Hershey, it is expected that the Company will have business activities and have valuable Business Relationships within its industry throughout the United States and around the world, and (iii) as part of Employee’s responsibilities, Employee has conducted or may conduct business throughout the United States and around the world in furtherance of the Company’s business and its relationships.</w:t>
      </w:r>
    </w:p>
    <w:p>
      <w:pPr>
        <w:spacing w:after="0" w:line="172" w:lineRule="exact"/>
        <w:rPr>
          <w:sz w:val="20"/>
          <w:szCs w:val="20"/>
          <w:color w:val="auto"/>
        </w:rPr>
      </w:pPr>
    </w:p>
    <w:p>
      <w:pPr>
        <w:jc w:val="both"/>
        <w:ind w:firstLine="656"/>
        <w:spacing w:after="0" w:line="255" w:lineRule="auto"/>
        <w:tabs>
          <w:tab w:leader="none" w:pos="1017"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Non-Solicitation</w:t>
      </w:r>
      <w:r>
        <w:rPr>
          <w:rFonts w:ascii="Arial" w:cs="Arial" w:eastAsia="Arial" w:hAnsi="Arial"/>
          <w:sz w:val="18"/>
          <w:szCs w:val="18"/>
          <w:color w:val="auto"/>
        </w:rPr>
        <w:t>. Employee acknowledges that the Company has invested and will invest significant time and money to recruit and retain its employees and to develop valuable, continuing relationships with existing and prospective clients and customers of the Company. Accordingly, recognizing that Employee has obtained and will obtain valuable information about employees of the Company and their respective talents and areas of expertise and information about the Company’s customers, suppliers, business partners, and/or vendors and their requirements, Employee agrees both (i) during the term of his/her employment, and (ii) for a period of twelve (12) months following his/her Termination of Employment, Employee, except in the performance of his/her duties to Employer, shall not directly or indirectly (including as an officer, director, employee, consultant, advisor, agent or representative), for himself/herself or on behalf of any other person or entity:</w:t>
      </w:r>
    </w:p>
    <w:p>
      <w:pPr>
        <w:spacing w:after="0" w:line="189" w:lineRule="exact"/>
        <w:rPr>
          <w:rFonts w:ascii="Arial" w:cs="Arial" w:eastAsia="Arial" w:hAnsi="Arial"/>
          <w:sz w:val="18"/>
          <w:szCs w:val="18"/>
          <w:color w:val="auto"/>
        </w:rPr>
      </w:pPr>
    </w:p>
    <w:p>
      <w:pPr>
        <w:jc w:val="both"/>
        <w:ind w:firstLine="1305"/>
        <w:spacing w:after="0" w:line="286" w:lineRule="auto"/>
        <w:tabs>
          <w:tab w:leader="none" w:pos="1680" w:val="left"/>
        </w:tabs>
        <w:numPr>
          <w:ilvl w:val="1"/>
          <w:numId w:val="92"/>
        </w:numPr>
        <w:rPr>
          <w:rFonts w:ascii="Arial" w:cs="Arial" w:eastAsia="Arial" w:hAnsi="Arial"/>
          <w:sz w:val="17"/>
          <w:szCs w:val="17"/>
          <w:color w:val="auto"/>
        </w:rPr>
      </w:pPr>
      <w:r>
        <w:rPr>
          <w:rFonts w:ascii="Arial" w:cs="Arial" w:eastAsia="Arial" w:hAnsi="Arial"/>
          <w:sz w:val="17"/>
          <w:szCs w:val="17"/>
          <w:color w:val="auto"/>
        </w:rPr>
        <w:t>for any purpose that is in competition with any of the aspects of the Company’s business, solicit, take away or engage, or participate in soliciting, taking away or engaging, any customers, suppliers, agents, licensees or licensors of the Company with whom Employee had contact while employed by Employer, or about whom Employee had access to Confidential Information as a result of Employee’s employment; or</w:t>
      </w:r>
    </w:p>
    <w:p>
      <w:pPr>
        <w:spacing w:after="0" w:line="165" w:lineRule="exact"/>
        <w:rPr>
          <w:rFonts w:ascii="Arial" w:cs="Arial" w:eastAsia="Arial" w:hAnsi="Arial"/>
          <w:sz w:val="17"/>
          <w:szCs w:val="17"/>
          <w:color w:val="auto"/>
        </w:rPr>
      </w:pPr>
    </w:p>
    <w:p>
      <w:pPr>
        <w:jc w:val="both"/>
        <w:ind w:firstLine="1305"/>
        <w:spacing w:after="0" w:line="312" w:lineRule="auto"/>
        <w:tabs>
          <w:tab w:leader="none" w:pos="1772" w:val="left"/>
        </w:tabs>
        <w:numPr>
          <w:ilvl w:val="1"/>
          <w:numId w:val="92"/>
        </w:numPr>
        <w:rPr>
          <w:rFonts w:ascii="Arial" w:cs="Arial" w:eastAsia="Arial" w:hAnsi="Arial"/>
          <w:sz w:val="16"/>
          <w:szCs w:val="16"/>
          <w:color w:val="auto"/>
        </w:rPr>
      </w:pPr>
      <w:r>
        <w:rPr>
          <w:rFonts w:ascii="Arial" w:cs="Arial" w:eastAsia="Arial" w:hAnsi="Arial"/>
          <w:sz w:val="16"/>
          <w:szCs w:val="16"/>
          <w:color w:val="auto"/>
        </w:rPr>
        <w:t>recruit, hire, or attempt to recruit or hire, or solicit or encourage to leave their employment with the Company (either directly or by assisting others), any Company employee with whom Employee had Material Contact during the last two (2) years of Employee’s employment with Hershey. Notwithstanding the foregoing, this paragraph shall not be violated by (i) general advertising or solicitation not specifically targeted at employees of the</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8" w:right="239" w:bottom="1440" w:gutter="0" w:footer="0" w:header="0"/>
        </w:sectPr>
      </w:pPr>
    </w:p>
    <w:bookmarkStart w:id="127" w:name="page128"/>
    <w:bookmarkEnd w:id="127"/>
    <w:p>
      <w:pPr>
        <w:jc w:val="both"/>
        <w:spacing w:after="0" w:line="255" w:lineRule="auto"/>
        <w:rPr>
          <w:sz w:val="20"/>
          <w:szCs w:val="20"/>
          <w:color w:val="auto"/>
        </w:rPr>
      </w:pPr>
      <w:r>
        <w:rPr>
          <w:rFonts w:ascii="Arial" w:cs="Arial" w:eastAsia="Arial" w:hAnsi="Arial"/>
          <w:sz w:val="18"/>
          <w:szCs w:val="18"/>
          <w:color w:val="auto"/>
        </w:rPr>
        <w:t>Company, or (ii) actions taken by any person or entity with which Employee is associated if Employee is not directly or indirectly involved in any manner in the matter and has not identified such employee of the Company for recruiting or solicitation. If Employee should wish to discuss possible employment with any then-current employee of the Company during the period set forth above, Employee may request written permission to do so from the Employer’s Chief Human Resources Officer who may, in his/her sole and absolute discretion, grant a written exception to the no solicitation covenant set forth in this paragraph 5(b); provided, however, that Employee shall not discuss any such employment possibility with any such employee unless and until such permission is received.</w:t>
      </w:r>
    </w:p>
    <w:p>
      <w:pPr>
        <w:spacing w:after="0" w:line="193" w:lineRule="exact"/>
        <w:rPr>
          <w:sz w:val="20"/>
          <w:szCs w:val="20"/>
          <w:color w:val="auto"/>
        </w:rPr>
      </w:pPr>
    </w:p>
    <w:p>
      <w:pPr>
        <w:jc w:val="both"/>
        <w:ind w:firstLine="656"/>
        <w:spacing w:after="0" w:line="255" w:lineRule="auto"/>
        <w:tabs>
          <w:tab w:leader="none" w:pos="1031"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Non-Disparagement</w:t>
      </w:r>
      <w:r>
        <w:rPr>
          <w:rFonts w:ascii="Arial" w:cs="Arial" w:eastAsia="Arial" w:hAnsi="Arial"/>
          <w:sz w:val="18"/>
          <w:szCs w:val="18"/>
          <w:color w:val="auto"/>
        </w:rPr>
        <w:t>. Both (i) during the term of his/her employment with Employer, and (ii) following his/her Termination of Employment, Employee shall not make any public statements that disparage the Company, its employees, officers, directors, products or services, provided that, notwithstanding the foregoing, truthful statements made in the course of sworn testimony in administrative, judicial or arbitral proceedings (including, without limitation, depositions in connection with such proceedings), normal competitive-type statements, and statements made in the good faith performance of the Employee’s duties to Employer shall not constitute a violation of this clause. For purposes of this provision, “disparage” means to express a negative opinion, speak of in a slighting way, or belittle.</w:t>
      </w:r>
    </w:p>
    <w:p>
      <w:pPr>
        <w:spacing w:after="0" w:line="193" w:lineRule="exact"/>
        <w:rPr>
          <w:rFonts w:ascii="Arial" w:cs="Arial" w:eastAsia="Arial" w:hAnsi="Arial"/>
          <w:sz w:val="18"/>
          <w:szCs w:val="18"/>
          <w:color w:val="auto"/>
        </w:rPr>
      </w:pPr>
    </w:p>
    <w:p>
      <w:pPr>
        <w:jc w:val="both"/>
        <w:ind w:firstLine="656"/>
        <w:spacing w:after="0" w:line="264" w:lineRule="auto"/>
        <w:tabs>
          <w:tab w:leader="none" w:pos="977"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Return of Materials</w:t>
      </w:r>
      <w:r>
        <w:rPr>
          <w:rFonts w:ascii="Arial" w:cs="Arial" w:eastAsia="Arial" w:hAnsi="Arial"/>
          <w:sz w:val="18"/>
          <w:szCs w:val="18"/>
          <w:color w:val="auto"/>
        </w:rPr>
        <w:t>. Upon Termination of Employment, Employee shall return to Employer all Company property that Employee has in his/her possession, including but not limited to any materials relating to or containing Confidential Information or information about Business Relationships that Employee obtained through Employee’s employment with Employer.</w:t>
      </w:r>
    </w:p>
    <w:p>
      <w:pPr>
        <w:spacing w:after="0" w:line="181" w:lineRule="exact"/>
        <w:rPr>
          <w:rFonts w:ascii="Arial" w:cs="Arial" w:eastAsia="Arial" w:hAnsi="Arial"/>
          <w:sz w:val="18"/>
          <w:szCs w:val="18"/>
          <w:color w:val="auto"/>
        </w:rPr>
      </w:pPr>
    </w:p>
    <w:p>
      <w:pPr>
        <w:jc w:val="both"/>
        <w:ind w:firstLine="656"/>
        <w:spacing w:after="0" w:line="259" w:lineRule="auto"/>
        <w:tabs>
          <w:tab w:leader="none" w:pos="963"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Cooperation</w:t>
      </w:r>
      <w:r>
        <w:rPr>
          <w:rFonts w:ascii="Arial" w:cs="Arial" w:eastAsia="Arial" w:hAnsi="Arial"/>
          <w:sz w:val="18"/>
          <w:szCs w:val="18"/>
          <w:color w:val="auto"/>
        </w:rPr>
        <w:t>. Employee agrees that, at any time after Employee’s Termination of Employment, he/she will cooperate with the Company in (i) all investigations of any kind, (ii) helping to prepare and review documents and meetings with Company attorneys, and (iii) providing truthful testimony as a witness or a declarant during discovery and/or trial in connection with any present or future court, administrative, agency or arbitration proceeding involving the Company and with respect to which Employee has relevant information.</w:t>
      </w:r>
    </w:p>
    <w:p>
      <w:pPr>
        <w:spacing w:after="0" w:line="186" w:lineRule="exact"/>
        <w:rPr>
          <w:rFonts w:ascii="Arial" w:cs="Arial" w:eastAsia="Arial" w:hAnsi="Arial"/>
          <w:sz w:val="18"/>
          <w:szCs w:val="18"/>
          <w:color w:val="auto"/>
        </w:rPr>
      </w:pPr>
    </w:p>
    <w:p>
      <w:pPr>
        <w:jc w:val="both"/>
        <w:ind w:firstLine="656"/>
        <w:spacing w:after="0" w:line="272" w:lineRule="auto"/>
        <w:tabs>
          <w:tab w:leader="none" w:pos="990"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t>Violation of Paragraphs 3, 4, 5, 6, 7 or 8</w:t>
      </w:r>
      <w:r>
        <w:rPr>
          <w:rFonts w:ascii="Arial" w:cs="Arial" w:eastAsia="Arial" w:hAnsi="Arial"/>
          <w:sz w:val="17"/>
          <w:szCs w:val="17"/>
          <w:color w:val="auto"/>
        </w:rPr>
        <w:t xml:space="preserve">. Employee acknowledges Employer’s valid and protectable interest in aligning the long-term interests of valued employees with those of Employer by providing Employee an ownership interest in the Employer through the EICP and other incentive programs and otherwise, and likewise acknowledges Employer’s valid and protectable interest in preventing former employees whose interests become adverse to the Employer from maintaining an ownership or other interest in the Employer. Accordingly, Employee agrees that if he/she violates any of Paragraphs </w:t>
      </w:r>
      <w:r>
        <w:rPr>
          <w:rFonts w:ascii="Arial" w:cs="Arial" w:eastAsia="Arial" w:hAnsi="Arial"/>
          <w:sz w:val="17"/>
          <w:szCs w:val="17"/>
          <w:u w:val="single" w:color="auto"/>
          <w:color w:val="auto"/>
        </w:rPr>
        <w:t>3, 4, 5, 6,</w:t>
      </w:r>
      <w:r>
        <w:rPr>
          <w:rFonts w:ascii="Arial" w:cs="Arial" w:eastAsia="Arial" w:hAnsi="Arial"/>
          <w:sz w:val="17"/>
          <w:szCs w:val="17"/>
          <w:color w:val="auto"/>
        </w:rPr>
        <w:t xml:space="preserve"> </w:t>
      </w:r>
      <w:r>
        <w:rPr>
          <w:rFonts w:ascii="Arial" w:cs="Arial" w:eastAsia="Arial" w:hAnsi="Arial"/>
          <w:sz w:val="17"/>
          <w:szCs w:val="17"/>
          <w:u w:val="single" w:color="auto"/>
          <w:color w:val="auto"/>
        </w:rPr>
        <w:t>7 or 8</w:t>
      </w:r>
      <w:r>
        <w:rPr>
          <w:rFonts w:ascii="Arial" w:cs="Arial" w:eastAsia="Arial" w:hAnsi="Arial"/>
          <w:sz w:val="17"/>
          <w:szCs w:val="17"/>
          <w:color w:val="auto"/>
        </w:rPr>
        <w:t xml:space="preserve"> above (the date on which any such violation occurs is the “Date of Breach”), such violation could cause immediate harm to Employer and that Employer may, in its sole discretion, in addition to any other remedies available to it at law (including without limitation monetary damages) or in equity (including without limitation temporary, preliminary and/or permanent injunctive relief):</w:t>
      </w:r>
    </w:p>
    <w:p>
      <w:pPr>
        <w:spacing w:after="0" w:line="177" w:lineRule="exact"/>
        <w:rPr>
          <w:rFonts w:ascii="Arial" w:cs="Arial" w:eastAsia="Arial" w:hAnsi="Arial"/>
          <w:sz w:val="17"/>
          <w:szCs w:val="17"/>
          <w:color w:val="auto"/>
        </w:rPr>
      </w:pPr>
    </w:p>
    <w:p>
      <w:pPr>
        <w:ind w:left="1680" w:hanging="375"/>
        <w:spacing w:after="0"/>
        <w:tabs>
          <w:tab w:leader="none" w:pos="16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cancel any unvested portion of any and all PSU and RSU awards;</w:t>
      </w:r>
    </w:p>
    <w:p>
      <w:pPr>
        <w:spacing w:after="0" w:line="225" w:lineRule="exact"/>
        <w:rPr>
          <w:rFonts w:ascii="Arial" w:cs="Arial" w:eastAsia="Arial" w:hAnsi="Arial"/>
          <w:sz w:val="18"/>
          <w:szCs w:val="18"/>
          <w:color w:val="auto"/>
        </w:rPr>
      </w:pPr>
    </w:p>
    <w:p>
      <w:pPr>
        <w:ind w:left="1700" w:hanging="395"/>
        <w:spacing w:after="0"/>
        <w:tabs>
          <w:tab w:leader="none" w:pos="17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cancel any unexercised stock options;</w:t>
      </w:r>
    </w:p>
    <w:p>
      <w:pPr>
        <w:spacing w:after="0" w:line="225" w:lineRule="exact"/>
        <w:rPr>
          <w:rFonts w:ascii="Arial" w:cs="Arial" w:eastAsia="Arial" w:hAnsi="Arial"/>
          <w:sz w:val="18"/>
          <w:szCs w:val="18"/>
          <w:color w:val="auto"/>
        </w:rPr>
      </w:pPr>
    </w:p>
    <w:p>
      <w:pPr>
        <w:ind w:right="20" w:firstLine="1305"/>
        <w:spacing w:after="0" w:line="308" w:lineRule="auto"/>
        <w:tabs>
          <w:tab w:leader="none" w:pos="1696" w:val="left"/>
        </w:tabs>
        <w:numPr>
          <w:ilvl w:val="1"/>
          <w:numId w:val="93"/>
        </w:numPr>
        <w:rPr>
          <w:rFonts w:ascii="Arial" w:cs="Arial" w:eastAsia="Arial" w:hAnsi="Arial"/>
          <w:sz w:val="17"/>
          <w:szCs w:val="17"/>
          <w:color w:val="auto"/>
        </w:rPr>
      </w:pPr>
      <w:r>
        <w:rPr>
          <w:rFonts w:ascii="Arial" w:cs="Arial" w:eastAsia="Arial" w:hAnsi="Arial"/>
          <w:sz w:val="17"/>
          <w:szCs w:val="17"/>
          <w:color w:val="auto"/>
        </w:rPr>
        <w:t>require Employee to pay Employer the full value of any benefits received by Employee during the period twelve (12) months prior to Employee’s Termination of Employment through the Date of Breach, from (i) PSUs, (ii) RSUs, and (iii) the exercise of any options;</w:t>
      </w:r>
    </w:p>
    <w:p>
      <w:pPr>
        <w:spacing w:after="0" w:line="146" w:lineRule="exact"/>
        <w:rPr>
          <w:rFonts w:ascii="Arial" w:cs="Arial" w:eastAsia="Arial" w:hAnsi="Arial"/>
          <w:sz w:val="17"/>
          <w:szCs w:val="17"/>
          <w:color w:val="auto"/>
        </w:rPr>
      </w:pPr>
    </w:p>
    <w:p>
      <w:pPr>
        <w:ind w:left="1700" w:hanging="395"/>
        <w:spacing w:after="0"/>
        <w:tabs>
          <w:tab w:leader="none" w:pos="17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cancel any unpaid benefits of Employee under the DB SERP and DC SERP; and/or</w:t>
      </w:r>
    </w:p>
    <w:p>
      <w:pPr>
        <w:spacing w:after="0" w:line="225" w:lineRule="exact"/>
        <w:rPr>
          <w:rFonts w:ascii="Arial" w:cs="Arial" w:eastAsia="Arial" w:hAnsi="Arial"/>
          <w:sz w:val="18"/>
          <w:szCs w:val="18"/>
          <w:color w:val="auto"/>
        </w:rPr>
      </w:pPr>
    </w:p>
    <w:p>
      <w:pPr>
        <w:jc w:val="both"/>
        <w:ind w:firstLine="1305"/>
        <w:spacing w:after="0" w:line="264" w:lineRule="auto"/>
        <w:tabs>
          <w:tab w:leader="none" w:pos="1741" w:val="left"/>
        </w:tabs>
        <w:numPr>
          <w:ilvl w:val="1"/>
          <w:numId w:val="93"/>
        </w:numPr>
        <w:rPr>
          <w:rFonts w:ascii="Arial" w:cs="Arial" w:eastAsia="Arial" w:hAnsi="Arial"/>
          <w:sz w:val="18"/>
          <w:szCs w:val="18"/>
          <w:color w:val="auto"/>
        </w:rPr>
      </w:pPr>
      <w:r>
        <w:rPr>
          <w:rFonts w:ascii="Arial" w:cs="Arial" w:eastAsia="Arial" w:hAnsi="Arial"/>
          <w:sz w:val="18"/>
          <w:szCs w:val="18"/>
          <w:color w:val="auto"/>
        </w:rPr>
        <w:t>require Employee to pay Employer the full value of any benefits already received by Employee under the DB SERP or DC SERP (including for this purpose amounts that would have been received but for Employee’s election to defer such amounts under the Deferred Compensation Plan).</w:t>
      </w:r>
    </w:p>
    <w:p>
      <w:pPr>
        <w:spacing w:after="0" w:line="181" w:lineRule="exact"/>
        <w:rPr>
          <w:rFonts w:ascii="Arial" w:cs="Arial" w:eastAsia="Arial" w:hAnsi="Arial"/>
          <w:sz w:val="18"/>
          <w:szCs w:val="18"/>
          <w:color w:val="auto"/>
        </w:rPr>
      </w:pPr>
    </w:p>
    <w:p>
      <w:pPr>
        <w:jc w:val="both"/>
        <w:ind w:firstLine="656"/>
        <w:spacing w:after="0" w:line="279" w:lineRule="auto"/>
        <w:tabs>
          <w:tab w:leader="none" w:pos="989" w:val="left"/>
        </w:tabs>
        <w:numPr>
          <w:ilvl w:val="0"/>
          <w:numId w:val="93"/>
        </w:numPr>
        <w:rPr>
          <w:rFonts w:ascii="Arial" w:cs="Arial" w:eastAsia="Arial" w:hAnsi="Arial"/>
          <w:sz w:val="17"/>
          <w:szCs w:val="17"/>
          <w:color w:val="auto"/>
        </w:rPr>
      </w:pPr>
      <w:r>
        <w:rPr>
          <w:rFonts w:ascii="Arial" w:cs="Arial" w:eastAsia="Arial" w:hAnsi="Arial"/>
          <w:sz w:val="17"/>
          <w:szCs w:val="17"/>
          <w:color w:val="auto"/>
        </w:rPr>
        <w:t>Employee acknowledges that a remedy at law for any breach or threatened breach of this Agreement would be inadequate and therefore agrees that the Company shall be entitled to injunctive relief in case of any such breach or threatened breach. Employee acknowledges and agrees that the Company may apply to any court of law or equity of competent jurisdiction for specific performance and/or injunctive relief (without posting a bond or other security) in order to enforce or prevent any violation of this Agreement, and that money damages would not be an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8" w:right="239" w:bottom="1440" w:gutter="0" w:footer="0" w:header="0"/>
        </w:sectPr>
      </w:pPr>
    </w:p>
    <w:bookmarkStart w:id="128" w:name="page129"/>
    <w:bookmarkEnd w:id="128"/>
    <w:p>
      <w:pPr>
        <w:jc w:val="both"/>
        <w:spacing w:after="0" w:line="255" w:lineRule="auto"/>
        <w:rPr>
          <w:sz w:val="20"/>
          <w:szCs w:val="20"/>
          <w:color w:val="auto"/>
        </w:rPr>
      </w:pPr>
      <w:r>
        <w:rPr>
          <w:rFonts w:ascii="Arial" w:cs="Arial" w:eastAsia="Arial" w:hAnsi="Arial"/>
          <w:sz w:val="18"/>
          <w:szCs w:val="18"/>
          <w:color w:val="auto"/>
        </w:rPr>
        <w:t>adequate remedy. Employee acknowledges and agrees that a violation of this Agreement would cause irreparable harm to the Company. The Company’s right to injunctive relief shall be cumulative and in addition to any other remedies available by law or equity. If a court determines that Employee has breached or threatened to breach this Agreement, Employee agrees to reimburse the Company for all reasonable attorneys’ fees and costs incurred in enforcing such terms. However, nothing contained herein shall be construed as prohibiting the Company from pursuing any other available remedies, which may include, but not be limited to, contract damages, lost profits and punitive damages. Employee further agrees that in the event he/she later believes that any provision hereof is not enforceable for any reason, Employee will not act in violation of any such provision until such time as a court of competent jurisdiction enters a final judgment with respect to enforceability.</w:t>
      </w:r>
    </w:p>
    <w:p>
      <w:pPr>
        <w:spacing w:after="0" w:line="189" w:lineRule="exact"/>
        <w:rPr>
          <w:sz w:val="20"/>
          <w:szCs w:val="20"/>
          <w:color w:val="auto"/>
        </w:rPr>
      </w:pPr>
    </w:p>
    <w:p>
      <w:pPr>
        <w:jc w:val="both"/>
        <w:ind w:firstLine="656"/>
        <w:spacing w:after="0" w:line="293" w:lineRule="auto"/>
        <w:tabs>
          <w:tab w:leader="none" w:pos="1017"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xml:space="preserve">. Employee acknowledges and agrees that (a) this Agreement includes the entire agreement and understanding between the parties with respect to the subject matter hereof, and may be amended, modified or changed only by a written instrument executed by Employee and Employer, and (b) violation of Paragraphs </w:t>
      </w:r>
      <w:r>
        <w:rPr>
          <w:rFonts w:ascii="Arial" w:cs="Arial" w:eastAsia="Arial" w:hAnsi="Arial"/>
          <w:sz w:val="16"/>
          <w:szCs w:val="16"/>
          <w:u w:val="single" w:color="auto"/>
          <w:color w:val="auto"/>
        </w:rPr>
        <w:t>3, 4, 5, 6, 7 or 8</w:t>
      </w:r>
      <w:r>
        <w:rPr>
          <w:rFonts w:ascii="Arial" w:cs="Arial" w:eastAsia="Arial" w:hAnsi="Arial"/>
          <w:sz w:val="16"/>
          <w:szCs w:val="16"/>
          <w:color w:val="auto"/>
        </w:rPr>
        <w:t xml:space="preserve"> hereof may cause Employee to lose the right to receive, or may obligate Employee to repay to Employer, amounts awarded or accrued under various plans and programs of Employer as described herein. No provision of this Agreement may be waived except by a writing executed and delivered by the party sought to be charged. Any such written waiver will be effective only with respect to the event or circumstance described therein and not with respect to any other event or circumstance, unless such waiver expressly provides to the contrary.</w:t>
      </w:r>
    </w:p>
    <w:p>
      <w:pPr>
        <w:spacing w:after="0" w:line="164" w:lineRule="exact"/>
        <w:rPr>
          <w:rFonts w:ascii="Arial" w:cs="Arial" w:eastAsia="Arial" w:hAnsi="Arial"/>
          <w:sz w:val="16"/>
          <w:szCs w:val="16"/>
          <w:color w:val="auto"/>
        </w:rPr>
      </w:pPr>
    </w:p>
    <w:p>
      <w:pPr>
        <w:ind w:left="980" w:hanging="324"/>
        <w:spacing w:after="0"/>
        <w:tabs>
          <w:tab w:leader="none" w:pos="98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57" w:lineRule="auto"/>
        <w:tabs>
          <w:tab w:leader="none" w:pos="1754"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laws of the Commonwealth of Pennsylvania, without reference to principles of conflict of laws. Employee expressly consents that: (a) any action or proceeding relating to a breach or the enforceability of this Agreement will be brought only in the federal or state courts, as appropriate, located in the Commonwealth of Pennsylvania; and (b) any such action or proceeding will be heard without a jury</w:t>
      </w:r>
      <w:r>
        <w:rPr>
          <w:rFonts w:ascii="Arial" w:cs="Arial" w:eastAsia="Arial" w:hAnsi="Arial"/>
          <w:sz w:val="18"/>
          <w:szCs w:val="18"/>
          <w:u w:val="single" w:color="auto"/>
          <w:color w:val="auto"/>
        </w:rPr>
        <w:t>.</w:t>
      </w:r>
      <w:r>
        <w:rPr>
          <w:rFonts w:ascii="Arial" w:cs="Arial" w:eastAsia="Arial" w:hAnsi="Arial"/>
          <w:sz w:val="18"/>
          <w:szCs w:val="18"/>
          <w:color w:val="auto"/>
        </w:rPr>
        <w:t xml:space="preserve"> Employee expressly waives the right to bring any such action in any other jurisdiction and to have such action heard before a jury regardless of where such action is filed.</w:t>
      </w:r>
    </w:p>
    <w:p>
      <w:pPr>
        <w:spacing w:after="0" w:line="188" w:lineRule="exact"/>
        <w:rPr>
          <w:rFonts w:ascii="Arial" w:cs="Arial" w:eastAsia="Arial" w:hAnsi="Arial"/>
          <w:sz w:val="18"/>
          <w:szCs w:val="18"/>
          <w:color w:val="auto"/>
        </w:rPr>
      </w:pPr>
    </w:p>
    <w:p>
      <w:pPr>
        <w:jc w:val="both"/>
        <w:ind w:firstLine="1305"/>
        <w:spacing w:after="0" w:line="264" w:lineRule="auto"/>
        <w:tabs>
          <w:tab w:leader="none" w:pos="1681" w:val="left"/>
        </w:tabs>
        <w:numPr>
          <w:ilvl w:val="1"/>
          <w:numId w:val="94"/>
        </w:numPr>
        <w:rPr>
          <w:rFonts w:ascii="Arial" w:cs="Arial" w:eastAsia="Arial" w:hAnsi="Arial"/>
          <w:sz w:val="18"/>
          <w:szCs w:val="18"/>
          <w:color w:val="auto"/>
        </w:rPr>
      </w:pPr>
      <w:r>
        <w:rPr>
          <w:rFonts w:ascii="Arial" w:cs="Arial" w:eastAsia="Arial" w:hAnsi="Arial"/>
          <w:sz w:val="18"/>
          <w:szCs w:val="18"/>
          <w:color w:val="auto"/>
        </w:rPr>
        <w:t>All notices and other communications hereunder shall be in writing; shall be delivered by hand delivery to the other party or mailed by registered or certified mail, return receipt requested, postage prepaid or by a nationally recognized courier service such as Federal Express; shall be deemed delivered upon actual receipt; and shall be addressed as follows: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If to Employer</w:t>
      </w:r>
      <w:r>
        <w:rPr>
          <w:rFonts w:ascii="Arial" w:cs="Arial" w:eastAsia="Arial" w:hAnsi="Arial"/>
          <w:sz w:val="18"/>
          <w:szCs w:val="18"/>
          <w:color w:val="auto"/>
        </w:rPr>
        <w: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The Hershey Company</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100 Crystal A Drive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Hershey, Pennsylvania 17033</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Senior Vice President, Chief Human Resources Officer</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If to Employee</w:t>
      </w:r>
      <w:r>
        <w:rPr>
          <w:rFonts w:ascii="Arial" w:cs="Arial" w:eastAsia="Arial" w:hAnsi="Arial"/>
          <w:sz w:val="18"/>
          <w:szCs w:val="18"/>
          <w:color w:val="auto"/>
        </w:rPr>
        <w: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 the address set forth with the signature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or to such other address as either party shall have furnished to the other in writing in accordance herewith.</w:t>
      </w:r>
    </w:p>
    <w:p>
      <w:pPr>
        <w:spacing w:after="0" w:line="225" w:lineRule="exact"/>
        <w:rPr>
          <w:sz w:val="20"/>
          <w:szCs w:val="20"/>
          <w:color w:val="auto"/>
        </w:rPr>
      </w:pPr>
    </w:p>
    <w:p>
      <w:pPr>
        <w:jc w:val="both"/>
        <w:ind w:firstLine="1305"/>
        <w:spacing w:after="0" w:line="264" w:lineRule="auto"/>
        <w:tabs>
          <w:tab w:leader="none" w:pos="169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If a court of competent jurisdiction determines that any provision of this Agreement is unenforceable as written, that provision will be enforceable to the maximum extent permitted by law and will be reformed by the court to make the provision enforceable in accordance with the Company’s intent and applicable law.</w:t>
      </w:r>
    </w:p>
    <w:p>
      <w:pPr>
        <w:spacing w:after="0" w:line="181" w:lineRule="exact"/>
        <w:rPr>
          <w:rFonts w:ascii="Arial" w:cs="Arial" w:eastAsia="Arial" w:hAnsi="Arial"/>
          <w:sz w:val="18"/>
          <w:szCs w:val="18"/>
          <w:color w:val="auto"/>
        </w:rPr>
      </w:pPr>
    </w:p>
    <w:p>
      <w:pPr>
        <w:ind w:left="1780" w:hanging="475"/>
        <w:spacing w:after="0"/>
        <w:tabs>
          <w:tab w:leader="none" w:pos="17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Company’s failure to enforce any provision of this Agreement will not be interpreted as a waiver of its right to enforce that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provision in the future.</w:t>
      </w:r>
    </w:p>
    <w:p>
      <w:pPr>
        <w:spacing w:after="0" w:line="210" w:lineRule="exact"/>
        <w:rPr>
          <w:rFonts w:ascii="Arial" w:cs="Arial" w:eastAsia="Arial" w:hAnsi="Arial"/>
          <w:sz w:val="17"/>
          <w:szCs w:val="17"/>
          <w:color w:val="auto"/>
        </w:rPr>
      </w:pPr>
    </w:p>
    <w:p>
      <w:pPr>
        <w:ind w:firstLine="1305"/>
        <w:spacing w:after="0" w:line="277" w:lineRule="auto"/>
        <w:tabs>
          <w:tab w:leader="none" w:pos="1676" w:val="left"/>
        </w:tabs>
        <w:numPr>
          <w:ilvl w:val="0"/>
          <w:numId w:val="95"/>
        </w:numPr>
        <w:rPr>
          <w:rFonts w:ascii="Arial" w:cs="Arial" w:eastAsia="Arial" w:hAnsi="Arial"/>
          <w:sz w:val="18"/>
          <w:szCs w:val="18"/>
          <w:color w:val="auto"/>
        </w:rPr>
      </w:pPr>
      <w:r>
        <w:rPr>
          <w:rFonts w:ascii="Arial" w:cs="Arial" w:eastAsia="Arial" w:hAnsi="Arial"/>
          <w:sz w:val="18"/>
          <w:szCs w:val="18"/>
          <w:color w:val="auto"/>
        </w:rPr>
        <w:t>Employee agrees that while employed and during the twelve (12) months following Termination of Employment, Employee will notify any future employers of Employee’s obligations under this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8" w:right="2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color w:val="auto"/>
        </w:rPr>
        <w:t>Agreement and authorizes Employer to provide notice of the provisions of this Agreement to any future employers of Employee.</w:t>
      </w:r>
    </w:p>
    <w:p>
      <w:pPr>
        <w:spacing w:after="0" w:line="225" w:lineRule="exact"/>
        <w:rPr>
          <w:sz w:val="20"/>
          <w:szCs w:val="20"/>
          <w:color w:val="auto"/>
        </w:rPr>
      </w:pPr>
    </w:p>
    <w:p>
      <w:pPr>
        <w:jc w:val="both"/>
        <w:ind w:firstLine="1305"/>
        <w:spacing w:after="0" w:line="257" w:lineRule="auto"/>
        <w:tabs>
          <w:tab w:leader="none" w:pos="1668" w:val="left"/>
        </w:tabs>
        <w:numPr>
          <w:ilvl w:val="0"/>
          <w:numId w:val="96"/>
        </w:numPr>
        <w:rPr>
          <w:rFonts w:ascii="Arial" w:cs="Arial" w:eastAsia="Arial" w:hAnsi="Arial"/>
          <w:sz w:val="18"/>
          <w:szCs w:val="18"/>
          <w:color w:val="auto"/>
        </w:rPr>
      </w:pPr>
      <w:r>
        <w:rPr>
          <w:rFonts w:ascii="Arial" w:cs="Arial" w:eastAsia="Arial" w:hAnsi="Arial"/>
          <w:sz w:val="18"/>
          <w:szCs w:val="18"/>
          <w:color w:val="auto"/>
        </w:rPr>
        <w:t>Employee represents that Employee is free to enter into this Agreement and is not currently bound by any post-employment restrictive covenants of any former employer that would restrict or prohibit Employee from performing Employee’s duties for Employer. Employee further represents that Employee’s employment with Employer will not, to the best of Employee’s knowledge, require Employee to inevitably disclose any confidential information of any prior employer and that Employee will not disclose to the Company confidential information of a prior employer in violation of the terms of any binding non-disclosure obligation or applicable law.</w:t>
      </w:r>
    </w:p>
    <w:p>
      <w:pPr>
        <w:spacing w:after="0" w:line="188" w:lineRule="exact"/>
        <w:rPr>
          <w:rFonts w:ascii="Arial" w:cs="Arial" w:eastAsia="Arial" w:hAnsi="Arial"/>
          <w:sz w:val="18"/>
          <w:szCs w:val="18"/>
          <w:color w:val="auto"/>
        </w:rPr>
      </w:pPr>
    </w:p>
    <w:p>
      <w:pPr>
        <w:jc w:val="both"/>
        <w:ind w:firstLine="1305"/>
        <w:spacing w:after="0" w:line="312" w:lineRule="auto"/>
        <w:tabs>
          <w:tab w:leader="none" w:pos="1686" w:val="left"/>
        </w:tabs>
        <w:numPr>
          <w:ilvl w:val="0"/>
          <w:numId w:val="96"/>
        </w:numPr>
        <w:rPr>
          <w:rFonts w:ascii="Arial" w:cs="Arial" w:eastAsia="Arial" w:hAnsi="Arial"/>
          <w:sz w:val="16"/>
          <w:szCs w:val="16"/>
          <w:color w:val="auto"/>
        </w:rPr>
      </w:pPr>
      <w:r>
        <w:rPr>
          <w:rFonts w:ascii="Arial" w:cs="Arial" w:eastAsia="Arial" w:hAnsi="Arial"/>
          <w:sz w:val="16"/>
          <w:szCs w:val="16"/>
          <w:color w:val="auto"/>
        </w:rPr>
        <w:t xml:space="preserve">Employee acknowledges and agrees that the restrictions set forth in Paragraphs </w:t>
      </w:r>
      <w:r>
        <w:rPr>
          <w:rFonts w:ascii="Arial" w:cs="Arial" w:eastAsia="Arial" w:hAnsi="Arial"/>
          <w:sz w:val="16"/>
          <w:szCs w:val="16"/>
          <w:u w:val="single" w:color="auto"/>
          <w:color w:val="auto"/>
        </w:rPr>
        <w:t>3, 4, 5, 6, 7 and 8</w:t>
      </w:r>
      <w:r>
        <w:rPr>
          <w:rFonts w:ascii="Arial" w:cs="Arial" w:eastAsia="Arial" w:hAnsi="Arial"/>
          <w:sz w:val="16"/>
          <w:szCs w:val="16"/>
          <w:color w:val="auto"/>
        </w:rPr>
        <w:t xml:space="preserve"> of this Agreement are reasonable and necessary for the protection of the Company’s Confidential Information and Business Relationships, and do not impose any undue economic hardship on Employee or otherwise preclude Employee from obtaining gainful employment should Employee cease to be employed by the Employer.</w:t>
      </w:r>
    </w:p>
    <w:p>
      <w:pPr>
        <w:spacing w:after="0" w:line="146" w:lineRule="exact"/>
        <w:rPr>
          <w:rFonts w:ascii="Arial" w:cs="Arial" w:eastAsia="Arial" w:hAnsi="Arial"/>
          <w:sz w:val="16"/>
          <w:szCs w:val="16"/>
          <w:color w:val="auto"/>
        </w:rPr>
      </w:pPr>
    </w:p>
    <w:p>
      <w:pPr>
        <w:jc w:val="both"/>
        <w:ind w:firstLine="1305"/>
        <w:spacing w:after="0" w:line="257" w:lineRule="auto"/>
        <w:tabs>
          <w:tab w:leader="none" w:pos="1772" w:val="left"/>
        </w:tabs>
        <w:numPr>
          <w:ilvl w:val="0"/>
          <w:numId w:val="96"/>
        </w:numPr>
        <w:rPr>
          <w:rFonts w:ascii="Arial" w:cs="Arial" w:eastAsia="Arial" w:hAnsi="Arial"/>
          <w:sz w:val="18"/>
          <w:szCs w:val="18"/>
          <w:color w:val="auto"/>
        </w:rPr>
      </w:pPr>
      <w:r>
        <w:rPr>
          <w:rFonts w:ascii="Arial" w:cs="Arial" w:eastAsia="Arial" w:hAnsi="Arial"/>
          <w:sz w:val="18"/>
          <w:szCs w:val="18"/>
          <w:color w:val="auto"/>
        </w:rPr>
        <w:t>Employee understands and agrees that nothing in this Agreement shall be construed in any way as an agreement or guarantee of employment. Employee also understands and agrees that while he or she is eligible to receive awards under the EICP and/or amounts under the DB SERP and/or DC SERP, the granting of any such awards and/or receipt of amounts under such awards or plans is subject to the terms and conditions of the awards, EICP and such plans, and that nothing set forth herein shall be deemed to guarantee to Employee any specific amount of awards or compensation will be made to or earned by Employee.</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EMPLOYEE HAS READ AND REVIEWED THIS AGREEMENT IN ITS ENTIRETY AND HAS BEEN GIVEN AN OPPORTUNITY TO ASK QUESTIONS ABOUT IT AND TO CONSULT WITH AN ATTORNEY. EMPLOYEE FULLY UNDERSTANDS THE TERMS OF THIS AGREEMENT AND KNOWINGLY AND FREELY AGREES TO ABIDE BY THEM.</w:t>
      </w:r>
    </w:p>
    <w:p>
      <w:pPr>
        <w:spacing w:after="0" w:line="3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each of the parties hereto has duly executed this Agreement as of the date first set forth above.</w:t>
      </w:r>
    </w:p>
    <w:p>
      <w:pPr>
        <w:spacing w:after="0" w:line="387"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EMPLOYEE: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_______________________________________</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Print Name and Address:</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Sample Person</w:t>
      </w:r>
    </w:p>
    <w:p>
      <w:pPr>
        <w:spacing w:after="0" w:line="23"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Street Address</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City, State / Province, Country</w:t>
      </w:r>
    </w:p>
    <w:p>
      <w:pPr>
        <w:spacing w:after="0" w:line="200" w:lineRule="exact"/>
        <w:rPr>
          <w:sz w:val="20"/>
          <w:szCs w:val="20"/>
          <w:color w:val="auto"/>
        </w:rPr>
      </w:pPr>
    </w:p>
    <w:p>
      <w:pPr>
        <w:spacing w:after="0" w:line="362"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EMPLOYER:</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Hershey Company, a Delaware corporation</w:t>
      </w:r>
    </w:p>
    <w:p>
      <w:pPr>
        <w:spacing w:after="0" w:line="200" w:lineRule="exact"/>
        <w:rPr>
          <w:sz w:val="20"/>
          <w:szCs w:val="20"/>
          <w:color w:val="auto"/>
        </w:rPr>
      </w:pPr>
    </w:p>
    <w:p>
      <w:pPr>
        <w:spacing w:after="0" w:line="268"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_____________________________________________</w:t>
      </w:r>
    </w:p>
    <w:p>
      <w:pPr>
        <w:spacing w:after="0" w:line="23"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Senior Vice President, Chief Human Resources Officer</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8" w:right="239" w:bottom="1440" w:gutter="0" w:footer="0" w:header="0"/>
        </w:sectPr>
      </w:pPr>
    </w:p>
    <w:bookmarkStart w:id="130" w:name="page131"/>
    <w:bookmarkEnd w:id="130"/>
    <w:p>
      <w:pPr>
        <w:ind w:left="3580"/>
        <w:spacing w:after="0"/>
        <w:rPr>
          <w:sz w:val="20"/>
          <w:szCs w:val="20"/>
          <w:color w:val="auto"/>
        </w:rPr>
      </w:pPr>
      <w:r>
        <w:rPr>
          <w:rFonts w:ascii="Arial" w:cs="Arial" w:eastAsia="Arial" w:hAnsi="Arial"/>
          <w:sz w:val="18"/>
          <w:szCs w:val="18"/>
          <w:b w:val="1"/>
          <w:bCs w:val="1"/>
          <w:u w:val="single" w:color="auto"/>
          <w:color w:val="auto"/>
        </w:rPr>
        <w:t>ADDENDUM TO EMPLOYEE CONFIDENTIALITY</w:t>
      </w:r>
    </w:p>
    <w:p>
      <w:pPr>
        <w:spacing w:after="0" w:line="27" w:lineRule="exact"/>
        <w:rPr>
          <w:sz w:val="20"/>
          <w:szCs w:val="20"/>
          <w:color w:val="auto"/>
        </w:rPr>
      </w:pPr>
    </w:p>
    <w:p>
      <w:pPr>
        <w:ind w:left="3720"/>
        <w:spacing w:after="0"/>
        <w:rPr>
          <w:sz w:val="20"/>
          <w:szCs w:val="20"/>
          <w:color w:val="auto"/>
        </w:rPr>
      </w:pPr>
      <w:r>
        <w:rPr>
          <w:rFonts w:ascii="Arial" w:cs="Arial" w:eastAsia="Arial" w:hAnsi="Arial"/>
          <w:sz w:val="18"/>
          <w:szCs w:val="18"/>
          <w:b w:val="1"/>
          <w:bCs w:val="1"/>
          <w:u w:val="single" w:color="auto"/>
          <w:color w:val="auto"/>
        </w:rPr>
        <w:t>AND RESTRICTIVE COVENANT AGREEMENT</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Pursuant to Paragraph 2(b) of your Employee Confidentiality and Restrictive Covenant Agreement, this Addendum contains a list, for illustration purposes only, of specific competitors that are considered a Competing Business as that term is used in your Agreement and are therefore covered by the restrictions contained in your Agreement. This list is not an exhaustive list and is not intended to include all of the Company’s current or future competitors, which you acknowledge in Paragraph 2(b) of your Agreement may include other persons or entities in the future.</w:t>
      </w:r>
    </w:p>
    <w:p>
      <w:pPr>
        <w:spacing w:after="0" w:line="167"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Based on your role and responsibilities with [</w:t>
      </w:r>
      <w:r>
        <w:rPr>
          <w:rFonts w:ascii="Arial" w:cs="Arial" w:eastAsia="Arial" w:hAnsi="Arial"/>
          <w:sz w:val="18"/>
          <w:szCs w:val="18"/>
          <w:b w:val="1"/>
          <w:bCs w:val="1"/>
          <w:color w:val="auto"/>
        </w:rPr>
        <w:t>The Hershey Company</w:t>
      </w:r>
      <w:r>
        <w:rPr>
          <w:rFonts w:ascii="Arial" w:cs="Arial" w:eastAsia="Arial" w:hAnsi="Arial"/>
          <w:sz w:val="18"/>
          <w:szCs w:val="18"/>
          <w:color w:val="auto"/>
        </w:rPr>
        <w:t xml:space="preserve">] as </w:t>
      </w:r>
      <w:r>
        <w:rPr>
          <w:rFonts w:ascii="Arial" w:cs="Arial" w:eastAsia="Arial" w:hAnsi="Arial"/>
          <w:sz w:val="18"/>
          <w:szCs w:val="18"/>
          <w:b w:val="1"/>
          <w:bCs w:val="1"/>
          <w:color w:val="auto"/>
        </w:rPr>
        <w:t>[Insert Job],</w:t>
      </w:r>
      <w:r>
        <w:rPr>
          <w:rFonts w:ascii="Arial" w:cs="Arial" w:eastAsia="Arial" w:hAnsi="Arial"/>
          <w:sz w:val="18"/>
          <w:szCs w:val="18"/>
          <w:color w:val="auto"/>
        </w:rPr>
        <w:t xml:space="preserve"> the following companies are considered key competitors to the Company, and therefore, fall within the definition of a Competing Business as that term is used in your Agreement:</w:t>
      </w:r>
    </w:p>
    <w:p>
      <w:pPr>
        <w:spacing w:after="0" w:line="378"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[Insert Key Competitors]</w:t>
      </w: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previously noted, this is not an exhaustive list and there may be current and future persons or other entities that would meet the definition of a Competing Business as set forth in your Agreement. In addition, pursuant to Paragraph 2(b) of your Agreement, please note that the term Competing Business as defined in your Agreement will include competitors of any business of the Company in which you have worked in a job during the last two (2) years of your employment with the Company. Accordingly, if you worked in multiple positions during your tenure, it is very likely that the Competing Businesses subject to restriction under the terms of your Agreement will be broader than the above illustrative list. If you have questions about whether any prior position which you have held over the last two (2) years subjects you to similar restrictions, and will be used to identify Competing Business(es), you should contact your Human Resource representative.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4" w:right="239" w:bottom="1440" w:gutter="0" w:footer="0" w:header="0"/>
        </w:sectPr>
      </w:pPr>
    </w:p>
    <w:bookmarkStart w:id="131" w:name="page132"/>
    <w:bookmarkEnd w:id="131"/>
    <w:p>
      <w:pPr>
        <w:ind w:left="10280"/>
        <w:spacing w:after="0"/>
        <w:rPr>
          <w:sz w:val="20"/>
          <w:szCs w:val="20"/>
          <w:color w:val="auto"/>
        </w:rPr>
      </w:pPr>
      <w:r>
        <w:rPr>
          <w:rFonts w:ascii="Arial" w:cs="Arial" w:eastAsia="Arial" w:hAnsi="Arial"/>
          <w:sz w:val="18"/>
          <w:szCs w:val="18"/>
          <w:b w:val="1"/>
          <w:bCs w:val="1"/>
          <w:color w:val="auto"/>
        </w:rPr>
        <w:t>EXHIBIT 12.1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2016, 2015, 2014, 2013, and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for ratios)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r>
      <w:tr>
        <w:trPr>
          <w:trHeight w:val="27"/>
        </w:trPr>
        <w:tc>
          <w:tcPr>
            <w:tcW w:w="4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324"/>
        </w:trPr>
        <w:tc>
          <w:tcPr>
            <w:tcW w:w="4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1,099,481</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901,847</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1,306,043</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1,251,319</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1,015,579</w:t>
            </w:r>
          </w:p>
        </w:tc>
      </w:tr>
      <w:tr>
        <w:trPr>
          <w:trHeight w:val="189"/>
        </w:trPr>
        <w:tc>
          <w:tcPr>
            <w:tcW w:w="4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(deduct):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189"/>
        </w:trPr>
        <w:tc>
          <w:tcPr>
            <w:tcW w:w="4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 charges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107,365</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104,764</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105,840</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102,194</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113,671</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Amortization of capitalized interest</w:t>
            </w:r>
          </w:p>
        </w:tc>
        <w:tc>
          <w:tcPr>
            <w:tcW w:w="2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2,927</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2,450</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2,352</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2,272</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1,660</w:t>
            </w:r>
          </w:p>
        </w:tc>
      </w:tr>
      <w:tr>
        <w:trPr>
          <w:trHeight w:val="27"/>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Capitalized interest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(5,903)</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(12,537)</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(6,179)</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(1,744)</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(5,778)</w:t>
            </w:r>
          </w:p>
        </w:tc>
      </w:tr>
      <w:tr>
        <w:trPr>
          <w:trHeight w:val="229"/>
        </w:trPr>
        <w:tc>
          <w:tcPr>
            <w:tcW w:w="4240" w:type="dxa"/>
            <w:vAlign w:val="bottom"/>
          </w:tcPr>
          <w:p>
            <w:pPr>
              <w:ind w:left="280"/>
              <w:spacing w:after="0"/>
              <w:rPr>
                <w:sz w:val="20"/>
                <w:szCs w:val="20"/>
                <w:color w:val="auto"/>
              </w:rPr>
            </w:pPr>
            <w:r>
              <w:rPr>
                <w:rFonts w:ascii="Arial" w:cs="Arial" w:eastAsia="Arial" w:hAnsi="Arial"/>
                <w:sz w:val="18"/>
                <w:szCs w:val="18"/>
                <w:color w:val="auto"/>
              </w:rPr>
              <w:t>Adjustment to exclude noncontrolling interests in</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4240" w:type="dxa"/>
            <w:vAlign w:val="bottom"/>
          </w:tcPr>
          <w:p>
            <w:pPr>
              <w:ind w:left="280"/>
              <w:spacing w:after="0"/>
              <w:rPr>
                <w:sz w:val="20"/>
                <w:szCs w:val="20"/>
                <w:color w:val="auto"/>
              </w:rPr>
            </w:pPr>
            <w:r>
              <w:rPr>
                <w:rFonts w:ascii="Arial" w:cs="Arial" w:eastAsia="Arial" w:hAnsi="Arial"/>
                <w:sz w:val="18"/>
                <w:szCs w:val="18"/>
                <w:color w:val="auto"/>
              </w:rPr>
              <w:t>subsidiaries and income from equity investee</w:t>
            </w:r>
          </w:p>
        </w:tc>
        <w:tc>
          <w:tcPr>
            <w:tcW w:w="28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3,970</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(3,850)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129</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(2,324)</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(12,950)</w:t>
            </w:r>
          </w:p>
        </w:tc>
      </w:tr>
      <w:tr>
        <w:trPr>
          <w:trHeight w:val="27"/>
        </w:trPr>
        <w:tc>
          <w:tcPr>
            <w:tcW w:w="4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3"/>
        </w:trPr>
        <w:tc>
          <w:tcPr>
            <w:tcW w:w="4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304"/>
        </w:trPr>
        <w:tc>
          <w:tcPr>
            <w:tcW w:w="42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Earnings as adjusted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1,207,840</w:t>
            </w:r>
          </w:p>
        </w:tc>
        <w:tc>
          <w:tcPr>
            <w:tcW w:w="2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992,674</w:t>
            </w:r>
          </w:p>
        </w:tc>
        <w:tc>
          <w:tcPr>
            <w:tcW w:w="2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1,408,185</w:t>
            </w:r>
          </w:p>
        </w:tc>
        <w:tc>
          <w:tcPr>
            <w:tcW w:w="2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1,351,717</w:t>
            </w:r>
          </w:p>
        </w:tc>
        <w:tc>
          <w:tcPr>
            <w:tcW w:w="2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1,112,182</w:t>
            </w:r>
          </w:p>
        </w:tc>
      </w:tr>
      <w:tr>
        <w:trPr>
          <w:trHeight w:val="176"/>
        </w:trPr>
        <w:tc>
          <w:tcPr>
            <w:tcW w:w="4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Fixed Charges:</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89"/>
        </w:trPr>
        <w:tc>
          <w:tcPr>
            <w:tcW w:w="4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Interest expensed and capitalized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96,209</w:t>
            </w:r>
          </w:p>
        </w:tc>
        <w:tc>
          <w:tcPr>
            <w:tcW w:w="2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93,520</w:t>
            </w:r>
          </w:p>
        </w:tc>
        <w:tc>
          <w:tcPr>
            <w:tcW w:w="2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93,777</w:t>
            </w:r>
          </w:p>
        </w:tc>
        <w:tc>
          <w:tcPr>
            <w:tcW w:w="2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93,258</w:t>
            </w:r>
          </w:p>
        </w:tc>
        <w:tc>
          <w:tcPr>
            <w:tcW w:w="2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104,287</w:t>
            </w:r>
          </w:p>
        </w:tc>
      </w:tr>
      <w:tr>
        <w:trPr>
          <w:trHeight w:val="27"/>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deferred debt issuance costs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1,642</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1,279</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1,118</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1,115</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1,245</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w w:val="91"/>
              </w:rPr>
              <w:t>Portion of rents representative of the interest factor (a)</w:t>
            </w:r>
          </w:p>
        </w:tc>
        <w:tc>
          <w:tcPr>
            <w:tcW w:w="2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9,514</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9,965</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10,945</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7,821</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8,139</w:t>
            </w:r>
          </w:p>
        </w:tc>
      </w:tr>
      <w:tr>
        <w:trPr>
          <w:trHeight w:val="27"/>
        </w:trPr>
        <w:tc>
          <w:tcPr>
            <w:tcW w:w="4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3"/>
        </w:trPr>
        <w:tc>
          <w:tcPr>
            <w:tcW w:w="4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304"/>
        </w:trPr>
        <w:tc>
          <w:tcPr>
            <w:tcW w:w="42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fixed charges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107,365</w:t>
            </w:r>
          </w:p>
        </w:tc>
        <w:tc>
          <w:tcPr>
            <w:tcW w:w="2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104,764</w:t>
            </w:r>
          </w:p>
        </w:tc>
        <w:tc>
          <w:tcPr>
            <w:tcW w:w="2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105,840</w:t>
            </w:r>
          </w:p>
        </w:tc>
        <w:tc>
          <w:tcPr>
            <w:tcW w:w="2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102,194</w:t>
            </w:r>
          </w:p>
        </w:tc>
        <w:tc>
          <w:tcPr>
            <w:tcW w:w="2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113,671</w:t>
            </w:r>
          </w:p>
        </w:tc>
      </w:tr>
      <w:tr>
        <w:trPr>
          <w:trHeight w:val="176"/>
        </w:trPr>
        <w:tc>
          <w:tcPr>
            <w:tcW w:w="4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Ratio of earnings to fixed charges</w:t>
            </w:r>
          </w:p>
        </w:tc>
        <w:tc>
          <w:tcPr>
            <w:tcW w:w="2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11.25</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9.48</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13.30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13.23</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9.78</w:t>
            </w:r>
          </w:p>
        </w:tc>
      </w:tr>
      <w:tr>
        <w:trPr>
          <w:trHeight w:val="27"/>
        </w:trPr>
        <w:tc>
          <w:tcPr>
            <w:tcW w:w="4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4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  Portion of rents representative of the interest factor consists of one-third of rental expense for operating leases.</w:t>
      </w:r>
    </w:p>
    <w:p>
      <w:pPr>
        <w:sectPr>
          <w:pgSz w:w="11900" w:h="16838" w:orient="portrait"/>
          <w:cols w:equalWidth="0" w:num="1">
            <w:col w:w="11420"/>
          </w:cols>
          <w:pgMar w:left="240" w:top="580"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REGISTRANT</w:t>
      </w:r>
    </w:p>
    <w:p>
      <w:pPr>
        <w:spacing w:after="0" w:line="9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Below is a listing of our major subsidiaries, their jurisdictions of incorporation, and the name under which they do business. Each is wholly owned unless otherwise noted.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Subsidiary Name</w:t>
            </w:r>
          </w:p>
        </w:tc>
        <w:tc>
          <w:tcPr>
            <w:tcW w:w="2840" w:type="dxa"/>
            <w:vAlign w:val="bottom"/>
          </w:tcPr>
          <w:p>
            <w:pPr>
              <w:ind w:left="380"/>
              <w:spacing w:after="0"/>
              <w:rPr>
                <w:sz w:val="20"/>
                <w:szCs w:val="20"/>
                <w:color w:val="auto"/>
              </w:rPr>
            </w:pPr>
            <w:r>
              <w:rPr>
                <w:rFonts w:ascii="Arial" w:cs="Arial" w:eastAsia="Arial" w:hAnsi="Arial"/>
                <w:sz w:val="18"/>
                <w:szCs w:val="18"/>
                <w:color w:val="auto"/>
              </w:rPr>
              <w:t>Jurisdiction of Incorporation</w:t>
            </w:r>
          </w:p>
        </w:tc>
      </w:tr>
      <w:tr>
        <w:trPr>
          <w:trHeight w:val="27"/>
        </w:trPr>
        <w:tc>
          <w:tcPr>
            <w:tcW w:w="8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453"/>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Hershey Netherlands B.V.</w:t>
            </w:r>
          </w:p>
        </w:tc>
        <w:tc>
          <w:tcPr>
            <w:tcW w:w="2840" w:type="dxa"/>
            <w:vAlign w:val="bottom"/>
          </w:tcPr>
          <w:p>
            <w:pPr>
              <w:ind w:left="340"/>
              <w:spacing w:after="0"/>
              <w:rPr>
                <w:sz w:val="20"/>
                <w:szCs w:val="20"/>
                <w:color w:val="auto"/>
              </w:rPr>
            </w:pPr>
            <w:r>
              <w:rPr>
                <w:rFonts w:ascii="Arial" w:cs="Arial" w:eastAsia="Arial" w:hAnsi="Arial"/>
                <w:sz w:val="18"/>
                <w:szCs w:val="18"/>
                <w:color w:val="auto"/>
              </w:rPr>
              <w:t>The Netherlands</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Hershey Canada, Inc.</w:t>
            </w:r>
          </w:p>
        </w:tc>
        <w:tc>
          <w:tcPr>
            <w:tcW w:w="2840" w:type="dxa"/>
            <w:vAlign w:val="bottom"/>
          </w:tcPr>
          <w:p>
            <w:pPr>
              <w:ind w:left="340"/>
              <w:spacing w:after="0"/>
              <w:rPr>
                <w:sz w:val="20"/>
                <w:szCs w:val="20"/>
                <w:color w:val="auto"/>
              </w:rPr>
            </w:pPr>
            <w:r>
              <w:rPr>
                <w:rFonts w:ascii="Arial" w:cs="Arial" w:eastAsia="Arial" w:hAnsi="Arial"/>
                <w:sz w:val="18"/>
                <w:szCs w:val="18"/>
                <w:color w:val="auto"/>
              </w:rPr>
              <w:t>Canada</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Hershey Mexico S.A. de C.V.</w:t>
            </w:r>
          </w:p>
        </w:tc>
        <w:tc>
          <w:tcPr>
            <w:tcW w:w="2840" w:type="dxa"/>
            <w:vAlign w:val="bottom"/>
          </w:tcPr>
          <w:p>
            <w:pPr>
              <w:ind w:left="340"/>
              <w:spacing w:after="0"/>
              <w:rPr>
                <w:sz w:val="20"/>
                <w:szCs w:val="20"/>
                <w:color w:val="auto"/>
              </w:rPr>
            </w:pPr>
            <w:r>
              <w:rPr>
                <w:rFonts w:ascii="Arial" w:cs="Arial" w:eastAsia="Arial" w:hAnsi="Arial"/>
                <w:sz w:val="18"/>
                <w:szCs w:val="18"/>
                <w:color w:val="auto"/>
              </w:rPr>
              <w:t>Mexico</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Hersmex S. de R.L. de C.V.</w:t>
            </w:r>
          </w:p>
        </w:tc>
        <w:tc>
          <w:tcPr>
            <w:tcW w:w="2840" w:type="dxa"/>
            <w:vAlign w:val="bottom"/>
          </w:tcPr>
          <w:p>
            <w:pPr>
              <w:ind w:left="340"/>
              <w:spacing w:after="0"/>
              <w:rPr>
                <w:sz w:val="20"/>
                <w:szCs w:val="20"/>
                <w:color w:val="auto"/>
              </w:rPr>
            </w:pPr>
            <w:r>
              <w:rPr>
                <w:rFonts w:ascii="Arial" w:cs="Arial" w:eastAsia="Arial" w:hAnsi="Arial"/>
                <w:sz w:val="18"/>
                <w:szCs w:val="18"/>
                <w:color w:val="auto"/>
              </w:rPr>
              <w:t>Mexico</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Servicios de Hersmex S. de R.L. de C.V.</w:t>
            </w:r>
          </w:p>
        </w:tc>
        <w:tc>
          <w:tcPr>
            <w:tcW w:w="2840" w:type="dxa"/>
            <w:vAlign w:val="bottom"/>
          </w:tcPr>
          <w:p>
            <w:pPr>
              <w:ind w:left="340"/>
              <w:spacing w:after="0"/>
              <w:rPr>
                <w:sz w:val="20"/>
                <w:szCs w:val="20"/>
                <w:color w:val="auto"/>
              </w:rPr>
            </w:pPr>
            <w:r>
              <w:rPr>
                <w:rFonts w:ascii="Arial" w:cs="Arial" w:eastAsia="Arial" w:hAnsi="Arial"/>
                <w:sz w:val="18"/>
                <w:szCs w:val="18"/>
                <w:color w:val="auto"/>
              </w:rPr>
              <w:t>Mexico</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Hershey Chocolate of Virginia, Inc.</w:t>
            </w:r>
          </w:p>
        </w:tc>
        <w:tc>
          <w:tcPr>
            <w:tcW w:w="2840" w:type="dxa"/>
            <w:vAlign w:val="bottom"/>
          </w:tcPr>
          <w:p>
            <w:pPr>
              <w:ind w:left="340"/>
              <w:spacing w:after="0"/>
              <w:rPr>
                <w:sz w:val="20"/>
                <w:szCs w:val="20"/>
                <w:color w:val="auto"/>
              </w:rPr>
            </w:pPr>
            <w:r>
              <w:rPr>
                <w:rFonts w:ascii="Arial" w:cs="Arial" w:eastAsia="Arial" w:hAnsi="Arial"/>
                <w:sz w:val="18"/>
                <w:szCs w:val="18"/>
                <w:color w:val="auto"/>
              </w:rPr>
              <w:t>Delaware</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Hershey Chocolate &amp; Confectionery Corporation</w:t>
            </w:r>
          </w:p>
        </w:tc>
        <w:tc>
          <w:tcPr>
            <w:tcW w:w="2840" w:type="dxa"/>
            <w:vAlign w:val="bottom"/>
          </w:tcPr>
          <w:p>
            <w:pPr>
              <w:ind w:left="340"/>
              <w:spacing w:after="0"/>
              <w:rPr>
                <w:sz w:val="20"/>
                <w:szCs w:val="20"/>
                <w:color w:val="auto"/>
              </w:rPr>
            </w:pPr>
            <w:r>
              <w:rPr>
                <w:rFonts w:ascii="Arial" w:cs="Arial" w:eastAsia="Arial" w:hAnsi="Arial"/>
                <w:sz w:val="18"/>
                <w:szCs w:val="18"/>
                <w:color w:val="auto"/>
              </w:rPr>
              <w:t>Delaware</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Hershey International Ltd.</w:t>
            </w:r>
          </w:p>
        </w:tc>
        <w:tc>
          <w:tcPr>
            <w:tcW w:w="2840" w:type="dxa"/>
            <w:vAlign w:val="bottom"/>
          </w:tcPr>
          <w:p>
            <w:pPr>
              <w:ind w:left="340"/>
              <w:spacing w:after="0"/>
              <w:rPr>
                <w:sz w:val="20"/>
                <w:szCs w:val="20"/>
                <w:color w:val="auto"/>
              </w:rPr>
            </w:pPr>
            <w:r>
              <w:rPr>
                <w:rFonts w:ascii="Arial" w:cs="Arial" w:eastAsia="Arial" w:hAnsi="Arial"/>
                <w:sz w:val="18"/>
                <w:szCs w:val="18"/>
                <w:color w:val="auto"/>
              </w:rPr>
              <w:t>Delaware</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CSH Foods, Inc.</w:t>
            </w:r>
          </w:p>
        </w:tc>
        <w:tc>
          <w:tcPr>
            <w:tcW w:w="2840" w:type="dxa"/>
            <w:vAlign w:val="bottom"/>
          </w:tcPr>
          <w:p>
            <w:pPr>
              <w:ind w:left="340"/>
              <w:spacing w:after="0"/>
              <w:rPr>
                <w:sz w:val="20"/>
                <w:szCs w:val="20"/>
                <w:color w:val="auto"/>
              </w:rPr>
            </w:pPr>
            <w:r>
              <w:rPr>
                <w:rFonts w:ascii="Arial" w:cs="Arial" w:eastAsia="Arial" w:hAnsi="Arial"/>
                <w:sz w:val="18"/>
                <w:szCs w:val="18"/>
                <w:color w:val="auto"/>
              </w:rPr>
              <w:t>Delaware</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Artisan Confections Company</w:t>
            </w:r>
          </w:p>
        </w:tc>
        <w:tc>
          <w:tcPr>
            <w:tcW w:w="2840" w:type="dxa"/>
            <w:vAlign w:val="bottom"/>
          </w:tcPr>
          <w:p>
            <w:pPr>
              <w:ind w:left="340"/>
              <w:spacing w:after="0"/>
              <w:rPr>
                <w:sz w:val="20"/>
                <w:szCs w:val="20"/>
                <w:color w:val="auto"/>
              </w:rPr>
            </w:pPr>
            <w:r>
              <w:rPr>
                <w:rFonts w:ascii="Arial" w:cs="Arial" w:eastAsia="Arial" w:hAnsi="Arial"/>
                <w:sz w:val="18"/>
                <w:szCs w:val="18"/>
                <w:color w:val="auto"/>
              </w:rPr>
              <w:t>Delaware</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Krave Pure Foods, Inc.</w:t>
            </w:r>
          </w:p>
        </w:tc>
        <w:tc>
          <w:tcPr>
            <w:tcW w:w="2840" w:type="dxa"/>
            <w:vAlign w:val="bottom"/>
          </w:tcPr>
          <w:p>
            <w:pPr>
              <w:ind w:left="340"/>
              <w:spacing w:after="0"/>
              <w:rPr>
                <w:sz w:val="20"/>
                <w:szCs w:val="20"/>
                <w:color w:val="auto"/>
              </w:rPr>
            </w:pPr>
            <w:r>
              <w:rPr>
                <w:rFonts w:ascii="Arial" w:cs="Arial" w:eastAsia="Arial" w:hAnsi="Arial"/>
                <w:sz w:val="18"/>
                <w:szCs w:val="18"/>
                <w:color w:val="auto"/>
              </w:rPr>
              <w:t>Delaware</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Hershey Caribe, Inc.</w:t>
            </w:r>
          </w:p>
        </w:tc>
        <w:tc>
          <w:tcPr>
            <w:tcW w:w="2840" w:type="dxa"/>
            <w:vAlign w:val="bottom"/>
          </w:tcPr>
          <w:p>
            <w:pPr>
              <w:ind w:left="340"/>
              <w:spacing w:after="0"/>
              <w:rPr>
                <w:sz w:val="20"/>
                <w:szCs w:val="20"/>
                <w:color w:val="auto"/>
              </w:rPr>
            </w:pPr>
            <w:r>
              <w:rPr>
                <w:rFonts w:ascii="Arial" w:cs="Arial" w:eastAsia="Arial" w:hAnsi="Arial"/>
                <w:sz w:val="18"/>
                <w:szCs w:val="18"/>
                <w:color w:val="auto"/>
              </w:rPr>
              <w:t>Puerto Rico</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Hershey Europe Ltd.</w:t>
            </w:r>
          </w:p>
        </w:tc>
        <w:tc>
          <w:tcPr>
            <w:tcW w:w="2840" w:type="dxa"/>
            <w:vAlign w:val="bottom"/>
          </w:tcPr>
          <w:p>
            <w:pPr>
              <w:ind w:left="340"/>
              <w:spacing w:after="0"/>
              <w:rPr>
                <w:sz w:val="20"/>
                <w:szCs w:val="20"/>
                <w:color w:val="auto"/>
              </w:rPr>
            </w:pPr>
            <w:r>
              <w:rPr>
                <w:rFonts w:ascii="Arial" w:cs="Arial" w:eastAsia="Arial" w:hAnsi="Arial"/>
                <w:sz w:val="18"/>
                <w:szCs w:val="18"/>
                <w:color w:val="auto"/>
              </w:rPr>
              <w:t>United Kingdom</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Hershey UK Holding Limited</w:t>
            </w:r>
          </w:p>
        </w:tc>
        <w:tc>
          <w:tcPr>
            <w:tcW w:w="2840" w:type="dxa"/>
            <w:vAlign w:val="bottom"/>
          </w:tcPr>
          <w:p>
            <w:pPr>
              <w:ind w:left="340"/>
              <w:spacing w:after="0"/>
              <w:rPr>
                <w:sz w:val="20"/>
                <w:szCs w:val="20"/>
                <w:color w:val="auto"/>
              </w:rPr>
            </w:pPr>
            <w:r>
              <w:rPr>
                <w:rFonts w:ascii="Arial" w:cs="Arial" w:eastAsia="Arial" w:hAnsi="Arial"/>
                <w:sz w:val="18"/>
                <w:szCs w:val="18"/>
                <w:color w:val="auto"/>
              </w:rPr>
              <w:t>United Kingdom</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Hershey UK Finance Limited</w:t>
            </w:r>
          </w:p>
        </w:tc>
        <w:tc>
          <w:tcPr>
            <w:tcW w:w="2840" w:type="dxa"/>
            <w:vAlign w:val="bottom"/>
          </w:tcPr>
          <w:p>
            <w:pPr>
              <w:ind w:left="340"/>
              <w:spacing w:after="0"/>
              <w:rPr>
                <w:sz w:val="20"/>
                <w:szCs w:val="20"/>
                <w:color w:val="auto"/>
              </w:rPr>
            </w:pPr>
            <w:r>
              <w:rPr>
                <w:rFonts w:ascii="Arial" w:cs="Arial" w:eastAsia="Arial" w:hAnsi="Arial"/>
                <w:sz w:val="18"/>
                <w:szCs w:val="18"/>
                <w:color w:val="auto"/>
              </w:rPr>
              <w:t>United Kingdom</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Hershey Trading GmbH</w:t>
            </w:r>
          </w:p>
        </w:tc>
        <w:tc>
          <w:tcPr>
            <w:tcW w:w="2840" w:type="dxa"/>
            <w:vAlign w:val="bottom"/>
          </w:tcPr>
          <w:p>
            <w:pPr>
              <w:ind w:left="340"/>
              <w:spacing w:after="0"/>
              <w:rPr>
                <w:sz w:val="20"/>
                <w:szCs w:val="20"/>
                <w:color w:val="auto"/>
              </w:rPr>
            </w:pPr>
            <w:r>
              <w:rPr>
                <w:rFonts w:ascii="Arial" w:cs="Arial" w:eastAsia="Arial" w:hAnsi="Arial"/>
                <w:sz w:val="18"/>
                <w:szCs w:val="18"/>
                <w:color w:val="auto"/>
              </w:rPr>
              <w:t>Switzerland</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Hershey India Private Limited</w:t>
            </w:r>
          </w:p>
        </w:tc>
        <w:tc>
          <w:tcPr>
            <w:tcW w:w="2840" w:type="dxa"/>
            <w:vAlign w:val="bottom"/>
          </w:tcPr>
          <w:p>
            <w:pPr>
              <w:ind w:left="340"/>
              <w:spacing w:after="0"/>
              <w:rPr>
                <w:sz w:val="20"/>
                <w:szCs w:val="20"/>
                <w:color w:val="auto"/>
              </w:rPr>
            </w:pPr>
            <w:r>
              <w:rPr>
                <w:rFonts w:ascii="Arial" w:cs="Arial" w:eastAsia="Arial" w:hAnsi="Arial"/>
                <w:sz w:val="18"/>
                <w:szCs w:val="18"/>
                <w:color w:val="auto"/>
              </w:rPr>
              <w:t>India</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Nutrine Confectionery Company Private Limited</w:t>
            </w:r>
          </w:p>
        </w:tc>
        <w:tc>
          <w:tcPr>
            <w:tcW w:w="2840" w:type="dxa"/>
            <w:vAlign w:val="bottom"/>
          </w:tcPr>
          <w:p>
            <w:pPr>
              <w:ind w:left="340"/>
              <w:spacing w:after="0"/>
              <w:rPr>
                <w:sz w:val="20"/>
                <w:szCs w:val="20"/>
                <w:color w:val="auto"/>
              </w:rPr>
            </w:pPr>
            <w:r>
              <w:rPr>
                <w:rFonts w:ascii="Arial" w:cs="Arial" w:eastAsia="Arial" w:hAnsi="Arial"/>
                <w:sz w:val="18"/>
                <w:szCs w:val="18"/>
                <w:color w:val="auto"/>
              </w:rPr>
              <w:t>India</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Hershey (Shanghai) Foods Research and Development Co. Ltd.</w:t>
            </w:r>
          </w:p>
        </w:tc>
        <w:tc>
          <w:tcPr>
            <w:tcW w:w="2840" w:type="dxa"/>
            <w:vAlign w:val="bottom"/>
          </w:tcPr>
          <w:p>
            <w:pPr>
              <w:ind w:left="340"/>
              <w:spacing w:after="0"/>
              <w:rPr>
                <w:sz w:val="20"/>
                <w:szCs w:val="20"/>
                <w:color w:val="auto"/>
              </w:rPr>
            </w:pPr>
            <w:r>
              <w:rPr>
                <w:rFonts w:ascii="Arial" w:cs="Arial" w:eastAsia="Arial" w:hAnsi="Arial"/>
                <w:sz w:val="18"/>
                <w:szCs w:val="18"/>
                <w:color w:val="auto"/>
              </w:rPr>
              <w:t>China</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Hershey Commercial (Shanghai) Co. Ltd.</w:t>
            </w:r>
          </w:p>
        </w:tc>
        <w:tc>
          <w:tcPr>
            <w:tcW w:w="2840" w:type="dxa"/>
            <w:vAlign w:val="bottom"/>
          </w:tcPr>
          <w:p>
            <w:pPr>
              <w:ind w:left="340"/>
              <w:spacing w:after="0"/>
              <w:rPr>
                <w:sz w:val="20"/>
                <w:szCs w:val="20"/>
                <w:color w:val="auto"/>
              </w:rPr>
            </w:pPr>
            <w:r>
              <w:rPr>
                <w:rFonts w:ascii="Arial" w:cs="Arial" w:eastAsia="Arial" w:hAnsi="Arial"/>
                <w:sz w:val="18"/>
                <w:szCs w:val="18"/>
                <w:color w:val="auto"/>
              </w:rPr>
              <w:t>China</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Hershey (China) Investment Management Co., Ltd.</w:t>
            </w:r>
          </w:p>
        </w:tc>
        <w:tc>
          <w:tcPr>
            <w:tcW w:w="2840" w:type="dxa"/>
            <w:vAlign w:val="bottom"/>
          </w:tcPr>
          <w:p>
            <w:pPr>
              <w:ind w:left="340"/>
              <w:spacing w:after="0"/>
              <w:rPr>
                <w:sz w:val="20"/>
                <w:szCs w:val="20"/>
                <w:color w:val="auto"/>
              </w:rPr>
            </w:pPr>
            <w:r>
              <w:rPr>
                <w:rFonts w:ascii="Arial" w:cs="Arial" w:eastAsia="Arial" w:hAnsi="Arial"/>
                <w:sz w:val="18"/>
                <w:szCs w:val="18"/>
                <w:color w:val="auto"/>
              </w:rPr>
              <w:t>China</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Hershey Japan Co., Ltd.</w:t>
            </w:r>
          </w:p>
        </w:tc>
        <w:tc>
          <w:tcPr>
            <w:tcW w:w="2840" w:type="dxa"/>
            <w:vAlign w:val="bottom"/>
          </w:tcPr>
          <w:p>
            <w:pPr>
              <w:ind w:left="340"/>
              <w:spacing w:after="0"/>
              <w:rPr>
                <w:sz w:val="20"/>
                <w:szCs w:val="20"/>
                <w:color w:val="auto"/>
              </w:rPr>
            </w:pPr>
            <w:r>
              <w:rPr>
                <w:rFonts w:ascii="Arial" w:cs="Arial" w:eastAsia="Arial" w:hAnsi="Arial"/>
                <w:sz w:val="18"/>
                <w:szCs w:val="18"/>
                <w:color w:val="auto"/>
              </w:rPr>
              <w:t>Japan</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Hershey Philippines, Inc.</w:t>
            </w:r>
          </w:p>
        </w:tc>
        <w:tc>
          <w:tcPr>
            <w:tcW w:w="2840" w:type="dxa"/>
            <w:vAlign w:val="bottom"/>
          </w:tcPr>
          <w:p>
            <w:pPr>
              <w:ind w:left="340"/>
              <w:spacing w:after="0"/>
              <w:rPr>
                <w:sz w:val="20"/>
                <w:szCs w:val="20"/>
                <w:color w:val="auto"/>
              </w:rPr>
            </w:pPr>
            <w:r>
              <w:rPr>
                <w:rFonts w:ascii="Arial" w:cs="Arial" w:eastAsia="Arial" w:hAnsi="Arial"/>
                <w:sz w:val="18"/>
                <w:szCs w:val="18"/>
                <w:color w:val="auto"/>
              </w:rPr>
              <w:t>Philippines</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Hershey Singapore Pte. Ltd.</w:t>
            </w:r>
          </w:p>
        </w:tc>
        <w:tc>
          <w:tcPr>
            <w:tcW w:w="2840" w:type="dxa"/>
            <w:vAlign w:val="bottom"/>
          </w:tcPr>
          <w:p>
            <w:pPr>
              <w:ind w:left="340"/>
              <w:spacing w:after="0"/>
              <w:rPr>
                <w:sz w:val="20"/>
                <w:szCs w:val="20"/>
                <w:color w:val="auto"/>
              </w:rPr>
            </w:pPr>
            <w:r>
              <w:rPr>
                <w:rFonts w:ascii="Arial" w:cs="Arial" w:eastAsia="Arial" w:hAnsi="Arial"/>
                <w:sz w:val="18"/>
                <w:szCs w:val="18"/>
                <w:color w:val="auto"/>
              </w:rPr>
              <w:t>Singapore</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Hershey Asia Pacific Pte. Ltd.</w:t>
            </w:r>
          </w:p>
        </w:tc>
        <w:tc>
          <w:tcPr>
            <w:tcW w:w="2840" w:type="dxa"/>
            <w:vAlign w:val="bottom"/>
          </w:tcPr>
          <w:p>
            <w:pPr>
              <w:ind w:left="340"/>
              <w:spacing w:after="0"/>
              <w:rPr>
                <w:sz w:val="20"/>
                <w:szCs w:val="20"/>
                <w:color w:val="auto"/>
              </w:rPr>
            </w:pPr>
            <w:r>
              <w:rPr>
                <w:rFonts w:ascii="Arial" w:cs="Arial" w:eastAsia="Arial" w:hAnsi="Arial"/>
                <w:sz w:val="18"/>
                <w:szCs w:val="18"/>
                <w:color w:val="auto"/>
              </w:rPr>
              <w:t>Singapore</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Hershey Malaysia Sdn. Bhd.</w:t>
            </w:r>
          </w:p>
        </w:tc>
        <w:tc>
          <w:tcPr>
            <w:tcW w:w="2840" w:type="dxa"/>
            <w:vAlign w:val="bottom"/>
          </w:tcPr>
          <w:p>
            <w:pPr>
              <w:ind w:left="340"/>
              <w:spacing w:after="0"/>
              <w:rPr>
                <w:sz w:val="20"/>
                <w:szCs w:val="20"/>
                <w:color w:val="auto"/>
              </w:rPr>
            </w:pPr>
            <w:r>
              <w:rPr>
                <w:rFonts w:ascii="Arial" w:cs="Arial" w:eastAsia="Arial" w:hAnsi="Arial"/>
                <w:sz w:val="18"/>
                <w:szCs w:val="18"/>
                <w:color w:val="auto"/>
              </w:rPr>
              <w:t>Malaysia</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Hershey (Thailand) Co. Ltd.</w:t>
            </w:r>
          </w:p>
        </w:tc>
        <w:tc>
          <w:tcPr>
            <w:tcW w:w="2840" w:type="dxa"/>
            <w:vAlign w:val="bottom"/>
          </w:tcPr>
          <w:p>
            <w:pPr>
              <w:ind w:left="340"/>
              <w:spacing w:after="0"/>
              <w:rPr>
                <w:sz w:val="20"/>
                <w:szCs w:val="20"/>
                <w:color w:val="auto"/>
              </w:rPr>
            </w:pPr>
            <w:r>
              <w:rPr>
                <w:rFonts w:ascii="Arial" w:cs="Arial" w:eastAsia="Arial" w:hAnsi="Arial"/>
                <w:sz w:val="18"/>
                <w:szCs w:val="18"/>
                <w:color w:val="auto"/>
              </w:rPr>
              <w:t>Thailand</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Hershey do Brasil Ltda.</w:t>
            </w:r>
          </w:p>
        </w:tc>
        <w:tc>
          <w:tcPr>
            <w:tcW w:w="2840" w:type="dxa"/>
            <w:vAlign w:val="bottom"/>
          </w:tcPr>
          <w:p>
            <w:pPr>
              <w:ind w:left="340"/>
              <w:spacing w:after="0"/>
              <w:rPr>
                <w:sz w:val="20"/>
                <w:szCs w:val="20"/>
                <w:color w:val="auto"/>
              </w:rPr>
            </w:pPr>
            <w:r>
              <w:rPr>
                <w:rFonts w:ascii="Arial" w:cs="Arial" w:eastAsia="Arial" w:hAnsi="Arial"/>
                <w:sz w:val="18"/>
                <w:szCs w:val="18"/>
                <w:color w:val="auto"/>
              </w:rPr>
              <w:t>Brazil</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Shanghai Golden Monkey Food Joint Stock Co., Ltd.</w:t>
            </w:r>
          </w:p>
        </w:tc>
        <w:tc>
          <w:tcPr>
            <w:tcW w:w="2840" w:type="dxa"/>
            <w:vAlign w:val="bottom"/>
          </w:tcPr>
          <w:p>
            <w:pPr>
              <w:ind w:left="340"/>
              <w:spacing w:after="0"/>
              <w:rPr>
                <w:sz w:val="20"/>
                <w:szCs w:val="20"/>
                <w:color w:val="auto"/>
              </w:rPr>
            </w:pPr>
            <w:r>
              <w:rPr>
                <w:rFonts w:ascii="Arial" w:cs="Arial" w:eastAsia="Arial" w:hAnsi="Arial"/>
                <w:sz w:val="18"/>
                <w:szCs w:val="18"/>
                <w:color w:val="auto"/>
              </w:rPr>
              <w:t>China</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Lotte Shanghai Foods Co., Ltd. (50% ownership)</w:t>
            </w:r>
          </w:p>
        </w:tc>
        <w:tc>
          <w:tcPr>
            <w:tcW w:w="2840" w:type="dxa"/>
            <w:vAlign w:val="bottom"/>
          </w:tcPr>
          <w:p>
            <w:pPr>
              <w:ind w:left="340"/>
              <w:spacing w:after="0"/>
              <w:rPr>
                <w:sz w:val="20"/>
                <w:szCs w:val="20"/>
                <w:color w:val="auto"/>
              </w:rPr>
            </w:pPr>
            <w:r>
              <w:rPr>
                <w:rFonts w:ascii="Arial" w:cs="Arial" w:eastAsia="Arial" w:hAnsi="Arial"/>
                <w:sz w:val="18"/>
                <w:szCs w:val="18"/>
                <w:color w:val="auto"/>
              </w:rPr>
              <w:t>China</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LH Foods Co., Limited (50 % ownership)</w:t>
            </w:r>
          </w:p>
        </w:tc>
        <w:tc>
          <w:tcPr>
            <w:tcW w:w="2840" w:type="dxa"/>
            <w:vAlign w:val="bottom"/>
          </w:tcPr>
          <w:p>
            <w:pPr>
              <w:ind w:left="340"/>
              <w:spacing w:after="0"/>
              <w:rPr>
                <w:sz w:val="20"/>
                <w:szCs w:val="20"/>
                <w:color w:val="auto"/>
              </w:rPr>
            </w:pPr>
            <w:r>
              <w:rPr>
                <w:rFonts w:ascii="Arial" w:cs="Arial" w:eastAsia="Arial" w:hAnsi="Arial"/>
                <w:sz w:val="18"/>
                <w:szCs w:val="18"/>
                <w:color w:val="auto"/>
              </w:rPr>
              <w:t>Hong Kong</w:t>
            </w:r>
          </w:p>
        </w:tc>
      </w:tr>
    </w:tbl>
    <w:p>
      <w:pPr>
        <w:sectPr>
          <w:pgSz w:w="11900" w:h="16838" w:orient="portrait"/>
          <w:cols w:equalWidth="0" w:num="1">
            <w:col w:w="11420"/>
          </w:cols>
          <w:pgMar w:left="240" w:top="580"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Hershey Company:</w:t>
      </w:r>
    </w:p>
    <w:p>
      <w:pPr>
        <w:spacing w:after="0" w:line="373" w:lineRule="exact"/>
        <w:rPr>
          <w:sz w:val="20"/>
          <w:szCs w:val="20"/>
          <w:color w:val="auto"/>
        </w:rPr>
      </w:pPr>
    </w:p>
    <w:p>
      <w:pPr>
        <w:ind w:right="40"/>
        <w:spacing w:after="0" w:line="219" w:lineRule="exact"/>
        <w:rPr>
          <w:sz w:val="20"/>
          <w:szCs w:val="20"/>
          <w:color w:val="auto"/>
        </w:rPr>
      </w:pPr>
      <w:r>
        <w:rPr>
          <w:rFonts w:ascii="Arial" w:cs="Arial" w:eastAsia="Arial" w:hAnsi="Arial"/>
          <w:sz w:val="17"/>
          <w:szCs w:val="17"/>
          <w:color w:val="auto"/>
        </w:rPr>
        <w:t>We consent to the incorporation by reference in the registration statements (File No. 333-205269, File No. 333-174123, File No. 333-143764, File No. 333-107706, File No. 333-72100, File No. 333-72112, File No. 333-52509 and File No. 333-25853) on Forms S-3 and S-8 of The Hershey Company of our report dated February 21, 2017, with respect to the consolidated balance sheets of The Hershey Company and subsidiaries as of December 31, 2016 and 2015, the related consolidated statements of income, comprehensive income, cash flows and stockholders’ equity for each of the years in the three-year period ended December 31, 2016, and the related financial statement schedule, and the effectiveness of internal control over financial reporting as of December 31, 2016, which report appears in the December 31, 2016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of The Hershey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/s/ KPMG LLP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2017</w:t>
      </w:r>
    </w:p>
    <w:p>
      <w:pPr>
        <w:sectPr>
          <w:pgSz w:w="11900" w:h="16838" w:orient="portrait"/>
          <w:cols w:equalWidth="0" w:num="1">
            <w:col w:w="11420"/>
          </w:cols>
          <w:pgMar w:left="240" w:top="580"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31.1</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John P. Bilbrey, certify that:</w:t>
      </w:r>
    </w:p>
    <w:p>
      <w:pPr>
        <w:spacing w:after="0" w:line="90" w:lineRule="exact"/>
        <w:rPr>
          <w:sz w:val="20"/>
          <w:szCs w:val="20"/>
          <w:color w:val="auto"/>
        </w:rPr>
      </w:pPr>
    </w:p>
    <w:p>
      <w:pPr>
        <w:ind w:left="460" w:hanging="438"/>
        <w:spacing w:after="0"/>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Hershey Company;</w:t>
      </w:r>
    </w:p>
    <w:p>
      <w:pPr>
        <w:spacing w:after="0" w:line="90" w:lineRule="exact"/>
        <w:rPr>
          <w:rFonts w:ascii="Arial" w:cs="Arial" w:eastAsia="Arial" w:hAnsi="Arial"/>
          <w:sz w:val="18"/>
          <w:szCs w:val="18"/>
          <w:color w:val="auto"/>
        </w:rPr>
      </w:pPr>
    </w:p>
    <w:p>
      <w:pPr>
        <w:jc w:val="both"/>
        <w:ind w:left="460" w:right="500" w:hanging="438"/>
        <w:spacing w:after="0" w:line="264"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460" w:right="460" w:hanging="438"/>
        <w:spacing w:after="0" w:line="308" w:lineRule="auto"/>
        <w:tabs>
          <w:tab w:leader="none" w:pos="4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460" w:right="80" w:hanging="438"/>
        <w:spacing w:after="0" w:line="264"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880" w:right="320" w:hanging="440"/>
        <w:spacing w:after="0" w:line="264" w:lineRule="auto"/>
        <w:tabs>
          <w:tab w:leader="none" w:pos="8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880" w:right="20" w:hanging="440"/>
        <w:spacing w:after="0" w:line="264" w:lineRule="auto"/>
        <w:tabs>
          <w:tab w:leader="none" w:pos="8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880" w:right="800" w:hanging="440"/>
        <w:spacing w:after="0" w:line="334" w:lineRule="auto"/>
        <w:tabs>
          <w:tab w:leader="none" w:pos="880" w:val="left"/>
        </w:tabs>
        <w:numPr>
          <w:ilvl w:val="1"/>
          <w:numId w:val="9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880" w:right="40" w:hanging="440"/>
        <w:spacing w:after="0" w:line="264" w:lineRule="auto"/>
        <w:tabs>
          <w:tab w:leader="none" w:pos="8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460" w:right="200" w:hanging="438"/>
        <w:spacing w:after="0" w:line="308" w:lineRule="auto"/>
        <w:tabs>
          <w:tab w:leader="none" w:pos="4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880" w:right="220" w:hanging="440"/>
        <w:spacing w:after="0" w:line="277" w:lineRule="auto"/>
        <w:tabs>
          <w:tab w:leader="none" w:pos="8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880" w:right="180" w:hanging="440"/>
        <w:spacing w:after="0" w:line="277" w:lineRule="auto"/>
        <w:tabs>
          <w:tab w:leader="none" w:pos="8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180"/>
        <w:spacing w:after="0"/>
        <w:rPr>
          <w:sz w:val="20"/>
          <w:szCs w:val="20"/>
          <w:color w:val="auto"/>
        </w:rPr>
      </w:pPr>
      <w:r>
        <w:rPr>
          <w:rFonts w:ascii="Arial" w:cs="Arial" w:eastAsia="Arial" w:hAnsi="Arial"/>
          <w:sz w:val="14"/>
          <w:szCs w:val="14"/>
          <w:color w:val="auto"/>
        </w:rPr>
        <w:t>/s/ JOHN P. BILBREY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35934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spacing w:after="0" w:line="112"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auto"/>
        </w:rPr>
        <w:t>John P. Bilbrey</w:t>
      </w:r>
    </w:p>
    <w:p>
      <w:pPr>
        <w:spacing w:after="0" w:line="4" w:lineRule="exact"/>
        <w:rPr>
          <w:sz w:val="20"/>
          <w:szCs w:val="20"/>
          <w:color w:val="auto"/>
        </w:rPr>
      </w:pPr>
    </w:p>
    <w:p>
      <w:pPr>
        <w:jc w:val="center"/>
        <w:ind w:right="5760"/>
        <w:spacing w:after="0"/>
        <w:rPr>
          <w:sz w:val="20"/>
          <w:szCs w:val="20"/>
          <w:color w:val="auto"/>
        </w:rPr>
      </w:pPr>
      <w:r>
        <w:rPr>
          <w:rFonts w:ascii="Arial" w:cs="Arial" w:eastAsia="Arial" w:hAnsi="Arial"/>
          <w:sz w:val="14"/>
          <w:szCs w:val="14"/>
          <w:b w:val="1"/>
          <w:bCs w:val="1"/>
          <w:color w:val="auto"/>
        </w:rPr>
        <w:t>Chief Executive Officer</w:t>
      </w:r>
    </w:p>
    <w:p>
      <w:pPr>
        <w:spacing w:after="0" w:line="26" w:lineRule="exact"/>
        <w:rPr>
          <w:sz w:val="20"/>
          <w:szCs w:val="20"/>
          <w:color w:val="auto"/>
        </w:rPr>
      </w:pPr>
    </w:p>
    <w:p>
      <w:pPr>
        <w:jc w:val="center"/>
        <w:ind w:right="5760"/>
        <w:spacing w:after="0"/>
        <w:rPr>
          <w:sz w:val="20"/>
          <w:szCs w:val="20"/>
          <w:color w:val="auto"/>
        </w:rPr>
      </w:pPr>
      <w:r>
        <w:rPr>
          <w:rFonts w:ascii="Arial" w:cs="Arial" w:eastAsia="Arial" w:hAnsi="Arial"/>
          <w:sz w:val="14"/>
          <w:szCs w:val="14"/>
          <w:b w:val="1"/>
          <w:bCs w:val="1"/>
          <w:color w:val="auto"/>
        </w:rPr>
        <w:t>February 21, 2017</w:t>
      </w:r>
    </w:p>
    <w:p>
      <w:pPr>
        <w:sectPr>
          <w:pgSz w:w="11900" w:h="16838" w:orient="portrait"/>
          <w:cols w:equalWidth="0" w:num="1">
            <w:col w:w="11420"/>
          </w:cols>
          <w:pgMar w:left="240" w:top="364"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Patricia A. Little, certify that:</w:t>
      </w:r>
    </w:p>
    <w:p>
      <w:pPr>
        <w:spacing w:after="0" w:line="90" w:lineRule="exact"/>
        <w:rPr>
          <w:sz w:val="20"/>
          <w:szCs w:val="20"/>
          <w:color w:val="auto"/>
        </w:rPr>
      </w:pPr>
    </w:p>
    <w:p>
      <w:pPr>
        <w:ind w:left="460" w:hanging="438"/>
        <w:spacing w:after="0"/>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Hershey Company;</w:t>
      </w:r>
    </w:p>
    <w:p>
      <w:pPr>
        <w:spacing w:after="0" w:line="90" w:lineRule="exact"/>
        <w:rPr>
          <w:rFonts w:ascii="Arial" w:cs="Arial" w:eastAsia="Arial" w:hAnsi="Arial"/>
          <w:sz w:val="18"/>
          <w:szCs w:val="18"/>
          <w:color w:val="auto"/>
        </w:rPr>
      </w:pPr>
    </w:p>
    <w:p>
      <w:pPr>
        <w:jc w:val="both"/>
        <w:ind w:left="460" w:right="500" w:hanging="438"/>
        <w:spacing w:after="0" w:line="264" w:lineRule="auto"/>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460" w:right="460" w:hanging="438"/>
        <w:spacing w:after="0" w:line="308" w:lineRule="auto"/>
        <w:tabs>
          <w:tab w:leader="none" w:pos="4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460" w:right="80" w:hanging="438"/>
        <w:spacing w:after="0" w:line="264" w:lineRule="auto"/>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880" w:right="320" w:hanging="440"/>
        <w:spacing w:after="0" w:line="264" w:lineRule="auto"/>
        <w:tabs>
          <w:tab w:leader="none" w:pos="8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880" w:right="20" w:hanging="440"/>
        <w:spacing w:after="0" w:line="264" w:lineRule="auto"/>
        <w:tabs>
          <w:tab w:leader="none" w:pos="8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880" w:right="800" w:hanging="440"/>
        <w:spacing w:after="0" w:line="334" w:lineRule="auto"/>
        <w:tabs>
          <w:tab w:leader="none" w:pos="880" w:val="left"/>
        </w:tabs>
        <w:numPr>
          <w:ilvl w:val="1"/>
          <w:numId w:val="9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880" w:right="40" w:hanging="440"/>
        <w:spacing w:after="0" w:line="264" w:lineRule="auto"/>
        <w:tabs>
          <w:tab w:leader="none" w:pos="8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460" w:right="200" w:hanging="438"/>
        <w:spacing w:after="0" w:line="308" w:lineRule="auto"/>
        <w:tabs>
          <w:tab w:leader="none" w:pos="4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880" w:right="220" w:hanging="440"/>
        <w:spacing w:after="0" w:line="277" w:lineRule="auto"/>
        <w:tabs>
          <w:tab w:leader="none" w:pos="8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880" w:right="180" w:hanging="440"/>
        <w:spacing w:after="0" w:line="277" w:lineRule="auto"/>
        <w:tabs>
          <w:tab w:leader="none" w:pos="8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2" w:lineRule="exact"/>
        <w:rPr>
          <w:sz w:val="20"/>
          <w:szCs w:val="20"/>
          <w:color w:val="auto"/>
        </w:rPr>
      </w:pPr>
    </w:p>
    <w:p>
      <w:pPr>
        <w:ind w:left="2080"/>
        <w:spacing w:after="0"/>
        <w:rPr>
          <w:sz w:val="20"/>
          <w:szCs w:val="20"/>
          <w:color w:val="auto"/>
        </w:rPr>
      </w:pPr>
      <w:r>
        <w:rPr>
          <w:rFonts w:ascii="Arial" w:cs="Arial" w:eastAsia="Arial" w:hAnsi="Arial"/>
          <w:sz w:val="14"/>
          <w:szCs w:val="14"/>
          <w:color w:val="auto"/>
        </w:rPr>
        <w:t>/S/ PATRICIA A. LITTLE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35934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spacing w:after="0" w:line="112" w:lineRule="exact"/>
        <w:rPr>
          <w:sz w:val="20"/>
          <w:szCs w:val="20"/>
          <w:color w:val="auto"/>
        </w:rPr>
      </w:pPr>
    </w:p>
    <w:p>
      <w:pPr>
        <w:ind w:left="2320"/>
        <w:spacing w:after="0"/>
        <w:rPr>
          <w:sz w:val="20"/>
          <w:szCs w:val="20"/>
          <w:color w:val="auto"/>
        </w:rPr>
      </w:pPr>
      <w:r>
        <w:rPr>
          <w:rFonts w:ascii="Arial" w:cs="Arial" w:eastAsia="Arial" w:hAnsi="Arial"/>
          <w:sz w:val="14"/>
          <w:szCs w:val="14"/>
          <w:b w:val="1"/>
          <w:bCs w:val="1"/>
          <w:color w:val="auto"/>
        </w:rPr>
        <w:t>Patricia A. Little</w:t>
      </w:r>
    </w:p>
    <w:p>
      <w:pPr>
        <w:spacing w:after="0" w:line="4" w:lineRule="exact"/>
        <w:rPr>
          <w:sz w:val="20"/>
          <w:szCs w:val="20"/>
          <w:color w:val="auto"/>
        </w:rPr>
      </w:pPr>
    </w:p>
    <w:p>
      <w:pPr>
        <w:jc w:val="center"/>
        <w:ind w:right="5760"/>
        <w:spacing w:after="0"/>
        <w:rPr>
          <w:sz w:val="20"/>
          <w:szCs w:val="20"/>
          <w:color w:val="auto"/>
        </w:rPr>
      </w:pPr>
      <w:r>
        <w:rPr>
          <w:rFonts w:ascii="Arial" w:cs="Arial" w:eastAsia="Arial" w:hAnsi="Arial"/>
          <w:sz w:val="14"/>
          <w:szCs w:val="14"/>
          <w:b w:val="1"/>
          <w:bCs w:val="1"/>
          <w:color w:val="auto"/>
        </w:rPr>
        <w:t>Chief Financial Officer</w:t>
      </w:r>
    </w:p>
    <w:p>
      <w:pPr>
        <w:spacing w:after="0" w:line="26" w:lineRule="exact"/>
        <w:rPr>
          <w:sz w:val="20"/>
          <w:szCs w:val="20"/>
          <w:color w:val="auto"/>
        </w:rPr>
      </w:pPr>
    </w:p>
    <w:p>
      <w:pPr>
        <w:jc w:val="center"/>
        <w:ind w:right="5760"/>
        <w:spacing w:after="0"/>
        <w:rPr>
          <w:sz w:val="20"/>
          <w:szCs w:val="20"/>
          <w:color w:val="auto"/>
        </w:rPr>
      </w:pPr>
      <w:r>
        <w:rPr>
          <w:rFonts w:ascii="Arial" w:cs="Arial" w:eastAsia="Arial" w:hAnsi="Arial"/>
          <w:sz w:val="14"/>
          <w:szCs w:val="14"/>
          <w:b w:val="1"/>
          <w:bCs w:val="1"/>
          <w:color w:val="auto"/>
        </w:rPr>
        <w:t>February 21, 2017</w:t>
      </w:r>
    </w:p>
    <w:p>
      <w:pPr>
        <w:sectPr>
          <w:pgSz w:w="11900" w:h="16838" w:orient="portrait"/>
          <w:cols w:equalWidth="0" w:num="1">
            <w:col w:w="11420"/>
          </w:cols>
          <w:pgMar w:left="240" w:top="364"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jc w:val="both"/>
        <w:ind w:right="420"/>
        <w:spacing w:after="0" w:line="259" w:lineRule="auto"/>
        <w:rPr>
          <w:sz w:val="20"/>
          <w:szCs w:val="20"/>
          <w:color w:val="auto"/>
        </w:rPr>
      </w:pPr>
      <w:r>
        <w:rPr>
          <w:rFonts w:ascii="Arial" w:cs="Arial" w:eastAsia="Arial" w:hAnsi="Arial"/>
          <w:sz w:val="18"/>
          <w:szCs w:val="18"/>
          <w:color w:val="auto"/>
        </w:rPr>
        <w:t>Pursuant to Section 906 of the Sarbanes-Oxley Act of 2002, the undersigned officers of The Hershey Company (the “Company”) hereby certify that the Company’s Annual Report on Form 10-K for the year ended December 31, 2016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322"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Date: February 21, 2017</w:t>
            </w:r>
          </w:p>
        </w:tc>
        <w:tc>
          <w:tcPr>
            <w:tcW w:w="3740" w:type="dxa"/>
            <w:vAlign w:val="bottom"/>
          </w:tcPr>
          <w:p>
            <w:pPr>
              <w:jc w:val="center"/>
              <w:ind w:left="76"/>
              <w:spacing w:after="0"/>
              <w:rPr>
                <w:sz w:val="20"/>
                <w:szCs w:val="20"/>
                <w:color w:val="auto"/>
              </w:rPr>
            </w:pPr>
            <w:r>
              <w:rPr>
                <w:rFonts w:ascii="Arial" w:cs="Arial" w:eastAsia="Arial" w:hAnsi="Arial"/>
                <w:sz w:val="18"/>
                <w:szCs w:val="18"/>
                <w:color w:val="auto"/>
                <w:w w:val="94"/>
              </w:rPr>
              <w:t>/s/ JOHN P. BILBREY</w:t>
            </w:r>
          </w:p>
        </w:tc>
      </w:tr>
      <w:tr>
        <w:trPr>
          <w:trHeight w:val="27"/>
        </w:trPr>
        <w:tc>
          <w:tcPr>
            <w:tcW w:w="3040" w:type="dxa"/>
            <w:vAlign w:val="bottom"/>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331"/>
        </w:trPr>
        <w:tc>
          <w:tcPr>
            <w:tcW w:w="304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Arial" w:cs="Arial" w:eastAsia="Arial" w:hAnsi="Arial"/>
                <w:sz w:val="16"/>
                <w:szCs w:val="16"/>
                <w:b w:val="1"/>
                <w:bCs w:val="1"/>
                <w:color w:val="auto"/>
                <w:w w:val="90"/>
              </w:rPr>
              <w:t>John P. Bilbrey</w:t>
            </w:r>
          </w:p>
        </w:tc>
      </w:tr>
      <w:tr>
        <w:trPr>
          <w:trHeight w:val="210"/>
        </w:trPr>
        <w:tc>
          <w:tcPr>
            <w:tcW w:w="3040" w:type="dxa"/>
            <w:vAlign w:val="bottom"/>
          </w:tcPr>
          <w:p>
            <w:pPr>
              <w:spacing w:after="0"/>
              <w:rPr>
                <w:sz w:val="18"/>
                <w:szCs w:val="18"/>
                <w:color w:val="auto"/>
              </w:rPr>
            </w:pPr>
          </w:p>
        </w:tc>
        <w:tc>
          <w:tcPr>
            <w:tcW w:w="3740" w:type="dxa"/>
            <w:vAlign w:val="bottom"/>
          </w:tcPr>
          <w:p>
            <w:pPr>
              <w:jc w:val="center"/>
              <w:spacing w:after="0"/>
              <w:rPr>
                <w:sz w:val="20"/>
                <w:szCs w:val="20"/>
                <w:color w:val="auto"/>
              </w:rPr>
            </w:pPr>
            <w:r>
              <w:rPr>
                <w:rFonts w:ascii="Arial" w:cs="Arial" w:eastAsia="Arial" w:hAnsi="Arial"/>
                <w:sz w:val="16"/>
                <w:szCs w:val="16"/>
                <w:b w:val="1"/>
                <w:bCs w:val="1"/>
                <w:color w:val="auto"/>
                <w:w w:val="93"/>
              </w:rPr>
              <w:t>Chief Executive Officer</w:t>
            </w:r>
          </w:p>
        </w:tc>
      </w:tr>
      <w:tr>
        <w:trPr>
          <w:trHeight w:val="546"/>
        </w:trPr>
        <w:tc>
          <w:tcPr>
            <w:tcW w:w="3040" w:type="dxa"/>
            <w:vAlign w:val="bottom"/>
          </w:tcPr>
          <w:p>
            <w:pPr>
              <w:spacing w:after="0"/>
              <w:rPr>
                <w:sz w:val="20"/>
                <w:szCs w:val="20"/>
                <w:color w:val="auto"/>
              </w:rPr>
            </w:pPr>
            <w:r>
              <w:rPr>
                <w:rFonts w:ascii="Arial" w:cs="Arial" w:eastAsia="Arial" w:hAnsi="Arial"/>
                <w:sz w:val="18"/>
                <w:szCs w:val="18"/>
                <w:color w:val="auto"/>
              </w:rPr>
              <w:t>Date: February 21, 2017</w:t>
            </w:r>
          </w:p>
        </w:tc>
        <w:tc>
          <w:tcPr>
            <w:tcW w:w="3740" w:type="dxa"/>
            <w:vAlign w:val="bottom"/>
          </w:tcPr>
          <w:p>
            <w:pPr>
              <w:jc w:val="center"/>
              <w:ind w:left="96"/>
              <w:spacing w:after="0"/>
              <w:rPr>
                <w:sz w:val="20"/>
                <w:szCs w:val="20"/>
                <w:color w:val="auto"/>
              </w:rPr>
            </w:pPr>
            <w:r>
              <w:rPr>
                <w:rFonts w:ascii="Arial" w:cs="Arial" w:eastAsia="Arial" w:hAnsi="Arial"/>
                <w:sz w:val="18"/>
                <w:szCs w:val="18"/>
                <w:color w:val="auto"/>
                <w:w w:val="97"/>
              </w:rPr>
              <w:t>/s/ PATRICIA A. LITTLE</w:t>
            </w:r>
          </w:p>
        </w:tc>
      </w:tr>
      <w:tr>
        <w:trPr>
          <w:trHeight w:val="27"/>
        </w:trPr>
        <w:tc>
          <w:tcPr>
            <w:tcW w:w="3040" w:type="dxa"/>
            <w:vAlign w:val="bottom"/>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331"/>
        </w:trPr>
        <w:tc>
          <w:tcPr>
            <w:tcW w:w="304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Arial" w:cs="Arial" w:eastAsia="Arial" w:hAnsi="Arial"/>
                <w:sz w:val="16"/>
                <w:szCs w:val="16"/>
                <w:b w:val="1"/>
                <w:bCs w:val="1"/>
                <w:color w:val="auto"/>
                <w:w w:val="95"/>
              </w:rPr>
              <w:t>Patricia A. Little</w:t>
            </w:r>
          </w:p>
        </w:tc>
      </w:tr>
      <w:tr>
        <w:trPr>
          <w:trHeight w:val="210"/>
        </w:trPr>
        <w:tc>
          <w:tcPr>
            <w:tcW w:w="3040" w:type="dxa"/>
            <w:vAlign w:val="bottom"/>
          </w:tcPr>
          <w:p>
            <w:pPr>
              <w:spacing w:after="0"/>
              <w:rPr>
                <w:sz w:val="18"/>
                <w:szCs w:val="18"/>
                <w:color w:val="auto"/>
              </w:rPr>
            </w:pPr>
          </w:p>
        </w:tc>
        <w:tc>
          <w:tcPr>
            <w:tcW w:w="3740" w:type="dxa"/>
            <w:vAlign w:val="bottom"/>
          </w:tcPr>
          <w:p>
            <w:pPr>
              <w:jc w:val="center"/>
              <w:spacing w:after="0"/>
              <w:rPr>
                <w:sz w:val="20"/>
                <w:szCs w:val="20"/>
                <w:color w:val="auto"/>
              </w:rPr>
            </w:pPr>
            <w:r>
              <w:rPr>
                <w:rFonts w:ascii="Arial" w:cs="Arial" w:eastAsia="Arial" w:hAnsi="Arial"/>
                <w:sz w:val="16"/>
                <w:szCs w:val="16"/>
                <w:b w:val="1"/>
                <w:bCs w:val="1"/>
                <w:color w:val="auto"/>
                <w:w w:val="94"/>
              </w:rPr>
              <w:t>Chief Financial Officer</w:t>
            </w:r>
          </w:p>
        </w:tc>
      </w:tr>
    </w:tbl>
    <w:p>
      <w:pPr>
        <w:spacing w:after="0" w:line="18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478FE"/>
    <w:multiLevelType w:val="hybridMultilevel"/>
    <w:lvl w:ilvl="0">
      <w:lvlJc w:val="left"/>
      <w:lvlText w:val="x"/>
      <w:numFmt w:val="bullet"/>
      <w:start w:val="1"/>
    </w:lvl>
  </w:abstractNum>
  <w:abstractNum w:abstractNumId="1">
    <w:nsid w:val="749ABB43"/>
    <w:multiLevelType w:val="hybridMultilevel"/>
    <w:lvl w:ilvl="0">
      <w:lvlJc w:val="left"/>
      <w:lvlText w:val="☐"/>
      <w:numFmt w:val="bullet"/>
      <w:start w:val="1"/>
    </w:lvl>
  </w:abstractNum>
  <w:abstractNum w:abstractNumId="2">
    <w:nsid w:val="3DC240FB"/>
    <w:multiLevelType w:val="hybridMultilevel"/>
    <w:lvl w:ilvl="0">
      <w:lvlJc w:val="left"/>
      <w:lvlText w:val="•"/>
      <w:numFmt w:val="bullet"/>
      <w:start w:val="1"/>
    </w:lvl>
  </w:abstractNum>
  <w:abstractNum w:abstractNumId="3">
    <w:nsid w:val="1BA026FA"/>
    <w:multiLevelType w:val="hybridMultilevel"/>
    <w:lvl w:ilvl="0">
      <w:lvlJc w:val="left"/>
      <w:lvlText w:val="•"/>
      <w:numFmt w:val="bullet"/>
      <w:start w:val="1"/>
    </w:lvl>
  </w:abstractNum>
  <w:abstractNum w:abstractNumId="4">
    <w:nsid w:val="79A1DEAA"/>
    <w:multiLevelType w:val="hybridMultilevel"/>
    <w:lvl w:ilvl="0">
      <w:lvlJc w:val="left"/>
      <w:lvlText w:val="Ÿ"/>
      <w:numFmt w:val="bullet"/>
      <w:start w:val="1"/>
    </w:lvl>
  </w:abstractNum>
  <w:abstractNum w:abstractNumId="5">
    <w:nsid w:val="75C6C33A"/>
    <w:multiLevelType w:val="hybridMultilevel"/>
    <w:lvl w:ilvl="0">
      <w:lvlJc w:val="left"/>
      <w:lvlText w:val="Ÿ"/>
      <w:numFmt w:val="bullet"/>
      <w:start w:val="1"/>
    </w:lvl>
  </w:abstractNum>
  <w:abstractNum w:abstractNumId="6">
    <w:nsid w:val="12E685FB"/>
    <w:multiLevelType w:val="hybridMultilevel"/>
    <w:lvl w:ilvl="0">
      <w:lvlJc w:val="left"/>
      <w:lvlText w:val="Ÿ"/>
      <w:numFmt w:val="bullet"/>
      <w:start w:val="1"/>
    </w:lvl>
  </w:abstractNum>
  <w:abstractNum w:abstractNumId="7">
    <w:nsid w:val="70C6A529"/>
    <w:multiLevelType w:val="hybridMultilevel"/>
    <w:lvl w:ilvl="0">
      <w:lvlJc w:val="left"/>
      <w:lvlText w:val="Ÿ"/>
      <w:numFmt w:val="bullet"/>
      <w:start w:val="1"/>
    </w:lvl>
  </w:abstractNum>
  <w:abstractNum w:abstractNumId="8">
    <w:nsid w:val="520EEDD1"/>
    <w:multiLevelType w:val="hybridMultilevel"/>
    <w:lvl w:ilvl="0">
      <w:lvlJc w:val="left"/>
      <w:lvlText w:val="(%1)"/>
      <w:numFmt w:val="decimal"/>
      <w:start w:val="1"/>
    </w:lvl>
  </w:abstractNum>
  <w:abstractNum w:abstractNumId="9">
    <w:nsid w:val="374A3FE6"/>
    <w:multiLevelType w:val="hybridMultilevel"/>
    <w:lvl w:ilvl="0">
      <w:lvlJc w:val="left"/>
      <w:lvlText w:val="(%1)"/>
      <w:numFmt w:val="decimal"/>
      <w:start w:val="1"/>
    </w:lvl>
  </w:abstractNum>
  <w:abstractNum w:abstractNumId="10">
    <w:nsid w:val="4F4EF005"/>
    <w:multiLevelType w:val="hybridMultilevel"/>
    <w:lvl w:ilvl="0">
      <w:lvlJc w:val="left"/>
      <w:lvlText w:val="(%1)"/>
      <w:numFmt w:val="decimal"/>
      <w:start w:val="1"/>
    </w:lvl>
  </w:abstractNum>
  <w:abstractNum w:abstractNumId="11">
    <w:nsid w:val="23F9C13C"/>
    <w:multiLevelType w:val="hybridMultilevel"/>
    <w:lvl w:ilvl="0">
      <w:lvlJc w:val="left"/>
      <w:lvlText w:val="•"/>
      <w:numFmt w:val="bullet"/>
      <w:start w:val="1"/>
    </w:lvl>
  </w:abstractNum>
  <w:abstractNum w:abstractNumId="12">
    <w:nsid w:val="649BB77C"/>
    <w:multiLevelType w:val="hybridMultilevel"/>
    <w:lvl w:ilvl="0">
      <w:lvlJc w:val="left"/>
      <w:lvlText w:val="*"/>
      <w:numFmt w:val="bullet"/>
      <w:start w:val="1"/>
    </w:lvl>
  </w:abstractNum>
  <w:abstractNum w:abstractNumId="13">
    <w:nsid w:val="275AC794"/>
    <w:multiLevelType w:val="hybridMultilevel"/>
    <w:lvl w:ilvl="0">
      <w:lvlJc w:val="left"/>
      <w:lvlText w:val="(%1)"/>
      <w:numFmt w:val="decimal"/>
      <w:start w:val="1"/>
    </w:lvl>
  </w:abstractNum>
  <w:abstractNum w:abstractNumId="14">
    <w:nsid w:val="39386575"/>
    <w:multiLevelType w:val="hybridMultilevel"/>
    <w:lvl w:ilvl="0">
      <w:lvlJc w:val="left"/>
      <w:lvlText w:val="(%1)"/>
      <w:numFmt w:val="decimal"/>
      <w:start w:val="1"/>
    </w:lvl>
  </w:abstractNum>
  <w:abstractNum w:abstractNumId="15">
    <w:nsid w:val="1CF10FD8"/>
    <w:multiLevelType w:val="hybridMultilevel"/>
    <w:lvl w:ilvl="0">
      <w:lvlJc w:val="left"/>
      <w:lvlText w:val="•"/>
      <w:numFmt w:val="bullet"/>
      <w:start w:val="1"/>
    </w:lvl>
  </w:abstractNum>
  <w:abstractNum w:abstractNumId="16">
    <w:nsid w:val="180115BE"/>
    <w:multiLevelType w:val="hybridMultilevel"/>
    <w:lvl w:ilvl="0">
      <w:lvlJc w:val="left"/>
      <w:lvlText w:val="•"/>
      <w:numFmt w:val="bullet"/>
      <w:start w:val="1"/>
    </w:lvl>
  </w:abstractNum>
  <w:abstractNum w:abstractNumId="17">
    <w:nsid w:val="235BA861"/>
    <w:multiLevelType w:val="hybridMultilevel"/>
    <w:lvl w:ilvl="0">
      <w:lvlJc w:val="left"/>
      <w:lvlText w:val="•"/>
      <w:numFmt w:val="bullet"/>
      <w:start w:val="1"/>
    </w:lvl>
  </w:abstractNum>
  <w:abstractNum w:abstractNumId="18">
    <w:nsid w:val="47398C89"/>
    <w:multiLevelType w:val="hybridMultilevel"/>
    <w:lvl w:ilvl="0">
      <w:lvlJc w:val="left"/>
      <w:lvlText w:val="•"/>
      <w:numFmt w:val="bullet"/>
      <w:start w:val="1"/>
    </w:lvl>
  </w:abstractNum>
  <w:abstractNum w:abstractNumId="19">
    <w:nsid w:val="354FE9F9"/>
    <w:multiLevelType w:val="hybridMultilevel"/>
    <w:lvl w:ilvl="0">
      <w:lvlJc w:val="left"/>
      <w:lvlText w:val="•"/>
      <w:numFmt w:val="bullet"/>
      <w:start w:val="1"/>
    </w:lvl>
  </w:abstractNum>
  <w:abstractNum w:abstractNumId="20">
    <w:nsid w:val="15B5AF5C"/>
    <w:multiLevelType w:val="hybridMultilevel"/>
    <w:lvl w:ilvl="0">
      <w:lvlJc w:val="left"/>
      <w:lvlText w:val="(%1)"/>
      <w:numFmt w:val="decimal"/>
      <w:start w:val="1"/>
    </w:lvl>
  </w:abstractNum>
  <w:abstractNum w:abstractNumId="21">
    <w:nsid w:val="741226BB"/>
    <w:multiLevelType w:val="hybridMultilevel"/>
    <w:lvl w:ilvl="0">
      <w:lvlJc w:val="left"/>
      <w:lvlText w:val="l"/>
      <w:numFmt w:val="bullet"/>
      <w:start w:val="1"/>
    </w:lvl>
  </w:abstractNum>
  <w:abstractNum w:abstractNumId="22">
    <w:nsid w:val="D34B6A8"/>
    <w:multiLevelType w:val="hybridMultilevel"/>
    <w:lvl w:ilvl="0">
      <w:lvlJc w:val="left"/>
      <w:lvlText w:val="•"/>
      <w:numFmt w:val="bullet"/>
      <w:start w:val="1"/>
    </w:lvl>
  </w:abstractNum>
  <w:abstractNum w:abstractNumId="23">
    <w:nsid w:val="10233C99"/>
    <w:multiLevelType w:val="hybridMultilevel"/>
    <w:lvl w:ilvl="0">
      <w:lvlJc w:val="left"/>
      <w:lvlText w:val="•"/>
      <w:numFmt w:val="bullet"/>
      <w:start w:val="1"/>
    </w:lvl>
  </w:abstractNum>
  <w:abstractNum w:abstractNumId="24">
    <w:nsid w:val="3F6AB60F"/>
    <w:multiLevelType w:val="hybridMultilevel"/>
    <w:lvl w:ilvl="0">
      <w:lvlJc w:val="left"/>
      <w:lvlText w:val="l"/>
      <w:numFmt w:val="bullet"/>
      <w:start w:val="1"/>
    </w:lvl>
  </w:abstractNum>
  <w:abstractNum w:abstractNumId="25">
    <w:nsid w:val="61574095"/>
    <w:multiLevelType w:val="hybridMultilevel"/>
    <w:lvl w:ilvl="0">
      <w:lvlJc w:val="left"/>
      <w:lvlText w:val="l"/>
      <w:numFmt w:val="bullet"/>
      <w:start w:val="1"/>
    </w:lvl>
  </w:abstractNum>
  <w:abstractNum w:abstractNumId="26">
    <w:nsid w:val="7E0C57B1"/>
    <w:multiLevelType w:val="hybridMultilevel"/>
    <w:lvl w:ilvl="0">
      <w:lvlJc w:val="left"/>
      <w:lvlText w:val="•"/>
      <w:numFmt w:val="bullet"/>
      <w:start w:val="1"/>
    </w:lvl>
  </w:abstractNum>
  <w:abstractNum w:abstractNumId="27">
    <w:nsid w:val="77AE35EB"/>
    <w:multiLevelType w:val="hybridMultilevel"/>
    <w:lvl w:ilvl="0">
      <w:lvlJc w:val="left"/>
      <w:lvlText w:val="*"/>
      <w:numFmt w:val="bullet"/>
      <w:start w:val="1"/>
    </w:lvl>
  </w:abstractNum>
  <w:abstractNum w:abstractNumId="28">
    <w:nsid w:val="579BE4F1"/>
    <w:multiLevelType w:val="hybridMultilevel"/>
    <w:lvl w:ilvl="0">
      <w:lvlJc w:val="left"/>
      <w:lvlText w:val="(%1)"/>
      <w:numFmt w:val="decimal"/>
      <w:start w:val="1"/>
    </w:lvl>
  </w:abstractNum>
  <w:abstractNum w:abstractNumId="29">
    <w:nsid w:val="310C50B3"/>
    <w:multiLevelType w:val="hybridMultilevel"/>
    <w:lvl w:ilvl="0">
      <w:lvlJc w:val="left"/>
      <w:lvlText w:val="(%1)"/>
      <w:numFmt w:val="lowerLetter"/>
      <w:start w:val="1"/>
    </w:lvl>
  </w:abstractNum>
  <w:abstractNum w:abstractNumId="30">
    <w:nsid w:val="5FF87E05"/>
    <w:multiLevelType w:val="hybridMultilevel"/>
    <w:lvl w:ilvl="0">
      <w:lvlJc w:val="left"/>
      <w:lvlText w:val="(%1)"/>
      <w:numFmt w:val="decimal"/>
      <w:start w:val="1"/>
    </w:lvl>
  </w:abstractNum>
  <w:abstractNum w:abstractNumId="31">
    <w:nsid w:val="2F305DEF"/>
    <w:multiLevelType w:val="hybridMultilevel"/>
    <w:lvl w:ilvl="0">
      <w:lvlJc w:val="left"/>
      <w:lvlText w:val="%1"/>
      <w:numFmt w:val="decimal"/>
      <w:start w:val="1"/>
    </w:lvl>
    <w:lvl w:ilvl="1">
      <w:lvlJc w:val="left"/>
      <w:lvlText w:val="(%2)"/>
      <w:numFmt w:val="decimal"/>
      <w:start w:val="1"/>
    </w:lvl>
  </w:abstractNum>
  <w:abstractNum w:abstractNumId="32">
    <w:nsid w:val="25A70BF7"/>
    <w:multiLevelType w:val="hybridMultilevel"/>
    <w:lvl w:ilvl="0">
      <w:lvlJc w:val="left"/>
      <w:lvlText w:val="%1."/>
      <w:numFmt w:val="decimal"/>
      <w:start w:val="8"/>
    </w:lvl>
    <w:lvl w:ilvl="1">
      <w:lvlJc w:val="left"/>
      <w:lvlText w:val="%2"/>
      <w:numFmt w:val="decimal"/>
      <w:start w:val="1"/>
    </w:lvl>
  </w:abstractNum>
  <w:abstractNum w:abstractNumId="33">
    <w:nsid w:val="1DBABF00"/>
    <w:multiLevelType w:val="hybridMultilevel"/>
    <w:lvl w:ilvl="0">
      <w:lvlJc w:val="left"/>
      <w:lvlText w:val="(%1)"/>
      <w:numFmt w:val="lowerLetter"/>
      <w:start w:val="1"/>
    </w:lvl>
  </w:abstractNum>
  <w:abstractNum w:abstractNumId="34">
    <w:nsid w:val="4AD084E9"/>
    <w:multiLevelType w:val="hybridMultilevel"/>
    <w:lvl w:ilvl="0">
      <w:lvlJc w:val="left"/>
      <w:lvlText w:val="l"/>
      <w:numFmt w:val="bullet"/>
      <w:start w:val="1"/>
    </w:lvl>
  </w:abstractNum>
  <w:abstractNum w:abstractNumId="35">
    <w:nsid w:val="1F48EAA1"/>
    <w:multiLevelType w:val="hybridMultilevel"/>
    <w:lvl w:ilvl="0">
      <w:lvlJc w:val="left"/>
      <w:lvlText w:val="l"/>
      <w:numFmt w:val="bullet"/>
      <w:start w:val="1"/>
    </w:lvl>
  </w:abstractNum>
  <w:abstractNum w:abstractNumId="36">
    <w:nsid w:val="1381823A"/>
    <w:multiLevelType w:val="hybridMultilevel"/>
    <w:lvl w:ilvl="0">
      <w:lvlJc w:val="left"/>
      <w:lvlText w:val="l"/>
      <w:numFmt w:val="bullet"/>
      <w:start w:val="1"/>
    </w:lvl>
  </w:abstractNum>
  <w:abstractNum w:abstractNumId="37">
    <w:nsid w:val="5DB70AE5"/>
    <w:multiLevelType w:val="hybridMultilevel"/>
    <w:lvl w:ilvl="0">
      <w:lvlJc w:val="left"/>
      <w:lvlText w:val="l"/>
      <w:numFmt w:val="bullet"/>
      <w:start w:val="1"/>
    </w:lvl>
  </w:abstractNum>
  <w:abstractNum w:abstractNumId="38">
    <w:nsid w:val="100F8FCA"/>
    <w:multiLevelType w:val="hybridMultilevel"/>
    <w:lvl w:ilvl="0">
      <w:lvlJc w:val="left"/>
      <w:lvlText w:val="•"/>
      <w:numFmt w:val="bullet"/>
      <w:start w:val="1"/>
    </w:lvl>
  </w:abstractNum>
  <w:abstractNum w:abstractNumId="39">
    <w:nsid w:val="6590700B"/>
    <w:multiLevelType w:val="hybridMultilevel"/>
    <w:lvl w:ilvl="0">
      <w:lvlJc w:val="left"/>
      <w:lvlText w:val="(%1)"/>
      <w:numFmt w:val="decimal"/>
      <w:start w:val="1"/>
    </w:lvl>
  </w:abstractNum>
  <w:abstractNum w:abstractNumId="40">
    <w:nsid w:val="15014ACB"/>
    <w:multiLevelType w:val="hybridMultilevel"/>
    <w:lvl w:ilvl="0">
      <w:lvlJc w:val="left"/>
      <w:lvlText w:val="(%1)"/>
      <w:numFmt w:val="decimal"/>
      <w:start w:val="1"/>
    </w:lvl>
  </w:abstractNum>
  <w:abstractNum w:abstractNumId="41">
    <w:nsid w:val="5F5E7FD0"/>
    <w:multiLevelType w:val="hybridMultilevel"/>
    <w:lvl w:ilvl="0">
      <w:lvlJc w:val="left"/>
      <w:lvlText w:val="(%1)"/>
      <w:numFmt w:val="lowerLetter"/>
      <w:start w:val="1"/>
    </w:lvl>
  </w:abstractNum>
  <w:abstractNum w:abstractNumId="42">
    <w:nsid w:val="98A3148"/>
    <w:multiLevelType w:val="hybridMultilevel"/>
    <w:lvl w:ilvl="0">
      <w:lvlJc w:val="left"/>
      <w:lvlText w:val="(%1)"/>
      <w:numFmt w:val="lowerLetter"/>
      <w:start w:val="1"/>
    </w:lvl>
  </w:abstractNum>
  <w:abstractNum w:abstractNumId="43">
    <w:nsid w:val="799D0247"/>
    <w:multiLevelType w:val="hybridMultilevel"/>
    <w:lvl w:ilvl="0">
      <w:lvlJc w:val="left"/>
      <w:lvlText w:val="*"/>
      <w:numFmt w:val="bullet"/>
      <w:start w:val="1"/>
    </w:lvl>
  </w:abstractNum>
  <w:abstractNum w:abstractNumId="44">
    <w:nsid w:val="6B94764"/>
    <w:multiLevelType w:val="hybridMultilevel"/>
    <w:lvl w:ilvl="0">
      <w:lvlJc w:val="left"/>
      <w:lvlText w:val="**"/>
      <w:numFmt w:val="bullet"/>
      <w:start w:val="1"/>
    </w:lvl>
  </w:abstractNum>
  <w:abstractNum w:abstractNumId="45">
    <w:nsid w:val="42C296BD"/>
    <w:multiLevelType w:val="hybridMultilevel"/>
    <w:lvl w:ilvl="0">
      <w:lvlJc w:val="left"/>
      <w:lvlText w:val="+"/>
      <w:numFmt w:val="bullet"/>
      <w:start w:val="1"/>
    </w:lvl>
  </w:abstractNum>
  <w:abstractNum w:abstractNumId="46">
    <w:nsid w:val="168E121F"/>
    <w:multiLevelType w:val="hybridMultilevel"/>
    <w:lvl w:ilvl="0">
      <w:lvlJc w:val="left"/>
      <w:lvlText w:val="%1."/>
      <w:numFmt w:val="decimal"/>
      <w:start w:val="1"/>
    </w:lvl>
  </w:abstractNum>
  <w:abstractNum w:abstractNumId="47">
    <w:nsid w:val="1EBA5D23"/>
    <w:multiLevelType w:val="hybridMultilevel"/>
    <w:lvl w:ilvl="0">
      <w:lvlJc w:val="left"/>
      <w:lvlText w:val="%1."/>
      <w:numFmt w:val="decimal"/>
      <w:start w:val="2"/>
    </w:lvl>
    <w:lvl w:ilvl="1">
      <w:lvlJc w:val="left"/>
      <w:lvlText w:val="(%2)"/>
      <w:numFmt w:val="upperLetter"/>
      <w:start w:val="1"/>
    </w:lvl>
  </w:abstractNum>
  <w:abstractNum w:abstractNumId="48">
    <w:nsid w:val="661E3F1E"/>
    <w:multiLevelType w:val="hybridMultilevel"/>
    <w:lvl w:ilvl="0">
      <w:lvlJc w:val="left"/>
      <w:lvlText w:val="%1"/>
      <w:numFmt w:val="decimal"/>
      <w:start w:val="1"/>
    </w:lvl>
    <w:lvl w:ilvl="1">
      <w:lvlJc w:val="left"/>
      <w:lvlText w:val="(%2)"/>
      <w:numFmt w:val="upperLetter"/>
      <w:start w:val="4"/>
    </w:lvl>
  </w:abstractNum>
  <w:abstractNum w:abstractNumId="49">
    <w:nsid w:val="5DC79EA8"/>
    <w:multiLevelType w:val="hybridMultilevel"/>
    <w:lvl w:ilvl="0">
      <w:lvlJc w:val="left"/>
      <w:lvlText w:val="%1."/>
      <w:numFmt w:val="decimal"/>
      <w:start w:val="3"/>
    </w:lvl>
    <w:lvl w:ilvl="1">
      <w:lvlJc w:val="left"/>
      <w:lvlText w:val="%2"/>
      <w:numFmt w:val="upperLetter"/>
      <w:start w:val="1"/>
    </w:lvl>
  </w:abstractNum>
  <w:abstractNum w:abstractNumId="50">
    <w:nsid w:val="540A471C"/>
    <w:multiLevelType w:val="hybridMultilevel"/>
    <w:lvl w:ilvl="0">
      <w:lvlJc w:val="left"/>
      <w:lvlText w:val="%1."/>
      <w:numFmt w:val="decimal"/>
      <w:start w:val="4"/>
    </w:lvl>
    <w:lvl w:ilvl="1">
      <w:lvlJc w:val="left"/>
      <w:lvlText w:val="(%2)"/>
      <w:numFmt w:val="upperLetter"/>
      <w:start w:val="1"/>
    </w:lvl>
  </w:abstractNum>
  <w:abstractNum w:abstractNumId="51">
    <w:nsid w:val="7BD3EE7B"/>
    <w:multiLevelType w:val="hybridMultilevel"/>
    <w:lvl w:ilvl="0">
      <w:lvlJc w:val="left"/>
      <w:lvlText w:val="(%1)"/>
      <w:numFmt w:val="upperLetter"/>
      <w:start w:val="3"/>
    </w:lvl>
  </w:abstractNum>
  <w:abstractNum w:abstractNumId="52">
    <w:nsid w:val="51D9C564"/>
    <w:multiLevelType w:val="hybridMultilevel"/>
    <w:lvl w:ilvl="0">
      <w:lvlJc w:val="left"/>
      <w:lvlText w:val="%1."/>
      <w:numFmt w:val="decimal"/>
      <w:start w:val="5"/>
    </w:lvl>
  </w:abstractNum>
  <w:abstractNum w:abstractNumId="53">
    <w:nsid w:val="613EFDC5"/>
    <w:multiLevelType w:val="hybridMultilevel"/>
    <w:lvl w:ilvl="0">
      <w:lvlJc w:val="left"/>
      <w:lvlText w:val="%1."/>
      <w:numFmt w:val="decimal"/>
      <w:start w:val="6"/>
    </w:lvl>
  </w:abstractNum>
  <w:abstractNum w:abstractNumId="54">
    <w:nsid w:val="BF72B14"/>
    <w:multiLevelType w:val="hybridMultilevel"/>
    <w:lvl w:ilvl="0">
      <w:lvlJc w:val="left"/>
      <w:lvlText w:val="%1"/>
      <w:numFmt w:val="decimal"/>
      <w:start w:val="1"/>
    </w:lvl>
    <w:lvl w:ilvl="1">
      <w:lvlJc w:val="left"/>
      <w:lvlText w:val="(%2)"/>
      <w:numFmt w:val="upperLetter"/>
      <w:start w:val="1"/>
    </w:lvl>
  </w:abstractNum>
  <w:abstractNum w:abstractNumId="55">
    <w:nsid w:val="11447B73"/>
    <w:multiLevelType w:val="hybridMultilevel"/>
    <w:lvl w:ilvl="0">
      <w:lvlJc w:val="left"/>
      <w:lvlText w:val="%1."/>
      <w:numFmt w:val="decimal"/>
      <w:start w:val="8"/>
    </w:lvl>
    <w:lvl w:ilvl="1">
      <w:lvlJc w:val="left"/>
      <w:lvlText w:val="(%2)"/>
      <w:numFmt w:val="upperLetter"/>
      <w:start w:val="1"/>
    </w:lvl>
  </w:abstractNum>
  <w:abstractNum w:abstractNumId="56">
    <w:nsid w:val="42963E5A"/>
    <w:multiLevelType w:val="hybridMultilevel"/>
    <w:lvl w:ilvl="0">
      <w:lvlJc w:val="left"/>
      <w:lvlText w:val="%1"/>
      <w:numFmt w:val="decimal"/>
      <w:start w:val="1"/>
    </w:lvl>
    <w:lvl w:ilvl="1">
      <w:lvlJc w:val="left"/>
      <w:lvlText w:val="(%2)"/>
      <w:numFmt w:val="upperLetter"/>
      <w:start w:val="2"/>
    </w:lvl>
  </w:abstractNum>
  <w:abstractNum w:abstractNumId="57">
    <w:nsid w:val="A0382C5"/>
    <w:multiLevelType w:val="hybridMultilevel"/>
    <w:lvl w:ilvl="0">
      <w:lvlJc w:val="left"/>
      <w:lvlText w:val="%1."/>
      <w:numFmt w:val="decimal"/>
      <w:start w:val="11"/>
    </w:lvl>
    <w:lvl w:ilvl="1">
      <w:lvlJc w:val="left"/>
      <w:lvlText w:val="(%2)"/>
      <w:numFmt w:val="upperLetter"/>
      <w:start w:val="1"/>
    </w:lvl>
  </w:abstractNum>
  <w:abstractNum w:abstractNumId="58">
    <w:nsid w:val="8F2B15E"/>
    <w:multiLevelType w:val="hybridMultilevel"/>
    <w:lvl w:ilvl="0">
      <w:lvlJc w:val="left"/>
      <w:lvlText w:val="%1"/>
      <w:numFmt w:val="decimal"/>
      <w:start w:val="1"/>
    </w:lvl>
    <w:lvl w:ilvl="1">
      <w:lvlJc w:val="left"/>
      <w:lvlText w:val="(%2)"/>
      <w:numFmt w:val="upperLetter"/>
      <w:start w:val="5"/>
    </w:lvl>
  </w:abstractNum>
  <w:abstractNum w:abstractNumId="59">
    <w:nsid w:val="1A32234B"/>
    <w:multiLevelType w:val="hybridMultilevel"/>
    <w:lvl w:ilvl="0">
      <w:lvlJc w:val="left"/>
      <w:lvlText w:val="%1."/>
      <w:numFmt w:val="decimal"/>
      <w:start w:val="13"/>
    </w:lvl>
    <w:lvl w:ilvl="1">
      <w:lvlJc w:val="left"/>
      <w:lvlText w:val="%2"/>
      <w:numFmt w:val="upperLetter"/>
      <w:start w:val="1"/>
    </w:lvl>
  </w:abstractNum>
  <w:abstractNum w:abstractNumId="60">
    <w:nsid w:val="3B0FD379"/>
    <w:multiLevelType w:val="hybridMultilevel"/>
    <w:lvl w:ilvl="0">
      <w:lvlJc w:val="left"/>
      <w:lvlText w:val="%1."/>
      <w:numFmt w:val="decimal"/>
      <w:start w:val="1"/>
    </w:lvl>
  </w:abstractNum>
  <w:abstractNum w:abstractNumId="61">
    <w:nsid w:val="68EB2F63"/>
    <w:multiLevelType w:val="hybridMultilevel"/>
    <w:lvl w:ilvl="0">
      <w:lvlJc w:val="left"/>
      <w:lvlText w:val="%1"/>
      <w:numFmt w:val="lowerRoman"/>
      <w:start w:val="1"/>
    </w:lvl>
    <w:lvl w:ilvl="1">
      <w:lvlJc w:val="left"/>
      <w:lvlText w:val="%2."/>
      <w:numFmt w:val="decimal"/>
      <w:start w:val="2"/>
    </w:lvl>
  </w:abstractNum>
  <w:abstractNum w:abstractNumId="62">
    <w:nsid w:val="4962813B"/>
    <w:multiLevelType w:val="hybridMultilevel"/>
    <w:lvl w:ilvl="0">
      <w:lvlJc w:val="left"/>
      <w:lvlText w:val="(%1)"/>
      <w:numFmt w:val="lowerRoman"/>
      <w:start w:val="2"/>
    </w:lvl>
    <w:lvl w:ilvl="1">
      <w:lvlJc w:val="left"/>
      <w:lvlText w:val="%2"/>
      <w:numFmt w:val="decimal"/>
      <w:start w:val="1"/>
    </w:lvl>
  </w:abstractNum>
  <w:abstractNum w:abstractNumId="63">
    <w:nsid w:val="60B6DF70"/>
    <w:multiLevelType w:val="hybridMultilevel"/>
    <w:lvl w:ilvl="0">
      <w:lvlJc w:val="left"/>
      <w:lvlText w:val="%1."/>
      <w:numFmt w:val="decimal"/>
      <w:start w:val="4"/>
    </w:lvl>
  </w:abstractNum>
  <w:abstractNum w:abstractNumId="64">
    <w:nsid w:val="6A5EE64"/>
    <w:multiLevelType w:val="hybridMultilevel"/>
    <w:lvl w:ilvl="0">
      <w:lvlJc w:val="left"/>
      <w:lvlText w:val="%1."/>
      <w:numFmt w:val="decimal"/>
      <w:start w:val="5"/>
    </w:lvl>
  </w:abstractNum>
  <w:abstractNum w:abstractNumId="65">
    <w:nsid w:val="14330624"/>
    <w:multiLevelType w:val="hybridMultilevel"/>
    <w:lvl w:ilvl="0">
      <w:lvlJc w:val="left"/>
      <w:lvlText w:val="%1."/>
      <w:numFmt w:val="lowerLetter"/>
      <w:start w:val="1"/>
    </w:lvl>
  </w:abstractNum>
  <w:abstractNum w:abstractNumId="66">
    <w:nsid w:val="7FFFCA11"/>
    <w:multiLevelType w:val="hybridMultilevel"/>
    <w:lvl w:ilvl="0">
      <w:lvlJc w:val="left"/>
      <w:lvlText w:val="%1."/>
      <w:numFmt w:val="lowerLetter"/>
      <w:start w:val="2"/>
    </w:lvl>
  </w:abstractNum>
  <w:abstractNum w:abstractNumId="67">
    <w:nsid w:val="1A27709E"/>
    <w:multiLevelType w:val="hybridMultilevel"/>
    <w:lvl w:ilvl="0">
      <w:lvlJc w:val="left"/>
      <w:lvlText w:val="%1."/>
      <w:numFmt w:val="decimal"/>
      <w:start w:val="10"/>
    </w:lvl>
  </w:abstractNum>
  <w:abstractNum w:abstractNumId="68">
    <w:nsid w:val="71EA1109"/>
    <w:multiLevelType w:val="hybridMultilevel"/>
    <w:lvl w:ilvl="0">
      <w:lvlJc w:val="left"/>
      <w:lvlText w:val="%1."/>
      <w:numFmt w:val="lowerLetter"/>
      <w:start w:val="1"/>
    </w:lvl>
  </w:abstractNum>
  <w:abstractNum w:abstractNumId="69">
    <w:nsid w:val="100F59DC"/>
    <w:multiLevelType w:val="hybridMultilevel"/>
    <w:lvl w:ilvl="0">
      <w:lvlJc w:val="left"/>
      <w:lvlText w:val="%1."/>
      <w:numFmt w:val="decimal"/>
      <w:start w:val="11"/>
    </w:lvl>
  </w:abstractNum>
  <w:abstractNum w:abstractNumId="70">
    <w:nsid w:val="7FB7E0AA"/>
    <w:multiLevelType w:val="hybridMultilevel"/>
    <w:lvl w:ilvl="0">
      <w:lvlJc w:val="left"/>
      <w:lvlText w:val="%1."/>
      <w:numFmt w:val="decimal"/>
      <w:start w:val="12"/>
    </w:lvl>
  </w:abstractNum>
  <w:abstractNum w:abstractNumId="71">
    <w:nsid w:val="6EB5BD4"/>
    <w:multiLevelType w:val="hybridMultilevel"/>
    <w:lvl w:ilvl="0">
      <w:lvlJc w:val="left"/>
      <w:lvlText w:val="%1."/>
      <w:numFmt w:val="lowerLetter"/>
      <w:start w:val="1"/>
    </w:lvl>
  </w:abstractNum>
  <w:abstractNum w:abstractNumId="72">
    <w:nsid w:val="6F6DD9AC"/>
    <w:multiLevelType w:val="hybridMultilevel"/>
    <w:lvl w:ilvl="0">
      <w:lvlJc w:val="left"/>
      <w:lvlText w:val="%1."/>
      <w:numFmt w:val="decimal"/>
      <w:start w:val="14"/>
    </w:lvl>
  </w:abstractNum>
  <w:abstractNum w:abstractNumId="73">
    <w:nsid w:val="94211F2"/>
    <w:multiLevelType w:val="hybridMultilevel"/>
    <w:lvl w:ilvl="0">
      <w:lvlJc w:val="left"/>
      <w:lvlText w:val="%1."/>
      <w:numFmt w:val="decimal"/>
      <w:start w:val="17"/>
    </w:lvl>
  </w:abstractNum>
  <w:abstractNum w:abstractNumId="74">
    <w:nsid w:val="885E1B"/>
    <w:multiLevelType w:val="hybridMultilevel"/>
    <w:lvl w:ilvl="0">
      <w:lvlJc w:val="left"/>
      <w:lvlText w:val="%1."/>
      <w:numFmt w:val="decimal"/>
      <w:start w:val="1"/>
    </w:lvl>
  </w:abstractNum>
  <w:abstractNum w:abstractNumId="75">
    <w:nsid w:val="76272110"/>
    <w:multiLevelType w:val="hybridMultilevel"/>
    <w:lvl w:ilvl="0">
      <w:lvlJc w:val="left"/>
      <w:lvlText w:val="%1."/>
      <w:numFmt w:val="decimal"/>
      <w:start w:val="2"/>
    </w:lvl>
    <w:lvl w:ilvl="1">
      <w:lvlJc w:val="left"/>
      <w:lvlText w:val="(%2)"/>
      <w:numFmt w:val="upperLetter"/>
      <w:start w:val="1"/>
    </w:lvl>
    <w:lvl w:ilvl="2">
      <w:lvlJc w:val="left"/>
      <w:lvlText w:val="(%3)"/>
      <w:numFmt w:val="upperLetter"/>
      <w:start w:val="1"/>
    </w:lvl>
  </w:abstractNum>
  <w:abstractNum w:abstractNumId="76">
    <w:nsid w:val="4C04A8AF"/>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3"/>
    </w:lvl>
  </w:abstractNum>
  <w:abstractNum w:abstractNumId="77">
    <w:nsid w:val="1716703B"/>
    <w:multiLevelType w:val="hybridMultilevel"/>
    <w:lvl w:ilvl="0">
      <w:lvlJc w:val="left"/>
      <w:lvlText w:val="%1"/>
      <w:numFmt w:val="decimal"/>
      <w:start w:val="1"/>
    </w:lvl>
    <w:lvl w:ilvl="1">
      <w:lvlJc w:val="left"/>
      <w:lvlText w:val="(%2)"/>
      <w:numFmt w:val="upperLetter"/>
      <w:start w:val="4"/>
    </w:lvl>
  </w:abstractNum>
  <w:abstractNum w:abstractNumId="78">
    <w:nsid w:val="14E17E33"/>
    <w:multiLevelType w:val="hybridMultilevel"/>
    <w:lvl w:ilvl="0">
      <w:lvlJc w:val="left"/>
      <w:lvlText w:val="%1."/>
      <w:numFmt w:val="decimal"/>
      <w:start w:val="3"/>
    </w:lvl>
    <w:lvl w:ilvl="1">
      <w:lvlJc w:val="left"/>
      <w:lvlText w:val="%2"/>
      <w:numFmt w:val="upperLetter"/>
      <w:start w:val="1"/>
    </w:lvl>
  </w:abstractNum>
  <w:abstractNum w:abstractNumId="79">
    <w:nsid w:val="3222E7CD"/>
    <w:multiLevelType w:val="hybridMultilevel"/>
    <w:lvl w:ilvl="0">
      <w:lvlJc w:val="left"/>
      <w:lvlText w:val="%1."/>
      <w:numFmt w:val="decimal"/>
      <w:start w:val="4"/>
    </w:lvl>
    <w:lvl w:ilvl="1">
      <w:lvlJc w:val="left"/>
      <w:lvlText w:val="(%2)"/>
      <w:numFmt w:val="upperLetter"/>
      <w:start w:val="1"/>
    </w:lvl>
  </w:abstractNum>
  <w:abstractNum w:abstractNumId="80">
    <w:nsid w:val="74DE0EE3"/>
    <w:multiLevelType w:val="hybridMultilevel"/>
    <w:lvl w:ilvl="0">
      <w:lvlJc w:val="left"/>
      <w:lvlText w:val="%1."/>
      <w:numFmt w:val="decimal"/>
      <w:start w:val="5"/>
    </w:lvl>
  </w:abstractNum>
  <w:abstractNum w:abstractNumId="81">
    <w:nsid w:val="68EBC550"/>
    <w:multiLevelType w:val="hybridMultilevel"/>
    <w:lvl w:ilvl="0">
      <w:lvlJc w:val="left"/>
      <w:lvlText w:val="%1."/>
      <w:numFmt w:val="decimal"/>
      <w:start w:val="7"/>
    </w:lvl>
  </w:abstractNum>
  <w:abstractNum w:abstractNumId="82">
    <w:nsid w:val="2DF6D648"/>
    <w:multiLevelType w:val="hybridMultilevel"/>
    <w:lvl w:ilvl="0">
      <w:lvlJc w:val="left"/>
      <w:lvlText w:val="%1."/>
      <w:numFmt w:val="decimal"/>
      <w:start w:val="8"/>
    </w:lvl>
    <w:lvl w:ilvl="1">
      <w:lvlJc w:val="left"/>
      <w:lvlText w:val="(%2)"/>
      <w:numFmt w:val="upperLetter"/>
      <w:start w:val="1"/>
    </w:lvl>
    <w:lvl w:ilvl="2">
      <w:lvlJc w:val="left"/>
      <w:lvlText w:val="(%3)"/>
      <w:numFmt w:val="upperLetter"/>
      <w:start w:val="1"/>
    </w:lvl>
  </w:abstractNum>
  <w:abstractNum w:abstractNumId="83">
    <w:nsid w:val="46B7D447"/>
    <w:multiLevelType w:val="hybridMultilevel"/>
    <w:lvl w:ilvl="0">
      <w:lvlJc w:val="left"/>
      <w:lvlText w:val="%1."/>
      <w:numFmt w:val="decimal"/>
      <w:start w:val="11"/>
    </w:lvl>
    <w:lvl w:ilvl="1">
      <w:lvlJc w:val="left"/>
      <w:lvlText w:val="(%2)"/>
      <w:numFmt w:val="upperLetter"/>
      <w:start w:val="1"/>
    </w:lvl>
  </w:abstractNum>
  <w:abstractNum w:abstractNumId="84">
    <w:nsid w:val="4A2AC315"/>
    <w:multiLevelType w:val="hybridMultilevel"/>
    <w:lvl w:ilvl="0">
      <w:lvlJc w:val="left"/>
      <w:lvlText w:val="%1"/>
      <w:numFmt w:val="decimal"/>
      <w:start w:val="1"/>
    </w:lvl>
    <w:lvl w:ilvl="1">
      <w:lvlJc w:val="left"/>
      <w:lvlText w:val="(%2)"/>
      <w:numFmt w:val="upperLetter"/>
      <w:start w:val="4"/>
    </w:lvl>
  </w:abstractNum>
  <w:abstractNum w:abstractNumId="85">
    <w:nsid w:val="39EE015C"/>
    <w:multiLevelType w:val="hybridMultilevel"/>
    <w:lvl w:ilvl="0">
      <w:lvlJc w:val="left"/>
      <w:lvlText w:val="%1."/>
      <w:numFmt w:val="decimal"/>
      <w:start w:val="14"/>
    </w:lvl>
    <w:lvl w:ilvl="1">
      <w:lvlJc w:val="left"/>
      <w:lvlText w:val="%2"/>
      <w:numFmt w:val="upperLetter"/>
      <w:start w:val="1"/>
    </w:lvl>
  </w:abstractNum>
  <w:abstractNum w:abstractNumId="86">
    <w:nsid w:val="57FC4FBB"/>
    <w:multiLevelType w:val="hybridMultilevel"/>
    <w:lvl w:ilvl="0">
      <w:lvlJc w:val="left"/>
      <w:lvlText w:val="%1."/>
      <w:numFmt w:val="decimal"/>
      <w:start w:val="1"/>
    </w:lvl>
  </w:abstractNum>
  <w:abstractNum w:abstractNumId="87">
    <w:nsid w:val="CC1016F"/>
    <w:multiLevelType w:val="hybridMultilevel"/>
    <w:lvl w:ilvl="0">
      <w:lvlJc w:val="left"/>
      <w:lvlText w:val="%1."/>
      <w:numFmt w:val="decimal"/>
      <w:start w:val="2"/>
    </w:lvl>
  </w:abstractNum>
  <w:abstractNum w:abstractNumId="88">
    <w:nsid w:val="43F18422"/>
    <w:multiLevelType w:val="hybridMultilevel"/>
    <w:lvl w:ilvl="0">
      <w:lvlJc w:val="left"/>
      <w:lvlText w:val="(%1)"/>
      <w:numFmt w:val="lowerLetter"/>
      <w:start w:val="1"/>
    </w:lvl>
  </w:abstractNum>
  <w:abstractNum w:abstractNumId="89">
    <w:nsid w:val="60EF0119"/>
    <w:multiLevelType w:val="hybridMultilevel"/>
    <w:lvl w:ilvl="0">
      <w:lvlJc w:val="left"/>
      <w:lvlText w:val="%1."/>
      <w:numFmt w:val="decimal"/>
      <w:start w:val="3"/>
    </w:lvl>
  </w:abstractNum>
  <w:abstractNum w:abstractNumId="90">
    <w:nsid w:val="26F324BA"/>
    <w:multiLevelType w:val="hybridMultilevel"/>
    <w:lvl w:ilvl="0">
      <w:lvlJc w:val="left"/>
      <w:lvlText w:val="%1."/>
      <w:numFmt w:val="decimal"/>
      <w:start w:val="4"/>
    </w:lvl>
  </w:abstractNum>
  <w:abstractNum w:abstractNumId="91">
    <w:nsid w:val="7F01579B"/>
    <w:multiLevelType w:val="hybridMultilevel"/>
    <w:lvl w:ilvl="0">
      <w:lvlJc w:val="left"/>
      <w:lvlText w:val="%1."/>
      <w:numFmt w:val="decimal"/>
      <w:start w:val="1"/>
    </w:lvl>
    <w:lvl w:ilvl="1">
      <w:lvlJc w:val="left"/>
      <w:lvlText w:val="(%2)"/>
      <w:numFmt w:val="lowerLetter"/>
      <w:start w:val="1"/>
    </w:lvl>
  </w:abstractNum>
  <w:abstractNum w:abstractNumId="92">
    <w:nsid w:val="49DA307D"/>
    <w:multiLevelType w:val="hybridMultilevel"/>
    <w:lvl w:ilvl="0">
      <w:lvlJc w:val="left"/>
      <w:lvlText w:val="%1."/>
      <w:numFmt w:val="decimal"/>
      <w:start w:val="2"/>
    </w:lvl>
    <w:lvl w:ilvl="1">
      <w:lvlJc w:val="left"/>
      <w:lvlText w:val="(%2)"/>
      <w:numFmt w:val="lowerLetter"/>
      <w:start w:val="1"/>
    </w:lvl>
  </w:abstractNum>
  <w:abstractNum w:abstractNumId="93">
    <w:nsid w:val="7055A5F5"/>
    <w:multiLevelType w:val="hybridMultilevel"/>
    <w:lvl w:ilvl="0">
      <w:lvlJc w:val="left"/>
      <w:lvlText w:val="%1."/>
      <w:numFmt w:val="decimal"/>
      <w:start w:val="7"/>
    </w:lvl>
    <w:lvl w:ilvl="1">
      <w:lvlJc w:val="left"/>
      <w:lvlText w:val="(%2)"/>
      <w:numFmt w:val="lowerLetter"/>
      <w:start w:val="1"/>
    </w:lvl>
  </w:abstractNum>
  <w:abstractNum w:abstractNumId="94">
    <w:nsid w:val="5FB8370B"/>
    <w:multiLevelType w:val="hybridMultilevel"/>
    <w:lvl w:ilvl="0">
      <w:lvlJc w:val="left"/>
      <w:lvlText w:val="(%1)"/>
      <w:numFmt w:val="lowerLetter"/>
      <w:start w:val="3"/>
    </w:lvl>
  </w:abstractNum>
  <w:abstractNum w:abstractNumId="95">
    <w:nsid w:val="50801EE1"/>
    <w:multiLevelType w:val="hybridMultilevel"/>
    <w:lvl w:ilvl="0">
      <w:lvlJc w:val="left"/>
      <w:lvlText w:val="(%1)"/>
      <w:numFmt w:val="lowerLetter"/>
      <w:start w:val="6"/>
    </w:lvl>
  </w:abstractNum>
  <w:abstractNum w:abstractNumId="96">
    <w:nsid w:val="488AC1A"/>
    <w:multiLevelType w:val="hybridMultilevel"/>
    <w:lvl w:ilvl="0">
      <w:lvlJc w:val="left"/>
      <w:lvlText w:val="%1."/>
      <w:numFmt w:val="decimal"/>
      <w:start w:val="1"/>
    </w:lvl>
    <w:lvl w:ilvl="1">
      <w:lvlJc w:val="left"/>
      <w:lvlText w:val="(%2)"/>
      <w:numFmt w:val="lowerLetter"/>
      <w:start w:val="1"/>
    </w:lvl>
  </w:abstractNum>
  <w:abstractNum w:abstractNumId="97">
    <w:nsid w:val="5FB8011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2019-12-29T08:25:48Z</dcterms:created>
  <dcterms:modified xsi:type="dcterms:W3CDTF">2019-12-29T08:25:48Z</dcterms:modified>
</cp:coreProperties>
</file>