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44" w:lineRule="exact"/>
        <w:rPr>
          <w:sz w:val="24"/>
          <w:szCs w:val="24"/>
          <w:color w:val="auto"/>
        </w:rPr>
      </w:pPr>
    </w:p>
    <w:p>
      <w:pPr>
        <w:ind w:left="520" w:hanging="343"/>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 w:lineRule="exact"/>
        <w:rPr>
          <w:sz w:val="24"/>
          <w:szCs w:val="24"/>
          <w:color w:val="auto"/>
        </w:rPr>
      </w:pPr>
    </w:p>
    <w:p>
      <w:pPr>
        <w:ind w:left="520" w:hanging="343"/>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______to_______</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05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THE HERSHEY COMPANY</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5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80" w:type="dxa"/>
            <w:vAlign w:val="bottom"/>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rPr>
              <w:t>23-0691590</w:t>
            </w:r>
          </w:p>
        </w:tc>
      </w:tr>
      <w:tr>
        <w:trPr>
          <w:trHeight w:val="234"/>
        </w:trPr>
        <w:tc>
          <w:tcPr>
            <w:tcW w:w="6920" w:type="dxa"/>
            <w:vAlign w:val="bottom"/>
            <w:gridSpan w:val="5"/>
          </w:tcPr>
          <w:p>
            <w:pPr>
              <w:jc w:val="center"/>
              <w:ind w:right="142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2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43"/>
        </w:trPr>
        <w:tc>
          <w:tcPr>
            <w:tcW w:w="3580" w:type="dxa"/>
            <w:vAlign w:val="bottom"/>
          </w:tcPr>
          <w:p>
            <w:pPr>
              <w:spacing w:after="0"/>
              <w:rPr>
                <w:sz w:val="21"/>
                <w:szCs w:val="21"/>
                <w:color w:val="auto"/>
              </w:rPr>
            </w:pPr>
          </w:p>
        </w:tc>
        <w:tc>
          <w:tcPr>
            <w:tcW w:w="7620" w:type="dxa"/>
            <w:vAlign w:val="bottom"/>
            <w:gridSpan w:val="5"/>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w w:val="98"/>
              </w:rPr>
              <w:t>19 East Chocolate Avenue, Hershey, PA 17033</w:t>
            </w:r>
          </w:p>
        </w:tc>
      </w:tr>
      <w:tr>
        <w:trPr>
          <w:trHeight w:val="176"/>
        </w:trPr>
        <w:tc>
          <w:tcPr>
            <w:tcW w:w="3580" w:type="dxa"/>
            <w:vAlign w:val="bottom"/>
          </w:tcPr>
          <w:p>
            <w:pPr>
              <w:spacing w:after="0"/>
              <w:rPr>
                <w:sz w:val="15"/>
                <w:szCs w:val="15"/>
                <w:color w:val="auto"/>
              </w:rPr>
            </w:pPr>
          </w:p>
        </w:tc>
        <w:tc>
          <w:tcPr>
            <w:tcW w:w="7620" w:type="dxa"/>
            <w:vAlign w:val="bottom"/>
            <w:gridSpan w:val="5"/>
          </w:tcPr>
          <w:p>
            <w:pPr>
              <w:jc w:val="center"/>
              <w:ind w:right="3410"/>
              <w:spacing w:after="0" w:line="176" w:lineRule="exact"/>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r>
      <w:tr>
        <w:trPr>
          <w:trHeight w:val="184"/>
        </w:trPr>
        <w:tc>
          <w:tcPr>
            <w:tcW w:w="3580" w:type="dxa"/>
            <w:vAlign w:val="bottom"/>
          </w:tcPr>
          <w:p>
            <w:pPr>
              <w:spacing w:after="0"/>
              <w:rPr>
                <w:sz w:val="16"/>
                <w:szCs w:val="16"/>
                <w:color w:val="auto"/>
              </w:rPr>
            </w:pPr>
          </w:p>
        </w:tc>
        <w:tc>
          <w:tcPr>
            <w:tcW w:w="3240" w:type="dxa"/>
            <w:vAlign w:val="bottom"/>
            <w:gridSpan w:val="3"/>
          </w:tcPr>
          <w:p>
            <w:pPr>
              <w:jc w:val="center"/>
              <w:ind w:left="7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(717) 534-4200</w:t>
            </w: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234"/>
        </w:trPr>
        <w:tc>
          <w:tcPr>
            <w:tcW w:w="3580" w:type="dxa"/>
            <w:vAlign w:val="bottom"/>
          </w:tcPr>
          <w:p>
            <w:pPr>
              <w:spacing w:after="0"/>
              <w:rPr>
                <w:sz w:val="20"/>
                <w:szCs w:val="20"/>
                <w:color w:val="auto"/>
              </w:rPr>
            </w:pPr>
          </w:p>
        </w:tc>
        <w:tc>
          <w:tcPr>
            <w:tcW w:w="7620" w:type="dxa"/>
            <w:vAlign w:val="bottom"/>
            <w:gridSpan w:val="5"/>
          </w:tcPr>
          <w:p>
            <w:pPr>
              <w:jc w:val="center"/>
              <w:ind w:right="34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73"/>
        </w:trPr>
        <w:tc>
          <w:tcPr>
            <w:tcW w:w="3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4280" w:type="dxa"/>
            <w:vAlign w:val="bottom"/>
          </w:tcPr>
          <w:p>
            <w:pPr>
              <w:spacing w:after="0"/>
              <w:rPr>
                <w:sz w:val="24"/>
                <w:szCs w:val="24"/>
                <w:color w:val="auto"/>
              </w:rPr>
            </w:pPr>
          </w:p>
        </w:tc>
      </w:tr>
      <w:tr>
        <w:trPr>
          <w:trHeight w:val="198"/>
        </w:trPr>
        <w:tc>
          <w:tcPr>
            <w:tcW w:w="11200" w:type="dxa"/>
            <w:vAlign w:val="bottom"/>
            <w:gridSpan w:val="6"/>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r>
      <w:tr>
        <w:trPr>
          <w:trHeight w:val="238"/>
        </w:trPr>
        <w:tc>
          <w:tcPr>
            <w:tcW w:w="6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4280" w:type="dxa"/>
            <w:vAlign w:val="bottom"/>
          </w:tcPr>
          <w:p>
            <w:pPr>
              <w:spacing w:after="0"/>
              <w:rPr>
                <w:sz w:val="20"/>
                <w:szCs w:val="20"/>
                <w:color w:val="auto"/>
              </w:rPr>
            </w:pPr>
          </w:p>
        </w:tc>
      </w:tr>
      <w:tr>
        <w:trPr>
          <w:trHeight w:val="243"/>
        </w:trPr>
        <w:tc>
          <w:tcPr>
            <w:tcW w:w="35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580" w:type="dxa"/>
            <w:vAlign w:val="bottom"/>
            <w:tcBorders>
              <w:top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9"/>
              </w:rPr>
              <w:t>Common Stock, one dollar par value</w:t>
            </w: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HSY</w:t>
            </w:r>
          </w:p>
        </w:tc>
        <w:tc>
          <w:tcPr>
            <w:tcW w:w="100" w:type="dxa"/>
            <w:vAlign w:val="bottom"/>
          </w:tcPr>
          <w:p>
            <w:pPr>
              <w:spacing w:after="0"/>
              <w:rPr>
                <w:sz w:val="19"/>
                <w:szCs w:val="19"/>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287" w:lineRule="exact"/>
        <w:rPr>
          <w:sz w:val="24"/>
          <w:szCs w:val="24"/>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98" w:lineRule="exact"/>
        <w:rPr>
          <w:sz w:val="24"/>
          <w:szCs w:val="24"/>
          <w:color w:val="auto"/>
        </w:rPr>
      </w:pPr>
    </w:p>
    <w:p>
      <w:pPr>
        <w:ind w:right="12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7" w:lineRule="exact"/>
        <w:tabs>
          <w:tab w:leader="none" w:pos="66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98" w:lineRule="exact"/>
        <w:rPr>
          <w:sz w:val="24"/>
          <w:szCs w:val="24"/>
          <w:color w:val="auto"/>
        </w:rPr>
      </w:pPr>
    </w:p>
    <w:p>
      <w:pPr>
        <w:ind w:right="320"/>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 (Check one):</w:t>
      </w:r>
    </w:p>
    <w:p>
      <w:pPr>
        <w:spacing w:after="0" w:line="56" w:lineRule="exact"/>
        <w:rPr>
          <w:sz w:val="24"/>
          <w:szCs w:val="24"/>
          <w:color w:val="auto"/>
        </w:rPr>
      </w:pPr>
    </w:p>
    <w:p>
      <w:pPr>
        <w:ind w:left="160"/>
        <w:spacing w:after="0" w:line="207" w:lineRule="exact"/>
        <w:tabs>
          <w:tab w:leader="none" w:pos="1920" w:val="left"/>
          <w:tab w:leader="none" w:pos="8720" w:val="left"/>
          <w:tab w:leader="none" w:pos="1092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Accelerated filer</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Non-accelerated filer</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Smaller reporting company</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333" w:lineRule="exact"/>
        <w:rPr>
          <w:sz w:val="24"/>
          <w:szCs w:val="24"/>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line="207" w:lineRule="exact"/>
        <w:tabs>
          <w:tab w:leader="none" w:pos="88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ind w:left="660"/>
        <w:spacing w:after="0" w:line="219" w:lineRule="auto"/>
        <w:rPr>
          <w:sz w:val="20"/>
          <w:szCs w:val="20"/>
          <w:color w:val="auto"/>
        </w:rPr>
      </w:pPr>
      <w:r>
        <w:rPr>
          <w:rFonts w:ascii="Times New Roman" w:cs="Times New Roman" w:eastAsia="Times New Roman" w:hAnsi="Times New Roman"/>
          <w:sz w:val="18"/>
          <w:szCs w:val="18"/>
          <w:color w:val="auto"/>
        </w:rPr>
        <w:t>Common Stock, one dollar par value—147,615,686 shares, as of April 26, 2024.</w:t>
      </w:r>
    </w:p>
    <w:p>
      <w:pPr>
        <w:ind w:left="660"/>
        <w:spacing w:after="0"/>
        <w:rPr>
          <w:sz w:val="20"/>
          <w:szCs w:val="20"/>
          <w:color w:val="auto"/>
        </w:rPr>
      </w:pPr>
      <w:r>
        <w:rPr>
          <w:rFonts w:ascii="Times New Roman" w:cs="Times New Roman" w:eastAsia="Times New Roman" w:hAnsi="Times New Roman"/>
          <w:sz w:val="18"/>
          <w:szCs w:val="18"/>
          <w:color w:val="auto"/>
        </w:rPr>
        <w:t>Class B Common Stock, one dollar par value—54,613,514 shares, as of April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Ended March 31,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20" w:type="dxa"/>
            <w:vAlign w:val="bottom"/>
            <w:gridSpan w:val="10"/>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1102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880" w:type="dxa"/>
            <w:vAlign w:val="bottom"/>
            <w:gridSpan w:val="19"/>
          </w:tcPr>
          <w:p>
            <w:pPr>
              <w:ind w:left="120"/>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8140" w:type="dxa"/>
            <w:vAlign w:val="bottom"/>
            <w:gridSpan w:val="21"/>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16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Income for the Three Months Ended March 31, 2024 and April 2, 2023</w:t>
            </w:r>
          </w:p>
        </w:tc>
        <w:tc>
          <w:tcPr>
            <w:tcW w:w="3660" w:type="dxa"/>
            <w:vAlign w:val="bottom"/>
            <w:gridSpan w:val="4"/>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Three Months Ended March 31, 2024 and April 2, 2023</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4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Balance Sheets as of March 31, 2024 and December 31, 2023</w:t>
            </w:r>
          </w:p>
        </w:tc>
        <w:tc>
          <w:tcPr>
            <w:tcW w:w="5380" w:type="dxa"/>
            <w:vAlign w:val="bottom"/>
            <w:gridSpan w:val="6"/>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2024 and April 2, 2023</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2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Stockholders’ Equity for the Three Months Ended March 31, 2024 and April 2, 2023</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14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2680" w:type="dxa"/>
            <w:vAlign w:val="bottom"/>
            <w:gridSpan w:val="2"/>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20" w:type="dxa"/>
            <w:vAlign w:val="bottom"/>
            <w:gridSpan w:val="38"/>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1 - Summary of Significant Accounting Policies</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8"/>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2 - Business Acquisitions</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20" w:type="dxa"/>
            <w:vAlign w:val="bottom"/>
            <w:gridSpan w:val="38"/>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3 - Goodwill and Intangible Assets</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8"/>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4 - Short and Long-Term Debt</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20" w:type="dxa"/>
            <w:vAlign w:val="bottom"/>
            <w:gridSpan w:val="38"/>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5 - Derivative Instruments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8"/>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6 - Fair Value Measurements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20" w:type="dxa"/>
            <w:vAlign w:val="bottom"/>
            <w:gridSpan w:val="38"/>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7 - Leases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8"/>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8 - Investments in Unconsolidated Affiliates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20" w:type="dxa"/>
            <w:vAlign w:val="bottom"/>
            <w:gridSpan w:val="38"/>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9 - Business Realignment Activities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8"/>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10 - Income Taxes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18</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20" w:type="dxa"/>
            <w:vAlign w:val="bottom"/>
            <w:gridSpan w:val="38"/>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11 - Pension and Other Post-Retirement Benefit Plans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8"/>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12 - Stock Compensation Plans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20" w:type="dxa"/>
            <w:vAlign w:val="bottom"/>
            <w:gridSpan w:val="38"/>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13 - Segment Information</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8"/>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14 - Treasury Stock Activity</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20" w:type="dxa"/>
            <w:vAlign w:val="bottom"/>
            <w:gridSpan w:val="38"/>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15 - Contingencies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8"/>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16 - Earnings Per Share</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20" w:type="dxa"/>
            <w:vAlign w:val="bottom"/>
            <w:gridSpan w:val="38"/>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17 - Other (Income) Expense, Net</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28</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8"/>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18 - Supplemental Balance Sheet Information</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0000FF"/>
            </w:tcBorders>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880" w:type="dxa"/>
            <w:vAlign w:val="bottom"/>
            <w:tcBorders>
              <w:bottom w:val="single" w:sz="8" w:color="CCEEFF"/>
            </w:tcBorders>
            <w:gridSpan w:val="5"/>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20" w:type="dxa"/>
            <w:vAlign w:val="bottom"/>
            <w:gridSpan w:val="40"/>
          </w:tcPr>
          <w:p>
            <w:pPr>
              <w:ind w:left="120"/>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340" w:type="dxa"/>
            <w:vAlign w:val="bottom"/>
            <w:tcBorders>
              <w:bottom w:val="single" w:sz="8" w:color="0000FF"/>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4. Controls and Procedures</w:t>
            </w:r>
          </w:p>
        </w:tc>
        <w:tc>
          <w:tcPr>
            <w:tcW w:w="8560" w:type="dxa"/>
            <w:vAlign w:val="bottom"/>
            <w:tcBorders>
              <w:bottom w:val="single" w:sz="8" w:color="CCEEFF"/>
            </w:tcBorders>
            <w:gridSpan w:val="27"/>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2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FF"/>
              </w:rPr>
              <w:t>PART II. OTHER INFORMATION</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9000" w:type="dxa"/>
            <w:vAlign w:val="bottom"/>
            <w:tcBorders>
              <w:bottom w:val="single" w:sz="8" w:color="CCEEFF"/>
            </w:tcBorders>
            <w:gridSpan w:val="31"/>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20" w:type="dxa"/>
            <w:vAlign w:val="bottom"/>
            <w:gridSpan w:val="40"/>
          </w:tcPr>
          <w:p>
            <w:pPr>
              <w:ind w:left="120"/>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9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900" w:type="dxa"/>
            <w:vAlign w:val="bottom"/>
            <w:tcBorders>
              <w:top w:val="single" w:sz="8" w:color="0000FF"/>
            </w:tcBorders>
            <w:gridSpan w:val="31"/>
          </w:tcPr>
          <w:p>
            <w:pPr>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6000" w:type="dxa"/>
            <w:vAlign w:val="bottom"/>
            <w:tcBorders>
              <w:top w:val="single" w:sz="8" w:color="CCEEFF"/>
            </w:tcBorders>
            <w:gridSpan w:val="8"/>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340" w:type="dxa"/>
            <w:vAlign w:val="bottom"/>
            <w:tcBorders>
              <w:bottom w:val="single" w:sz="8" w:color="0000FF"/>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4. Mine Safety Disclosures</w:t>
            </w:r>
          </w:p>
        </w:tc>
        <w:tc>
          <w:tcPr>
            <w:tcW w:w="8560" w:type="dxa"/>
            <w:vAlign w:val="bottom"/>
            <w:tcBorders>
              <w:bottom w:val="single" w:sz="8" w:color="CCEEFF"/>
            </w:tcBorders>
            <w:gridSpan w:val="27"/>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20" w:type="dxa"/>
            <w:vAlign w:val="bottom"/>
            <w:gridSpan w:val="40"/>
          </w:tcPr>
          <w:p>
            <w:pPr>
              <w:ind w:left="120"/>
              <w:spacing w:after="0" w:line="189" w:lineRule="exact"/>
              <w:rPr>
                <w:sz w:val="20"/>
                <w:szCs w:val="20"/>
                <w:color w:val="auto"/>
              </w:rPr>
            </w:pPr>
            <w:r>
              <w:rPr>
                <w:rFonts w:ascii="Times New Roman" w:cs="Times New Roman" w:eastAsia="Times New Roman" w:hAnsi="Times New Roman"/>
                <w:sz w:val="18"/>
                <w:szCs w:val="18"/>
                <w:color w:val="0000FF"/>
              </w:rPr>
              <w:t>Item 5. Other Information</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9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 Exhibits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2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659765</wp:posOffset>
            </wp:positionV>
            <wp:extent cx="19685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38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3"/>
        </w:trPr>
        <w:tc>
          <w:tcPr>
            <w:tcW w:w="6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19"/>
                <w:szCs w:val="19"/>
                <w:color w:val="auto"/>
              </w:rPr>
            </w:pPr>
          </w:p>
        </w:tc>
        <w:tc>
          <w:tcPr>
            <w:tcW w:w="15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April 2, 2023</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3,252,749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2,987,614</w:t>
            </w:r>
          </w:p>
        </w:tc>
      </w:tr>
      <w:tr>
        <w:trPr>
          <w:trHeight w:val="230"/>
        </w:trPr>
        <w:tc>
          <w:tcPr>
            <w:tcW w:w="6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1,576,668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1,605,292</w:t>
            </w:r>
          </w:p>
        </w:tc>
      </w:tr>
      <w:tr>
        <w:trPr>
          <w:trHeight w:val="223"/>
        </w:trPr>
        <w:tc>
          <w:tcPr>
            <w:tcW w:w="6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1,676,081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1,382,322</w:t>
            </w: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marketing and administrative expense</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581,587</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realignment costs</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23"/>
        </w:trPr>
        <w:tc>
          <w:tcPr>
            <w:tcW w:w="6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1,058,100</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799,924</w:t>
            </w:r>
          </w:p>
        </w:tc>
      </w:tr>
      <w:tr>
        <w:trPr>
          <w:trHeight w:val="230"/>
        </w:trPr>
        <w:tc>
          <w:tcPr>
            <w:tcW w:w="6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37,685</w:t>
            </w:r>
          </w:p>
        </w:tc>
      </w:tr>
      <w:tr>
        <w:trPr>
          <w:trHeight w:val="229"/>
        </w:trPr>
        <w:tc>
          <w:tcPr>
            <w:tcW w:w="69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759,256</w:t>
            </w:r>
          </w:p>
        </w:tc>
      </w:tr>
      <w:tr>
        <w:trPr>
          <w:trHeight w:val="229"/>
        </w:trPr>
        <w:tc>
          <w:tcPr>
            <w:tcW w:w="69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172,071</w:t>
            </w:r>
          </w:p>
        </w:tc>
      </w:tr>
      <w:tr>
        <w:trPr>
          <w:trHeight w:val="248"/>
        </w:trPr>
        <w:tc>
          <w:tcPr>
            <w:tcW w:w="69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587,185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share—basic:</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9"/>
        </w:trPr>
        <w:tc>
          <w:tcPr>
            <w:tcW w:w="6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Class B common stock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70"/>
        </w:trPr>
        <w:tc>
          <w:tcPr>
            <w:tcW w:w="6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share—diluted:</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6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Class B common stock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70"/>
        </w:trPr>
        <w:tc>
          <w:tcPr>
            <w:tcW w:w="6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paid per share:</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30"/>
        </w:trPr>
        <w:tc>
          <w:tcPr>
            <w:tcW w:w="6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Class B common stock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0.942</w:t>
            </w:r>
          </w:p>
        </w:tc>
      </w:tr>
    </w:tbl>
    <w:p>
      <w:pPr>
        <w:spacing w:after="0" w:line="3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448310</wp:posOffset>
            </wp:positionV>
            <wp:extent cx="19685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51" w:right="6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6"/>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5"/>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5"/>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April 2, 2023</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Pre-Tax</w:t>
            </w:r>
          </w:p>
        </w:tc>
        <w:tc>
          <w:tcPr>
            <w:tcW w:w="140" w:type="dxa"/>
            <w:vAlign w:val="bottom"/>
          </w:tcPr>
          <w:p>
            <w:pPr>
              <w:spacing w:after="0"/>
              <w:rPr>
                <w:sz w:val="14"/>
                <w:szCs w:val="14"/>
                <w:color w:val="auto"/>
              </w:rPr>
            </w:pPr>
          </w:p>
        </w:tc>
        <w:tc>
          <w:tcPr>
            <w:tcW w:w="8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Tax</w:t>
            </w: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After-Tax</w:t>
            </w:r>
          </w:p>
        </w:tc>
        <w:tc>
          <w:tcPr>
            <w:tcW w:w="100" w:type="dxa"/>
            <w:vAlign w:val="bottom"/>
          </w:tcPr>
          <w:p>
            <w:pPr>
              <w:spacing w:after="0"/>
              <w:rPr>
                <w:sz w:val="14"/>
                <w:szCs w:val="14"/>
                <w:color w:val="auto"/>
              </w:rPr>
            </w:pP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Pre-Tax</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center"/>
              <w:ind w:right="230"/>
              <w:spacing w:after="0" w:line="169"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8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(Expense)</w:t>
            </w:r>
          </w:p>
        </w:tc>
        <w:tc>
          <w:tcPr>
            <w:tcW w:w="10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(Expense)   After-Tax</w:t>
            </w: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20" w:type="dxa"/>
            <w:vAlign w:val="bottom"/>
          </w:tcPr>
          <w:p>
            <w:pPr>
              <w:spacing w:after="0"/>
              <w:rPr>
                <w:sz w:val="21"/>
                <w:szCs w:val="21"/>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797,453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587,185</w:t>
            </w:r>
          </w:p>
        </w:tc>
        <w:tc>
          <w:tcPr>
            <w:tcW w:w="0" w:type="dxa"/>
            <w:vAlign w:val="bottom"/>
          </w:tcPr>
          <w:p>
            <w:pPr>
              <w:spacing w:after="0"/>
              <w:rPr>
                <w:sz w:val="1"/>
                <w:szCs w:val="1"/>
                <w:color w:val="auto"/>
              </w:rPr>
            </w:pPr>
          </w:p>
        </w:tc>
      </w:tr>
      <w:tr>
        <w:trPr>
          <w:trHeight w:val="20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gains (losses) during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post-retirement benefit plans: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actuarial gain (loss) and service cost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flow hedges: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Gains (losses) on cash flow hedging derivatives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61"/>
        </w:trPr>
        <w:tc>
          <w:tcPr>
            <w:tcW w:w="49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Total other comprehensive income (loss), net of tax</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684</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(1,441)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(757)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15,641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(1,315)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14,326</w:t>
            </w:r>
          </w:p>
        </w:tc>
        <w:tc>
          <w:tcPr>
            <w:tcW w:w="0" w:type="dxa"/>
            <w:vAlign w:val="bottom"/>
          </w:tcPr>
          <w:p>
            <w:pPr>
              <w:spacing w:after="0"/>
              <w:rPr>
                <w:sz w:val="1"/>
                <w:szCs w:val="1"/>
                <w:color w:val="auto"/>
              </w:rPr>
            </w:pPr>
          </w:p>
        </w:tc>
      </w:tr>
      <w:tr>
        <w:trPr>
          <w:trHeight w:val="190"/>
        </w:trPr>
        <w:tc>
          <w:tcPr>
            <w:tcW w:w="4920" w:type="dxa"/>
            <w:vAlign w:val="bottom"/>
            <w:tcBorders>
              <w:top w:val="single" w:sz="8" w:color="CCEEFF"/>
            </w:tcBorders>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Comprehensive income</w:t>
            </w: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ind w:left="20"/>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796,696</w:t>
            </w: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601,511</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5831840</wp:posOffset>
            </wp:positionH>
            <wp:positionV relativeFrom="paragraph">
              <wp:posOffset>294005</wp:posOffset>
            </wp:positionV>
            <wp:extent cx="19685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240"/>
        <w:spacing w:after="0"/>
        <w:tabs>
          <w:tab w:leader="none" w:pos="360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342265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580" w:top="1251" w:right="579" w:bottom="1440" w:gutter="0" w:footer="0" w:header="0"/>
        </w:sectPr>
      </w:pPr>
    </w:p>
    <w:bookmarkStart w:id="4" w:name="page5"/>
    <w:bookmarkEnd w:id="4"/>
    <w:tbl>
      <w:tblPr>
        <w:tblLayout w:type="fixed"/>
        <w:tblInd w:w="200" w:type="dxa"/>
        <w:tblCellMar>
          <w:top w:w="0" w:type="dxa"/>
          <w:left w:w="0" w:type="dxa"/>
          <w:bottom w:w="0" w:type="dxa"/>
          <w:right w:w="0" w:type="dxa"/>
        </w:tblCellMar>
      </w:tblPr>
      <w:tr>
        <w:trPr>
          <w:trHeight w:val="229"/>
        </w:trPr>
        <w:tc>
          <w:tcPr>
            <w:tcW w:w="6720" w:type="dxa"/>
            <w:vAlign w:val="bottom"/>
          </w:tcPr>
          <w:p>
            <w:pPr>
              <w:jc w:val="center"/>
              <w:ind w:left="4110"/>
              <w:spacing w:after="0"/>
              <w:rPr>
                <w:sz w:val="20"/>
                <w:szCs w:val="20"/>
                <w:color w:val="auto"/>
              </w:rPr>
            </w:pPr>
            <w:r>
              <w:rPr>
                <w:rFonts w:ascii="Times New Roman" w:cs="Times New Roman" w:eastAsia="Times New Roman" w:hAnsi="Times New Roman"/>
                <w:sz w:val="18"/>
                <w:szCs w:val="18"/>
                <w:b w:val="1"/>
                <w:bCs w:val="1"/>
                <w:color w:val="auto"/>
                <w:w w:val="99"/>
              </w:rPr>
              <w:t>THE HERSHEY COMPANY</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100" w:type="dxa"/>
            <w:vAlign w:val="bottom"/>
            <w:gridSpan w:val="2"/>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20" w:type="dxa"/>
            <w:vAlign w:val="bottom"/>
          </w:tcPr>
          <w:p>
            <w:pPr>
              <w:jc w:val="center"/>
              <w:ind w:left="411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3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Pr>
          <w:p>
            <w:pPr>
              <w:spacing w:after="0"/>
              <w:rPr>
                <w:sz w:val="23"/>
                <w:szCs w:val="23"/>
                <w:color w:val="auto"/>
              </w:rPr>
            </w:pP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401,902</w:t>
            </w:r>
          </w:p>
        </w:tc>
        <w:tc>
          <w:tcPr>
            <w:tcW w:w="0" w:type="dxa"/>
            <w:vAlign w:val="bottom"/>
          </w:tcPr>
          <w:p>
            <w:pPr>
              <w:spacing w:after="0"/>
              <w:rPr>
                <w:sz w:val="1"/>
                <w:szCs w:val="1"/>
                <w:color w:val="auto"/>
              </w:rPr>
            </w:pPr>
          </w:p>
        </w:tc>
      </w:tr>
      <w:tr>
        <w:trPr>
          <w:trHeight w:val="229"/>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receivable—trade, net</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1,205,724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823,617</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1,340,996</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523,392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345,588</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3,387,377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2,912,103</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3,333,096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3,309,678</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2,693,921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2,696,050</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intangibles</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1,859,052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1,879,229</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1,061,427</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44,454</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12,389,754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11,902,941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946,000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1,086,183</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867,815</w:t>
            </w: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income taxes</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debt</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1,289,648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719,839</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305,058</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3,489,030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3,008,352</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3,790,013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3,789,132</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660,673</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338,776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345,698</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8,281,467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7,803,855</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Hershey Company stockholders’ equity</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Preferred stock, shares issued: none in 2024 and 2023</w:t>
            </w:r>
          </w:p>
        </w:tc>
        <w:tc>
          <w:tcPr>
            <w:tcW w:w="3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shares issued: 166,939,511 at March 31, 2024 and December 31, 2023</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166,939</w:t>
            </w:r>
          </w:p>
        </w:tc>
        <w:tc>
          <w:tcPr>
            <w:tcW w:w="0" w:type="dxa"/>
            <w:vAlign w:val="bottom"/>
          </w:tcPr>
          <w:p>
            <w:pPr>
              <w:spacing w:after="0"/>
              <w:rPr>
                <w:sz w:val="1"/>
                <w:szCs w:val="1"/>
                <w:color w:val="auto"/>
              </w:rPr>
            </w:pPr>
          </w:p>
        </w:tc>
      </w:tr>
      <w:tr>
        <w:trPr>
          <w:trHeight w:val="175"/>
        </w:trPr>
        <w:tc>
          <w:tcPr>
            <w:tcW w:w="67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common stock, shares issued: 54,613,514 at March 31, 2024 and December 31,</w:t>
            </w:r>
          </w:p>
        </w:tc>
        <w:tc>
          <w:tcPr>
            <w:tcW w:w="3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54,614</w:t>
            </w: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1,315,813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1,345,580</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5,087,126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4,562,263</w:t>
            </w:r>
          </w:p>
        </w:tc>
        <w:tc>
          <w:tcPr>
            <w:tcW w:w="0" w:type="dxa"/>
            <w:vAlign w:val="bottom"/>
          </w:tcPr>
          <w:p>
            <w:pPr>
              <w:spacing w:after="0"/>
              <w:rPr>
                <w:sz w:val="1"/>
                <w:szCs w:val="1"/>
                <w:color w:val="auto"/>
              </w:rPr>
            </w:pPr>
          </w:p>
        </w:tc>
      </w:tr>
      <w:tr>
        <w:trPr>
          <w:trHeight w:val="175"/>
        </w:trPr>
        <w:tc>
          <w:tcPr>
            <w:tcW w:w="67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Treasury—common stock shares, at cost: 19,332,210 at March 31, 2024 and 17,160,099</w:t>
            </w:r>
          </w:p>
        </w:tc>
        <w:tc>
          <w:tcPr>
            <w:tcW w:w="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 December 31, 2023</w:t>
            </w:r>
          </w:p>
        </w:tc>
        <w:tc>
          <w:tcPr>
            <w:tcW w:w="3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(2,285,370)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(1,800,232)</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(230,078)</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4,108,287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4,099,086</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12,389,754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11,902,941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294005</wp:posOffset>
            </wp:positionV>
            <wp:extent cx="1968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38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1" w:right="359" w:bottom="1440" w:gutter="0" w:footer="0" w:header="0"/>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1"/>
        </w:trPr>
        <w:tc>
          <w:tcPr>
            <w:tcW w:w="7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April 2, 2023</w:t>
            </w:r>
          </w:p>
        </w:tc>
        <w:tc>
          <w:tcPr>
            <w:tcW w:w="0" w:type="dxa"/>
            <w:vAlign w:val="bottom"/>
          </w:tcPr>
          <w:p>
            <w:pPr>
              <w:spacing w:after="0"/>
              <w:rPr>
                <w:sz w:val="1"/>
                <w:szCs w:val="1"/>
                <w:color w:val="auto"/>
              </w:rPr>
            </w:pPr>
          </w:p>
        </w:tc>
      </w:tr>
      <w:tr>
        <w:trPr>
          <w:trHeight w:val="198"/>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797,453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587,185</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98,199</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18,992</w:t>
            </w:r>
          </w:p>
        </w:tc>
        <w:tc>
          <w:tcPr>
            <w:tcW w:w="0" w:type="dxa"/>
            <w:vAlign w:val="bottom"/>
          </w:tcPr>
          <w:p>
            <w:pPr>
              <w:spacing w:after="0"/>
              <w:rPr>
                <w:sz w:val="1"/>
                <w:szCs w:val="1"/>
                <w:color w:val="auto"/>
              </w:rPr>
            </w:pPr>
          </w:p>
        </w:tc>
      </w:tr>
      <w:tr>
        <w:trPr>
          <w:trHeight w:val="213"/>
        </w:trPr>
        <w:tc>
          <w:tcPr>
            <w:tcW w:w="792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(11,250)</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Write-down of equity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2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Unrealized gains on derivative contracts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22,347</w:t>
            </w:r>
          </w:p>
        </w:tc>
        <w:tc>
          <w:tcPr>
            <w:tcW w:w="0" w:type="dxa"/>
            <w:vAlign w:val="bottom"/>
          </w:tcPr>
          <w:p>
            <w:pPr>
              <w:spacing w:after="0"/>
              <w:rPr>
                <w:sz w:val="1"/>
                <w:szCs w:val="1"/>
                <w:color w:val="auto"/>
              </w:rPr>
            </w:pPr>
          </w:p>
        </w:tc>
      </w:tr>
      <w:tr>
        <w:trPr>
          <w:trHeight w:val="213"/>
        </w:trPr>
        <w:tc>
          <w:tcPr>
            <w:tcW w:w="792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Changes in assets and liabilities, net of business acquisition:</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Accounts receivable—trade,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(140,962)</w:t>
            </w:r>
          </w:p>
        </w:tc>
        <w:tc>
          <w:tcPr>
            <w:tcW w:w="0" w:type="dxa"/>
            <w:vAlign w:val="bottom"/>
          </w:tcPr>
          <w:p>
            <w:pPr>
              <w:spacing w:after="0"/>
              <w:rPr>
                <w:sz w:val="1"/>
                <w:szCs w:val="1"/>
                <w:color w:val="auto"/>
              </w:rPr>
            </w:pPr>
          </w:p>
        </w:tc>
      </w:tr>
      <w:tr>
        <w:trPr>
          <w:trHeight w:val="213"/>
        </w:trPr>
        <w:tc>
          <w:tcPr>
            <w:tcW w:w="792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3"/>
        </w:trPr>
        <w:tc>
          <w:tcPr>
            <w:tcW w:w="792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16,054</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Accrued 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174,201</w:t>
            </w:r>
          </w:p>
        </w:tc>
        <w:tc>
          <w:tcPr>
            <w:tcW w:w="0" w:type="dxa"/>
            <w:vAlign w:val="bottom"/>
          </w:tcPr>
          <w:p>
            <w:pPr>
              <w:spacing w:after="0"/>
              <w:rPr>
                <w:sz w:val="1"/>
                <w:szCs w:val="1"/>
                <w:color w:val="auto"/>
              </w:rPr>
            </w:pPr>
          </w:p>
        </w:tc>
      </w:tr>
      <w:tr>
        <w:trPr>
          <w:trHeight w:val="213"/>
        </w:trPr>
        <w:tc>
          <w:tcPr>
            <w:tcW w:w="792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Contributions to pension and other benefit plans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(6,532)</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0" w:type="dxa"/>
            <w:vAlign w:val="bottom"/>
          </w:tcPr>
          <w:p>
            <w:pPr>
              <w:spacing w:after="0"/>
              <w:rPr>
                <w:sz w:val="1"/>
                <w:szCs w:val="1"/>
                <w:color w:val="auto"/>
              </w:rPr>
            </w:pPr>
          </w:p>
        </w:tc>
      </w:tr>
      <w:tr>
        <w:trPr>
          <w:trHeight w:val="207"/>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569,134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755,397</w:t>
            </w:r>
          </w:p>
        </w:tc>
        <w:tc>
          <w:tcPr>
            <w:tcW w:w="0" w:type="dxa"/>
            <w:vAlign w:val="bottom"/>
          </w:tcPr>
          <w:p>
            <w:pPr>
              <w:spacing w:after="0"/>
              <w:rPr>
                <w:sz w:val="1"/>
                <w:szCs w:val="1"/>
                <w:color w:val="auto"/>
              </w:rPr>
            </w:pPr>
          </w:p>
        </w:tc>
      </w:tr>
      <w:tr>
        <w:trPr>
          <w:trHeight w:val="199"/>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Capital additions (including software)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(176,093)</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Equity investments in tax credit qualifying partnerships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(12,309)</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(227,569)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(188,317)</w:t>
            </w:r>
          </w:p>
        </w:tc>
        <w:tc>
          <w:tcPr>
            <w:tcW w:w="0" w:type="dxa"/>
            <w:vAlign w:val="bottom"/>
          </w:tcPr>
          <w:p>
            <w:pPr>
              <w:spacing w:after="0"/>
              <w:rPr>
                <w:sz w:val="1"/>
                <w:szCs w:val="1"/>
                <w:color w:val="auto"/>
              </w:rPr>
            </w:pPr>
          </w:p>
        </w:tc>
      </w:tr>
      <w:tr>
        <w:trPr>
          <w:trHeight w:val="194"/>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increase (decrease) in short-term debt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569,809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(90,700)</w:t>
            </w:r>
          </w:p>
        </w:tc>
        <w:tc>
          <w:tcPr>
            <w:tcW w:w="0" w:type="dxa"/>
            <w:vAlign w:val="bottom"/>
          </w:tcPr>
          <w:p>
            <w:pPr>
              <w:spacing w:after="0"/>
              <w:rPr>
                <w:sz w:val="1"/>
                <w:szCs w:val="1"/>
                <w:color w:val="auto"/>
              </w:rPr>
            </w:pPr>
          </w:p>
        </w:tc>
      </w:tr>
      <w:tr>
        <w:trPr>
          <w:trHeight w:val="213"/>
        </w:trPr>
        <w:tc>
          <w:tcPr>
            <w:tcW w:w="79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Repayment of long-term debt and finance leases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Cash dividends paid</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(207,356)</w:t>
            </w:r>
          </w:p>
        </w:tc>
        <w:tc>
          <w:tcPr>
            <w:tcW w:w="0" w:type="dxa"/>
            <w:vAlign w:val="bottom"/>
          </w:tcPr>
          <w:p>
            <w:pPr>
              <w:spacing w:after="0"/>
              <w:rPr>
                <w:sz w:val="1"/>
                <w:szCs w:val="1"/>
                <w:color w:val="auto"/>
              </w:rPr>
            </w:pPr>
          </w:p>
        </w:tc>
      </w:tr>
      <w:tr>
        <w:trPr>
          <w:trHeight w:val="213"/>
        </w:trPr>
        <w:tc>
          <w:tcPr>
            <w:tcW w:w="79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(494,191)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(239,910)</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Proceeds from exercised stock options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15,194</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Taxes withheld and paid on employee stock awards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(28,289)</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(221,655)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(552,248)</w:t>
            </w:r>
          </w:p>
        </w:tc>
        <w:tc>
          <w:tcPr>
            <w:tcW w:w="0" w:type="dxa"/>
            <w:vAlign w:val="bottom"/>
          </w:tcPr>
          <w:p>
            <w:pPr>
              <w:spacing w:after="0"/>
              <w:rPr>
                <w:sz w:val="1"/>
                <w:szCs w:val="1"/>
                <w:color w:val="auto"/>
              </w:rPr>
            </w:pPr>
          </w:p>
        </w:tc>
      </w:tr>
      <w:tr>
        <w:trPr>
          <w:trHeight w:val="207"/>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(18,375)</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(3,543)</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401,902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463,889</w:t>
            </w:r>
          </w:p>
        </w:tc>
        <w:tc>
          <w:tcPr>
            <w:tcW w:w="0" w:type="dxa"/>
            <w:vAlign w:val="bottom"/>
          </w:tcPr>
          <w:p>
            <w:pPr>
              <w:spacing w:after="0"/>
              <w:rPr>
                <w:sz w:val="1"/>
                <w:szCs w:val="1"/>
                <w:color w:val="auto"/>
              </w:rPr>
            </w:pPr>
          </w:p>
        </w:tc>
      </w:tr>
      <w:tr>
        <w:trPr>
          <w:trHeight w:val="237"/>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460,346</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32,987</w:t>
            </w:r>
          </w:p>
        </w:tc>
        <w:tc>
          <w:tcPr>
            <w:tcW w:w="0" w:type="dxa"/>
            <w:vAlign w:val="bottom"/>
          </w:tcPr>
          <w:p>
            <w:pPr>
              <w:spacing w:after="0"/>
              <w:rPr>
                <w:sz w:val="1"/>
                <w:szCs w:val="1"/>
                <w:color w:val="auto"/>
              </w:rPr>
            </w:pP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Income taxes paid</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12,279</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294005</wp:posOffset>
            </wp:positionV>
            <wp:extent cx="19685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38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1"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jc w:val="center"/>
        <w:ind w:right="-119"/>
        <w:spacing w:after="0" w:line="203" w:lineRule="auto"/>
        <w:rPr>
          <w:sz w:val="20"/>
          <w:szCs w:val="20"/>
          <w:color w:val="auto"/>
        </w:rPr>
      </w:pPr>
      <w:r>
        <w:rPr>
          <w:rFonts w:ascii="Times New Roman" w:cs="Times New Roman" w:eastAsia="Times New Roman" w:hAnsi="Times New Roman"/>
          <w:sz w:val="18"/>
          <w:szCs w:val="18"/>
          <w:b w:val="1"/>
          <w:bCs w:val="1"/>
          <w:color w:val="auto"/>
        </w:rPr>
        <w:t>For the Three Months Ended March 31, 2024 and April 2, 2023</w:t>
      </w:r>
    </w:p>
    <w:p>
      <w:pPr>
        <w:ind w:left="5140"/>
        <w:spacing w:after="0" w:line="204" w:lineRule="auto"/>
        <w:rPr>
          <w:sz w:val="20"/>
          <w:szCs w:val="20"/>
          <w:color w:val="auto"/>
        </w:rPr>
      </w:pPr>
      <w:r>
        <w:rPr>
          <w:rFonts w:ascii="Times New Roman" w:cs="Times New Roman" w:eastAsia="Times New Roman" w:hAnsi="Times New Roman"/>
          <w:sz w:val="18"/>
          <w:szCs w:val="18"/>
          <w:b w:val="1"/>
          <w:bCs w:val="1"/>
          <w:color w:val="auto"/>
        </w:rPr>
        <w:t>(in thousands)</w:t>
      </w: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35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1,345,580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4,562,263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(1,800,232)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(230,078)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4,099,086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797,453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797,453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(757)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(757)</w:t>
            </w:r>
          </w:p>
        </w:tc>
        <w:tc>
          <w:tcPr>
            <w:tcW w:w="0" w:type="dxa"/>
            <w:vAlign w:val="bottom"/>
          </w:tcPr>
          <w:p>
            <w:pPr>
              <w:spacing w:after="0"/>
              <w:rPr>
                <w:sz w:val="1"/>
                <w:szCs w:val="1"/>
                <w:color w:val="auto"/>
              </w:rPr>
            </w:pPr>
          </w:p>
        </w:tc>
      </w:tr>
      <w:tr>
        <w:trPr>
          <w:trHeight w:val="19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$1.370 per share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(204,596)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(204,596)</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B Common Stock, $1.245 per share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(67,994)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(67,994)</w:t>
            </w:r>
          </w:p>
        </w:tc>
        <w:tc>
          <w:tcPr>
            <w:tcW w:w="0" w:type="dxa"/>
            <w:vAlign w:val="bottom"/>
          </w:tcPr>
          <w:p>
            <w:pPr>
              <w:spacing w:after="0"/>
              <w:rPr>
                <w:sz w:val="1"/>
                <w:szCs w:val="1"/>
                <w:color w:val="auto"/>
              </w:rPr>
            </w:pPr>
          </w:p>
        </w:tc>
      </w:tr>
      <w:tr>
        <w:trPr>
          <w:trHeight w:val="21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(36,157)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(22,301)</w:t>
            </w:r>
          </w:p>
        </w:tc>
        <w:tc>
          <w:tcPr>
            <w:tcW w:w="0" w:type="dxa"/>
            <w:vAlign w:val="bottom"/>
          </w:tcPr>
          <w:p>
            <w:pPr>
              <w:spacing w:after="0"/>
              <w:rPr>
                <w:sz w:val="1"/>
                <w:szCs w:val="1"/>
                <w:color w:val="auto"/>
              </w:rPr>
            </w:pPr>
          </w:p>
        </w:tc>
      </w:tr>
      <w:tr>
        <w:trPr>
          <w:trHeight w:val="21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 (including excise tax)</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(498,994)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(498,994)</w:t>
            </w:r>
          </w:p>
        </w:tc>
        <w:tc>
          <w:tcPr>
            <w:tcW w:w="0" w:type="dxa"/>
            <w:vAlign w:val="bottom"/>
          </w:tcPr>
          <w:p>
            <w:pPr>
              <w:spacing w:after="0"/>
              <w:rPr>
                <w:sz w:val="1"/>
                <w:szCs w:val="1"/>
                <w:color w:val="auto"/>
              </w:rPr>
            </w:pPr>
          </w:p>
        </w:tc>
      </w:tr>
      <w:tr>
        <w:trPr>
          <w:trHeight w:val="19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1,315,813</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5,087,126</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(2,285,370)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(230,835)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4,108,287</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2"/>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1040" w:type="dxa"/>
            <w:vAlign w:val="bottom"/>
            <w:gridSpan w:val="4"/>
          </w:tcPr>
          <w:p>
            <w:pPr>
              <w:jc w:val="right"/>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163,439</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58,114</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1,296,572</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3,589,781</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(1,556,029)</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(252,333)</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3,299,544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587,185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587,185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Stock, $1.036 per share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(152,603)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Class B Common Stock, $0.942 per share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(53,801)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35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Conversion of Class B Common Stock into Common</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(30,108)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Repurchase of common stock (including excise tax)</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(242,139)</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(242,139)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April 2, 2023</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164,439</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57,114</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1,285,412</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3,970,562</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(1,781,155)</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(238,007)</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3,458,365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594360</wp:posOffset>
            </wp:positionV>
            <wp:extent cx="19685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50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Other investments that are not controlled, and over which we do not have the ability to exercise significant influence, are accounted for under the cost method. Both equity and cost method investments are included as Other non-current assets in the Consolidated Balance Sheets.</w:t>
      </w:r>
    </w:p>
    <w:p>
      <w:pPr>
        <w:spacing w:after="0" w:line="13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(consisting of normal recurring adjustments) which are, in our opinion, necessary for a fair presentation of the results of operations, financial position, and cash flows for the indicated periods.</w:t>
      </w:r>
    </w:p>
    <w:p>
      <w:pPr>
        <w:spacing w:after="0" w:line="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Operating results for the quarter ended March 31, 2024 may not be indicative of the results that may be expected for the year ending December 31, 2024 because of seasonal effects on our business. These financial statements should be read in conjunction with our Annual Report on Form 10-K for the year ended December 31, 2023 (our “2023 Annual Report on Form 10-K”), which provides a more complete understanding of our accounting policies, financial position, operating results and other matters.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2022, the Financial Accounting Standards Board (“FASB”) issued Accounting Standards Update (“ASU”) No. 2022-04, </w:t>
      </w:r>
      <w:r>
        <w:rPr>
          <w:rFonts w:ascii="Times New Roman" w:cs="Times New Roman" w:eastAsia="Times New Roman" w:hAnsi="Times New Roman"/>
          <w:sz w:val="18"/>
          <w:szCs w:val="18"/>
          <w:i w:val="1"/>
          <w:iCs w:val="1"/>
          <w:color w:val="auto"/>
        </w:rPr>
        <w:t>Liabilities—Supplier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Finance Programs (Subtopic 405-50): Disclosure of Supplier Finance Program Obligations</w:t>
      </w:r>
      <w:r>
        <w:rPr>
          <w:rFonts w:ascii="Times New Roman" w:cs="Times New Roman" w:eastAsia="Times New Roman" w:hAnsi="Times New Roman"/>
          <w:sz w:val="18"/>
          <w:szCs w:val="18"/>
          <w:color w:val="auto"/>
        </w:rPr>
        <w:t>. This ASU requires a buyer in a supplier finance program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disclose qualitative and quantitative information about the program including the program’s nature, activity during the period, changes from period to period and potential magnitude. ASU 2022-04 is effective for annual periods beginning after December 15, 2022 and interim periods within those annual periods. A rollforward of obligations during the annual period, including the amount of obligations confirmed and obligations subsequently paid, is effective for annual periods beginning after December 15, 2023 with early adoption permitted. This ASU should be applied retrospectively to each period in which a balance sheet is presented, except for the amendment on rollforward information, which should be applied prospectively. We early adopted provisions of this ASU in the fourth quarter of 2022, with the exception of the amendment on rollforward information, which we adopted in the fourth quarter of 2023. Adoption of the new standard did not have a material impact on our consolidated financial statements.</w:t>
      </w:r>
    </w:p>
    <w:p>
      <w:pPr>
        <w:spacing w:after="0" w:line="13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This ASU requires an acquirer to recognize and measure contract assets and contract liabilities acquired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combination in accordance with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rather than adjust them to fair value at the acquisition date. ASU 2021-08 is effective for annual periods beginning after December 15, 2022 and interim periods within those annual periods. This ASU should be applied prospectively to business combinations occurring on or after the date of adoption. As a result, we adopted the provisions of this ASU in the first quarter of 2023. This new standard was not applicable to the May 2023 acquisition of Weaver Popcorn Manufacturing, Inc. (“Weaver”) due to no contract assets or liabilities (as discussed in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however, will be applied in relevant future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523240</wp:posOffset>
            </wp:positionV>
            <wp:extent cx="19685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This ASU requires disclosure of significant segment expenses that are regularly provided to the chief operating decision maker (“CODM”), an amount for other segment items with a description of the composition, and disclosure of the title and position of the CODM. ASU 2023-07 is effective for annual periods beginning after December 15, 2023 and interim periods within fiscal years beginning after December 15, 2024. Early adoption is permitted and the update should be applied retrospectively to each period presented in the financial statements. We are currently evaluating the impact of the new standard on our consolidated financial statements and related disclosures. As a result, we intend to adopt the provisions of this ASU in the fourth quarter of 2024.</w:t>
      </w:r>
    </w:p>
    <w:p>
      <w:pPr>
        <w:spacing w:after="0" w:line="12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requires public business entities on an annual basis to disclose specific categories in a tabular rate reconciliation and provide additional information for reconciling items that meet a five percent quantitative threshold. Additionally, the ASU requires all entities to disclose the amount of income taxes paid disaggregated by federal, state, and foreign taxes, as well as individual jurisdictions where income taxes paid are equal to or greater than five percent of total income taxes paid. ASU 2023-09 is effective for annual periods beginning after December 15, 2024. Early adoption is permitted and the update should be applied on a prospective basis, with a retrospective application permitted in the financial statements. We are currently evaluating the impact of the new standard on our consolidated financial statements and related disclosures. As a result, we intend to adopt the provisions of this ASU in the fourth quarter of 2025.</w:t>
      </w:r>
    </w:p>
    <w:p>
      <w:pPr>
        <w:spacing w:after="0" w:line="13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impact on our consolidated financial statements or disclosures.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BUSINESS ACQUISITIONS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Manufacturing Capacity</w:t>
      </w:r>
    </w:p>
    <w:p>
      <w:pPr>
        <w:spacing w:after="0" w:line="158"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8"/>
          <w:szCs w:val="18"/>
          <w:color w:val="auto"/>
        </w:rPr>
        <w:t xml:space="preserve">On May 31, 2023, we completed the acquisition of certain assets that provide additional manufacturing capacity from Weaver, a leader in the production and co-packing of microwave popcorn and ready-to-eat popcorn, and former co-manufacturer of the Company’s </w:t>
      </w:r>
      <w:r>
        <w:rPr>
          <w:rFonts w:ascii="Times New Roman" w:cs="Times New Roman" w:eastAsia="Times New Roman" w:hAnsi="Times New Roman"/>
          <w:sz w:val="18"/>
          <w:szCs w:val="18"/>
          <w:i w:val="1"/>
          <w:iCs w:val="1"/>
          <w:color w:val="auto"/>
        </w:rPr>
        <w:t>SkinnyPop</w:t>
      </w:r>
      <w:r>
        <w:rPr>
          <w:rFonts w:ascii="Times New Roman" w:cs="Times New Roman" w:eastAsia="Times New Roman" w:hAnsi="Times New Roman"/>
          <w:sz w:val="18"/>
          <w:szCs w:val="18"/>
          <w:color w:val="auto"/>
        </w:rPr>
        <w:t xml:space="preserve"> brand. The initial cash consideration paid for Weaver totaled $165,818 and consisted of cash on hand and short-term borrowings. Acquisition-related costs for the Weaver acquisition were immaterial.</w:t>
      </w:r>
    </w:p>
    <w:p>
      <w:pPr>
        <w:spacing w:after="0" w:line="131" w:lineRule="exact"/>
        <w:rPr>
          <w:sz w:val="20"/>
          <w:szCs w:val="20"/>
          <w:color w:val="auto"/>
        </w:rPr>
      </w:pPr>
    </w:p>
    <w:p>
      <w:pPr>
        <w:jc w:val="both"/>
        <w:ind w:right="400"/>
        <w:spacing w:after="0" w:line="245"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and, accordingly, Weaver has been included within the North America Salty Snacks segment from the date of acquisition. The purchase consideration was allocated to assets acquired and liabilities assumed based on their respective fair values and consisted of $85,231 to goodwill, $79,136 to property, plant and equipment, net and $1,451 to other net assets acquired. The purchase price allocation has been finalized as of the fourth quarter of 2023 and did not include measurement period adjustments.</w:t>
      </w:r>
    </w:p>
    <w:p>
      <w:pPr>
        <w:spacing w:after="0" w:line="12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Goodwill was determined as the excess of the purchase price over the fair value of the net assets acquired. The goodwill derived from this acquisition is deductible for tax purposes and reflects the value of leveraging our supply chain capabilities to accelerate growth and access to our portfolio of salty snacks products.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AND INTANGIBLE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value of goodwill by reportable segment for the three months ended March 31, 2024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 Salty</w:t>
            </w:r>
          </w:p>
        </w:tc>
        <w:tc>
          <w:tcPr>
            <w:tcW w:w="240" w:type="dxa"/>
            <w:vAlign w:val="bottom"/>
          </w:tcPr>
          <w:p>
            <w:pPr>
              <w:spacing w:after="0"/>
              <w:rPr>
                <w:sz w:val="18"/>
                <w:szCs w:val="18"/>
                <w:color w:val="auto"/>
              </w:rPr>
            </w:pPr>
          </w:p>
        </w:tc>
        <w:tc>
          <w:tcPr>
            <w:tcW w:w="1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400" w:type="dxa"/>
            <w:vAlign w:val="bottom"/>
          </w:tcPr>
          <w:p>
            <w:pPr>
              <w:spacing w:after="0"/>
              <w:rPr>
                <w:sz w:val="18"/>
                <w:szCs w:val="18"/>
                <w:color w:val="auto"/>
              </w:rPr>
            </w:pPr>
          </w:p>
        </w:tc>
        <w:tc>
          <w:tcPr>
            <w:tcW w:w="140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Confectionery</w:t>
            </w:r>
          </w:p>
        </w:tc>
        <w:tc>
          <w:tcPr>
            <w:tcW w:w="360" w:type="dxa"/>
            <w:vAlign w:val="bottom"/>
          </w:tcPr>
          <w:p>
            <w:pPr>
              <w:spacing w:after="0"/>
              <w:rPr>
                <w:sz w:val="21"/>
                <w:szCs w:val="21"/>
                <w:color w:val="auto"/>
              </w:rPr>
            </w:pP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Snacks</w:t>
            </w:r>
          </w:p>
        </w:tc>
        <w:tc>
          <w:tcPr>
            <w:tcW w:w="240" w:type="dxa"/>
            <w:vAlign w:val="bottom"/>
          </w:tcPr>
          <w:p>
            <w:pPr>
              <w:spacing w:after="0"/>
              <w:rPr>
                <w:sz w:val="21"/>
                <w:szCs w:val="21"/>
                <w:color w:val="auto"/>
              </w:rPr>
            </w:pPr>
          </w:p>
        </w:tc>
        <w:tc>
          <w:tcPr>
            <w:tcW w:w="168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2,020,831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657,001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2,696,050</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0" w:type="dxa"/>
            <w:vAlign w:val="bottom"/>
          </w:tcPr>
          <w:p>
            <w:pPr>
              <w:spacing w:after="0"/>
              <w:rPr>
                <w:sz w:val="1"/>
                <w:szCs w:val="1"/>
                <w:color w:val="auto"/>
              </w:rPr>
            </w:pPr>
          </w:p>
        </w:tc>
      </w:tr>
      <w:tr>
        <w:trPr>
          <w:trHeight w:val="248"/>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2,693,921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488950</wp:posOffset>
            </wp:positionV>
            <wp:extent cx="19685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provides the gross carrying amount and accumulated amortization for each major class of intangible asset: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6"/>
        </w:trPr>
        <w:tc>
          <w:tcPr>
            <w:tcW w:w="4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18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Pr>
          <w:p>
            <w:pPr>
              <w:spacing w:after="0"/>
              <w:rPr>
                <w:sz w:val="22"/>
                <w:szCs w:val="22"/>
                <w:color w:val="auto"/>
              </w:rPr>
            </w:pPr>
          </w:p>
        </w:tc>
        <w:tc>
          <w:tcPr>
            <w:tcW w:w="308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69"/>
        </w:trPr>
        <w:tc>
          <w:tcPr>
            <w:tcW w:w="47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r>
      <w:tr>
        <w:trPr>
          <w:trHeight w:val="241"/>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12"/>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1,701,943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1,703,029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(249,947)</w:t>
            </w:r>
          </w:p>
        </w:tc>
      </w:tr>
      <w:tr>
        <w:trPr>
          <w:trHeight w:val="230"/>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Customer-related</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(123,282)</w:t>
            </w:r>
          </w:p>
        </w:tc>
      </w:tr>
      <w:tr>
        <w:trPr>
          <w:trHeight w:val="229"/>
        </w:trPr>
        <w:tc>
          <w:tcPr>
            <w:tcW w:w="4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Patents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(8,233)</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2,223,191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(381,462)</w:t>
            </w:r>
          </w:p>
        </w:tc>
      </w:tr>
      <w:tr>
        <w:trPr>
          <w:trHeight w:val="270"/>
        </w:trPr>
        <w:tc>
          <w:tcPr>
            <w:tcW w:w="4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4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1,859,052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1,879,229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for the three months ended March 31, 2024 and April 2, 2023 was $19,554 and $19,177,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Debt</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source of short-term financing, we utilize cash on hand and commercial paper or bank loans with an original maturity of three months or less. We maintain a $1.35 billion unsecured revolving credit facility with the option to increase borrowings by an additional $500 million with the consent of the lenders. The credit facility is scheduled to expire on April 26, 2028; however, we may extend the termination date for up to two additional one-year periods upon notice to the administrative agent.</w:t>
      </w:r>
    </w:p>
    <w:p>
      <w:pPr>
        <w:spacing w:after="0" w:line="4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credit agreements governing the credit facility contain certain financial and other covenants, customary representations, warranties and events of default. As of March 31, 2024, we were in compliance with all covenants pertaining to the credit facility, and we had no significant compensating balance agreements that legally restricted access to these funds. For more information, refer to the Consolidated Financial Statements included in our 2023 Annual Report on Form 10-K.</w:t>
      </w:r>
    </w:p>
    <w:p>
      <w:pPr>
        <w:spacing w:after="0" w:line="301"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In addition to the revolving credit facility, we maintain lines of credit with domestic and international commercial banks. Commitment fees relating to our revolving credit facility and lines of credit are not material. Short-term debt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80" w:type="dxa"/>
            <w:vAlign w:val="bottom"/>
          </w:tcPr>
          <w:p>
            <w:pPr>
              <w:spacing w:after="0"/>
              <w:rPr>
                <w:sz w:val="18"/>
                <w:szCs w:val="18"/>
                <w:color w:val="auto"/>
              </w:rPr>
            </w:pPr>
          </w:p>
        </w:tc>
        <w:tc>
          <w:tcPr>
            <w:tcW w:w="194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6"/>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foreign bank borrowings against lines of credit</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208,163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192,278</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commercial paper</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1,081,485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527,561</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debt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1,289,648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719,839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 on outstanding commercial paper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588645</wp:posOffset>
            </wp:positionV>
            <wp:extent cx="19685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Debt Type and Rate</w:t>
            </w:r>
          </w:p>
        </w:tc>
        <w:tc>
          <w:tcPr>
            <w:tcW w:w="2480" w:type="dxa"/>
            <w:vAlign w:val="bottom"/>
            <w:gridSpan w:val="4"/>
          </w:tcPr>
          <w:p>
            <w:pPr>
              <w:jc w:val="right"/>
              <w:ind w:right="95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8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2.050%</w:t>
            </w:r>
          </w:p>
        </w:tc>
        <w:tc>
          <w:tcPr>
            <w:tcW w:w="404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15, 2024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0.900%</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8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color w:val="auto"/>
              </w:rPr>
              <w:t>June 1, 2025</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3.200%</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80" w:type="dxa"/>
            <w:vAlign w:val="bottom"/>
            <w:gridSpan w:val="4"/>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August 21, 2025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2.300%</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8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color w:val="auto"/>
              </w:rPr>
              <w:t>August 15, 2026</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7.200%</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2480" w:type="dxa"/>
            <w:vAlign w:val="bottom"/>
            <w:gridSpan w:val="4"/>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August 15, 2027</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4.250%</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8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color w:val="auto"/>
              </w:rPr>
              <w:t>May 4, 2028</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2.450%</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80" w:type="dxa"/>
            <w:vAlign w:val="bottom"/>
            <w:gridSpan w:val="4"/>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November 15, 2029</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1.700%</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8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color w:val="auto"/>
              </w:rPr>
              <w:t>June 1, 2030</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4.500%</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80" w:type="dxa"/>
            <w:vAlign w:val="bottom"/>
            <w:gridSpan w:val="4"/>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May 4, 2033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3.375%</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8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color w:val="auto"/>
              </w:rPr>
              <w:t>August 15, 2046</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3.125%</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80" w:type="dxa"/>
            <w:vAlign w:val="bottom"/>
            <w:gridSpan w:val="4"/>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November 15, 2049</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2.650%</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8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color w:val="auto"/>
              </w:rPr>
              <w:t>June 1, 2050</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4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Finance lease obligations (see </w:t>
            </w:r>
            <w:r>
              <w:rPr>
                <w:rFonts w:ascii="Times New Roman" w:cs="Times New Roman" w:eastAsia="Times New Roman" w:hAnsi="Times New Roman"/>
                <w:sz w:val="18"/>
                <w:szCs w:val="18"/>
                <w:color w:val="0000FF"/>
              </w:rPr>
              <w:t>Note 7</w:t>
            </w:r>
            <w:r>
              <w:rPr>
                <w:rFonts w:ascii="Times New Roman" w:cs="Times New Roman" w:eastAsia="Times New Roman" w:hAnsi="Times New Roman"/>
                <w:sz w:val="18"/>
                <w:szCs w:val="18"/>
                <w:color w:val="auto"/>
              </w:rPr>
              <w:t>)</w:t>
            </w:r>
          </w:p>
        </w:tc>
        <w:tc>
          <w:tcPr>
            <w:tcW w:w="2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76,729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76,385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74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impact of interest rate swaps, debt issuance costs and</w:t>
            </w: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unamortized debt discounts</w:t>
            </w:r>
          </w:p>
        </w:tc>
        <w:tc>
          <w:tcPr>
            <w:tcW w:w="2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(24,930)</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(25,834)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4,095,438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Less—current portion</w:t>
            </w:r>
          </w:p>
        </w:tc>
        <w:tc>
          <w:tcPr>
            <w:tcW w:w="2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305,425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305,058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2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3,790,013</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3,789,132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4740" w:type="dxa"/>
            <w:vAlign w:val="bottom"/>
            <w:gridSpan w:val="5"/>
            <w:vMerge w:val="continue"/>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interest expense consists of the following:</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6"/>
          </w:tcPr>
          <w:p>
            <w:pPr>
              <w:jc w:val="right"/>
              <w:ind w:right="133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April 2,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40" w:type="dxa"/>
            <w:vAlign w:val="bottom"/>
            <w:tcBorders>
              <w:top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140" w:type="dxa"/>
            <w:vAlign w:val="bottom"/>
            <w:tcBorders>
              <w:top w:val="single" w:sz="8" w:color="CCEEFF"/>
            </w:tcBorders>
            <w:gridSpan w:val="2"/>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46,044</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42,506</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14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5. DERIVATIVE INSTRUMENTS</w:t>
      </w:r>
    </w:p>
    <w:p>
      <w:pPr>
        <w:spacing w:after="0" w:line="175" w:lineRule="exact"/>
        <w:rPr>
          <w:sz w:val="20"/>
          <w:szCs w:val="20"/>
          <w:color w:val="auto"/>
        </w:rPr>
      </w:pPr>
    </w:p>
    <w:p>
      <w:pPr>
        <w:ind w:left="20" w:right="60"/>
        <w:spacing w:after="0" w:line="266" w:lineRule="auto"/>
        <w:rPr>
          <w:sz w:val="20"/>
          <w:szCs w:val="20"/>
          <w:color w:val="auto"/>
        </w:rPr>
      </w:pPr>
      <w:r>
        <w:rPr>
          <w:rFonts w:ascii="Times New Roman" w:cs="Times New Roman" w:eastAsia="Times New Roman" w:hAnsi="Times New Roman"/>
          <w:sz w:val="18"/>
          <w:szCs w:val="18"/>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122" w:lineRule="exact"/>
        <w:rPr>
          <w:sz w:val="20"/>
          <w:szCs w:val="20"/>
          <w:color w:val="auto"/>
        </w:rPr>
      </w:pPr>
    </w:p>
    <w:p>
      <w:pPr>
        <w:ind w:left="20" w:right="60"/>
        <w:spacing w:after="0" w:line="261" w:lineRule="auto"/>
        <w:rPr>
          <w:sz w:val="20"/>
          <w:szCs w:val="20"/>
          <w:color w:val="auto"/>
        </w:rPr>
      </w:pPr>
      <w:r>
        <w:rPr>
          <w:rFonts w:ascii="Times New Roman" w:cs="Times New Roman" w:eastAsia="Times New Roman" w:hAnsi="Times New Roman"/>
          <w:sz w:val="18"/>
          <w:szCs w:val="18"/>
          <w:color w:val="auto"/>
        </w:rPr>
        <w:t>In entering into these contracts, we have assumed the risk that might arise from the possible inability of counterparties to meet the terms of their contracts. We mitigate this risk by entering into exchange-traded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6944360</wp:posOffset>
            </wp:positionH>
            <wp:positionV relativeFrom="paragraph">
              <wp:posOffset>571500</wp:posOffset>
            </wp:positionV>
            <wp:extent cx="19685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tabs>
          <w:tab w:leader="none" w:pos="38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00" w:top="117" w:right="35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$206,349 as of March 31, 2024 and $94,917 as of December 31, 2023.</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Derivatives used to manage commodity price risk are not designated for hedge accounting treatment. Therefore, the changes in fair value of these derivatives are recorded as incurred within cost of sales. As discussed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Price Risk</w:t>
      </w:r>
    </w:p>
    <w:p>
      <w:pPr>
        <w:spacing w:after="0" w:line="10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Malaysian ringgit, Mexican peso and Swiss franc.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$50,648 at March 31, 2024 and $80,068 at December 31, 2023.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$10,339 at March 31, 2024 and $13,665 at December 31, 2023. The change in fair value on these instruments is recorded directly in cost of sales or selling, marketing and administrative (“SM&amp;A”) expense, depending on the nature of the underlying exposure.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order to manage interest rate exposure, from time to time, we enter into interest rate swap agreements to protect against unfavorable interest rate changes relating to forecasted debt transactions. These swaps, which are settled upon issuance of the related debt, are designated as cash flow hedges and the gains and losses that are deferred in other comprehensive income are being recognized as an adjustment to interest expense over the same period that the hedged interest payments affect earnings.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March 31, 2024 and December 31, 2023 was $25,004 and $22,867,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265430</wp:posOffset>
            </wp:positionV>
            <wp:extent cx="19685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classification of derivative assets and liabilities within the Consolidated Balance Sheets as of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60" w:type="dxa"/>
            <w:vAlign w:val="bottom"/>
          </w:tcPr>
          <w:p>
            <w:pPr>
              <w:spacing w:after="0"/>
              <w:rPr>
                <w:sz w:val="20"/>
                <w:szCs w:val="20"/>
                <w:color w:val="auto"/>
              </w:rPr>
            </w:pPr>
          </w:p>
        </w:tc>
        <w:tc>
          <w:tcPr>
            <w:tcW w:w="300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4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Assets (1)</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Liabilities (1)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Assets (1)</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Liabilities (1)</w:t>
            </w:r>
          </w:p>
        </w:tc>
      </w:tr>
      <w:tr>
        <w:trPr>
          <w:trHeight w:val="20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hedging instruments: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70"/>
        </w:trPr>
        <w:tc>
          <w:tcPr>
            <w:tcW w:w="4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 futures and options (2)</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500" w:right="20" w:hanging="330"/>
        <w:spacing w:after="0" w:line="281" w:lineRule="auto"/>
        <w:tabs>
          <w:tab w:leader="none" w:pos="4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assets are classified on our Consolidated Balance Sheets within prepaid expenses and other as well as other non-current assets. Derivative liabilities are classified on our Consolidated Balance Sheets within accrued liabilities and other long-term liabilities.</w:t>
      </w:r>
    </w:p>
    <w:p>
      <w:pPr>
        <w:spacing w:after="0" w:line="1" w:lineRule="exact"/>
        <w:rPr>
          <w:rFonts w:ascii="Times New Roman" w:cs="Times New Roman" w:eastAsia="Times New Roman" w:hAnsi="Times New Roman"/>
          <w:sz w:val="18"/>
          <w:szCs w:val="18"/>
          <w:color w:val="auto"/>
        </w:rPr>
      </w:pPr>
    </w:p>
    <w:p>
      <w:pPr>
        <w:ind w:left="500" w:right="20" w:hanging="330"/>
        <w:spacing w:after="0" w:line="258" w:lineRule="auto"/>
        <w:tabs>
          <w:tab w:leader="none" w:pos="4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2024, amounts reflected on a net basis in liabilities were assets of $54,461 and liabilities of $52,990, which are associated with cash transfers receivable or payable on commodities futures contracts reflecting the change in quoted market prices on the last trading day for the period. The comparable amounts reflected on a net basis in liabilities at December 31, 2023 were assets of $29,881 and liabilities of $30,493. At March 31, 2024 and December 31, 2023, the remaining amount reflected in assets and liabilities related to the fair value of other non-exchange traded derivative instruments, respectively.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Statement Impact of Derivative Instruments</w:t>
      </w:r>
    </w:p>
    <w:p>
      <w:pPr>
        <w:spacing w:after="0" w:line="121"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The effect of derivative instruments on the Consolidated Statements of Income for the three months ended March 31, 2024 and April 2, 2023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Non-designated Hedges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480" w:type="dxa"/>
            <w:vAlign w:val="bottom"/>
          </w:tcPr>
          <w:p>
            <w:pPr>
              <w:spacing w:after="0"/>
              <w:rPr>
                <w:sz w:val="13"/>
                <w:szCs w:val="13"/>
                <w:color w:val="auto"/>
              </w:rPr>
            </w:pPr>
          </w:p>
        </w:tc>
        <w:tc>
          <w:tcPr>
            <w:tcW w:w="2600" w:type="dxa"/>
            <w:vAlign w:val="bottom"/>
            <w:gridSpan w:val="7"/>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Gains (losses) recognized in income</w:t>
            </w:r>
          </w:p>
        </w:tc>
        <w:tc>
          <w:tcPr>
            <w:tcW w:w="260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Gains (losses) recognized in other</w:t>
            </w:r>
          </w:p>
        </w:tc>
        <w:tc>
          <w:tcPr>
            <w:tcW w:w="100" w:type="dxa"/>
            <w:vAlign w:val="bottom"/>
          </w:tcPr>
          <w:p>
            <w:pPr>
              <w:spacing w:after="0"/>
              <w:rPr>
                <w:sz w:val="13"/>
                <w:szCs w:val="13"/>
                <w:color w:val="auto"/>
              </w:rPr>
            </w:pPr>
          </w:p>
        </w:tc>
        <w:tc>
          <w:tcPr>
            <w:tcW w:w="2400" w:type="dxa"/>
            <w:vAlign w:val="bottom"/>
            <w:gridSpan w:val="4"/>
          </w:tcPr>
          <w:p>
            <w:pPr>
              <w:jc w:val="center"/>
              <w:ind w:right="12"/>
              <w:spacing w:after="0" w:line="158" w:lineRule="exact"/>
              <w:rPr>
                <w:sz w:val="20"/>
                <w:szCs w:val="20"/>
                <w:color w:val="auto"/>
              </w:rPr>
            </w:pPr>
            <w:r>
              <w:rPr>
                <w:rFonts w:ascii="Times New Roman" w:cs="Times New Roman" w:eastAsia="Times New Roman" w:hAnsi="Times New Roman"/>
                <w:sz w:val="16"/>
                <w:szCs w:val="16"/>
                <w:b w:val="1"/>
                <w:bCs w:val="1"/>
                <w:color w:val="auto"/>
              </w:rPr>
              <w:t>Gains (losses) reclassified from</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2600" w:type="dxa"/>
            <w:vAlign w:val="bottom"/>
            <w:gridSpan w:val="7"/>
            <w:vMerge w:val="continue"/>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center"/>
              <w:ind w:right="12"/>
              <w:spacing w:after="0" w:line="162" w:lineRule="exact"/>
              <w:rPr>
                <w:sz w:val="20"/>
                <w:szCs w:val="20"/>
                <w:color w:val="auto"/>
              </w:rPr>
            </w:pPr>
            <w:r>
              <w:rPr>
                <w:rFonts w:ascii="Times New Roman" w:cs="Times New Roman" w:eastAsia="Times New Roman" w:hAnsi="Times New Roman"/>
                <w:sz w:val="16"/>
                <w:szCs w:val="16"/>
                <w:b w:val="1"/>
                <w:bCs w:val="1"/>
                <w:color w:val="auto"/>
              </w:rPr>
              <w:t>accumulated OCI (“AOCI”) into</w:t>
            </w:r>
          </w:p>
        </w:tc>
        <w:tc>
          <w:tcPr>
            <w:tcW w:w="0" w:type="dxa"/>
            <w:vAlign w:val="bottom"/>
          </w:tcPr>
          <w:p>
            <w:pPr>
              <w:spacing w:after="0"/>
              <w:rPr>
                <w:sz w:val="1"/>
                <w:szCs w:val="1"/>
                <w:color w:val="auto"/>
              </w:rPr>
            </w:pPr>
          </w:p>
        </w:tc>
      </w:tr>
      <w:tr>
        <w:trPr>
          <w:trHeight w:val="214"/>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 income (“OCI”)</w:t>
            </w:r>
          </w:p>
        </w:tc>
        <w:tc>
          <w:tcPr>
            <w:tcW w:w="100" w:type="dxa"/>
            <w:vAlign w:val="bottom"/>
          </w:tcPr>
          <w:p>
            <w:pPr>
              <w:spacing w:after="0"/>
              <w:rPr>
                <w:sz w:val="18"/>
                <w:szCs w:val="18"/>
                <w:color w:val="auto"/>
              </w:rPr>
            </w:pPr>
          </w:p>
        </w:tc>
        <w:tc>
          <w:tcPr>
            <w:tcW w:w="158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rPr>
              <w:t>income (b)</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 futures and options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197,764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199,768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340" w:right="20" w:hanging="332"/>
        <w:spacing w:after="0" w:line="266" w:lineRule="auto"/>
        <w:tabs>
          <w:tab w:leader="none" w:pos="3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3" w:lineRule="exact"/>
        <w:rPr>
          <w:rFonts w:ascii="Times New Roman" w:cs="Times New Roman" w:eastAsia="Times New Roman" w:hAnsi="Times New Roman"/>
          <w:sz w:val="18"/>
          <w:szCs w:val="18"/>
          <w:color w:val="auto"/>
        </w:rPr>
      </w:pPr>
    </w:p>
    <w:p>
      <w:pPr>
        <w:ind w:left="340" w:right="820" w:hanging="332"/>
        <w:spacing w:after="0" w:line="312" w:lineRule="auto"/>
        <w:tabs>
          <w:tab w:leader="none" w:pos="33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246380</wp:posOffset>
            </wp:positionV>
            <wp:extent cx="19685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amount of pre-tax net losses on derivative instruments, including interest rate swap agreements and foreign currency forward exchange contracts expected to be reclassified into earnings in the next 12 months was approximately $8,761 as of March 31, 2024. This amount is primarily associated with interest rate swap agreements.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94"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8"/>
          <w:szCs w:val="18"/>
          <w:color w:val="auto"/>
        </w:rPr>
        <w:t>Accounting guidance on fair value measurements requires that financial assets and liabilities be classified and disclosed in one of the following categories of the fair value hierarchy:</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Based on unadjusted quoted prices for identical assets or liabilities in an active market.</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Based on observable market-based inputs or unobservable inputs that are corroborated by market data.</w:t>
      </w:r>
    </w:p>
    <w:p>
      <w:pPr>
        <w:spacing w:after="0" w:line="23" w:lineRule="exact"/>
        <w:rPr>
          <w:sz w:val="20"/>
          <w:szCs w:val="20"/>
          <w:color w:val="auto"/>
        </w:rPr>
      </w:pPr>
    </w:p>
    <w:p>
      <w:pPr>
        <w:ind w:left="20" w:right="18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Based on unobservable inputs that reflect the entity’s own assumptions about the assumptions that a market participant would use in pricing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or liability.</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Level 3 financial assets or liabilities, nor were there any transfers between levels during the periods presented.</w:t>
      </w:r>
    </w:p>
    <w:p>
      <w:pPr>
        <w:spacing w:after="0" w:line="26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Consolidated Balance Sheets on a recurring basis as of March 31, 2024 and December 31,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Assets / Liabilities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4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8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2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r>
      <w:tr>
        <w:trPr>
          <w:trHeight w:val="230"/>
        </w:trPr>
        <w:tc>
          <w:tcPr>
            <w:tcW w:w="4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derivatives (2)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r>
      <w:tr>
        <w:trPr>
          <w:trHeight w:val="230"/>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r>
      <w:tr>
        <w:trPr>
          <w:trHeight w:val="230"/>
        </w:trPr>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r>
      <w:tr>
        <w:trPr>
          <w:trHeight w:val="229"/>
        </w:trPr>
        <w:tc>
          <w:tcPr>
            <w:tcW w:w="4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r>
      <w:tr>
        <w:trPr>
          <w:trHeight w:val="47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6"/>
        </w:trPr>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r>
      <w:tr>
        <w:trPr>
          <w:trHeight w:val="230"/>
        </w:trPr>
        <w:tc>
          <w:tcPr>
            <w:tcW w:w="4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derivatives (2)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30"/>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30"/>
        </w:trPr>
        <w:tc>
          <w:tcPr>
            <w:tcW w:w="4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bl>
    <w:p>
      <w:pPr>
        <w:spacing w:after="0" w:line="63" w:lineRule="exact"/>
        <w:rPr>
          <w:sz w:val="20"/>
          <w:szCs w:val="20"/>
          <w:color w:val="auto"/>
        </w:rPr>
      </w:pPr>
    </w:p>
    <w:p>
      <w:pPr>
        <w:ind w:left="660" w:right="20" w:hanging="328"/>
        <w:spacing w:after="0" w:line="266"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10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deferred compensation derivatives is based on quoted prices for market interest rates and a broad market equity index.</w:t>
      </w:r>
    </w:p>
    <w:p>
      <w:pPr>
        <w:spacing w:after="0" w:line="15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commodities futures and options contracts is based on quoted market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626110</wp:posOffset>
            </wp:positionV>
            <wp:extent cx="19685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short-term debt approximated fair values as of March 31, 2024 and December 31, 2023 because of the relatively short maturity of these instruments.</w:t>
      </w:r>
    </w:p>
    <w:p>
      <w:pPr>
        <w:spacing w:after="0" w:line="81"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20" w:type="dxa"/>
            <w:vAlign w:val="bottom"/>
            <w:gridSpan w:val="5"/>
          </w:tcPr>
          <w:p>
            <w:pPr>
              <w:ind w:left="13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60" w:type="dxa"/>
            <w:vAlign w:val="bottom"/>
          </w:tcPr>
          <w:p>
            <w:pPr>
              <w:spacing w:after="0"/>
              <w:rPr>
                <w:sz w:val="18"/>
                <w:szCs w:val="18"/>
                <w:color w:val="auto"/>
              </w:rPr>
            </w:pPr>
          </w:p>
        </w:tc>
        <w:tc>
          <w:tcPr>
            <w:tcW w:w="3620" w:type="dxa"/>
            <w:vAlign w:val="bottom"/>
            <w:gridSpan w:val="4"/>
          </w:tcPr>
          <w:p>
            <w:pPr>
              <w:jc w:val="right"/>
              <w:ind w:right="1312"/>
              <w:spacing w:after="0"/>
              <w:rPr>
                <w:sz w:val="20"/>
                <w:szCs w:val="20"/>
                <w:color w:val="auto"/>
              </w:rPr>
            </w:pPr>
            <w:r>
              <w:rPr>
                <w:rFonts w:ascii="Times New Roman" w:cs="Times New Roman" w:eastAsia="Times New Roman" w:hAnsi="Times New Roman"/>
                <w:sz w:val="16"/>
                <w:szCs w:val="16"/>
                <w:b w:val="1"/>
                <w:bCs w:val="1"/>
                <w:color w:val="auto"/>
              </w:rPr>
              <w:t>Carrying Value</w:t>
            </w:r>
          </w:p>
        </w:tc>
      </w:tr>
      <w:tr>
        <w:trPr>
          <w:trHeight w:val="211"/>
        </w:trPr>
        <w:tc>
          <w:tcPr>
            <w:tcW w:w="33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5"/>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297,842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305,058</w:t>
            </w:r>
          </w:p>
        </w:tc>
      </w:tr>
      <w:tr>
        <w:trPr>
          <w:trHeight w:val="229"/>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3,349,071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3,413,411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3,790,013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3,789,132</w:t>
            </w:r>
          </w:p>
        </w:tc>
      </w:tr>
      <w:tr>
        <w:trPr>
          <w:trHeight w:val="248"/>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3,648,145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3,711,253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4,095,438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4,094,190</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Measurements</w:t>
      </w:r>
    </w:p>
    <w:p>
      <w:pPr>
        <w:spacing w:after="0" w:line="31"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10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acquisition of Weaver in May 2023, as discussed in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we used valuation techniques to determine fair value, with the primary technique being the cost approach to value personal property, which uses significant unobservable inputs, or Level 3 inputs, as defined by the fair value hierarchy.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lease office and retail space, warehouse and distribution facilities, land, vehicles, and equipment. We determine if an agreement is or contains a lease at inception. Leases with an initial term of 12 months or less are not recorded on the consolidated balance sheet.</w:t>
      </w:r>
    </w:p>
    <w:p>
      <w:pPr>
        <w:spacing w:after="0" w:line="8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most of our leases do not provide an implicit rate, we use our estimated incremental borrowing rate in determining the present value of lease payments.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incremental borrowing rate is derived from information available at the lease commencement date.</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9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and non-lease components based upon relative standalone prices either observable or estimated if observable prices are not readily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608330</wp:posOffset>
            </wp:positionV>
            <wp:extent cx="19685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three months ended March 31, 2024 and April 2, 2023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4"/>
          </w:tcPr>
          <w:p>
            <w:pPr>
              <w:jc w:val="right"/>
              <w:ind w:right="115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Lease expense</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26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20" w:type="dxa"/>
            <w:vAlign w:val="bottom"/>
          </w:tcPr>
          <w:p>
            <w:pPr>
              <w:spacing w:after="0"/>
              <w:rPr>
                <w:sz w:val="18"/>
                <w:szCs w:val="18"/>
                <w:color w:val="auto"/>
              </w:rPr>
            </w:pPr>
          </w:p>
        </w:tc>
        <w:tc>
          <w:tcPr>
            <w:tcW w:w="162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April 2, 2023</w:t>
            </w:r>
          </w:p>
        </w:tc>
      </w:tr>
      <w:tr>
        <w:trPr>
          <w:trHeight w:val="225"/>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or SM&amp;A (1)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w:t>
            </w:r>
          </w:p>
        </w:tc>
      </w:tr>
      <w:tr>
        <w:trPr>
          <w:trHeight w:val="22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(1)</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r>
      <w:tr>
        <w:trPr>
          <w:trHeight w:val="229"/>
        </w:trPr>
        <w:tc>
          <w:tcPr>
            <w:tcW w:w="3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48"/>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cost (2)</w:t>
            </w:r>
          </w:p>
        </w:tc>
        <w:tc>
          <w:tcPr>
            <w:tcW w:w="3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15,005</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80" w:hanging="31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chain-related amounts were included in cost of sales.</w:t>
      </w:r>
    </w:p>
    <w:p>
      <w:pPr>
        <w:spacing w:after="0" w:line="63" w:lineRule="exact"/>
        <w:rPr>
          <w:rFonts w:ascii="Times New Roman" w:cs="Times New Roman" w:eastAsia="Times New Roman" w:hAnsi="Times New Roman"/>
          <w:sz w:val="18"/>
          <w:szCs w:val="18"/>
          <w:color w:val="auto"/>
        </w:rPr>
      </w:pPr>
    </w:p>
    <w:p>
      <w:pPr>
        <w:ind w:right="2280" w:firstLine="170"/>
        <w:spacing w:after="0" w:line="306"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lease cost does not include short-term leases, variable lease costs or sublease income, all of which are immaterial. Information regarding our lease terms and discount rates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30"/>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70"/>
        </w:trPr>
        <w:tc>
          <w:tcPr>
            <w:tcW w:w="70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9"/>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were as follows:</w:t>
      </w:r>
    </w:p>
    <w:p>
      <w:pPr>
        <w:sectPr>
          <w:pgSz w:w="11900" w:h="16838" w:orient="portrait"/>
          <w:cols w:equalWidth="0" w:num="1">
            <w:col w:w="11240"/>
          </w:cols>
          <w:pgMar w:left="320" w:top="117"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Operating lease ROU assets</w:t>
      </w:r>
    </w:p>
    <w:p>
      <w:pPr>
        <w:spacing w:after="0" w:line="2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Finance lease ROU assets, at cost</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Finance lease ROU assets, net</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leased assets</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Finance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Non-current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Finance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45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307,664</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307,976</w:t>
            </w:r>
          </w:p>
        </w:tc>
      </w:tr>
      <w:tr>
        <w:trPr>
          <w:trHeight w:val="495"/>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2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89,759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89,335</w:t>
            </w:r>
          </w:p>
        </w:tc>
      </w:tr>
      <w:tr>
        <w:trPr>
          <w:trHeight w:val="23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(19,472)</w:t>
            </w:r>
          </w:p>
        </w:tc>
      </w:tr>
      <w:tr>
        <w:trPr>
          <w:trHeight w:val="22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69,863</w:t>
            </w:r>
          </w:p>
        </w:tc>
      </w:tr>
      <w:tr>
        <w:trPr>
          <w:trHeight w:val="265"/>
        </w:trPr>
        <w:tc>
          <w:tcPr>
            <w:tcW w:w="3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r>
      <w:tr>
        <w:trPr>
          <w:trHeight w:val="223"/>
        </w:trPr>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376,613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377,839</w:t>
            </w:r>
          </w:p>
        </w:tc>
      </w:tr>
      <w:tr>
        <w:trPr>
          <w:trHeight w:val="20"/>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-976630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-659765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-359410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-16510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300355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-1276985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35,224</w:t>
            </w:r>
          </w:p>
        </w:tc>
        <w:tc>
          <w:tcPr>
            <w:tcW w:w="10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34,494</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6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r>
      <w:tr>
        <w:trPr>
          <w:trHeight w:val="45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276,417</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277,089</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70,475</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70,485</w:t>
            </w: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388,370</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387,968</w:t>
            </w:r>
          </w:p>
        </w:tc>
      </w:tr>
      <w:tr>
        <w:trPr>
          <w:trHeight w:val="20"/>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-770890</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-479425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-187960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4683760</wp:posOffset>
            </wp:positionH>
            <wp:positionV relativeFrom="paragraph">
              <wp:posOffset>488315</wp:posOffset>
            </wp:positionV>
            <wp:extent cx="19685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770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of our lease liabilities as of March 31, 2024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400" w:type="dxa"/>
            <w:vAlign w:val="bottom"/>
          </w:tcPr>
          <w:p>
            <w:pPr>
              <w:spacing w:after="0"/>
              <w:rPr>
                <w:sz w:val="18"/>
                <w:szCs w:val="18"/>
                <w:color w:val="auto"/>
              </w:rPr>
            </w:pPr>
          </w:p>
        </w:tc>
        <w:tc>
          <w:tcPr>
            <w:tcW w:w="1880" w:type="dxa"/>
            <w:vAlign w:val="bottom"/>
            <w:gridSpan w:val="3"/>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right"/>
              <w:ind w:right="9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18"/>
                <w:szCs w:val="18"/>
                <w:color w:val="auto"/>
              </w:rPr>
            </w:pPr>
          </w:p>
        </w:tc>
      </w:tr>
      <w:tr>
        <w:trPr>
          <w:trHeight w:val="226"/>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(rest of year)</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44,298</w:t>
            </w:r>
          </w:p>
        </w:tc>
        <w:tc>
          <w:tcPr>
            <w:tcW w:w="40" w:type="dxa"/>
            <w:vAlign w:val="bottom"/>
          </w:tcPr>
          <w:p>
            <w:pPr>
              <w:spacing w:after="0"/>
              <w:rPr>
                <w:sz w:val="19"/>
                <w:szCs w:val="19"/>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44,771</w:t>
            </w:r>
          </w:p>
        </w:tc>
        <w:tc>
          <w:tcPr>
            <w:tcW w:w="40" w:type="dxa"/>
            <w:vAlign w:val="bottom"/>
          </w:tcPr>
          <w:p>
            <w:pPr>
              <w:spacing w:after="0"/>
              <w:rPr>
                <w:sz w:val="19"/>
                <w:szCs w:val="19"/>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34,325</w:t>
            </w:r>
          </w:p>
        </w:tc>
        <w:tc>
          <w:tcPr>
            <w:tcW w:w="40" w:type="dxa"/>
            <w:vAlign w:val="bottom"/>
          </w:tcPr>
          <w:p>
            <w:pPr>
              <w:spacing w:after="0"/>
              <w:rPr>
                <w:sz w:val="19"/>
                <w:szCs w:val="19"/>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31,056</w:t>
            </w:r>
          </w:p>
        </w:tc>
        <w:tc>
          <w:tcPr>
            <w:tcW w:w="40" w:type="dxa"/>
            <w:vAlign w:val="bottom"/>
          </w:tcPr>
          <w:p>
            <w:pPr>
              <w:spacing w:after="0"/>
              <w:rPr>
                <w:sz w:val="19"/>
                <w:szCs w:val="19"/>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29,715</w:t>
            </w:r>
          </w:p>
        </w:tc>
        <w:tc>
          <w:tcPr>
            <w:tcW w:w="40" w:type="dxa"/>
            <w:vAlign w:val="bottom"/>
          </w:tcPr>
          <w:p>
            <w:pPr>
              <w:spacing w:after="0"/>
              <w:rPr>
                <w:sz w:val="19"/>
                <w:szCs w:val="19"/>
                <w:color w:val="auto"/>
              </w:rPr>
            </w:pPr>
          </w:p>
        </w:tc>
      </w:tr>
      <w:tr>
        <w:trPr>
          <w:trHeight w:val="229"/>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137,910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381,062</w:t>
            </w:r>
          </w:p>
        </w:tc>
        <w:tc>
          <w:tcPr>
            <w:tcW w:w="40" w:type="dxa"/>
            <w:vAlign w:val="bottom"/>
          </w:tcPr>
          <w:p>
            <w:pPr>
              <w:spacing w:after="0"/>
              <w:rPr>
                <w:sz w:val="19"/>
                <w:szCs w:val="19"/>
                <w:color w:val="auto"/>
              </w:rPr>
            </w:pPr>
          </w:p>
        </w:tc>
      </w:tr>
      <w:tr>
        <w:trPr>
          <w:trHeight w:val="223"/>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170,047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565,227</w:t>
            </w:r>
          </w:p>
        </w:tc>
        <w:tc>
          <w:tcPr>
            <w:tcW w:w="40" w:type="dxa"/>
            <w:vAlign w:val="bottom"/>
          </w:tcPr>
          <w:p>
            <w:pPr>
              <w:spacing w:after="0"/>
              <w:rPr>
                <w:sz w:val="19"/>
                <w:szCs w:val="19"/>
                <w:color w:val="auto"/>
              </w:rPr>
            </w:pPr>
          </w:p>
        </w:tc>
      </w:tr>
      <w:tr>
        <w:trPr>
          <w:trHeight w:val="229"/>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83,539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93,318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176,857</w:t>
            </w:r>
          </w:p>
        </w:tc>
        <w:tc>
          <w:tcPr>
            <w:tcW w:w="40" w:type="dxa"/>
            <w:vAlign w:val="bottom"/>
          </w:tcPr>
          <w:p>
            <w:pPr>
              <w:spacing w:after="0"/>
              <w:rPr>
                <w:sz w:val="19"/>
                <w:szCs w:val="19"/>
                <w:color w:val="auto"/>
              </w:rPr>
            </w:pPr>
          </w:p>
        </w:tc>
      </w:tr>
      <w:tr>
        <w:trPr>
          <w:trHeight w:val="248"/>
        </w:trPr>
        <w:tc>
          <w:tcPr>
            <w:tcW w:w="3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388,370</w:t>
            </w:r>
          </w:p>
        </w:tc>
        <w:tc>
          <w:tcPr>
            <w:tcW w:w="40" w:type="dxa"/>
            <w:vAlign w:val="bottom"/>
          </w:tcPr>
          <w:p>
            <w:pPr>
              <w:spacing w:after="0"/>
              <w:rPr>
                <w:sz w:val="21"/>
                <w:szCs w:val="2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8"/>
        </w:trPr>
        <w:tc>
          <w:tcPr>
            <w:tcW w:w="6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Supplemental cash flow and other information related to leases were as follows:</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0"/>
        </w:trPr>
        <w:tc>
          <w:tcPr>
            <w:tcW w:w="3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7"/>
          </w:tcPr>
          <w:p>
            <w:pPr>
              <w:jc w:val="right"/>
              <w:ind w:right="115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 w:type="dxa"/>
            <w:vAlign w:val="bottom"/>
            <w:tcBorders>
              <w:bottom w:val="single" w:sz="8" w:color="auto"/>
            </w:tcBorders>
          </w:tcPr>
          <w:p>
            <w:pPr>
              <w:spacing w:after="0"/>
              <w:rPr>
                <w:sz w:val="20"/>
                <w:szCs w:val="20"/>
                <w:color w:val="auto"/>
              </w:rPr>
            </w:pPr>
          </w:p>
        </w:tc>
      </w:tr>
      <w:tr>
        <w:trPr>
          <w:trHeight w:val="211"/>
        </w:trPr>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40" w:type="dxa"/>
            <w:vAlign w:val="bottom"/>
          </w:tcPr>
          <w:p>
            <w:pPr>
              <w:spacing w:after="0"/>
              <w:rPr>
                <w:sz w:val="18"/>
                <w:szCs w:val="18"/>
                <w:color w:val="auto"/>
              </w:rPr>
            </w:pPr>
          </w:p>
        </w:tc>
        <w:tc>
          <w:tcPr>
            <w:tcW w:w="160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April 2, 2023</w:t>
            </w:r>
          </w:p>
        </w:tc>
        <w:tc>
          <w:tcPr>
            <w:tcW w:w="40" w:type="dxa"/>
            <w:vAlign w:val="bottom"/>
          </w:tcPr>
          <w:p>
            <w:pPr>
              <w:spacing w:after="0"/>
              <w:rPr>
                <w:sz w:val="18"/>
                <w:szCs w:val="18"/>
                <w:color w:val="auto"/>
              </w:rPr>
            </w:pPr>
          </w:p>
        </w:tc>
      </w:tr>
      <w:tr>
        <w:trPr>
          <w:trHeight w:val="211"/>
        </w:trPr>
        <w:tc>
          <w:tcPr>
            <w:tcW w:w="640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r>
      <w:tr>
        <w:trPr>
          <w:trHeight w:val="230"/>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11,281</w:t>
            </w:r>
          </w:p>
        </w:tc>
        <w:tc>
          <w:tcPr>
            <w:tcW w:w="40" w:type="dxa"/>
            <w:vAlign w:val="bottom"/>
          </w:tcPr>
          <w:p>
            <w:pPr>
              <w:spacing w:after="0"/>
              <w:rPr>
                <w:sz w:val="19"/>
                <w:szCs w:val="19"/>
                <w:color w:val="auto"/>
              </w:rPr>
            </w:pPr>
          </w:p>
        </w:tc>
      </w:tr>
      <w:tr>
        <w:trPr>
          <w:trHeight w:val="22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40" w:type="dxa"/>
            <w:vAlign w:val="bottom"/>
            <w:shd w:val="clear" w:color="auto" w:fill="CCEEFF"/>
          </w:tcPr>
          <w:p>
            <w:pPr>
              <w:spacing w:after="0"/>
              <w:rPr>
                <w:sz w:val="19"/>
                <w:szCs w:val="19"/>
                <w:color w:val="auto"/>
              </w:rPr>
            </w:pPr>
          </w:p>
        </w:tc>
      </w:tr>
      <w:tr>
        <w:trPr>
          <w:trHeight w:val="229"/>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1,563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40" w:type="dxa"/>
            <w:vAlign w:val="bottom"/>
          </w:tcPr>
          <w:p>
            <w:pPr>
              <w:spacing w:after="0"/>
              <w:rPr>
                <w:sz w:val="19"/>
                <w:szCs w:val="19"/>
                <w:color w:val="auto"/>
              </w:rPr>
            </w:pPr>
          </w:p>
        </w:tc>
      </w:tr>
      <w:tr>
        <w:trPr>
          <w:trHeight w:val="270"/>
        </w:trPr>
        <w:tc>
          <w:tcPr>
            <w:tcW w:w="39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9,043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40" w:type="dxa"/>
            <w:vAlign w:val="bottom"/>
            <w:shd w:val="clear" w:color="auto" w:fill="CCEEFF"/>
          </w:tcPr>
          <w:p>
            <w:pPr>
              <w:spacing w:after="0"/>
              <w:rPr>
                <w:sz w:val="19"/>
                <w:szCs w:val="19"/>
                <w:color w:val="auto"/>
              </w:rPr>
            </w:pPr>
          </w:p>
        </w:tc>
      </w:tr>
      <w:tr>
        <w:trPr>
          <w:trHeight w:val="234"/>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40" w:type="dxa"/>
            <w:vAlign w:val="bottom"/>
          </w:tcPr>
          <w:p>
            <w:pPr>
              <w:spacing w:after="0"/>
              <w:rPr>
                <w:sz w:val="20"/>
                <w:szCs w:val="20"/>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 IN UNCONSOLIDATED AFFILIATES</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invest in partnerships that make equity investments in projects eligible to receive federal historic and renewable energy tax credits. The tax credits, when realized, are recognized as a reduction of tax expense under the flow-through method, at which time the corresponding equity investment is written-down to reflect the remaining value of the future benefits to be realized. The equity investment write-down is reflected within other (income) expense, net in the Consolidated Statements of Income (see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we acquire ownership interests in emerging snacking businesses and startup companies, which vary in method of accounting based on our percentage of ownership and ability to exercise significant influence over decisions relating to operating and financial affairs. These investments afford the Company the rights to distribute brands that the Company does not own to third-party customers primarily in North America. Net sales and expenses of our equity method investees are not consolidated into our financial statements; rather, our proportionate share of earnings or losses are recorded on a net basis within other (income) expense, net in the Consolidated Statements of Income.</w:t>
      </w:r>
    </w:p>
    <w:p>
      <w:pPr>
        <w:spacing w:after="0" w:line="210"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Both equity method investments and cost, less impairment, investments are reported within other non-current assets in our Consolidated Balance Sheets. We regularly review our investments and adjust accordingly for capital contributions, dividends received and other-than-temporary impairments. Total investments in unconsolidated affiliates were $190,419 and $207,177 as of March 31, 2024 and December 31,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586740</wp:posOffset>
            </wp:positionV>
            <wp:extent cx="19685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REALIGNMENT ACTIVITIES</w:t>
      </w:r>
    </w:p>
    <w:p>
      <w:pPr>
        <w:spacing w:after="0" w:line="175"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18"/>
          <w:szCs w:val="18"/>
          <w:color w:val="auto"/>
        </w:rPr>
        <w:t>We periodically undertake business realignment activities designed to increase our efficiency and focus our business in support of our key growth strategies. Costs associated with business realignment activities are classified in our Consolidated Statements of Income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4"/>
          </w:tcPr>
          <w:p>
            <w:pPr>
              <w:jc w:val="right"/>
              <w:ind w:right="123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40" w:type="dxa"/>
            <w:vAlign w:val="bottom"/>
          </w:tcPr>
          <w:p>
            <w:pPr>
              <w:spacing w:after="0"/>
              <w:rPr>
                <w:sz w:val="18"/>
                <w:szCs w:val="18"/>
                <w:color w:val="auto"/>
              </w:rPr>
            </w:pPr>
          </w:p>
        </w:tc>
        <w:tc>
          <w:tcPr>
            <w:tcW w:w="166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April 2, 2023</w:t>
            </w:r>
          </w:p>
        </w:tc>
      </w:tr>
      <w:tr>
        <w:trPr>
          <w:trHeight w:val="225"/>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marketing and administrative expense</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realignment costs</w:t>
            </w:r>
          </w:p>
        </w:tc>
        <w:tc>
          <w:tcPr>
            <w:tcW w:w="2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associated with business realignment activities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recorded by program during the three months ended March 31, 2024 and April 2, 2023 related to these activities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4"/>
          </w:tcPr>
          <w:p>
            <w:pPr>
              <w:jc w:val="right"/>
              <w:ind w:right="123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40" w:type="dxa"/>
            <w:vAlign w:val="bottom"/>
          </w:tcPr>
          <w:p>
            <w:pPr>
              <w:spacing w:after="0"/>
              <w:rPr>
                <w:sz w:val="18"/>
                <w:szCs w:val="18"/>
                <w:color w:val="auto"/>
              </w:rPr>
            </w:pPr>
          </w:p>
        </w:tc>
        <w:tc>
          <w:tcPr>
            <w:tcW w:w="166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April 2, 2023</w:t>
            </w:r>
          </w:p>
        </w:tc>
      </w:tr>
      <w:tr>
        <w:trPr>
          <w:trHeight w:val="211"/>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Advancing Agility &amp; Automation Initiative:</w:t>
            </w:r>
          </w:p>
        </w:tc>
        <w:tc>
          <w:tcPr>
            <w:tcW w:w="2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30"/>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program costs</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Optimization Program:</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Severance and employee benefit costs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program costs</w:t>
            </w:r>
          </w:p>
        </w:tc>
        <w:tc>
          <w:tcPr>
            <w:tcW w:w="2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1"/>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Amounts classified as liabilities qualifying as exit and disposal costs primarily represent employee-related and certain third-party service provider charges, however, such amounts at March 31, 2024 are not significant.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Advancing Agility &amp; Automation Initiative</w:t>
      </w:r>
    </w:p>
    <w:p>
      <w:pPr>
        <w:spacing w:after="0" w:line="1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February 2, 2024, the Board of Directors of the Company approved a multi-year productivity initiative (“Advancing Agility &amp; Automation” or "AAA") to improve supply chain and manufacturing-related spend, optimize selling, general and administrative expenses, leverage new technology and business models to further simplify and automate processes, and generate long-term savings.</w:t>
      </w:r>
    </w:p>
    <w:p>
      <w:pPr>
        <w:spacing w:after="0" w:line="122"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18"/>
          <w:szCs w:val="18"/>
          <w:color w:val="auto"/>
        </w:rPr>
        <w:t>The Company estimates that the AAA Initiative will result in total pre-tax costs of $200,000 to $250,000 from inception through 2026. This estimate primarily includes program office execution and third-party costs supporting the design and implementation of the new organizational structure of $100,000 to $120,000, as well as implementation and technology capability costs of $55,000 to $70,000. Additionally, we expect to incur employee severance and related separation benefits of $45,000 to $60,000 as we facilitate workforce reductions and reallocate resources to further drive the Company’s strategic priorities. The cash portion of the total cost is estimated to be $175,000 to $225,000. At the conclusion of the program in 2026, ongoing annual savings are expected to be approximately $300,000.</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Since inception through March 31, 2024, we recognized total costs associated with the AAA Initiative of $16,666. These charges predominantly included third-party costs supporting the design and implementation of the new organizational structure, as well as technology capability costs. The costs and related benefits of the AAA Initiative relate to the North America Confectionery segment and Corporate. However, segment operating results do not include these business realignment expenses because we evaluate segment performance excluding such costs.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2020 International Optimization Program</w:t>
      </w:r>
    </w:p>
    <w:p>
      <w:pPr>
        <w:spacing w:after="0" w:line="17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In the fourth quarter of 2020, we commenced a program (“International Optimization Program”) to streamline resources and investments in select international markets, including the optimization of our China operating model that will improve our operational efficiency and provide for a strong, sustainable and simplified base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320675</wp:posOffset>
            </wp:positionV>
            <wp:extent cx="19685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International Optimization Program was originally expected to total pre-tax costs of $50,000 to $75,000, with cash costs in the range of $40,000 to $65,000, primarily related to workforce reductions of approximately 350 positions outside of the United States, costs to consolidate and relocate production, and third-party costs incurred to execute these activities. The costs and related benefits of the International Optimization Program relate to the International segment. However, segment operating results do not include these business realignment expenses because we evaluate segment performance excluding such costs. For the three months ended April 2, 2023, we recognized total costs associated with the International Optimization Program of $2,349. From program inception in 2020 through completion in 2023, we incurred pre-tax charges to execute the program totaling $53,799.</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43"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The majority of our taxable income is generated in the United States and taxed at the United States statutory rate of 21%. The effective tax rates for the three months ended March 31, 2024 and April 2, 2023 were 19.1% and 22.7%, respectively. Relative to the statutory rate, the 2024 effective tax rate was primarily impacted by investment tax credits partially offset by state taxes.</w:t>
      </w:r>
    </w:p>
    <w:p>
      <w:pPr>
        <w:spacing w:after="0" w:line="11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Company and its subsidiaries file tax returns in the United States, including various state and local returns, and in other foreign jurisdictions. We are routinely audited by taxing authorities in our filing jurisdictions, and a number of these disputes are currently underway, including multi-year controversies at various stages of review, negotiation and litigation in Mexico, Canada, Switzerland and the United States. The outcome of tax audits cannot be predicted with certainty, including the timing of resolution or potential settlements. If any issues addressed in our tax audits are resolved in a manner not consistent with management’s expectations, we could be required to adjust our provision for income taxes in the period such resolution occurs. Based on our current assessments, we believe adequate provision has been made for all income tax uncertainties. We reasonably expect reductions in the liability for unrecognized tax benefits of approximately $51,355 within the next 12 months because of the expiration of statutes of limitations and settlements of tax audits.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Inflation Reduction Act</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(“IRA”) was signed into law. The IRA enacted a 15% corporate minimum tax on certain corporations and an excise tax on share repurchases after December 31, 2022, and created and extended certain energy-related tax credits and incentives. For the three months ended March 31, 2024 and April 2, 2023 the tax-related provisions of the IRA did not have a material impact on our consolidated financial statements, including our annual effective tax rate, or on our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271145</wp:posOffset>
            </wp:positionV>
            <wp:extent cx="19685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PENSION AND OTHER POST-RETIREMENT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three months ended March 31, 2024 and April 2, 2023 were as follows:</w:t>
      </w:r>
    </w:p>
    <w:p>
      <w:pPr>
        <w:spacing w:after="0" w:line="52" w:lineRule="exact"/>
        <w:rPr>
          <w:sz w:val="20"/>
          <w:szCs w:val="20"/>
          <w:color w:val="auto"/>
        </w:rPr>
      </w:pPr>
    </w:p>
    <w:p>
      <w:pPr>
        <w:jc w:val="right"/>
        <w:ind w:right="108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Pension Benefits</w:t>
      </w:r>
      <w:r>
        <w:rPr>
          <w:sz w:val="20"/>
          <w:szCs w:val="20"/>
          <w:color w:val="auto"/>
        </w:rPr>
        <w:tab/>
      </w:r>
      <w:r>
        <w:rPr>
          <w:rFonts w:ascii="Times New Roman" w:cs="Times New Roman" w:eastAsia="Times New Roman" w:hAnsi="Times New Roman"/>
          <w:sz w:val="16"/>
          <w:szCs w:val="16"/>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21590</wp:posOffset>
            </wp:positionV>
            <wp:extent cx="40976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21590</wp:posOffset>
            </wp:positionV>
            <wp:extent cx="20142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6" w:lineRule="exact"/>
        <w:rPr>
          <w:sz w:val="20"/>
          <w:szCs w:val="20"/>
          <w:color w:val="auto"/>
        </w:rPr>
      </w:pPr>
    </w:p>
    <w:p>
      <w:pPr>
        <w:ind w:left="5020"/>
        <w:spacing w:after="0"/>
        <w:tabs>
          <w:tab w:leader="none" w:pos="6720" w:val="left"/>
        </w:tabs>
        <w:rPr>
          <w:sz w:val="20"/>
          <w:szCs w:val="20"/>
          <w:color w:val="auto"/>
        </w:rPr>
      </w:pPr>
      <w:r>
        <w:rPr>
          <w:rFonts w:ascii="Times New Roman" w:cs="Times New Roman" w:eastAsia="Times New Roman" w:hAnsi="Times New Roman"/>
          <w:sz w:val="16"/>
          <w:szCs w:val="16"/>
          <w:b w:val="1"/>
          <w:bCs w:val="1"/>
          <w:color w:val="auto"/>
        </w:rPr>
        <w:t>March 31, 2024</w:t>
      </w:r>
      <w:r>
        <w:rPr>
          <w:sz w:val="20"/>
          <w:szCs w:val="20"/>
          <w:color w:val="auto"/>
        </w:rPr>
        <w:tab/>
      </w:r>
      <w:r>
        <w:rPr>
          <w:rFonts w:ascii="Times New Roman" w:cs="Times New Roman" w:eastAsia="Times New Roman" w:hAnsi="Times New Roman"/>
          <w:sz w:val="16"/>
          <w:szCs w:val="16"/>
          <w:b w:val="1"/>
          <w:bCs w:val="1"/>
          <w:color w:val="auto"/>
        </w:rPr>
        <w:t>April 2, 2023</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21590</wp:posOffset>
            </wp:positionV>
            <wp:extent cx="20148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26"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6"/>
          <w:szCs w:val="16"/>
          <w:b w:val="1"/>
          <w:bCs w:val="1"/>
          <w:color w:val="auto"/>
        </w:rPr>
        <w:t>March 31, 2024</w:t>
      </w:r>
      <w:r>
        <w:rPr>
          <w:sz w:val="20"/>
          <w:szCs w:val="20"/>
          <w:color w:val="auto"/>
        </w:rPr>
        <w:tab/>
      </w:r>
      <w:r>
        <w:rPr>
          <w:rFonts w:ascii="Times New Roman" w:cs="Times New Roman" w:eastAsia="Times New Roman" w:hAnsi="Times New Roman"/>
          <w:sz w:val="16"/>
          <w:szCs w:val="16"/>
          <w:b w:val="1"/>
          <w:bCs w:val="1"/>
          <w:color w:val="auto"/>
        </w:rPr>
        <w:t>April 2, 2023</w:t>
      </w:r>
    </w:p>
    <w:p>
      <w:pPr>
        <w:spacing w:after="0" w:line="28" w:lineRule="exact"/>
        <w:rPr>
          <w:sz w:val="20"/>
          <w:szCs w:val="20"/>
          <w:color w:val="auto"/>
        </w:rPr>
      </w:pPr>
    </w:p>
    <w:p>
      <w:pPr>
        <w:sectPr>
          <w:pgSz w:w="11900" w:h="16838" w:orient="portrait"/>
          <w:cols w:equalWidth="0" w:num="2">
            <w:col w:w="7640" w:space="660"/>
            <w:col w:w="294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3,753</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periodic benefit cost</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r>
      <w:tr>
        <w:trPr>
          <w:trHeight w:val="20"/>
        </w:trPr>
        <w:tc>
          <w:tcPr>
            <w:tcW w:w="4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made contributions of $816 and $1,592 to the pension plans and other benefits plans, respectively, during the first three months of 2024. In the first three months of 2023, we made contributions of $833 and $5,699 to our pension plans and other benefit plans, respectively. The contributions in 2024 and 2023 also included benefit payments from our non-qualified pension plans and post-retirement benefit plans.</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The non-service cost components of net periodic benefit cost relating to pension and other post-retirement benefit plans is reflected within other (income) expense, net in the Consolidated Statements of Income (see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COMPENSATION PLANS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12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options (“stock options”);</w:t>
      </w:r>
    </w:p>
    <w:p>
      <w:pPr>
        <w:spacing w:after="0" w:line="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Performance stock units (“PSUs”) and performance stock;</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Stock appreciation rights;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Restricted stock units (“RSUs”) and restricted stock;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Other stock-based awards.</w:t>
      </w:r>
    </w:p>
    <w:p>
      <w:pPr>
        <w:spacing w:after="0" w:line="14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EICP also provides for the deferral of stock-based compensation awards by participants if approved by the Compensation and Human Capital Committee of our Board and if in accordance with an applicable deferred compensation plan of the Company. Currently, the Compensation and Human Capital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2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At the time stock options are exercised or PSUs and RSUs become payable, Common Stock is issued from our accumulated treasury shares. Dividend equivalents are credited on RSUs on the same date and at the same rate as dividends paid on our Common Stock. Dividend equivalents are charged to retained earnings and included in accrued liabilities until paid.</w:t>
      </w:r>
    </w:p>
    <w:p>
      <w:pPr>
        <w:spacing w:after="0" w:line="12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Awards to employees eligible for retirement prior to the award becoming fully vested are amortized to expense over the period through the date that the employee first becomes eligible to retire and is no longer required to provide service to earn the award. In addition, historical data is used to estimate forfeiture rates and record share-based compensation expense only for those awards that are expected to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269240</wp:posOffset>
            </wp:positionV>
            <wp:extent cx="19685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For the periods presented, compensation expense for all types of stock-based compensation programs and the related income tax benefit recognized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117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20" w:type="dxa"/>
            <w:vAlign w:val="bottom"/>
          </w:tcPr>
          <w:p>
            <w:pPr>
              <w:spacing w:after="0"/>
              <w:rPr>
                <w:sz w:val="18"/>
                <w:szCs w:val="18"/>
                <w:color w:val="auto"/>
              </w:rPr>
            </w:pPr>
          </w:p>
        </w:tc>
        <w:tc>
          <w:tcPr>
            <w:tcW w:w="162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April 2, 2023</w:t>
            </w:r>
          </w:p>
        </w:tc>
      </w:tr>
      <w:tr>
        <w:trPr>
          <w:trHeight w:val="225"/>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compensation expense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18,992</w:t>
            </w:r>
          </w:p>
        </w:tc>
      </w:tr>
      <w:tr>
        <w:trPr>
          <w:trHeight w:val="23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income tax benefit</w:t>
            </w: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w:t>
            </w:r>
          </w:p>
        </w:tc>
      </w:tr>
    </w:tbl>
    <w:p>
      <w:pPr>
        <w:spacing w:after="0" w:line="23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Compensation expenses for stock compensation plans are primarily included in SM&amp;A expense. As of March 31, 2024, total stock-based compensation expense related to non-vested awards not yet recognized was $119,082 and the weighted-average period over which this amount is expected to be recognized was approximately 2.0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exercise price of each stock option awarded under the EICP equals the closing price of our Common Stock on the New York Stock Exchange on the date of grant. Each stock option has a maximum term of 10 years. Grants of stock options provide for pro-rated vesting, typically over a four-year period. Expense for stock options is based on grant date fair value and recognized on a straight-line method over the vesting period, net of estimated forfeitures.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relating to grants of stock options for the period ended March 31, 2024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7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70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Exercise Price (per</w:t>
            </w: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vMerge w:val="continue"/>
          </w:tcPr>
          <w:p>
            <w:pPr>
              <w:spacing w:after="0"/>
              <w:rPr>
                <w:sz w:val="21"/>
                <w:szCs w:val="21"/>
                <w:color w:val="auto"/>
              </w:rPr>
            </w:pPr>
          </w:p>
        </w:tc>
        <w:tc>
          <w:tcPr>
            <w:tcW w:w="1700" w:type="dxa"/>
            <w:vAlign w:val="bottom"/>
            <w:tcBorders>
              <w:bottom w:val="single" w:sz="8" w:color="auto"/>
            </w:tcBorders>
            <w:vMerge w:val="continue"/>
          </w:tcPr>
          <w:p>
            <w:pPr>
              <w:spacing w:after="0"/>
              <w:rPr>
                <w:sz w:val="21"/>
                <w:szCs w:val="21"/>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726,701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 years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$192.49</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1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685,264</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 years</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60,678</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March 31, 2024</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669,879</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 years</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60,348</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fair value of options granted was $45.95 and $57.65 per share for the periods ended March 31, 2024 and April 2,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was estimated on the date of grant using a Black-Scholes option-pricing model and the following weighted-average assumptions: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Pr>
          <w:p>
            <w:pPr>
              <w:spacing w:after="0"/>
              <w:rPr>
                <w:sz w:val="18"/>
                <w:szCs w:val="18"/>
                <w:color w:val="auto"/>
              </w:rPr>
            </w:pPr>
          </w:p>
        </w:tc>
        <w:tc>
          <w:tcPr>
            <w:tcW w:w="3060" w:type="dxa"/>
            <w:vAlign w:val="bottom"/>
            <w:tcBorders>
              <w:bottom w:val="single" w:sz="8" w:color="auto"/>
            </w:tcBorders>
            <w:gridSpan w:val="3"/>
          </w:tcPr>
          <w:p>
            <w:pPr>
              <w:ind w:left="1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80" w:type="dxa"/>
            <w:vAlign w:val="bottom"/>
            <w:tcBorders>
              <w:bottom w:val="single" w:sz="8" w:color="auto"/>
            </w:tcBorders>
          </w:tcPr>
          <w:p>
            <w:pPr>
              <w:spacing w:after="0"/>
              <w:rPr>
                <w:sz w:val="18"/>
                <w:szCs w:val="18"/>
                <w:color w:val="auto"/>
              </w:rPr>
            </w:pPr>
          </w:p>
        </w:tc>
      </w:tr>
      <w:tr>
        <w:trPr>
          <w:trHeight w:val="211"/>
        </w:trPr>
        <w:tc>
          <w:tcPr>
            <w:tcW w:w="6600" w:type="dxa"/>
            <w:vAlign w:val="bottom"/>
          </w:tcPr>
          <w:p>
            <w:pPr>
              <w:spacing w:after="0"/>
              <w:rPr>
                <w:sz w:val="18"/>
                <w:szCs w:val="18"/>
                <w:color w:val="auto"/>
              </w:rPr>
            </w:pPr>
          </w:p>
        </w:tc>
        <w:tc>
          <w:tcPr>
            <w:tcW w:w="3060" w:type="dxa"/>
            <w:vAlign w:val="bottom"/>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580" w:type="dxa"/>
            <w:vAlign w:val="bottom"/>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w w:val="99"/>
              </w:rPr>
              <w:t>April 2, 2023</w:t>
            </w:r>
          </w:p>
        </w:tc>
      </w:tr>
      <w:tr>
        <w:trPr>
          <w:trHeight w:val="225"/>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yields</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was $4,148 and $20,566 for the periods ended March 31, 2024 and April 2,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291465</wp:posOffset>
            </wp:positionV>
            <wp:extent cx="19685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 and Restricted Stock Units</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Under the EICP, we grant PSUs to select executives and other key employees. Vesting is contingent upon the achievement of certain performance objectives. We grant PSUs over three-year performance cycles. If we meet targets for financial measures at the end of the applicable three-year performance cycle, we award a resulting number of shares of our Common Stock to the participants. The number of shares may be increased to the maximum or reduced to the minimum threshold based on the results of these performance metrics in accordance with the terms established at the time of the award.</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PSUs granted, the target award is a combination of a market-based total shareholder return and performance-based components. For market-based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performance-based condition components, we estimate the probability that the performance conditions will be achieved each quarter and adjust compensation expenses accordingly. The performance scores of PSU grants during the three months ended March 31, 2024 and April 2, 2023 can range from 0% to 250% of the targeted amounts.</w:t>
      </w:r>
    </w:p>
    <w:p>
      <w:pPr>
        <w:spacing w:after="0" w:line="13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recognize the compensation expenses associated with PSUs ratably over the three-year term. Compensation expenses are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months ended March 31, 2024 and April 2, 2023, we awarded RSUs to certain executive officers and other key employees under the EICP.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awarded RSUs to non-employee directors.</w:t>
      </w:r>
    </w:p>
    <w:p>
      <w:pPr>
        <w:spacing w:after="0" w:line="15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recognize the compensation expenses associated with employee RSUs over a specified award vesting period based on the grant date fair value of our Common Stock. We recognize expense for employee RSUs based on the straight- line method. The compensation expenses associated with non-employee director RSUs is recognized ratably over the vesting period, net of estimated forfeitures.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relating to grants of PSUs and RSUs for the period ended March 31, 2024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Stock Units and Restricted Stock Units</w:t>
            </w:r>
          </w:p>
        </w:tc>
        <w:tc>
          <w:tcPr>
            <w:tcW w:w="164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Number of units</w:t>
            </w:r>
          </w:p>
        </w:tc>
        <w:tc>
          <w:tcPr>
            <w:tcW w:w="100" w:type="dxa"/>
            <w:vAlign w:val="bottom"/>
          </w:tcPr>
          <w:p>
            <w:pPr>
              <w:spacing w:after="0"/>
              <w:rPr>
                <w:sz w:val="16"/>
                <w:szCs w:val="16"/>
                <w:color w:val="auto"/>
              </w:rPr>
            </w:pPr>
          </w:p>
        </w:tc>
        <w:tc>
          <w:tcPr>
            <w:tcW w:w="354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Weighted-average grant date fair value for</w:t>
            </w:r>
          </w:p>
        </w:tc>
        <w:tc>
          <w:tcPr>
            <w:tcW w:w="0" w:type="dxa"/>
            <w:vAlign w:val="bottom"/>
          </w:tcPr>
          <w:p>
            <w:pPr>
              <w:spacing w:after="0"/>
              <w:rPr>
                <w:sz w:val="1"/>
                <w:szCs w:val="1"/>
                <w:color w:val="auto"/>
              </w:rPr>
            </w:pPr>
          </w:p>
        </w:tc>
      </w:tr>
      <w:tr>
        <w:trPr>
          <w:trHeight w:val="214"/>
        </w:trPr>
        <w:tc>
          <w:tcPr>
            <w:tcW w:w="586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right"/>
              <w:ind w:right="856"/>
              <w:spacing w:after="0"/>
              <w:rPr>
                <w:sz w:val="20"/>
                <w:szCs w:val="20"/>
                <w:color w:val="auto"/>
              </w:rPr>
            </w:pPr>
            <w:r>
              <w:rPr>
                <w:rFonts w:ascii="Times New Roman" w:cs="Times New Roman" w:eastAsia="Times New Roman" w:hAnsi="Times New Roman"/>
                <w:sz w:val="16"/>
                <w:szCs w:val="16"/>
                <w:b w:val="1"/>
                <w:bCs w:val="1"/>
                <w:color w:val="auto"/>
              </w:rPr>
              <w:t>equity awards (per unit)</w:t>
            </w:r>
          </w:p>
        </w:tc>
        <w:tc>
          <w:tcPr>
            <w:tcW w:w="0" w:type="dxa"/>
            <w:vAlign w:val="bottom"/>
          </w:tcPr>
          <w:p>
            <w:pPr>
              <w:spacing w:after="0"/>
              <w:rPr>
                <w:sz w:val="1"/>
                <w:szCs w:val="1"/>
                <w:color w:val="auto"/>
              </w:rPr>
            </w:pPr>
          </w:p>
        </w:tc>
      </w:tr>
      <w:tr>
        <w:trPr>
          <w:trHeight w:val="225"/>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1,039,691</w:t>
            </w:r>
          </w:p>
        </w:tc>
        <w:tc>
          <w:tcPr>
            <w:tcW w:w="10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$198.31</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315,389</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$196.16</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assumption change (1)</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(60,282)</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(443,419)</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$175.69</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$219.04</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843,138</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$214.71</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Reflects the net number of PSUs above and below target levels based on the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291465</wp:posOffset>
            </wp:positionV>
            <wp:extent cx="19685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720" w:type="dxa"/>
            <w:vAlign w:val="bottom"/>
          </w:tcPr>
          <w:p>
            <w:pPr>
              <w:spacing w:after="0"/>
              <w:rPr>
                <w:sz w:val="18"/>
                <w:szCs w:val="18"/>
                <w:color w:val="auto"/>
              </w:rPr>
            </w:pPr>
          </w:p>
        </w:tc>
        <w:tc>
          <w:tcPr>
            <w:tcW w:w="166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April 2, 2023</w:t>
            </w:r>
          </w:p>
        </w:tc>
        <w:tc>
          <w:tcPr>
            <w:tcW w:w="0" w:type="dxa"/>
            <w:vAlign w:val="bottom"/>
          </w:tcPr>
          <w:p>
            <w:pPr>
              <w:spacing w:after="0"/>
              <w:rPr>
                <w:sz w:val="1"/>
                <w:szCs w:val="1"/>
                <w:color w:val="auto"/>
              </w:rPr>
            </w:pPr>
          </w:p>
        </w:tc>
      </w:tr>
      <w:tr>
        <w:trPr>
          <w:trHeight w:val="225"/>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granted</w:t>
            </w:r>
          </w:p>
        </w:tc>
        <w:tc>
          <w:tcPr>
            <w:tcW w:w="38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315,389</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278,578</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at date of grant</w:t>
            </w: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196.16</w:t>
            </w:r>
          </w:p>
        </w:tc>
        <w:tc>
          <w:tcPr>
            <w:tcW w:w="120" w:type="dxa"/>
            <w:vAlign w:val="bottom"/>
          </w:tcPr>
          <w:p>
            <w:pPr>
              <w:spacing w:after="0"/>
              <w:rPr>
                <w:sz w:val="20"/>
                <w:szCs w:val="20"/>
                <w:color w:val="auto"/>
              </w:rPr>
            </w:pPr>
          </w:p>
        </w:tc>
        <w:tc>
          <w:tcPr>
            <w:tcW w:w="72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249.74</w:t>
            </w:r>
          </w:p>
        </w:tc>
        <w:tc>
          <w:tcPr>
            <w:tcW w:w="0" w:type="dxa"/>
            <w:vAlign w:val="bottom"/>
          </w:tcPr>
          <w:p>
            <w:pPr>
              <w:spacing w:after="0"/>
              <w:rPr>
                <w:sz w:val="1"/>
                <w:szCs w:val="1"/>
                <w:color w:val="auto"/>
              </w:rPr>
            </w:pPr>
          </w:p>
        </w:tc>
      </w:tr>
      <w:tr>
        <w:trPr>
          <w:trHeight w:val="90"/>
        </w:trPr>
        <w:tc>
          <w:tcPr>
            <w:tcW w:w="636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9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 Carlo simulation assumptions:</w:t>
            </w:r>
          </w:p>
        </w:tc>
        <w:tc>
          <w:tcPr>
            <w:tcW w:w="3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Estimated values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2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yields</w:t>
            </w:r>
          </w:p>
        </w:tc>
        <w:tc>
          <w:tcPr>
            <w:tcW w:w="3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4"/>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volatility</w:t>
            </w:r>
          </w:p>
        </w:tc>
        <w:tc>
          <w:tcPr>
            <w:tcW w:w="3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shares vested totaled $84,998 and $97,304 for the periods ended March 31, 2024 and April 2, 2023, respectively.</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Deferred PSUs, deferred RSUs and deferred stock units representing directors’ fees totaled 258,847 units as of March 31, 2024. Each unit is equivalent to one share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568325</wp:posOffset>
            </wp:positionV>
            <wp:extent cx="19685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8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Company reports its operations through three reportable segments: (i) North America Confectionery, (ii) North America Salty Snacks and (iii) International. This organizational structure aligns with how our CODM manages our business, including resource allocation and performance assessment, and further aligns with our product categories and the key markets we serve.</w:t>
      </w:r>
    </w:p>
    <w:p>
      <w:pPr>
        <w:spacing w:after="0" w:line="119" w:lineRule="exact"/>
        <w:rPr>
          <w:sz w:val="20"/>
          <w:szCs w:val="20"/>
          <w:color w:val="auto"/>
        </w:rPr>
      </w:pPr>
    </w:p>
    <w:p>
      <w:pPr>
        <w:ind w:left="660" w:right="100" w:hanging="328"/>
        <w:spacing w:after="0" w:line="243" w:lineRule="auto"/>
        <w:tabs>
          <w:tab w:leader="none" w:pos="65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 Confectionery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is responsible for our traditional chocolate and non-chocolate confectionery market position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and Canada. This includes our business in chocolate and non-chocolate confectionery, gum and refreshment products, protein bars, spreads, snack bites and mixes, as well as pantry and food service lines. This segment also includes our retail operations, including Hershey’s Chocolate World stores in Hershey, Pennsylvania; New York, New York; Las Vegas, Nevada; Niagara Falls (Ontario) and Singapore, as well as operations associated with licensing the use of certain of the Company’s trademarks and products to third parties around the world.</w:t>
      </w:r>
    </w:p>
    <w:p>
      <w:pPr>
        <w:spacing w:after="0" w:line="140" w:lineRule="exact"/>
        <w:rPr>
          <w:rFonts w:ascii="Times New Roman" w:cs="Times New Roman" w:eastAsia="Times New Roman" w:hAnsi="Times New Roman"/>
          <w:sz w:val="18"/>
          <w:szCs w:val="18"/>
          <w:b w:val="1"/>
          <w:bCs w:val="1"/>
          <w:i w:val="1"/>
          <w:iCs w:val="1"/>
          <w:color w:val="auto"/>
        </w:rPr>
      </w:pPr>
    </w:p>
    <w:p>
      <w:pPr>
        <w:ind w:left="660" w:right="580" w:hanging="328"/>
        <w:spacing w:after="0" w:line="286" w:lineRule="auto"/>
        <w:tabs>
          <w:tab w:leader="none" w:pos="65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 Salty Snacks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is responsible for our salty snacking products in the United States. This includes ready-to-eat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popcorn, baked and trans fat free snacks, pretzels and other snacks.</w:t>
      </w:r>
    </w:p>
    <w:p>
      <w:pPr>
        <w:spacing w:after="0" w:line="100" w:lineRule="exact"/>
        <w:rPr>
          <w:rFonts w:ascii="Times New Roman" w:cs="Times New Roman" w:eastAsia="Times New Roman" w:hAnsi="Times New Roman"/>
          <w:sz w:val="18"/>
          <w:szCs w:val="18"/>
          <w:b w:val="1"/>
          <w:bCs w:val="1"/>
          <w:i w:val="1"/>
          <w:iCs w:val="1"/>
          <w:color w:val="auto"/>
        </w:rPr>
      </w:pPr>
    </w:p>
    <w:p>
      <w:pPr>
        <w:ind w:left="660" w:right="140" w:hanging="328"/>
        <w:spacing w:after="0" w:line="262" w:lineRule="auto"/>
        <w:tabs>
          <w:tab w:leader="none" w:pos="65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International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is a combination of all other operating segments that are not individually material, including those geographic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regions where we operate outside of North America. We currently have operations and manufacture product in Mexico, Brazil, India and Malaysia, primarily for consumers in these regions, and also distribute and sell confectionery products in export markets of Asia, Latin America, Middle East, Europe, Africa and other regions.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as the measure of segment performance used for incentive compensation purposes.</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 net sales and earnings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38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April 2, 2023</w:t>
            </w:r>
          </w:p>
        </w:tc>
      </w:tr>
      <w:tr>
        <w:trPr>
          <w:trHeight w:val="211"/>
        </w:trPr>
        <w:tc>
          <w:tcPr>
            <w:tcW w:w="7920" w:type="dxa"/>
            <w:vAlign w:val="bottom"/>
            <w:tcBorders>
              <w:top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30"/>
        </w:trPr>
        <w:tc>
          <w:tcPr>
            <w:tcW w:w="792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2,707,310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2,452,165</w:t>
            </w:r>
          </w:p>
        </w:tc>
      </w:tr>
      <w:tr>
        <w:trPr>
          <w:trHeight w:val="229"/>
        </w:trPr>
        <w:tc>
          <w:tcPr>
            <w:tcW w:w="792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269,985</w:t>
            </w:r>
          </w:p>
        </w:tc>
      </w:tr>
      <w:tr>
        <w:trPr>
          <w:trHeight w:val="230"/>
        </w:trPr>
        <w:tc>
          <w:tcPr>
            <w:tcW w:w="7920" w:type="dxa"/>
            <w:vAlign w:val="bottom"/>
            <w:tcBorders>
              <w:bottom w:val="single" w:sz="8" w:color="CCEEFF"/>
            </w:tcBorders>
            <w:gridSpan w:val="7"/>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270,333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265,464</w:t>
            </w:r>
          </w:p>
        </w:tc>
      </w:tr>
      <w:tr>
        <w:trPr>
          <w:trHeight w:val="248"/>
        </w:trPr>
        <w:tc>
          <w:tcPr>
            <w:tcW w:w="792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3,252,749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2,987,614</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9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92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948,195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887,750</w:t>
            </w:r>
          </w:p>
        </w:tc>
      </w:tr>
      <w:tr>
        <w:trPr>
          <w:trHeight w:val="230"/>
        </w:trPr>
        <w:tc>
          <w:tcPr>
            <w:tcW w:w="792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46,792</w:t>
            </w:r>
          </w:p>
        </w:tc>
      </w:tr>
      <w:tr>
        <w:trPr>
          <w:trHeight w:val="229"/>
        </w:trPr>
        <w:tc>
          <w:tcPr>
            <w:tcW w:w="7920" w:type="dxa"/>
            <w:vAlign w:val="bottom"/>
            <w:tcBorders>
              <w:bottom w:val="single" w:sz="8" w:color="CCEEFF"/>
            </w:tcBorders>
            <w:gridSpan w:val="7"/>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55,049</w:t>
            </w:r>
          </w:p>
        </w:tc>
      </w:tr>
      <w:tr>
        <w:trPr>
          <w:trHeight w:val="223"/>
        </w:trPr>
        <w:tc>
          <w:tcPr>
            <w:tcW w:w="79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989,591</w:t>
            </w:r>
          </w:p>
        </w:tc>
      </w:tr>
      <w:tr>
        <w:trPr>
          <w:trHeight w:val="229"/>
        </w:trPr>
        <w:tc>
          <w:tcPr>
            <w:tcW w:w="79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177,074</w:t>
            </w:r>
          </w:p>
        </w:tc>
      </w:tr>
      <w:tr>
        <w:trPr>
          <w:trHeight w:val="229"/>
        </w:trPr>
        <w:tc>
          <w:tcPr>
            <w:tcW w:w="79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mark-to-market (gains) losses on commodity derivatives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w:t>
            </w:r>
          </w:p>
        </w:tc>
      </w:tr>
      <w:tr>
        <w:trPr>
          <w:trHeight w:val="189"/>
        </w:trPr>
        <w:tc>
          <w:tcPr>
            <w:tcW w:w="792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Costs associated with business realignment activities (see </w:t>
            </w:r>
            <w:r>
              <w:rPr>
                <w:rFonts w:ascii="Times New Roman" w:cs="Times New Roman" w:eastAsia="Times New Roman" w:hAnsi="Times New Roman"/>
                <w:sz w:val="18"/>
                <w:szCs w:val="18"/>
                <w:color w:val="0000FF"/>
              </w:rPr>
              <w:t>Note 9</w:t>
            </w: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16,666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2,349</w:t>
            </w:r>
          </w:p>
        </w:tc>
      </w:tr>
      <w:tr>
        <w:trPr>
          <w:trHeight w:val="21"/>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0000FF"/>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79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799,924</w:t>
            </w:r>
          </w:p>
        </w:tc>
      </w:tr>
      <w:tr>
        <w:trPr>
          <w:trHeight w:val="189"/>
        </w:trPr>
        <w:tc>
          <w:tcPr>
            <w:tcW w:w="792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Interest expense, net (see </w:t>
            </w:r>
            <w:r>
              <w:rPr>
                <w:rFonts w:ascii="Times New Roman" w:cs="Times New Roman" w:eastAsia="Times New Roman" w:hAnsi="Times New Roman"/>
                <w:sz w:val="18"/>
                <w:szCs w:val="18"/>
                <w:color w:val="0000FF"/>
              </w:rPr>
              <w:t>Note 4</w:t>
            </w: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39,822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37,685</w:t>
            </w:r>
          </w:p>
        </w:tc>
      </w:tr>
      <w:tr>
        <w:trPr>
          <w:trHeight w:val="21"/>
        </w:trPr>
        <w:tc>
          <w:tcPr>
            <w:tcW w:w="188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9"/>
        </w:trPr>
        <w:tc>
          <w:tcPr>
            <w:tcW w:w="7920" w:type="dxa"/>
            <w:vAlign w:val="bottom"/>
            <w:gridSpan w:val="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Other (income) expense, net (see </w:t>
            </w:r>
            <w:r>
              <w:rPr>
                <w:rFonts w:ascii="Times New Roman" w:cs="Times New Roman" w:eastAsia="Times New Roman" w:hAnsi="Times New Roman"/>
                <w:sz w:val="18"/>
                <w:szCs w:val="18"/>
                <w:color w:val="0000FF"/>
              </w:rPr>
              <w:t>Note 17</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32,020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2,983</w:t>
            </w:r>
          </w:p>
        </w:tc>
      </w:tr>
      <w:tr>
        <w:trPr>
          <w:trHeight w:val="223"/>
        </w:trPr>
        <w:tc>
          <w:tcPr>
            <w:tcW w:w="2440" w:type="dxa"/>
            <w:vAlign w:val="bottom"/>
            <w:tcBorders>
              <w:top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80" w:type="dxa"/>
            <w:vAlign w:val="bottom"/>
            <w:tcBorders>
              <w:top w:val="single" w:sz="8" w:color="0000FF"/>
            </w:tcBorders>
          </w:tcPr>
          <w:p>
            <w:pPr>
              <w:spacing w:after="0"/>
              <w:rPr>
                <w:sz w:val="19"/>
                <w:szCs w:val="19"/>
                <w:color w:val="auto"/>
              </w:rPr>
            </w:pPr>
          </w:p>
        </w:tc>
        <w:tc>
          <w:tcPr>
            <w:tcW w:w="4900" w:type="dxa"/>
            <w:vAlign w:val="bottom"/>
            <w:tcBorders>
              <w:top w:val="single" w:sz="8" w:color="CCEEFF"/>
            </w:tcBorders>
            <w:gridSpan w:val="3"/>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986,258</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759,256</w:t>
            </w:r>
          </w:p>
        </w:tc>
      </w:tr>
      <w:tr>
        <w:trPr>
          <w:trHeight w:val="20"/>
        </w:trPr>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340" w:right="20" w:hanging="332"/>
        <w:spacing w:after="0" w:line="261"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within the unallocated mark-to-market adjustment for commodity derivatives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1"/>
        </w:trPr>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3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April 2, 2023</w:t>
            </w:r>
          </w:p>
        </w:tc>
        <w:tc>
          <w:tcPr>
            <w:tcW w:w="0" w:type="dxa"/>
            <w:vAlign w:val="bottom"/>
          </w:tcPr>
          <w:p>
            <w:pPr>
              <w:spacing w:after="0"/>
              <w:rPr>
                <w:sz w:val="1"/>
                <w:szCs w:val="1"/>
                <w:color w:val="auto"/>
              </w:rPr>
            </w:pPr>
          </w:p>
        </w:tc>
      </w:tr>
      <w:tr>
        <w:trPr>
          <w:trHeight w:val="225"/>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losses on mark-to-market valuation of commodity derivative positions recognized in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(197,764)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losses on commodity derivative positions reclassified from unallocated to segment income</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155"/>
        </w:trPr>
        <w:tc>
          <w:tcPr>
            <w:tcW w:w="79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(gains) losses on mark-to-market valuation of commodity derivative positions recognized in</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(218,015)</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0" w:type="dxa"/>
            <w:vAlign w:val="bottom"/>
          </w:tcPr>
          <w:p>
            <w:pPr>
              <w:spacing w:after="0"/>
              <w:rPr>
                <w:sz w:val="1"/>
                <w:szCs w:val="1"/>
                <w:color w:val="auto"/>
              </w:rPr>
            </w:pPr>
          </w:p>
        </w:tc>
      </w:tr>
      <w:tr>
        <w:trPr>
          <w:trHeight w:val="236"/>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derivative (gains) losses</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March 31, 2024, the cumulative amount of mark-to-market gains on commodity derivatives that have been recognized in our consolidated cost of sales and not yet allocated to reportable segments was $167,808. Based on our forecasts of the timing of the recognition of the underlying hedged items, we expect to reclassify net pre-tax losses on commodity derivatives of $24,574 to segment operating results in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474980</wp:posOffset>
            </wp:positionV>
            <wp:extent cx="19685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included within segment income presented above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3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April 2, 2023</w:t>
            </w:r>
          </w:p>
        </w:tc>
      </w:tr>
      <w:tr>
        <w:trPr>
          <w:trHeight w:val="225"/>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56,722</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17,580</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17,839</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98,199</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our net sales disaggregated by geographical region is as follows:</w:t>
      </w:r>
    </w:p>
    <w:p>
      <w:pPr>
        <w:spacing w:after="0" w:line="52"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21590</wp:posOffset>
            </wp:positionV>
            <wp:extent cx="2108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26" w:lineRule="exact"/>
        <w:rPr>
          <w:sz w:val="20"/>
          <w:szCs w:val="20"/>
          <w:color w:val="auto"/>
        </w:rPr>
      </w:pPr>
    </w:p>
    <w:p>
      <w:pPr>
        <w:ind w:left="8180"/>
        <w:spacing w:after="0"/>
        <w:tabs>
          <w:tab w:leader="none" w:pos="9960" w:val="left"/>
        </w:tabs>
        <w:rPr>
          <w:sz w:val="20"/>
          <w:szCs w:val="20"/>
          <w:color w:val="auto"/>
        </w:rPr>
      </w:pPr>
      <w:r>
        <w:rPr>
          <w:rFonts w:ascii="Times New Roman" w:cs="Times New Roman" w:eastAsia="Times New Roman" w:hAnsi="Times New Roman"/>
          <w:sz w:val="16"/>
          <w:szCs w:val="16"/>
          <w:b w:val="1"/>
          <w:bCs w:val="1"/>
          <w:color w:val="auto"/>
        </w:rPr>
        <w:t>March 31, 2024</w:t>
      </w:r>
      <w:r>
        <w:rPr>
          <w:sz w:val="20"/>
          <w:szCs w:val="20"/>
          <w:color w:val="auto"/>
        </w:rPr>
        <w:tab/>
      </w:r>
      <w:r>
        <w:rPr>
          <w:rFonts w:ascii="Times New Roman" w:cs="Times New Roman" w:eastAsia="Times New Roman" w:hAnsi="Times New Roman"/>
          <w:sz w:val="16"/>
          <w:szCs w:val="16"/>
          <w:b w:val="1"/>
          <w:bCs w:val="1"/>
          <w:color w:val="auto"/>
        </w:rPr>
        <w:t>April 2, 2023</w:t>
      </w:r>
    </w:p>
    <w:p>
      <w:pPr>
        <w:sectPr>
          <w:pgSz w:w="11900" w:h="16838" w:orient="portrait"/>
          <w:cols w:equalWidth="0" w:num="1">
            <w:col w:w="11240"/>
          </w:cols>
          <w:pgMar w:left="320" w:top="117"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sales:</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United States</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All other countries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TREASURY STOCK ACTIVITY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treasury stock activity is as follows: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780" w:type="dxa"/>
        <w:tblCellMar>
          <w:top w:w="0" w:type="dxa"/>
          <w:left w:w="0" w:type="dxa"/>
          <w:bottom w:w="0" w:type="dxa"/>
          <w:right w:w="0" w:type="dxa"/>
        </w:tblCellMar>
      </w:tblPr>
      <w:tr>
        <w:trPr>
          <w:trHeight w:val="230"/>
        </w:trPr>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2,854,432</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2,617,923</w:t>
            </w:r>
          </w:p>
        </w:tc>
      </w:tr>
      <w:tr>
        <w:trPr>
          <w:trHeight w:val="234"/>
        </w:trPr>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398,317</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369,691</w:t>
            </w:r>
          </w:p>
        </w:tc>
      </w:tr>
      <w:tr>
        <w:trPr>
          <w:trHeight w:val="223"/>
        </w:trPr>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3,252,749</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2,987,614</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-333375</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-624840</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w:t>
            </w:r>
          </w:p>
        </w:tc>
      </w:tr>
      <w:tr>
        <w:trPr>
          <w:trHeight w:val="206"/>
        </w:trPr>
        <w:tc>
          <w:tcPr>
            <w:tcW w:w="2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thousands</w:t>
            </w:r>
          </w:p>
        </w:tc>
      </w:tr>
    </w:tbl>
    <w:p>
      <w:pPr>
        <w:spacing w:after="0" w:line="20" w:lineRule="exact"/>
        <w:rPr>
          <w:sz w:val="20"/>
          <w:szCs w:val="20"/>
          <w:color w:val="auto"/>
        </w:rPr>
      </w:pPr>
    </w:p>
    <w:p>
      <w:pPr>
        <w:sectPr>
          <w:pgSz w:w="11900" w:h="16838" w:orient="portrait"/>
          <w:cols w:equalWidth="0" w:num="2">
            <w:col w:w="6420" w:space="720"/>
            <w:col w:w="41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 in the open market under pre-approved share repurchase programs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2,022,064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175"/>
        </w:trPr>
        <w:tc>
          <w:tcPr>
            <w:tcW w:w="7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repurchased in the open market to replace Treasury Stock issued for stock options and</w:t>
            </w: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incentive compensation</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483,033</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94,191</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 repurchases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2,505,097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494,191</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issued for stock options and incentive compensation</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(332,986)</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(13,856)</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share repurchases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2,172,111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480,335</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associated with net share repurchases (1)</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w:t>
            </w:r>
          </w:p>
        </w:tc>
      </w:tr>
      <w:tr>
        <w:trPr>
          <w:trHeight w:val="248"/>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485,138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right="560" w:hanging="330"/>
        <w:spacing w:after="0" w:line="282" w:lineRule="auto"/>
        <w:tabs>
          <w:tab w:leader="none" w:pos="4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corresponding liability for excise tax associated with net share repurchases is classified on our Consolidated Balance Sheets within accrued liabilities.</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February 2023, the Company entered into a Stock Purchase Agreement with Hershey Trust Company, as trustee for the Milton Hershey School Trust (the “School Trust”), pursuant to which the Company purchased 1,000,000 shares of the Company’s Common Stock from the School Trust at a price equal to $239.91 per share, for a total purchase price of $239,910.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260350</wp:posOffset>
            </wp:positionV>
            <wp:extent cx="19685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 July 2018, our Board of Directors approved a $500 million share repurchase authorization to repurchase shares of our Common Stock. As a result of the February 2023 Stock Purchase Agreement with Hershey Trust Company, as trustee for the School Trust, the July 2018 share repurchase authorization was completed. In May 2021, our Board of Directors approved an additional $500 million share repurchase authorization, which was completed as of March 31, 2024. In December 2023, our Board of Directors approved an additional $500 million share repurchase authorization. This program commenced after the existing May 2021 authorization was completed. As a result of the share repurchase authorization, approximately $470 million remains available for repurchases under our December 2023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CONTINGENCIES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is subject to certain legal proceedings and claims arising out of the ordinary course of our business, which cover a wide range of matters including trade regulation, product liability, advertising, contracts, environmental issues, patent and trademark matters, labor and employment matters, human and workplace rights matters and tax.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479425</wp:posOffset>
            </wp:positionV>
            <wp:extent cx="19685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EARNINGS PER SHARE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00" w:type="dxa"/>
            <w:vAlign w:val="bottom"/>
          </w:tcPr>
          <w:p>
            <w:pPr>
              <w:spacing w:after="0"/>
              <w:rPr>
                <w:sz w:val="18"/>
                <w:szCs w:val="18"/>
                <w:color w:val="auto"/>
              </w:rPr>
            </w:pPr>
          </w:p>
        </w:tc>
        <w:tc>
          <w:tcPr>
            <w:tcW w:w="204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April 2, 2023</w:t>
            </w:r>
          </w:p>
        </w:tc>
        <w:tc>
          <w:tcPr>
            <w:tcW w:w="0" w:type="dxa"/>
            <w:vAlign w:val="bottom"/>
          </w:tcPr>
          <w:p>
            <w:pPr>
              <w:spacing w:after="0"/>
              <w:rPr>
                <w:sz w:val="1"/>
                <w:szCs w:val="1"/>
                <w:color w:val="auto"/>
              </w:rPr>
            </w:pPr>
          </w:p>
        </w:tc>
      </w:tr>
      <w:tr>
        <w:trPr>
          <w:trHeight w:val="157"/>
        </w:trPr>
        <w:tc>
          <w:tcPr>
            <w:tcW w:w="638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12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14"/>
        </w:trPr>
        <w:tc>
          <w:tcPr>
            <w:tcW w:w="63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20" w:type="dxa"/>
            <w:vAlign w:val="bottom"/>
            <w:gridSpan w:val="3"/>
            <w:vMerge w:val="continue"/>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0" w:type="dxa"/>
            <w:vAlign w:val="bottom"/>
          </w:tcPr>
          <w:p>
            <w:pPr>
              <w:spacing w:after="0"/>
              <w:rPr>
                <w:sz w:val="1"/>
                <w:szCs w:val="1"/>
                <w:color w:val="auto"/>
              </w:rPr>
            </w:pPr>
          </w:p>
        </w:tc>
      </w:tr>
      <w:tr>
        <w:trPr>
          <w:trHeight w:val="198"/>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Allocation of distributed earnings (cash dividends paid)</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53,801</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Allocation of undistributed earnings</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393,508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130,540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281,044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98,785</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earnings—basic</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152,586</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weighted-average shares—basic</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149,609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57,114</w:t>
            </w:r>
          </w:p>
        </w:tc>
        <w:tc>
          <w:tcPr>
            <w:tcW w:w="0" w:type="dxa"/>
            <w:vAlign w:val="bottom"/>
          </w:tcPr>
          <w:p>
            <w:pPr>
              <w:spacing w:after="0"/>
              <w:rPr>
                <w:sz w:val="1"/>
                <w:szCs w:val="1"/>
                <w:color w:val="auto"/>
              </w:rPr>
            </w:pPr>
          </w:p>
        </w:tc>
      </w:tr>
      <w:tr>
        <w:trPr>
          <w:trHeight w:val="131"/>
        </w:trPr>
        <w:tc>
          <w:tcPr>
            <w:tcW w:w="6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Share—basic</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3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Allocation of total earnings used in basic computation</w:t>
            </w: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598,919</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198,534</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434,599</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152,586</w:t>
            </w:r>
          </w:p>
        </w:tc>
        <w:tc>
          <w:tcPr>
            <w:tcW w:w="0" w:type="dxa"/>
            <w:vAlign w:val="bottom"/>
          </w:tcPr>
          <w:p>
            <w:pPr>
              <w:spacing w:after="0"/>
              <w:rPr>
                <w:sz w:val="1"/>
                <w:szCs w:val="1"/>
                <w:color w:val="auto"/>
              </w:rPr>
            </w:pPr>
          </w:p>
        </w:tc>
      </w:tr>
      <w:tr>
        <w:trPr>
          <w:trHeight w:val="165"/>
        </w:trPr>
        <w:tc>
          <w:tcPr>
            <w:tcW w:w="63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Reallocation of total earnings as a result of conversion of Class B common stock to</w:t>
            </w:r>
          </w:p>
        </w:tc>
        <w:tc>
          <w:tcPr>
            <w:tcW w:w="3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198,534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3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Reallocation of undistributed earnings</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earnings—diluted</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797,453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198,109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587,185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152,105</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Number of shares used in basic computation</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57,114</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Weighted-average effect of dilutive securities: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Conversion of Class B common stock to Common shares outstanding</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stock options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Performance and restricted stock units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weighted-average shares—diluted</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204,875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205,837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57,114</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Share—diluted</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earnings per share calculations for the three months ended March 31, 2024 and April 2, 2023 excluded 12 and 8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259715</wp:posOffset>
            </wp:positionV>
            <wp:extent cx="19685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OTHER (INCOME) EXPENSE, NET</w:t>
      </w:r>
    </w:p>
    <w:p>
      <w:pPr>
        <w:spacing w:after="0" w:line="256"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111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20" w:type="dxa"/>
            <w:vAlign w:val="bottom"/>
          </w:tcPr>
          <w:p>
            <w:pPr>
              <w:spacing w:after="0"/>
              <w:rPr>
                <w:sz w:val="18"/>
                <w:szCs w:val="18"/>
                <w:color w:val="auto"/>
              </w:rPr>
            </w:pPr>
          </w:p>
        </w:tc>
        <w:tc>
          <w:tcPr>
            <w:tcW w:w="158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April 2, 2023</w:t>
            </w:r>
          </w:p>
        </w:tc>
      </w:tr>
      <w:tr>
        <w:trPr>
          <w:trHeight w:val="166"/>
        </w:trPr>
        <w:tc>
          <w:tcPr>
            <w:tcW w:w="7360" w:type="dxa"/>
            <w:vAlign w:val="bottom"/>
            <w:tcBorders>
              <w:top w:val="single" w:sz="8" w:color="CCEEFF"/>
            </w:tcBorders>
            <w:gridSpan w:val="5"/>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Write-down of equity investments in partnerships qualifying for historic and renewable energy tax</w:t>
            </w:r>
          </w:p>
        </w:tc>
        <w:tc>
          <w:tcPr>
            <w:tcW w:w="2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r>
      <w:tr>
        <w:trPr>
          <w:trHeight w:val="194"/>
        </w:trPr>
        <w:tc>
          <w:tcPr>
            <w:tcW w:w="7360" w:type="dxa"/>
            <w:vAlign w:val="bottom"/>
            <w:gridSpan w:val="5"/>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 xml:space="preserve">credits (see </w:t>
            </w:r>
            <w:r>
              <w:rPr>
                <w:rFonts w:ascii="Times New Roman" w:cs="Times New Roman" w:eastAsia="Times New Roman" w:hAnsi="Times New Roman"/>
                <w:sz w:val="18"/>
                <w:szCs w:val="18"/>
                <w:color w:val="0000FF"/>
              </w:rPr>
              <w:t>Note 8</w:t>
            </w: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31,391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1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r>
      <w:tr>
        <w:trPr>
          <w:trHeight w:val="184"/>
        </w:trPr>
        <w:tc>
          <w:tcPr>
            <w:tcW w:w="7360" w:type="dxa"/>
            <w:vAlign w:val="bottom"/>
            <w:gridSpan w:val="5"/>
          </w:tcPr>
          <w:p>
            <w:pPr>
              <w:ind w:left="20"/>
              <w:spacing w:after="0" w:line="184" w:lineRule="exact"/>
              <w:rPr>
                <w:sz w:val="20"/>
                <w:szCs w:val="20"/>
                <w:color w:val="auto"/>
              </w:rPr>
            </w:pPr>
            <w:r>
              <w:rPr>
                <w:rFonts w:ascii="Times New Roman" w:cs="Times New Roman" w:eastAsia="Times New Roman" w:hAnsi="Times New Roman"/>
                <w:sz w:val="18"/>
                <w:szCs w:val="18"/>
                <w:color w:val="auto"/>
              </w:rPr>
              <w:t>Non-service cost components of net periodic benefit cost relating to pension and other post-</w:t>
            </w: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4"/>
        </w:trPr>
        <w:tc>
          <w:tcPr>
            <w:tcW w:w="7360" w:type="dxa"/>
            <w:vAlign w:val="bottom"/>
            <w:gridSpan w:val="5"/>
          </w:tcPr>
          <w:p>
            <w:pPr>
              <w:ind w:left="20"/>
              <w:spacing w:after="0" w:line="194" w:lineRule="exact"/>
              <w:rPr>
                <w:sz w:val="20"/>
                <w:szCs w:val="20"/>
                <w:color w:val="auto"/>
              </w:rPr>
            </w:pPr>
            <w:r>
              <w:rPr>
                <w:rFonts w:ascii="Times New Roman" w:cs="Times New Roman" w:eastAsia="Times New Roman" w:hAnsi="Times New Roman"/>
                <w:sz w:val="18"/>
                <w:szCs w:val="18"/>
                <w:color w:val="auto"/>
              </w:rPr>
              <w:t xml:space="preserve">retirement benefit plans (see </w:t>
            </w:r>
            <w:r>
              <w:rPr>
                <w:rFonts w:ascii="Times New Roman" w:cs="Times New Roman" w:eastAsia="Times New Roman" w:hAnsi="Times New Roman"/>
                <w:sz w:val="18"/>
                <w:szCs w:val="18"/>
                <w:color w:val="0000FF"/>
              </w:rPr>
              <w:t>Note 11</w:t>
            </w: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16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3,211</w:t>
            </w:r>
          </w:p>
        </w:tc>
      </w:tr>
      <w:tr>
        <w:trPr>
          <w:trHeight w:val="21"/>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9"/>
        </w:trPr>
        <w:tc>
          <w:tcPr>
            <w:tcW w:w="73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3"/>
        </w:trPr>
        <w:tc>
          <w:tcPr>
            <w:tcW w:w="73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w:t>
            </w:r>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548640</wp:posOffset>
            </wp:positionV>
            <wp:extent cx="19685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 SUPPLEMENTAL BALANCE SHEET INFORMATION</w:t>
            </w: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1"/>
        </w:trPr>
        <w:tc>
          <w:tcPr>
            <w:tcW w:w="8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certain asset accounts included within our Consolidated Balance Sheets are as follows:</w:t>
            </w: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6"/>
        </w:trPr>
        <w:tc>
          <w:tcPr>
            <w:tcW w:w="6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2"/>
                <w:szCs w:val="22"/>
                <w:color w:val="auto"/>
              </w:rPr>
            </w:pP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527,719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481,111</w:t>
            </w: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Goods in process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192,232</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818,586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948,974</w:t>
            </w:r>
          </w:p>
        </w:tc>
      </w:tr>
      <w:tr>
        <w:trPr>
          <w:trHeight w:val="223"/>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at First In First Out</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1,572,832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1,622,317</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Adjustment to Last In First Out</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(281,321)</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1,340,996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6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20" w:type="dxa"/>
            <w:vAlign w:val="bottom"/>
          </w:tcPr>
          <w:p>
            <w:pPr>
              <w:spacing w:after="0"/>
              <w:rPr>
                <w:sz w:val="8"/>
                <w:szCs w:val="8"/>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Prepaid expenses and other:</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129,654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227,567</w:t>
            </w: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118,021</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523,392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345,588</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15"/>
        </w:trPr>
        <w:tc>
          <w:tcPr>
            <w:tcW w:w="66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180,751</w:t>
            </w: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Buildings</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1,776,563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1,763,070</w:t>
            </w: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4,000,536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3,861,006</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644,244</w:t>
            </w:r>
          </w:p>
        </w:tc>
      </w:tr>
      <w:tr>
        <w:trPr>
          <w:trHeight w:val="223"/>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6,531,303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6,449,071</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(3,198,207)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(3,139,393)</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3,333,096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3,309,678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20" w:type="dxa"/>
            <w:vAlign w:val="bottom"/>
          </w:tcPr>
          <w:p>
            <w:pPr>
              <w:spacing w:after="0"/>
              <w:rPr>
                <w:sz w:val="8"/>
                <w:szCs w:val="8"/>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48,506</w:t>
            </w: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software, net</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371,254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360,205</w:t>
            </w: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307,976</w:t>
            </w: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207,177</w:t>
            </w:r>
          </w:p>
        </w:tc>
      </w:tr>
      <w:tr>
        <w:trPr>
          <w:trHeight w:val="230"/>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137,563</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1,061,427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411480</wp:posOffset>
            </wp:positionV>
            <wp:extent cx="19685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certain liability and stockholders’ equity accounts included within our Consolidated Balance Sheets are as follows:</w:t>
      </w:r>
    </w:p>
    <w:p>
      <w:pPr>
        <w:spacing w:after="0" w:line="32" w:lineRule="exact"/>
        <w:rPr>
          <w:sz w:val="20"/>
          <w:szCs w:val="20"/>
          <w:color w:val="auto"/>
        </w:rPr>
      </w:pPr>
    </w:p>
    <w:p>
      <w:pPr>
        <w:jc w:val="right"/>
        <w:ind w:right="40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March 31, 2024</w:t>
      </w:r>
      <w:r>
        <w:rPr>
          <w:sz w:val="20"/>
          <w:szCs w:val="20"/>
          <w:color w:val="auto"/>
        </w:rPr>
        <w:tab/>
      </w: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323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Accounts payable—trade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Supplier finance program obligations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accounts payable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Payroll, compensation and benefits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Advertising, promotion and product allowances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accrued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Post-retirement benefits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Pension benefits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long-term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Pension and post-retirement benefit plans, net of tax</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flow hedges, net of tax</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accumulated other comprehensive loss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532,335</w:t>
            </w:r>
          </w:p>
        </w:tc>
        <w:tc>
          <w:tcPr>
            <w:tcW w:w="10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630,536</w:t>
            </w:r>
          </w:p>
        </w:tc>
      </w:tr>
      <w:tr>
        <w:trPr>
          <w:trHeight w:val="229"/>
        </w:trPr>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201,109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149,261</w:t>
            </w:r>
          </w:p>
        </w:tc>
      </w:tr>
      <w:tr>
        <w:trPr>
          <w:trHeight w:val="234"/>
        </w:trPr>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212,556</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306,386</w:t>
            </w:r>
          </w:p>
        </w:tc>
      </w:tr>
      <w:tr>
        <w:trPr>
          <w:trHeight w:val="223"/>
        </w:trPr>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946,000</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1,086,183</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69"/>
        </w:trPr>
        <w:tc>
          <w:tcPr>
            <w:tcW w:w="8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170,343</w:t>
            </w:r>
          </w:p>
        </w:tc>
        <w:tc>
          <w:tcPr>
            <w:tcW w:w="10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261,961</w:t>
            </w:r>
          </w:p>
        </w:tc>
      </w:tr>
      <w:tr>
        <w:trPr>
          <w:trHeight w:val="230"/>
        </w:trPr>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436,474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343,444</w:t>
            </w:r>
          </w:p>
        </w:tc>
      </w:tr>
      <w:tr>
        <w:trPr>
          <w:trHeight w:val="229"/>
        </w:trPr>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34,494</w:t>
            </w:r>
          </w:p>
        </w:tc>
      </w:tr>
      <w:tr>
        <w:trPr>
          <w:trHeight w:val="234"/>
        </w:trPr>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230,434</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227,916</w:t>
            </w:r>
          </w:p>
        </w:tc>
      </w:tr>
      <w:tr>
        <w:trPr>
          <w:trHeight w:val="223"/>
        </w:trPr>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872,475</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867,815</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69"/>
        </w:trPr>
        <w:tc>
          <w:tcPr>
            <w:tcW w:w="8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93,469</w:t>
            </w:r>
          </w:p>
        </w:tc>
        <w:tc>
          <w:tcPr>
            <w:tcW w:w="10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90,718</w:t>
            </w:r>
          </w:p>
        </w:tc>
      </w:tr>
      <w:tr>
        <w:trPr>
          <w:trHeight w:val="230"/>
        </w:trPr>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28,949</w:t>
            </w:r>
          </w:p>
        </w:tc>
      </w:tr>
      <w:tr>
        <w:trPr>
          <w:trHeight w:val="229"/>
        </w:trPr>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276,417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277,089</w:t>
            </w:r>
          </w:p>
        </w:tc>
      </w:tr>
      <w:tr>
        <w:trPr>
          <w:trHeight w:val="234"/>
        </w:trPr>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267,658</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263,917</w:t>
            </w:r>
          </w:p>
        </w:tc>
      </w:tr>
      <w:tr>
        <w:trPr>
          <w:trHeight w:val="223"/>
        </w:trPr>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663,648</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660,673</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69"/>
        </w:trPr>
        <w:tc>
          <w:tcPr>
            <w:tcW w:w="8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(92,704)</w:t>
            </w:r>
          </w:p>
        </w:tc>
        <w:tc>
          <w:tcPr>
            <w:tcW w:w="10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(87,706)</w:t>
            </w:r>
          </w:p>
        </w:tc>
      </w:tr>
      <w:tr>
        <w:trPr>
          <w:trHeight w:val="229"/>
        </w:trPr>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(124,909)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(126,800)</w:t>
            </w:r>
          </w:p>
        </w:tc>
      </w:tr>
      <w:tr>
        <w:trPr>
          <w:trHeight w:val="234"/>
        </w:trPr>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(15,572)</w:t>
            </w:r>
          </w:p>
        </w:tc>
      </w:tr>
      <w:tr>
        <w:trPr>
          <w:trHeight w:val="223"/>
        </w:trPr>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(230,835)</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(230,078)</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-3317240</wp:posOffset>
            </wp:positionV>
            <wp:extent cx="71323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-3025140</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-2759710</wp:posOffset>
            </wp:positionV>
            <wp:extent cx="71323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-2468245</wp:posOffset>
            </wp:positionV>
            <wp:extent cx="713232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-2176780</wp:posOffset>
            </wp:positionV>
            <wp:extent cx="713232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-1859915</wp:posOffset>
            </wp:positionV>
            <wp:extent cx="7132320" cy="939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-1619250</wp:posOffset>
            </wp:positionV>
            <wp:extent cx="7132320"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-1327785</wp:posOffset>
            </wp:positionV>
            <wp:extent cx="7132320"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-1036955</wp:posOffset>
            </wp:positionV>
            <wp:extent cx="71323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-770890</wp:posOffset>
            </wp:positionV>
            <wp:extent cx="71323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-479425</wp:posOffset>
            </wp:positionV>
            <wp:extent cx="71323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-187960</wp:posOffset>
            </wp:positionV>
            <wp:extent cx="71323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539750</wp:posOffset>
            </wp:positionV>
            <wp:extent cx="19685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620"/>
          </w:cols>
          <w:pgMar w:left="34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380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type w:val="continuous"/>
        </w:sectPr>
      </w:pPr>
    </w:p>
    <w:bookmarkStart w:id="31" w:name="page32"/>
    <w:bookmarkEnd w:id="31"/>
    <w:p>
      <w:pPr>
        <w:spacing w:after="0" w:line="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This Management’s Discussion and Analysis (“MD&amp;A”) is intended to provide an understanding of Hershey’s financial condition, results of operations and cash flows by focusing on changes in certain key measures from year to year. This MD&amp;A should be read in conjunction with our Unaudited Consolidated Financial Statements and accompanying notes included in this Quarterly Report on Form 10-Q for the quarterly period ended March 31, 2024 (“this Quarterly Report on Form 10-Q”). This discussion contains a number of forward-looking statements, all of which are based on current expectations. Actual results may differ materially. Refer to the Safe Harbor Statement below as well as the Risk Factors and other information contained in our 2023 Annual Report on Form 10-K, as updated by </w:t>
      </w:r>
      <w:r>
        <w:rPr>
          <w:rFonts w:ascii="Times New Roman" w:cs="Times New Roman" w:eastAsia="Times New Roman" w:hAnsi="Times New Roman"/>
          <w:sz w:val="18"/>
          <w:szCs w:val="18"/>
          <w:u w:val="single" w:color="auto"/>
          <w:color w:val="0000FF"/>
        </w:rPr>
        <w:t>Part II, Item 1A</w:t>
      </w:r>
      <w:r>
        <w:rPr>
          <w:rFonts w:ascii="Times New Roman" w:cs="Times New Roman" w:eastAsia="Times New Roman" w:hAnsi="Times New Roman"/>
          <w:sz w:val="18"/>
          <w:szCs w:val="18"/>
          <w:color w:val="auto"/>
        </w:rPr>
        <w:t xml:space="preserve"> in this Quarterly Report on Form 10-Q, for information concerning the key risks to achieving future performance goals.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MD&amp;A is organized in the following sections:</w:t>
      </w:r>
    </w:p>
    <w:p>
      <w:pPr>
        <w:spacing w:after="0" w:line="63" w:lineRule="exact"/>
        <w:rPr>
          <w:sz w:val="20"/>
          <w:szCs w:val="20"/>
          <w:color w:val="auto"/>
        </w:rPr>
      </w:pPr>
    </w:p>
    <w:p>
      <w:pPr>
        <w:ind w:left="900" w:hanging="5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Overview</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Trends Affecting Our Business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Consolidated Results of Operations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Segment Results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Liquidity and Capital Resources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Safe Harbor Statement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Hershey is a global confectionery leader known for making more moments of goodness through chocolate, sweets, mints and other great tasting snacks. We are the largest producer of quality chocolate in North America, a leading snack maker in the United States (“U.S.”) and a global leader in chocolate and non-chocolate confectionery. We market, sell and distribute our products under more than 90 brand names in approximately 80 countries worldwide.</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principal product offerings include chocolate and non-chocolate confectionery products; gum and mint refreshment products and protein bars; pantry items, such as baking ingredients, toppings and beverages; and snack items such as spreads, bars, and snack bites and mixes, popcorn and pretzels.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16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 xml:space="preserve">On May 31, 2023, we completed the acquisition of certain assets that provide additional manufacturing capacity from Weaver Popcorn Manufacturing, Inc. (“Weaver”), a leader in the production and co-packing of microwave popcorn and ready-to-eat popcorn, and former co-manufacturer of the Company’s </w:t>
      </w:r>
      <w:r>
        <w:rPr>
          <w:rFonts w:ascii="Times New Roman" w:cs="Times New Roman" w:eastAsia="Times New Roman" w:hAnsi="Times New Roman"/>
          <w:sz w:val="18"/>
          <w:szCs w:val="18"/>
          <w:i w:val="1"/>
          <w:iCs w:val="1"/>
          <w:color w:val="auto"/>
        </w:rPr>
        <w:t xml:space="preserve">SkinnyPop </w:t>
      </w:r>
      <w:r>
        <w:rPr>
          <w:rFonts w:ascii="Times New Roman" w:cs="Times New Roman" w:eastAsia="Times New Roman" w:hAnsi="Times New Roman"/>
          <w:sz w:val="18"/>
          <w:szCs w:val="18"/>
          <w:color w:val="auto"/>
        </w:rPr>
        <w:t>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269875</wp:posOffset>
            </wp:positionV>
            <wp:extent cx="19685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Throughout the first quarter of 2024, the U.S. consumer continued to drive momentum within the economy; however, we expect some moderation in consumer spending throughout the remainder of 2024 as cost fatigue and labor markets restrict income growth and constrain consumer spending power and purchasing behaviors. Net sales and net income increased during the three months ended March 31, 2024, as we continued to experience a dynamic macroeconomic environment, including price volatility related to select commodities, resulting in corresponding incremental costs and gross margin pressures. Despite specific actions taken to mitigate these gross margin pressures, higher prices for direct materials used to manufacture our products were, and continue to be, the primary incremental cost to our business (see </w:t>
      </w:r>
      <w:r>
        <w:rPr>
          <w:rFonts w:ascii="Times New Roman" w:cs="Times New Roman" w:eastAsia="Times New Roman" w:hAnsi="Times New Roman"/>
          <w:sz w:val="18"/>
          <w:szCs w:val="18"/>
          <w:u w:val="single" w:color="auto"/>
          <w:color w:val="0000FF"/>
        </w:rPr>
        <w:t>Consolidated Results of Operations</w:t>
      </w:r>
      <w:r>
        <w:rPr>
          <w:rFonts w:ascii="Times New Roman" w:cs="Times New Roman" w:eastAsia="Times New Roman" w:hAnsi="Times New Roman"/>
          <w:sz w:val="18"/>
          <w:szCs w:val="18"/>
          <w:color w:val="auto"/>
        </w:rPr>
        <w:t xml:space="preserve"> included in this MD&amp;A). We utilize many exchange traded commodities for our business that are subject to price volatility, specifically cocoa products, which experienced a market price increase of approximately 140% since the beginning of the year (see </w:t>
      </w:r>
      <w:r>
        <w:rPr>
          <w:rFonts w:ascii="Times New Roman" w:cs="Times New Roman" w:eastAsia="Times New Roman" w:hAnsi="Times New Roman"/>
          <w:sz w:val="18"/>
          <w:szCs w:val="18"/>
          <w:u w:val="single" w:color="auto"/>
          <w:color w:val="0000FF"/>
        </w:rPr>
        <w:t>Part I, Item 3 - Quantitative and Qualitative Disclosures about Market Risk</w:t>
      </w:r>
      <w:r>
        <w:rPr>
          <w:rFonts w:ascii="Times New Roman" w:cs="Times New Roman" w:eastAsia="Times New Roman" w:hAnsi="Times New Roman"/>
          <w:sz w:val="18"/>
          <w:szCs w:val="18"/>
          <w:color w:val="auto"/>
        </w:rPr>
        <w:t xml:space="preserve"> included in this Quarterly Report on Form 10-Q). We continue to monitor and use our risk management strategy where possible to hedge commodity prices in order to mitigate corresponding increases in our raw materials and energy costs (see </w:t>
      </w:r>
      <w:r>
        <w:rPr>
          <w:rFonts w:ascii="Times New Roman" w:cs="Times New Roman" w:eastAsia="Times New Roman" w:hAnsi="Times New Roman"/>
          <w:sz w:val="18"/>
          <w:szCs w:val="18"/>
          <w:u w:val="single" w:color="auto"/>
          <w:color w:val="0000FF"/>
        </w:rPr>
        <w:t>Part II, Item 1A - Risk Factors</w:t>
      </w:r>
      <w:r>
        <w:rPr>
          <w:rFonts w:ascii="Times New Roman" w:cs="Times New Roman" w:eastAsia="Times New Roman" w:hAnsi="Times New Roman"/>
          <w:sz w:val="18"/>
          <w:szCs w:val="18"/>
          <w:color w:val="auto"/>
        </w:rPr>
        <w:t xml:space="preserve"> included in this Quarterly Report on Form 10-Q).</w:t>
      </w:r>
    </w:p>
    <w:p>
      <w:pPr>
        <w:spacing w:after="0" w:line="1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Furthermore, certain geopolitical events, specifically the conflict between Russia and Ukraine, have increased global economic and political uncertainty. For the three months ended March 31, 2024, this conflict did not have a material impact on our commodity prices or supply availability. However, we are continuing to monitor for any significant escalation or expansion of economic or supply chain disruptions or broader inflationary costs, which may result in material adverse effects on our results of operations.</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As of March 31, 2024, we believe we have sufficient liquidity to satisfy our key strategic initiatives and other material cash requirements in both the short-term and in the long-term; however, we continue to evaluate and take action, as necessary, to preserve adequate liquidity and ensure that our business can operate effectively during the current economic environment. We continue to monitor our discretionary spending across the organization (see </w:t>
      </w:r>
      <w:r>
        <w:rPr>
          <w:rFonts w:ascii="Times New Roman" w:cs="Times New Roman" w:eastAsia="Times New Roman" w:hAnsi="Times New Roman"/>
          <w:sz w:val="18"/>
          <w:szCs w:val="18"/>
          <w:u w:val="single" w:color="auto"/>
          <w:color w:val="0000FF"/>
        </w:rPr>
        <w:t>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Capital Resources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included in this MD&amp;A).</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Based on the length and severity of the fluctuating macroeconomic environment, including price volatility for our commodities, the possibility of a recession, changes in consumer shopping and consumption behavior, and changes in geopolitical events, including the ongoing conflict between Russia and Ukraine, we may experience increasing supply chain costs, higher inflation and other impacts to our business. We will continue to evaluate the nature and extent of these potential and evolving impacts on our business, consolidated results of operations, segment results,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56"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amounts</w:t>
            </w:r>
          </w:p>
        </w:tc>
        <w:tc>
          <w:tcPr>
            <w:tcW w:w="20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60" w:type="dxa"/>
            <w:vAlign w:val="bottom"/>
          </w:tcPr>
          <w:p>
            <w:pPr>
              <w:spacing w:after="0"/>
              <w:rPr>
                <w:sz w:val="18"/>
                <w:szCs w:val="18"/>
                <w:color w:val="auto"/>
              </w:rPr>
            </w:pPr>
          </w:p>
        </w:tc>
        <w:tc>
          <w:tcPr>
            <w:tcW w:w="14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April 2, 2023</w:t>
            </w:r>
          </w:p>
        </w:tc>
        <w:tc>
          <w:tcPr>
            <w:tcW w:w="100" w:type="dxa"/>
            <w:vAlign w:val="bottom"/>
          </w:tcPr>
          <w:p>
            <w:pPr>
              <w:spacing w:after="0"/>
              <w:rPr>
                <w:sz w:val="18"/>
                <w:szCs w:val="18"/>
                <w:color w:val="auto"/>
              </w:rPr>
            </w:pPr>
          </w:p>
        </w:tc>
        <w:tc>
          <w:tcPr>
            <w:tcW w:w="1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61"/>
        </w:trPr>
        <w:tc>
          <w:tcPr>
            <w:tcW w:w="5820" w:type="dxa"/>
            <w:vAlign w:val="bottom"/>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3,252.7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2,987.6</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0" w:type="dxa"/>
            <w:vAlign w:val="bottom"/>
          </w:tcPr>
          <w:p>
            <w:pPr>
              <w:spacing w:after="0"/>
              <w:rPr>
                <w:sz w:val="1"/>
                <w:szCs w:val="1"/>
                <w:color w:val="auto"/>
              </w:rPr>
            </w:pPr>
          </w:p>
        </w:tc>
      </w:tr>
      <w:tr>
        <w:trPr>
          <w:trHeight w:val="213"/>
        </w:trPr>
        <w:tc>
          <w:tcPr>
            <w:tcW w:w="5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Cost of sales</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1,576.6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1,605.3</w:t>
            </w:r>
          </w:p>
        </w:tc>
        <w:tc>
          <w:tcPr>
            <w:tcW w:w="18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1,676.1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1,382.3</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0" w:type="dxa"/>
            <w:vAlign w:val="bottom"/>
          </w:tcPr>
          <w:p>
            <w:pPr>
              <w:spacing w:after="0"/>
              <w:rPr>
                <w:sz w:val="1"/>
                <w:szCs w:val="1"/>
                <w:color w:val="auto"/>
              </w:rPr>
            </w:pPr>
          </w:p>
        </w:tc>
      </w:tr>
      <w:tr>
        <w:trPr>
          <w:trHeight w:val="208"/>
        </w:trPr>
        <w:tc>
          <w:tcPr>
            <w:tcW w:w="582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200" w:type="dxa"/>
            <w:vAlign w:val="bottom"/>
          </w:tcPr>
          <w:p>
            <w:pPr>
              <w:spacing w:after="0"/>
              <w:rPr>
                <w:sz w:val="18"/>
                <w:szCs w:val="18"/>
                <w:color w:val="auto"/>
              </w:rPr>
            </w:pPr>
          </w:p>
        </w:tc>
        <w:tc>
          <w:tcPr>
            <w:tcW w:w="1520" w:type="dxa"/>
            <w:vAlign w:val="bottom"/>
          </w:tcPr>
          <w:p>
            <w:pPr>
              <w:jc w:val="center"/>
              <w:ind w:left="939"/>
              <w:spacing w:after="0"/>
              <w:rPr>
                <w:sz w:val="20"/>
                <w:szCs w:val="20"/>
                <w:color w:val="auto"/>
              </w:rPr>
            </w:pPr>
            <w:r>
              <w:rPr>
                <w:rFonts w:ascii="Times New Roman" w:cs="Times New Roman" w:eastAsia="Times New Roman" w:hAnsi="Times New Roman"/>
                <w:sz w:val="16"/>
                <w:szCs w:val="16"/>
                <w:i w:val="1"/>
                <w:iCs w:val="1"/>
                <w:color w:val="auto"/>
              </w:rPr>
              <w:t>51.5 %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center"/>
              <w:ind w:left="899"/>
              <w:spacing w:after="0"/>
              <w:rPr>
                <w:sz w:val="20"/>
                <w:szCs w:val="20"/>
                <w:color w:val="auto"/>
              </w:rPr>
            </w:pPr>
            <w:r>
              <w:rPr>
                <w:rFonts w:ascii="Times New Roman" w:cs="Times New Roman" w:eastAsia="Times New Roman" w:hAnsi="Times New Roman"/>
                <w:sz w:val="16"/>
                <w:szCs w:val="16"/>
                <w:i w:val="1"/>
                <w:iCs w:val="1"/>
                <w:color w:val="auto"/>
              </w:rPr>
              <w:t>46.3 %</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Selling, marketing &amp; administrative (“SM&amp;A”) expenses</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618.0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581.6</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08"/>
        </w:trPr>
        <w:tc>
          <w:tcPr>
            <w:tcW w:w="582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SM&amp;A expense as a percent of net sales</w:t>
            </w:r>
          </w:p>
        </w:tc>
        <w:tc>
          <w:tcPr>
            <w:tcW w:w="200" w:type="dxa"/>
            <w:vAlign w:val="bottom"/>
          </w:tcPr>
          <w:p>
            <w:pPr>
              <w:spacing w:after="0"/>
              <w:rPr>
                <w:sz w:val="18"/>
                <w:szCs w:val="18"/>
                <w:color w:val="auto"/>
              </w:rPr>
            </w:pPr>
          </w:p>
        </w:tc>
        <w:tc>
          <w:tcPr>
            <w:tcW w:w="1520" w:type="dxa"/>
            <w:vAlign w:val="bottom"/>
          </w:tcPr>
          <w:p>
            <w:pPr>
              <w:jc w:val="center"/>
              <w:ind w:left="939"/>
              <w:spacing w:after="0"/>
              <w:rPr>
                <w:sz w:val="20"/>
                <w:szCs w:val="20"/>
                <w:color w:val="auto"/>
              </w:rPr>
            </w:pPr>
            <w:r>
              <w:rPr>
                <w:rFonts w:ascii="Times New Roman" w:cs="Times New Roman" w:eastAsia="Times New Roman" w:hAnsi="Times New Roman"/>
                <w:sz w:val="16"/>
                <w:szCs w:val="16"/>
                <w:i w:val="1"/>
                <w:iCs w:val="1"/>
                <w:color w:val="auto"/>
              </w:rPr>
              <w:t>19.0 %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center"/>
              <w:ind w:left="899"/>
              <w:spacing w:after="0"/>
              <w:rPr>
                <w:sz w:val="20"/>
                <w:szCs w:val="20"/>
                <w:color w:val="auto"/>
              </w:rPr>
            </w:pPr>
            <w:r>
              <w:rPr>
                <w:rFonts w:ascii="Times New Roman" w:cs="Times New Roman" w:eastAsia="Times New Roman" w:hAnsi="Times New Roman"/>
                <w:sz w:val="16"/>
                <w:szCs w:val="16"/>
                <w:i w:val="1"/>
                <w:iCs w:val="1"/>
                <w:color w:val="auto"/>
              </w:rPr>
              <w:t>19.5 %</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Business realignment activities</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0.8</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7"/>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1,058.1</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799.9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profit margin</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939"/>
              <w:spacing w:after="0"/>
              <w:rPr>
                <w:sz w:val="20"/>
                <w:szCs w:val="20"/>
                <w:color w:val="auto"/>
              </w:rPr>
            </w:pPr>
            <w:r>
              <w:rPr>
                <w:rFonts w:ascii="Times New Roman" w:cs="Times New Roman" w:eastAsia="Times New Roman" w:hAnsi="Times New Roman"/>
                <w:sz w:val="16"/>
                <w:szCs w:val="16"/>
                <w:i w:val="1"/>
                <w:iCs w:val="1"/>
                <w:color w:val="auto"/>
              </w:rPr>
              <w:t>32.5 %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99"/>
              <w:spacing w:after="0"/>
              <w:rPr>
                <w:sz w:val="20"/>
                <w:szCs w:val="20"/>
                <w:color w:val="auto"/>
              </w:rPr>
            </w:pPr>
            <w:r>
              <w:rPr>
                <w:rFonts w:ascii="Times New Roman" w:cs="Times New Roman" w:eastAsia="Times New Roman" w:hAnsi="Times New Roman"/>
                <w:sz w:val="16"/>
                <w:szCs w:val="16"/>
                <w:i w:val="1"/>
                <w:iCs w:val="1"/>
                <w:color w:val="auto"/>
              </w:rPr>
              <w:t>26.8 %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973.4 %</w:t>
            </w:r>
          </w:p>
        </w:tc>
        <w:tc>
          <w:tcPr>
            <w:tcW w:w="0" w:type="dxa"/>
            <w:vAlign w:val="bottom"/>
          </w:tcPr>
          <w:p>
            <w:pPr>
              <w:spacing w:after="0"/>
              <w:rPr>
                <w:sz w:val="1"/>
                <w:szCs w:val="1"/>
                <w:color w:val="auto"/>
              </w:rPr>
            </w:pPr>
          </w:p>
        </w:tc>
      </w:tr>
      <w:tr>
        <w:trPr>
          <w:trHeight w:val="21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188.8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172.1</w:t>
            </w:r>
          </w:p>
        </w:tc>
        <w:tc>
          <w:tcPr>
            <w:tcW w:w="18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Effective income tax rate</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19.1%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22.7%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797.5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587.2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35.8 %</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income per share—diluted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center"/>
              <w:ind w:left="959"/>
              <w:spacing w:after="0"/>
              <w:rPr>
                <w:sz w:val="20"/>
                <w:szCs w:val="20"/>
                <w:color w:val="auto"/>
              </w:rPr>
            </w:pPr>
            <w:r>
              <w:rPr>
                <w:rFonts w:ascii="Times New Roman" w:cs="Times New Roman" w:eastAsia="Times New Roman" w:hAnsi="Times New Roman"/>
                <w:sz w:val="16"/>
                <w:szCs w:val="16"/>
                <w:color w:val="auto"/>
                <w:w w:val="99"/>
              </w:rPr>
              <w:t>3.89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center"/>
              <w:ind w:left="919"/>
              <w:spacing w:after="0"/>
              <w:rPr>
                <w:sz w:val="20"/>
                <w:szCs w:val="20"/>
                <w:color w:val="auto"/>
              </w:rPr>
            </w:pPr>
            <w:r>
              <w:rPr>
                <w:rFonts w:ascii="Times New Roman" w:cs="Times New Roman" w:eastAsia="Times New Roman" w:hAnsi="Times New Roman"/>
                <w:sz w:val="16"/>
                <w:szCs w:val="16"/>
                <w:color w:val="auto"/>
                <w:w w:val="99"/>
              </w:rPr>
              <w:t>2.85</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 Percentage changes may not compute directly as shown due to rounding of amounts presented above.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Quarter 2024 vs. First Quarter 2023</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08"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18"/>
          <w:szCs w:val="18"/>
          <w:color w:val="auto"/>
        </w:rPr>
        <w:t>Net sales were $3,252.7 million in the first quarter of 2024 compared to $2,987.6 million in the same period of 2023, an increase of $265.1 million, or 8.9%. The net sales increase reflects a favorable price realization of 5.2% driven by higher list prices primarily within our North America Confectionery and North America Salty Snacks segments. The net sales increase was further driven by a volume increase of 3.4% primarily due to an increase in everyday core U.S. confection, as a result of accelerated shipments in anticipation of our enterprise resource planning (“ERP”) system implementation, which was completed in the beginning of the second quarter of 2024, as well as an increase in salty snack brands. Foreign currency exchange rates resulted in a 0.3% impact.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U.S. Marketplace Metrics</w:t>
      </w:r>
    </w:p>
    <w:p>
      <w:pPr>
        <w:spacing w:after="0" w:line="173" w:lineRule="exact"/>
        <w:rPr>
          <w:sz w:val="20"/>
          <w:szCs w:val="20"/>
          <w:color w:val="auto"/>
        </w:rPr>
      </w:pPr>
    </w:p>
    <w:p>
      <w:pPr>
        <w:ind w:left="40" w:right="20"/>
        <w:spacing w:after="0" w:line="261" w:lineRule="auto"/>
        <w:rPr>
          <w:sz w:val="20"/>
          <w:szCs w:val="20"/>
          <w:color w:val="auto"/>
        </w:rPr>
      </w:pPr>
      <w:r>
        <w:rPr>
          <w:rFonts w:ascii="Times New Roman" w:cs="Times New Roman" w:eastAsia="Times New Roman" w:hAnsi="Times New Roman"/>
          <w:sz w:val="18"/>
          <w:szCs w:val="18"/>
          <w:color w:val="auto"/>
        </w:rPr>
        <w:t>For the first quarter of 2024, our total U.S. retail takeaway increased 7.0% in the expanded multi-outlet combined plus convenience store channels (Circana MULO + C-Stores), which includes candy, mint, gum, salty snacks and grocery items. Our U.S. candy, mint and gum (“CMG”) consumer takeaway increased 8.1% and experienced a CMG market share increase of 6 basis points. Our Salty consumer takeaway declined 4.1% in the first quarter of 2024 and experienced a Salty market share decline of 16 basis points.</w:t>
      </w:r>
    </w:p>
    <w:p>
      <w:pPr>
        <w:spacing w:after="0" w:line="126" w:lineRule="exact"/>
        <w:rPr>
          <w:sz w:val="20"/>
          <w:szCs w:val="20"/>
          <w:color w:val="auto"/>
        </w:rPr>
      </w:pPr>
    </w:p>
    <w:p>
      <w:pPr>
        <w:ind w:left="40" w:right="140"/>
        <w:spacing w:after="0" w:line="281" w:lineRule="auto"/>
        <w:rPr>
          <w:sz w:val="20"/>
          <w:szCs w:val="20"/>
          <w:color w:val="auto"/>
        </w:rPr>
      </w:pPr>
      <w:r>
        <w:rPr>
          <w:rFonts w:ascii="Times New Roman" w:cs="Times New Roman" w:eastAsia="Times New Roman" w:hAnsi="Times New Roman"/>
          <w:sz w:val="17"/>
          <w:szCs w:val="17"/>
          <w:color w:val="auto"/>
        </w:rPr>
        <w:t>The CMG consumer takeaway and market share information reflects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Circana, the Company’s market insights and analytics provider, and provide a means to assess our retail takeaway and market position relative to the overall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510540</wp:posOffset>
            </wp:positionV>
            <wp:extent cx="19685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342265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80" w:top="125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10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Cost of sales were $1,576.6 million in the first quarter 2024 compared to $1,605.3 million in the same period 2023, a decrease of $28.7 million, or 1.8%. The decrease was driven by an incremental $208.4 million of favorable mark-to-market activity on our commodity derivative instruments intended to economically hedge future years’ commodity purchases (See </w:t>
      </w:r>
      <w:r>
        <w:rPr>
          <w:rFonts w:ascii="Times New Roman" w:cs="Times New Roman" w:eastAsia="Times New Roman" w:hAnsi="Times New Roman"/>
          <w:sz w:val="18"/>
          <w:szCs w:val="18"/>
          <w:u w:val="single" w:color="auto"/>
          <w:color w:val="0000FF"/>
        </w:rPr>
        <w:t>Part I, Item 3 - Quantitative and Qualitative Disclosures About Market Risk</w:t>
      </w:r>
      <w:r>
        <w:rPr>
          <w:rFonts w:ascii="Times New Roman" w:cs="Times New Roman" w:eastAsia="Times New Roman" w:hAnsi="Times New Roman"/>
          <w:sz w:val="18"/>
          <w:szCs w:val="18"/>
          <w:color w:val="auto"/>
        </w:rPr>
        <w:t xml:space="preserve"> included in this Quarterly Report on Form 10-Q for more information). The decrease was further driven by $57.7 million of favorable supply chain productivity. The decreases were partially offset by $237.4 million driven by higher commodity costs, primarily driven by cocoa, unfavorable mix and higher supply chain costs.</w:t>
      </w:r>
    </w:p>
    <w:p>
      <w:pPr>
        <w:spacing w:after="0" w:line="13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Gross margin was 51.5% in the first quarter of 2024 compared to 46.3% in the same period of 2023, an increase of 520 basis points. The increase was driven by favorable activity on our mark-to-market impact from commodity derivative instruments, favorable price realization, volume increases, and favorable supply chain productivity. The increase was partially offset by unfavorable commodity costs, higher supply chain costs, including higher labor costs, and unfavorable mix.</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SM&amp;A Expenses</w:t>
      </w:r>
    </w:p>
    <w:p>
      <w:pPr>
        <w:spacing w:after="0" w:line="94"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SM&amp;A expenses were $618.0 million in the first quarter of 2024 compared to $581.6 million in the same period of 2023, an increase of $36.4 million, or 6.3%. Total advertising and related consumer marketing expenses increased 12.0% driven primarily by increases across all segments. SM&amp;A expenses, excluding advertising and related consumer marketing, increased approximately 3.3% in the first quarter of 2024 driven by higher investments in capabilities and technology and higher compensation costs across segments.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Realignment Activities</w:t>
      </w:r>
    </w:p>
    <w:p>
      <w:pPr>
        <w:spacing w:after="0" w:line="17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 xml:space="preserve">We periodically undertake business realignment activities designed to increase our efficiency and focus our business in support of our key growth strategies. During the first quarter of 2024, we recorded no business realignment costs versus costs of $0.8 million in the first quarter of 2023. The costs in 2023 related to the International Optimization Program, which completed in 2023. The International Optimization Program was focused on optimizing our China operating model to improve our operational efficiency and provide for a strong, sustainable and simplified base going forward. In February 2024, the Board of Directors approved the Advancing Agility &amp; Automation (“AAA”) Initiative, focused on leveraging new technology to improve supply chain and manufacturing-related spend, and optimize selling, general and administrative expenses. Costs associated with business realignment activities are classified in our Consolidated Statements of Income as described in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to the Unaudited Consolidated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 and Operating Profit Margin</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Operating profit was $1,058.1 million in the first quarter of 2024 compared to $799.9 million in the same period of 2023, an increase of $258.2 million, or 32.3%. The increase was predominantly due to higher gross profit, partially offset by higher SM&amp;A expenses, as noted above. Operating profit margin increased to 32.5% in 2024 from 26.8% in 2023 driven by the same factors noted above that resulted in higher gross margin for the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expense was $39.8 million in the first quarter of 2024 compared to $37.7 million in the same period of 2023, an increase of $2.1 million, or</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5.7%. The increase was primarily due to higher rates on long-term debt balances in 2024 versus 2023, specifically related to the $350 million 4.25% Notes and $400 million 4.50% Notes issued in May 2023. The increase was partially offset by higher interest income.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Other (income) expense, net was $32.0 million in the first quarter of 2024 versus net expense of $2.9 million in the first quarter of 2023, an increase of $29.1 million, or 973.4%. The increase in net expense was primarily driven by an increase of $31.4 million of higher write-downs on equity investments qualifying for tax credits in 2024 versus the first quarter of 2023, partially offset by a decrease of $2.6 million of non-service cost components of net periodic benefit cost relating to pension and other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Income Taxes and Effective Tax Rate</w:t>
      </w:r>
    </w:p>
    <w:p>
      <w:pPr>
        <w:spacing w:after="0" w:line="10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effective income tax rate was 19.1% for the first quarter of 2024 compared with 22.7% for the first quarter of 2023. Relative to the 21% statutory rate, the 2024 effective tax rate was primarily impacted by investment tax credits partially offset by state taxes. Relative to the 21% statutory rate, the 2023 effective tax rate was impacted by state taxes, partially offset by employee share-based payments.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Share-diluted</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income was $797.5 million in the first quarter of 2024 compared to $587.2 million in the same period of 2023, an increase of $210.3 million, or 35.8%. EPS-diluted was $3.89 in the first quarter of 2024 compared to $2.85 in the first quarter of 2023, an increase of $1.04, or 36.5%. The increase in both net income and EPS-diluted was driven primarily by higher gross profit, partially offset by higher SM&amp;A expenses, higher other income and expenses and higher income taxes. Our 2024 EPS-diluted also benefited from lower weighted-average shares outstanding as a result of share repurchases pursuant to our Board-approved repurchase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582295</wp:posOffset>
            </wp:positionV>
            <wp:extent cx="19685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6" w:name="page37"/>
    <w:bookmarkEnd w:id="36"/>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9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our three reportable segments: North America Confectionery, North America Salty Snacks and International.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Chief Operating Decision Maker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 results, including a reconciliation to our consolidated results,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111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1"/>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2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20" w:type="dxa"/>
            <w:vAlign w:val="bottom"/>
          </w:tcPr>
          <w:p>
            <w:pPr>
              <w:spacing w:after="0"/>
              <w:rPr>
                <w:sz w:val="18"/>
                <w:szCs w:val="18"/>
                <w:color w:val="auto"/>
              </w:rPr>
            </w:pPr>
          </w:p>
        </w:tc>
        <w:tc>
          <w:tcPr>
            <w:tcW w:w="158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April 2, 2023</w:t>
            </w:r>
          </w:p>
        </w:tc>
        <w:tc>
          <w:tcPr>
            <w:tcW w:w="0" w:type="dxa"/>
            <w:vAlign w:val="bottom"/>
          </w:tcPr>
          <w:p>
            <w:pPr>
              <w:spacing w:after="0"/>
              <w:rPr>
                <w:sz w:val="1"/>
                <w:szCs w:val="1"/>
                <w:color w:val="auto"/>
              </w:rPr>
            </w:pPr>
          </w:p>
        </w:tc>
      </w:tr>
      <w:tr>
        <w:trPr>
          <w:trHeight w:val="161"/>
        </w:trPr>
        <w:tc>
          <w:tcPr>
            <w:tcW w:w="7360" w:type="dxa"/>
            <w:vAlign w:val="bottom"/>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2,452.2</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2,987.6</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mark-to-market losses on commodity derivatives (2)</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(Benefits) costs associated with business realignment activities</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340" w:right="260" w:hanging="332"/>
        <w:spacing w:after="0" w:line="272"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spacing w:after="0" w:line="49" w:lineRule="exact"/>
        <w:rPr>
          <w:rFonts w:ascii="Times New Roman" w:cs="Times New Roman" w:eastAsia="Times New Roman" w:hAnsi="Times New Roman"/>
          <w:sz w:val="16"/>
          <w:szCs w:val="16"/>
          <w:color w:val="auto"/>
        </w:rPr>
      </w:pPr>
    </w:p>
    <w:p>
      <w:pPr>
        <w:ind w:left="340" w:right="280" w:hanging="332"/>
        <w:spacing w:after="0" w:line="280"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Net losses (gains) on mark-to-market valuation of commodity derivative positions recognized in unallocated derivative losses (gains). See </w:t>
      </w:r>
      <w:r>
        <w:rPr>
          <w:rFonts w:ascii="Times New Roman" w:cs="Times New Roman" w:eastAsia="Times New Roman" w:hAnsi="Times New Roman"/>
          <w:sz w:val="16"/>
          <w:szCs w:val="16"/>
          <w:u w:val="single" w:color="auto"/>
          <w:color w:val="0000FF"/>
        </w:rPr>
        <w:t>Note 13</w:t>
      </w:r>
      <w:r>
        <w:rPr>
          <w:rFonts w:ascii="Times New Roman" w:cs="Times New Roman" w:eastAsia="Times New Roman" w:hAnsi="Times New Roman"/>
          <w:sz w:val="16"/>
          <w:szCs w:val="16"/>
          <w:color w:val="auto"/>
        </w:rPr>
        <w:t xml:space="preserve"> to the Unaudited Consolidated Financial Statements.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 Confectionery</w:t>
      </w:r>
    </w:p>
    <w:p>
      <w:pPr>
        <w:spacing w:after="0" w:line="10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North America Confectionery segment is responsible for our chocolate and non-chocolate confectionery market position in the United States and Canada. This includes developing and growing our business in chocolate and non-chocolate confectionery, gum and refreshment products, protein bars, spreads, snack bites and mixes, as well as pantry and food service lines. While a less significant component, this segment also includes our retail operations, including Hershey’s Chocolate World stores in Hershey, Pennsylvania; New York, New York; Las Vegas, Nevada; Niagara Falls (Ontario) and Singapore, as well as operations associated with licensing the use of certain trademarks and products to third parties around the world. North America Confectionery results, which accounted for 83.2% and 82.1% of our net sales for the three months ended March 31, 2024 and April 2, 2023, respectively,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40" w:type="dxa"/>
            <w:vAlign w:val="bottom"/>
            <w:gridSpan w:val="5"/>
          </w:tcPr>
          <w:p>
            <w:pPr>
              <w:ind w:left="10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April 2, 2023</w:t>
            </w:r>
          </w:p>
        </w:tc>
        <w:tc>
          <w:tcPr>
            <w:tcW w:w="100" w:type="dxa"/>
            <w:vAlign w:val="bottom"/>
          </w:tcPr>
          <w:p>
            <w:pPr>
              <w:spacing w:after="0"/>
              <w:rPr>
                <w:sz w:val="18"/>
                <w:szCs w:val="18"/>
                <w:color w:val="auto"/>
              </w:rPr>
            </w:pPr>
          </w:p>
        </w:tc>
        <w:tc>
          <w:tcPr>
            <w:tcW w:w="208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61"/>
        </w:trPr>
        <w:tc>
          <w:tcPr>
            <w:tcW w:w="4800" w:type="dxa"/>
            <w:vAlign w:val="bottom"/>
            <w:vMerge w:val="continue"/>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2,707.3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2,452.2</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300" w:type="dxa"/>
            <w:vAlign w:val="bottom"/>
          </w:tcPr>
          <w:p>
            <w:pPr>
              <w:spacing w:after="0"/>
              <w:rPr>
                <w:sz w:val="19"/>
                <w:szCs w:val="19"/>
                <w:color w:val="auto"/>
              </w:rPr>
            </w:pPr>
          </w:p>
        </w:tc>
        <w:tc>
          <w:tcPr>
            <w:tcW w:w="17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948.2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887.8</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35.0 %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36.2 %</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Quarter 2024 vs. First Quarter 2023</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sales of our North America Confectionery segment were $2,707.3 million in the first quarter of 2024 compared to $2,452.2 million in the same period of 2023, an increase of $255.1 million, or 10.4%. The increase reflected a favorable price realization of 5.9% primarily due to list price increases on certain products across our portfolio. The increase was further driven by a volume increase of 4.5% driven primarily by an increase in everyday core U.S. confection, as a result of accelerated shipments in anticipation of our ERP system implementation, which was completed in the beginning of the second quarter of 2024.</w:t>
      </w:r>
    </w:p>
    <w:p>
      <w:pPr>
        <w:sectPr>
          <w:pgSz w:w="11900" w:h="16838" w:orient="portrait"/>
          <w:cols w:equalWidth="0" w:num="1">
            <w:col w:w="11240"/>
          </w:cols>
          <w:pgMar w:left="320" w:top="1440" w:right="339" w:bottom="41" w:gutter="0" w:footer="0" w:header="0"/>
        </w:sectPr>
      </w:pPr>
    </w:p>
    <w:bookmarkStart w:id="37" w:name="page38"/>
    <w:bookmarkEnd w:id="37"/>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Our North America Confectionery segment also includes licensing and owned retail. This includes our Hershey’s Chocolate World stores in the United States (3 locations), Niagara Falls (Ontario) and Singapore. Our net sales for licensing and owned retail increased approximately 11.0% during the first quarter of 2024 compared to the same period of 2023.</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North America Confectionery segment income was $948.2 million in the first quarter of 2024 compared to $887.8 million in the same period of 2023, an increase of $60.4 million, or 6.8%. The increase was primarily due to favorable price realization and volume increases, partially offset by higher commodity costs, higher supply chain inflation costs, including higher labor costs, and unfavorable product mix.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 Salty Snacks</w:t>
      </w:r>
    </w:p>
    <w:p>
      <w:pPr>
        <w:spacing w:after="0" w:line="16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North America Salty Snacks segment is responsible for our grocery and snacks market positions, including our salty snacking products. North America Salty Snacks results, which accounted for 8.5% and 9.0% of our net sales for the three months ended March 31, 2024 and April 2, 2023, respectively,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20" w:type="dxa"/>
            <w:vAlign w:val="bottom"/>
            <w:gridSpan w:val="5"/>
          </w:tcPr>
          <w:p>
            <w:pPr>
              <w:ind w:left="10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April 2, 2023</w:t>
            </w:r>
          </w:p>
        </w:tc>
        <w:tc>
          <w:tcPr>
            <w:tcW w:w="100" w:type="dxa"/>
            <w:vAlign w:val="bottom"/>
          </w:tcPr>
          <w:p>
            <w:pPr>
              <w:spacing w:after="0"/>
              <w:rPr>
                <w:sz w:val="18"/>
                <w:szCs w:val="18"/>
                <w:color w:val="auto"/>
              </w:rPr>
            </w:pPr>
          </w:p>
        </w:tc>
        <w:tc>
          <w:tcPr>
            <w:tcW w:w="206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61"/>
        </w:trPr>
        <w:tc>
          <w:tcPr>
            <w:tcW w:w="4780" w:type="dxa"/>
            <w:vAlign w:val="bottom"/>
            <w:vMerge w:val="continue"/>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300" w:type="dxa"/>
            <w:vAlign w:val="bottom"/>
          </w:tcPr>
          <w:p>
            <w:pPr>
              <w:spacing w:after="0"/>
              <w:rPr>
                <w:sz w:val="19"/>
                <w:szCs w:val="19"/>
                <w:color w:val="auto"/>
              </w:rPr>
            </w:pPr>
          </w:p>
        </w:tc>
        <w:tc>
          <w:tcPr>
            <w:tcW w:w="17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17.3 %</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Quarter 2024 vs. First Quarter 2023</w:t>
      </w:r>
    </w:p>
    <w:p>
      <w:pPr>
        <w:spacing w:after="0" w:line="14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 xml:space="preserve">Net sales of our North America Salty Snacks segment were $275.1 million in the first quarter of 2024 compared to $270.0 million in the same period of 2023, an increase of $5.1 million, or 1.9%. The increase reflected a favorable price realization of 1.7%, due to list price increases on certain products across our portfolio, primarily </w:t>
      </w:r>
      <w:r>
        <w:rPr>
          <w:rFonts w:ascii="Times New Roman" w:cs="Times New Roman" w:eastAsia="Times New Roman" w:hAnsi="Times New Roman"/>
          <w:sz w:val="18"/>
          <w:szCs w:val="18"/>
          <w:i w:val="1"/>
          <w:iCs w:val="1"/>
          <w:color w:val="auto"/>
        </w:rPr>
        <w:t>Dot’s Homestyle Pretzels,</w:t>
      </w:r>
      <w:r>
        <w:rPr>
          <w:rFonts w:ascii="Times New Roman" w:cs="Times New Roman" w:eastAsia="Times New Roman" w:hAnsi="Times New Roman"/>
          <w:sz w:val="18"/>
          <w:szCs w:val="18"/>
          <w:color w:val="auto"/>
        </w:rPr>
        <w:t xml:space="preserve"> and a volume increase of 0.2%, primarily due to </w:t>
      </w:r>
      <w:r>
        <w:rPr>
          <w:rFonts w:ascii="Times New Roman" w:cs="Times New Roman" w:eastAsia="Times New Roman" w:hAnsi="Times New Roman"/>
          <w:sz w:val="18"/>
          <w:szCs w:val="18"/>
          <w:i w:val="1"/>
          <w:iCs w:val="1"/>
          <w:color w:val="auto"/>
        </w:rPr>
        <w:t>Dot’s Homestyle Pretzels</w:t>
      </w:r>
      <w:r>
        <w:rPr>
          <w:rFonts w:ascii="Times New Roman" w:cs="Times New Roman" w:eastAsia="Times New Roman" w:hAnsi="Times New Roman"/>
          <w:sz w:val="18"/>
          <w:szCs w:val="18"/>
          <w:color w:val="auto"/>
        </w:rPr>
        <w:t xml:space="preserve">, substantially offset by volume declines in </w:t>
      </w:r>
      <w:r>
        <w:rPr>
          <w:rFonts w:ascii="Times New Roman" w:cs="Times New Roman" w:eastAsia="Times New Roman" w:hAnsi="Times New Roman"/>
          <w:sz w:val="18"/>
          <w:szCs w:val="18"/>
          <w:i w:val="1"/>
          <w:iCs w:val="1"/>
          <w:color w:val="auto"/>
        </w:rPr>
        <w:t>SkinnyPop</w:t>
      </w:r>
      <w:r>
        <w:rPr>
          <w:rFonts w:ascii="Times New Roman" w:cs="Times New Roman" w:eastAsia="Times New Roman" w:hAnsi="Times New Roman"/>
          <w:sz w:val="18"/>
          <w:szCs w:val="18"/>
          <w:color w:val="auto"/>
        </w:rPr>
        <w:t xml:space="preserve"> snacks.</w:t>
      </w:r>
    </w:p>
    <w:p>
      <w:pPr>
        <w:spacing w:after="0" w:line="100"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Our North America Salty Snacks segment income was $38.7 million in the first quarter of 2024 compared to $46.8 million in the same period of 2023, a decrease of $8.1 million, or 17.3%. The decrease was primarily due to increased commodity costs, higher supply chain costs and increased advertising and related consumer marketing costs, partially offset by favorable price realization.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1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International segment includes all other countries where we currently manufacture, import, market, sell or distribute chocolate and non-chocolate confectionery and other products. We currently have operations and manufacture product in Mexico, Brazil, India and Malaysia, primarily for consumers in these regions, and also distribute and sell confectionery products in export markets of Latin America, as well as Europe, Asia, the Middle East and Africa (“AMEA”) and other regions. International results, which accounted for 8.3% and 8.9% of our net sales for the three months ended March 31, 2024 and April 2, 2023, respectively,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40" w:type="dxa"/>
            <w:vAlign w:val="bottom"/>
            <w:gridSpan w:val="5"/>
          </w:tcPr>
          <w:p>
            <w:pPr>
              <w:ind w:left="10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April 2, 2023</w:t>
            </w:r>
          </w:p>
        </w:tc>
        <w:tc>
          <w:tcPr>
            <w:tcW w:w="100" w:type="dxa"/>
            <w:vAlign w:val="bottom"/>
          </w:tcPr>
          <w:p>
            <w:pPr>
              <w:spacing w:after="0"/>
              <w:rPr>
                <w:sz w:val="18"/>
                <w:szCs w:val="18"/>
                <w:color w:val="auto"/>
              </w:rPr>
            </w:pPr>
          </w:p>
        </w:tc>
        <w:tc>
          <w:tcPr>
            <w:tcW w:w="208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61"/>
        </w:trPr>
        <w:tc>
          <w:tcPr>
            <w:tcW w:w="4800" w:type="dxa"/>
            <w:vAlign w:val="bottom"/>
            <w:vMerge w:val="continue"/>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300" w:type="dxa"/>
            <w:vAlign w:val="bottom"/>
          </w:tcPr>
          <w:p>
            <w:pPr>
              <w:spacing w:after="0"/>
              <w:rPr>
                <w:sz w:val="19"/>
                <w:szCs w:val="19"/>
                <w:color w:val="auto"/>
              </w:rPr>
            </w:pPr>
          </w:p>
        </w:tc>
        <w:tc>
          <w:tcPr>
            <w:tcW w:w="17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15.8 %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20.7 %</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Quarter 2024 vs. First Quarter 2023</w:t>
      </w:r>
    </w:p>
    <w:p>
      <w:pPr>
        <w:spacing w:after="0" w:line="14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Net sales of our International segment were $270.3 million in the first quarter of 2024 compared to $265.4 million in the same period of 2023, an increase $4.9 million, or 1.8%. The increase was due to favorable price realization of 3.5%, and a favorable impact from foreign currency exchange rates of 3.1%, primarily driven by Mexico. The increase was partially offset by volume declines of 4.8% primarily driven by Mexico.</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International segment generated income of $42.8 million in the first quarter of 2024 compared to $55.0 million in the first quarter of 2023, a decrease of $12.2 million, or 22.2%, driven primarily by volume declines, increased commodity costs, and unfavorable product mix, partially offset by favorable price realization.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w:t>
      </w:r>
    </w:p>
    <w:p>
      <w:pPr>
        <w:spacing w:after="0" w:line="9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spacing w:after="0" w:line="11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the first quarter of 2024, unallocated corporate expense totaled $172.9 million, as compared to $177.1 million in the first quarter of 2023, a decrease of $4.2 million, or 2.4%. The decrease was primarily driven by lower acquisition and integration related costs, partially offset by higher compensation costs and higher investments in capabilities and technology.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4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At March 31, 2024, our cash and cash equivalents totaled $520.4 million, an increase of $118.5 million compared to the 2023 year-end balance. Additional detail regarding the net uses of cash are outlined in the following discussion. Additionally, at March 31, 2024, we had outstanding short- and long-term debt totaling $5.4 billion, of which $305.4 million was classified as the current portion of long-term debt. Of the $305.4 million, $300 million of 2.050% Notes</w:t>
      </w:r>
    </w:p>
    <w:p>
      <w:pPr>
        <w:sectPr>
          <w:pgSz w:w="11900" w:h="16838" w:orient="portrait"/>
          <w:cols w:equalWidth="0" w:num="1">
            <w:col w:w="11240"/>
          </w:cols>
          <w:pgMar w:left="320" w:top="121" w:right="339" w:bottom="0" w:gutter="0" w:footer="0" w:header="0"/>
        </w:sectPr>
      </w:pPr>
    </w:p>
    <w:bookmarkStart w:id="38" w:name="page39"/>
    <w:bookmarkEnd w:id="38"/>
    <w:p>
      <w:pPr>
        <w:ind w:right="160"/>
        <w:spacing w:after="0" w:line="282" w:lineRule="auto"/>
        <w:rPr>
          <w:sz w:val="20"/>
          <w:szCs w:val="20"/>
          <w:color w:val="auto"/>
        </w:rPr>
      </w:pPr>
      <w:r>
        <w:rPr>
          <w:rFonts w:ascii="Times New Roman" w:cs="Times New Roman" w:eastAsia="Times New Roman" w:hAnsi="Times New Roman"/>
          <w:sz w:val="18"/>
          <w:szCs w:val="18"/>
          <w:color w:val="auto"/>
        </w:rPr>
        <w:t>are due upon maturity on November 15, 2024. We believe we can satisfy these debt obligations with cash generated from our operation, issuing new debt, and/or by borrowing on our unsecured credit facility.</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Approximately 55% of the balance of our cash and cash equivalents at March 31, 2024 was held by subsidiaries domiciled outside of the United States. A majority of this balance is distributable to the United States without material tax implications, such as withholding tax. We intend to continue to reinvest the remainder of the earnings outside of the United States for which there would be a material tax implication to distributing for the foreseeable future and, therefore, have not recognized additional tax expense on these earnings. We believe that our existing sources of liquidity are adequate to meet anticipated funding needs at comparable risk-based interest rates for the foreseeable future. Acquisition spending and/or share repurchases could potentially increase our debt. Operating cash flow and access to capital markets are expected to satisfy our various short- and long-term cash flow requirements, including acquisitions and capital expenditures.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derived from our Consolidated Statements of Cash Flows: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4"/>
          </w:tcPr>
          <w:p>
            <w:pPr>
              <w:jc w:val="right"/>
              <w:ind w:right="135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60" w:type="dxa"/>
            <w:vAlign w:val="bottom"/>
          </w:tcPr>
          <w:p>
            <w:pPr>
              <w:spacing w:after="0"/>
              <w:rPr>
                <w:sz w:val="18"/>
                <w:szCs w:val="18"/>
                <w:color w:val="auto"/>
              </w:rPr>
            </w:pPr>
          </w:p>
        </w:tc>
        <w:tc>
          <w:tcPr>
            <w:tcW w:w="176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April 2, 2023</w:t>
            </w:r>
          </w:p>
        </w:tc>
      </w:tr>
      <w:tr>
        <w:trPr>
          <w:trHeight w:val="225"/>
        </w:trPr>
        <w:tc>
          <w:tcPr>
            <w:tcW w:w="20" w:type="dxa"/>
            <w:vAlign w:val="bottom"/>
            <w:tcBorders>
              <w:top w:val="single" w:sz="8" w:color="auto"/>
            </w:tcBorders>
            <w:shd w:val="clear" w:color="auto" w:fill="CCEEFF"/>
          </w:tcPr>
          <w:p>
            <w:pPr>
              <w:spacing w:after="0"/>
              <w:rPr>
                <w:sz w:val="19"/>
                <w:szCs w:val="19"/>
                <w:color w:val="auto"/>
              </w:rPr>
            </w:pPr>
          </w:p>
        </w:tc>
        <w:tc>
          <w:tcPr>
            <w:tcW w:w="33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04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569.2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w:t>
            </w:r>
          </w:p>
        </w:tc>
      </w:tr>
      <w:tr>
        <w:trPr>
          <w:trHeight w:val="230"/>
        </w:trPr>
        <w:tc>
          <w:tcPr>
            <w:tcW w:w="20" w:type="dxa"/>
            <w:vAlign w:val="bottom"/>
            <w:shd w:val="clear" w:color="auto" w:fill="CCEEFF"/>
          </w:tcPr>
          <w:p>
            <w:pPr>
              <w:spacing w:after="0"/>
              <w:rPr>
                <w:sz w:val="19"/>
                <w:szCs w:val="19"/>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r>
      <w:tr>
        <w:trPr>
          <w:trHeight w:val="229"/>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w:t>
            </w:r>
          </w:p>
        </w:tc>
      </w:tr>
      <w:tr>
        <w:trPr>
          <w:trHeight w:val="229"/>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3"/>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763"/>
        </w:trPr>
        <w:tc>
          <w:tcPr>
            <w:tcW w:w="2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4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The Hershey Company | Q1 2024 Form 10-Q | Page 36</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554"/>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-530860</wp:posOffset>
            </wp:positionV>
            <wp:extent cx="19685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generated cash of $569.2 million from operating activities in the first three months of 2024, a decrease of $186.2 million compared to $755.4 million in the same period of 2023. This decrease in net cash provided by operating activities was mainly driven by the following factors:</w:t>
      </w:r>
    </w:p>
    <w:p>
      <w:pPr>
        <w:spacing w:after="0" w:line="108" w:lineRule="exact"/>
        <w:rPr>
          <w:sz w:val="20"/>
          <w:szCs w:val="20"/>
          <w:color w:val="auto"/>
        </w:rPr>
      </w:pPr>
    </w:p>
    <w:p>
      <w:pPr>
        <w:jc w:val="both"/>
        <w:ind w:left="340" w:hanging="332"/>
        <w:spacing w:after="0" w:line="266"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adjusted for non-cash charges to operations (including depreciation, amortization, stock-based compensation, deferred income taxes, a write-down of equity investments, unrealized gains and losses on derivative contracts and other charges) resulted in $31.5 million of lower cash flow in 2024 relative to 2023.</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aggregate, select net working capital items, specifically, trade accounts receivable, inventory, accounts payable and accrued liabilities, consumed cash of $237.7 million in 2024, compared to $128.2 million in 2023. This $109.5 million fluctuation was mainly driven by an increase in cash used by accounts receivable due to an increase in sales of everyday core U.S. confection brands and salty snack brands and the timing of vendor and supplier payments.</w:t>
      </w:r>
    </w:p>
    <w:p>
      <w:pPr>
        <w:spacing w:after="0" w:line="1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income tax payments contributed to an increase in operating cash of $147.5 million in 2024, compared to an increase of $174.2 million in 2023. This $26.7 million fluctuation was primarily due to the variance in actual tax expense for 2024 relative to the timing of quarterly estimated tax payments. We paid cash of $31.3 million for income taxes during 2024 compared to $12.3 million in the same period of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used cash of $227.6 million for investing activities in the first three months of 2024, an increase of $39.3 million compared to $188.3 million in the same period of 2023. This increase in net cash used in investing activities was mainly driven by the following factors:</w:t>
      </w:r>
    </w:p>
    <w:p>
      <w:pPr>
        <w:spacing w:after="0" w:line="106" w:lineRule="exact"/>
        <w:rPr>
          <w:sz w:val="20"/>
          <w:szCs w:val="20"/>
          <w:color w:val="auto"/>
        </w:rPr>
      </w:pPr>
    </w:p>
    <w:p>
      <w:pPr>
        <w:ind w:left="340" w:right="220" w:hanging="332"/>
        <w:spacing w:after="0" w:line="257" w:lineRule="auto"/>
        <w:tabs>
          <w:tab w:leader="none" w:pos="33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Capital spending</w:t>
      </w:r>
      <w:r>
        <w:rPr>
          <w:rFonts w:ascii="Times New Roman" w:cs="Times New Roman" w:eastAsia="Times New Roman" w:hAnsi="Times New Roman"/>
          <w:sz w:val="18"/>
          <w:szCs w:val="18"/>
          <w:color w:val="auto"/>
        </w:rPr>
        <w:t>. Capital expenditures, including capitalized software, primarily to support our ERP system implementation, capacity expansion,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innovation and cost savings, were $213.3 million in the first three months of 2024 compared to $176.1 million in the same period of 2023. Expenditures increased due to progress on capacity expansion projects and our ERP system implementation. We expect 2024 capital expenditures, including capitalized software, to approximate $600 million to $650 million. The decrease in our 2024 capital expenditures is largely driven by the wind down of our key strategic initiatives, including completion of the upgrade of a new ERP system across the enterprise in 2024. We intend to use our existing cash and internally generated funds to meet our 2024 capital requirements.</w:t>
      </w:r>
    </w:p>
    <w:p>
      <w:pPr>
        <w:spacing w:after="0" w:line="128" w:lineRule="exact"/>
        <w:rPr>
          <w:rFonts w:ascii="Times New Roman" w:cs="Times New Roman" w:eastAsia="Times New Roman" w:hAnsi="Times New Roman"/>
          <w:sz w:val="18"/>
          <w:szCs w:val="18"/>
          <w:i w:val="1"/>
          <w:iCs w:val="1"/>
          <w:color w:val="auto"/>
        </w:rPr>
      </w:pPr>
    </w:p>
    <w:p>
      <w:pPr>
        <w:ind w:left="340" w:right="360" w:hanging="332"/>
        <w:spacing w:after="0" w:line="267"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Investments in partnerships qualifying for tax credits</w:t>
      </w:r>
      <w:r>
        <w:rPr>
          <w:rFonts w:ascii="Times New Roman" w:cs="Times New Roman" w:eastAsia="Times New Roman" w:hAnsi="Times New Roman"/>
          <w:sz w:val="18"/>
          <w:szCs w:val="18"/>
          <w:color w:val="auto"/>
        </w:rPr>
        <w:t>. We make investments in partnership entities that in turn make equity investments in projects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to receive federal historic and renewable energy tax credits. We invested approximately $13.9 million in the first three months of 2024, compared to $12.3 million in the same period of 2023.</w:t>
      </w:r>
    </w:p>
    <w:p>
      <w:pPr>
        <w:spacing w:after="0" w:line="11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investing activities</w:t>
      </w:r>
      <w:r>
        <w:rPr>
          <w:rFonts w:ascii="Times New Roman" w:cs="Times New Roman" w:eastAsia="Times New Roman" w:hAnsi="Times New Roman"/>
          <w:sz w:val="18"/>
          <w:szCs w:val="18"/>
          <w:color w:val="auto"/>
        </w:rPr>
        <w:t>. In 2024 and 2023, our other investing activities were minimal.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used cash of $221.7 million for financing activities in the first three months of 2024, a decrease of $330.5 million compared to $552.2 million in the same period of 2023. This decrease in net cash used in financing activities was mainly driven by the following factors:</w:t>
      </w:r>
    </w:p>
    <w:p>
      <w:pPr>
        <w:spacing w:after="0" w:line="106" w:lineRule="exact"/>
        <w:rPr>
          <w:sz w:val="20"/>
          <w:szCs w:val="20"/>
          <w:color w:val="auto"/>
        </w:rPr>
      </w:pPr>
    </w:p>
    <w:p>
      <w:pPr>
        <w:ind w:left="340" w:right="280" w:hanging="332"/>
        <w:spacing w:after="0" w:line="258" w:lineRule="auto"/>
        <w:tabs>
          <w:tab w:leader="none" w:pos="33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Short-term borrowings, net. </w:t>
      </w:r>
      <w:r>
        <w:rPr>
          <w:rFonts w:ascii="Times New Roman" w:cs="Times New Roman" w:eastAsia="Times New Roman" w:hAnsi="Times New Roman"/>
          <w:sz w:val="18"/>
          <w:szCs w:val="18"/>
          <w:color w:val="auto"/>
        </w:rPr>
        <w:t>In addition to utilizing cash on hand, we use short-term borrowings (commercial paper and bank borrowings) to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seasonal working capital requirements and ongoing business needs. During the first three months of 2024, we generated cash of $569.9 million predominately through the issuance of short-term commercial paper, as well as an increase in short-term foreign bank borrowings. During the first three months of 2023, we used cash of $90.7 million to reduce a portion of our short-term commercial paper borrowings , partially offset by an increase in short-term foreign bank borrowings.</w:t>
      </w:r>
    </w:p>
    <w:p>
      <w:pPr>
        <w:spacing w:after="0" w:line="129" w:lineRule="exact"/>
        <w:rPr>
          <w:rFonts w:ascii="Times New Roman" w:cs="Times New Roman" w:eastAsia="Times New Roman" w:hAnsi="Times New Roman"/>
          <w:sz w:val="18"/>
          <w:szCs w:val="18"/>
          <w:i w:val="1"/>
          <w:iCs w:val="1"/>
          <w:color w:val="auto"/>
        </w:rPr>
      </w:pPr>
    </w:p>
    <w:p>
      <w:pPr>
        <w:ind w:left="340" w:right="660" w:hanging="332"/>
        <w:spacing w:after="0" w:line="284"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debt borrowings and repayments</w:t>
      </w:r>
      <w:r>
        <w:rPr>
          <w:rFonts w:ascii="Times New Roman" w:cs="Times New Roman" w:eastAsia="Times New Roman" w:hAnsi="Times New Roman"/>
          <w:sz w:val="18"/>
          <w:szCs w:val="18"/>
          <w:color w:val="auto"/>
        </w:rPr>
        <w:t>. During the first three months of 2024 and 2023, long-term debt borrowings and repayments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250190</wp:posOffset>
            </wp:positionV>
            <wp:extent cx="19685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jc w:val="both"/>
        <w:ind w:left="332" w:right="80" w:hanging="332"/>
        <w:spacing w:after="0" w:line="267" w:lineRule="auto"/>
        <w:tabs>
          <w:tab w:leader="none" w:pos="3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payments</w:t>
      </w:r>
      <w:r>
        <w:rPr>
          <w:rFonts w:ascii="Times New Roman" w:cs="Times New Roman" w:eastAsia="Times New Roman" w:hAnsi="Times New Roman"/>
          <w:sz w:val="18"/>
          <w:szCs w:val="18"/>
          <w:color w:val="auto"/>
        </w:rPr>
        <w:t>. Total dividend payments to holders of our Common Stock and Class B Common Stock were $273.4 million during the first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2024, an increase of $66.0 million compared to $207.4 million in the same period of 2023. Details regarding our 2024 cash dividends paid to stockholders are as follows:</w:t>
      </w:r>
    </w:p>
    <w:p>
      <w:pPr>
        <w:spacing w:after="0" w:line="164" w:lineRule="exact"/>
        <w:rPr>
          <w:sz w:val="20"/>
          <w:szCs w:val="20"/>
          <w:color w:val="auto"/>
        </w:rPr>
      </w:pPr>
    </w:p>
    <w:tbl>
      <w:tblPr>
        <w:tblLayout w:type="fixed"/>
        <w:tblInd w:w="332"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Quarter Ended</w:t>
            </w:r>
          </w:p>
        </w:tc>
      </w:tr>
      <w:tr>
        <w:trPr>
          <w:trHeight w:val="226"/>
        </w:trPr>
        <w:tc>
          <w:tcPr>
            <w:tcW w:w="8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amounts</w:t>
            </w:r>
          </w:p>
        </w:tc>
        <w:tc>
          <w:tcPr>
            <w:tcW w:w="340" w:type="dxa"/>
            <w:vAlign w:val="bottom"/>
          </w:tcPr>
          <w:p>
            <w:pPr>
              <w:spacing w:after="0"/>
              <w:rPr>
                <w:sz w:val="19"/>
                <w:szCs w:val="19"/>
                <w:color w:val="auto"/>
              </w:rPr>
            </w:pPr>
          </w:p>
        </w:tc>
        <w:tc>
          <w:tcPr>
            <w:tcW w:w="202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3"/>
        </w:trPr>
        <w:tc>
          <w:tcPr>
            <w:tcW w:w="8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per share – Common stock</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29"/>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paid per share – Class B common stock</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30"/>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dividends paid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r>
    </w:tbl>
    <w:p>
      <w:pPr>
        <w:spacing w:after="0" w:line="1" w:lineRule="exact"/>
        <w:rPr>
          <w:sz w:val="20"/>
          <w:szCs w:val="20"/>
          <w:color w:val="auto"/>
        </w:rPr>
      </w:pPr>
    </w:p>
    <w:tbl>
      <w:tblPr>
        <w:tblLayout w:type="fixed"/>
        <w:tblInd w:w="332" w:type="dxa"/>
        <w:tblCellMar>
          <w:top w:w="0" w:type="dxa"/>
          <w:left w:w="0" w:type="dxa"/>
          <w:bottom w:w="0" w:type="dxa"/>
          <w:right w:w="0" w:type="dxa"/>
        </w:tblCellMar>
      </w:tblP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Declaration date</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7, 2024</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 date</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date</w:t>
            </w: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2024</w:t>
            </w:r>
          </w:p>
        </w:tc>
      </w:tr>
    </w:tbl>
    <w:p>
      <w:pPr>
        <w:spacing w:after="0" w:line="231" w:lineRule="exact"/>
        <w:rPr>
          <w:sz w:val="20"/>
          <w:szCs w:val="20"/>
          <w:color w:val="auto"/>
        </w:rPr>
      </w:pPr>
    </w:p>
    <w:p>
      <w:pPr>
        <w:ind w:left="332" w:right="80" w:hanging="332"/>
        <w:spacing w:after="0" w:line="261" w:lineRule="auto"/>
        <w:tabs>
          <w:tab w:leader="none" w:pos="327"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Share repurchases</w:t>
      </w:r>
      <w:r>
        <w:rPr>
          <w:rFonts w:ascii="Times New Roman" w:cs="Times New Roman" w:eastAsia="Times New Roman" w:hAnsi="Times New Roman"/>
          <w:sz w:val="18"/>
          <w:szCs w:val="18"/>
          <w:color w:val="auto"/>
        </w:rPr>
        <w:t>. We repurchase shares of Common Stock to offset the dilutive impact of treasury shares issued under our equity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The value of these share repurchases in a given period varies based on the volume of stock options exercised and our market price. In addition, we periodically repurchase shares of Common Stock pursuant to Board-authorized programs intended to drive additional stockholder value. Details regarding our share repurchases are as follows:</w:t>
      </w:r>
    </w:p>
    <w:p>
      <w:pPr>
        <w:spacing w:after="0" w:line="171" w:lineRule="exact"/>
        <w:rPr>
          <w:sz w:val="20"/>
          <w:szCs w:val="20"/>
          <w:color w:val="auto"/>
        </w:rPr>
      </w:pPr>
    </w:p>
    <w:tbl>
      <w:tblPr>
        <w:tblLayout w:type="fixed"/>
        <w:tblInd w:w="332" w:type="dxa"/>
        <w:tblCellMar>
          <w:top w:w="0" w:type="dxa"/>
          <w:left w:w="0" w:type="dxa"/>
          <w:bottom w:w="0" w:type="dxa"/>
          <w:right w:w="0" w:type="dxa"/>
        </w:tblCellMar>
      </w:tblPr>
      <w:tr>
        <w:trPr>
          <w:trHeight w:val="212"/>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95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60" w:type="dxa"/>
            <w:vAlign w:val="bottom"/>
          </w:tcPr>
          <w:p>
            <w:pPr>
              <w:spacing w:after="0"/>
              <w:rPr>
                <w:sz w:val="18"/>
                <w:szCs w:val="18"/>
                <w:color w:val="auto"/>
              </w:rPr>
            </w:pPr>
          </w:p>
        </w:tc>
        <w:tc>
          <w:tcPr>
            <w:tcW w:w="14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April 2, 2023</w:t>
            </w:r>
          </w:p>
        </w:tc>
      </w:tr>
      <w:tr>
        <w:trPr>
          <w:trHeight w:val="225"/>
        </w:trPr>
        <w:tc>
          <w:tcPr>
            <w:tcW w:w="6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Milton Hershey School Trust repurchase (1)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r>
      <w:tr>
        <w:trPr>
          <w:trHeight w:val="230"/>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repurchased in the open market under pre-approved share repurchase programs (2)</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9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repurchased in the open market to replace Treasury Stock issued for stock options and</w:t>
            </w: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43"/>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compensation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used for total share repurchases (excluding excise tax)</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repurchased under pre-approved share repurchase programs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25" w:lineRule="exact"/>
        <w:rPr>
          <w:sz w:val="20"/>
          <w:szCs w:val="20"/>
          <w:color w:val="auto"/>
        </w:rPr>
      </w:pPr>
    </w:p>
    <w:p>
      <w:pPr>
        <w:ind w:left="572" w:right="40" w:hanging="5"/>
        <w:spacing w:after="0" w:line="266" w:lineRule="auto"/>
        <w:tabs>
          <w:tab w:leader="none" w:pos="82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2023, the Company entered into a Stock Purchase Agreement with Hershey Trust Company, as trustee for the Milton Hershey School Trust (the “School Trust”), pursuant to which the Company purchased 1,000,000 shares of the Company’s Common Stock from the Milton Hershey School Trust at a price equal to $239.91 per share, for a total purchase price of $239.9 million.</w:t>
      </w:r>
    </w:p>
    <w:p>
      <w:pPr>
        <w:spacing w:after="0" w:line="108" w:lineRule="exact"/>
        <w:rPr>
          <w:rFonts w:ascii="Times New Roman" w:cs="Times New Roman" w:eastAsia="Times New Roman" w:hAnsi="Times New Roman"/>
          <w:sz w:val="18"/>
          <w:szCs w:val="18"/>
          <w:color w:val="auto"/>
        </w:rPr>
      </w:pPr>
    </w:p>
    <w:p>
      <w:pPr>
        <w:ind w:left="572" w:hanging="5"/>
        <w:spacing w:after="0" w:line="254" w:lineRule="auto"/>
        <w:tabs>
          <w:tab w:leader="none" w:pos="82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2018, our Board of Directors approved a $500 million share repurchase authorization to repurchase shares of our Common Stock. As a result of the February 2023 Stock Purchase Agreement with Hershey Trust Company, as trustee for the School Trust, the July 2018 share repurchase authorization was completed. In May 2021, our Board of Directors approved an additional $500 million share repurchase authorization, which was completed as of March 31, 2024. In December 2023, our Board of Directors approved an additional $500 million share repurchase authorization. This program commenced after the existing May 2021 authorization was completed and is to be utilized at management’s discretion. As a result of the share repurchase authorization, approximately $470 million remains available for repurchases under our December 2023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134" w:lineRule="exact"/>
        <w:rPr>
          <w:rFonts w:ascii="Times New Roman" w:cs="Times New Roman" w:eastAsia="Times New Roman" w:hAnsi="Times New Roman"/>
          <w:sz w:val="17"/>
          <w:szCs w:val="17"/>
          <w:color w:val="auto"/>
        </w:rPr>
      </w:pPr>
    </w:p>
    <w:p>
      <w:pPr>
        <w:ind w:left="332" w:right="80" w:hanging="332"/>
        <w:spacing w:after="0" w:line="261" w:lineRule="auto"/>
        <w:tabs>
          <w:tab w:leader="none" w:pos="327"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Proceeds from exercised stock options and employee tax withholding. </w:t>
      </w:r>
      <w:r>
        <w:rPr>
          <w:rFonts w:ascii="Times New Roman" w:cs="Times New Roman" w:eastAsia="Times New Roman" w:hAnsi="Times New Roman"/>
          <w:sz w:val="18"/>
          <w:szCs w:val="18"/>
          <w:color w:val="auto"/>
        </w:rPr>
        <w:t>During the first three months of 2024, we received $4.1 million from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exercises of stock options and paid $26.4 million of employee taxes withheld from share-based awards. During the first three months of 2023, we received $15.2 million from employee exercises of stock options and paid $28.3 million of employee taxes withheld from share-based awards. Variances are driven primarily by the number of shares exercised and the share price at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6926580</wp:posOffset>
            </wp:positionH>
            <wp:positionV relativeFrom="paragraph">
              <wp:posOffset>572770</wp:posOffset>
            </wp:positionV>
            <wp:extent cx="19685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
        <w:spacing w:after="0"/>
        <w:tabs>
          <w:tab w:leader="none" w:pos="3812"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342265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1415" w:right="4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on recently adopted and issued accounting standards is included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to the Unaudited Consolidated Financial Statements.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0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For information regarding the Company’s critical accounting estimates, refer to Part II, Item 7, “Management’s Discussion and Analysis of Financial Condition and Results of Operations” of our 2023 Annual Report on Form 10-K. There have been no material changes to the Company’s critical accounting estimates since December 31,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Quarterly Report on Form 10-Q. Many of these forward-looking statements can be identified by the use of words such as “anticipate,” “assume,” “believe,” “continue,” “estimate,” “expect,” “forecast,” “future,” “intend,” “plan,” “potential,” “predict,” “project,” “strategy,” “target” and similar terms, and future or conditional tense verbs like “could,” “may,” “might,” “should,” “will” and “would,” among others.</w:t>
      </w:r>
    </w:p>
    <w:p>
      <w:pPr>
        <w:spacing w:after="0" w:line="21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factors that could cause our actual results to differ materially from the results projected in our forward-looking statements include, but are not limited to the following:</w:t>
      </w:r>
    </w:p>
    <w:p>
      <w:pPr>
        <w:spacing w:after="0" w:line="189" w:lineRule="exact"/>
        <w:rPr>
          <w:sz w:val="20"/>
          <w:szCs w:val="20"/>
          <w:color w:val="auto"/>
        </w:rPr>
      </w:pPr>
    </w:p>
    <w:p>
      <w:pPr>
        <w:ind w:left="660" w:right="24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Company’s reputation or brand image might be impacted as a result of issues or concerns relating to the quality and safety of our products, ingredients or packaging, human and workplace rights, and other environmental, social or governance matters, which in turn could result in litigation or otherwise negatively impact our operating results;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manufacturing operations or supply chain could impair our ability to produce or deliver finished products, resulting in a negative impact on our operating results;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be able to hire, engage and retain the talented global human capital we need to drive our growth strategies;</w:t>
      </w:r>
    </w:p>
    <w:p>
      <w:pPr>
        <w:spacing w:after="0" w:line="25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climate change and other environmental impacts, and increased focus and evolving views of our customers, stockholders and other stakeholders on climate change issues, could negatively affect our business and operations;</w:t>
      </w:r>
    </w:p>
    <w:p>
      <w:pPr>
        <w:spacing w:after="0" w:line="202" w:lineRule="exact"/>
        <w:rPr>
          <w:rFonts w:ascii="Times New Roman" w:cs="Times New Roman" w:eastAsia="Times New Roman" w:hAnsi="Times New Roman"/>
          <w:sz w:val="18"/>
          <w:szCs w:val="18"/>
          <w:color w:val="auto"/>
        </w:rPr>
      </w:pPr>
    </w:p>
    <w:p>
      <w:pPr>
        <w:ind w:left="660" w:right="140" w:hanging="328"/>
        <w:spacing w:after="0" w:line="255"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Increases in raw material and energy costs, along with the availability of adequate supplies of raw materials and our ability to successfully hedge against volatility in raw material pricing, could affect future financial results;</w:t>
      </w:r>
    </w:p>
    <w:p>
      <w:pPr>
        <w:spacing w:after="0" w:line="210" w:lineRule="exact"/>
        <w:rPr>
          <w:rFonts w:ascii="Times New Roman" w:cs="Times New Roman" w:eastAsia="Times New Roman" w:hAnsi="Times New Roman"/>
          <w:sz w:val="20"/>
          <w:szCs w:val="20"/>
          <w:color w:val="auto"/>
        </w:rPr>
      </w:pPr>
    </w:p>
    <w:p>
      <w:pPr>
        <w:ind w:left="660" w:right="4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 may not be sufficient to offset cost increases and maintain profitability or may result in sales volume declines associated with pricing elasticity;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new and existing products could decline;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marketplace competition could hurt our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be adversely impacted by the failure to successfully execute or integrate acquisitions, divestitures and joint ventures;</w:t>
      </w:r>
    </w:p>
    <w:p>
      <w:pPr>
        <w:spacing w:after="0" w:line="252"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may not achieve projected growth objectives, which could adversely impact our overall business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414020</wp:posOffset>
            </wp:positionV>
            <wp:extent cx="19685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42" w:name="page43"/>
    <w:bookmarkEnd w:id="42"/>
    <w:p>
      <w:pPr>
        <w:ind w:left="660" w:right="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fully realize the expected cost savings and/or operating efficiencies associated with our strategic initiatives or restructuring programs, which may have an adverse impact on our business;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laws and regulations could increase our costs and liabilities or impact demand for our products;</w:t>
      </w:r>
    </w:p>
    <w:p>
      <w:pPr>
        <w:spacing w:after="0" w:line="252"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and/or financial market conditions, including impacts on our business arising from the ongoing conflict between Russia and Ukraine, could negatively impact our financial results;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failures or security breaches of our information technology infrastructure could have a negative impact on our operations;</w:t>
      </w:r>
    </w:p>
    <w:p>
      <w:pPr>
        <w:spacing w:after="0" w:line="252" w:lineRule="exact"/>
        <w:rPr>
          <w:rFonts w:ascii="Times New Roman" w:cs="Times New Roman" w:eastAsia="Times New Roman" w:hAnsi="Times New Roman"/>
          <w:sz w:val="18"/>
          <w:szCs w:val="18"/>
          <w:color w:val="auto"/>
        </w:rPr>
      </w:pPr>
    </w:p>
    <w:p>
      <w:pPr>
        <w:ind w:left="660" w:right="340" w:hanging="328"/>
        <w:spacing w:after="0" w:line="312" w:lineRule="auto"/>
        <w:tabs>
          <w:tab w:leader="none" w:pos="65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Complications with the design, implementation or usage of our new enterprise resource planning system, including the ability to support post-implementation efforts and maintain enhancements, new features or modifications, could adversely impact our business and operations; and</w:t>
      </w:r>
    </w:p>
    <w:p>
      <w:pPr>
        <w:spacing w:after="0" w:line="166" w:lineRule="exact"/>
        <w:rPr>
          <w:rFonts w:ascii="Times New Roman" w:cs="Times New Roman" w:eastAsia="Times New Roman" w:hAnsi="Times New Roman"/>
          <w:sz w:val="17"/>
          <w:szCs w:val="17"/>
          <w:color w:val="auto"/>
        </w:rPr>
      </w:pPr>
    </w:p>
    <w:p>
      <w:pPr>
        <w:ind w:left="660" w:right="2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as discussed in our 2023 Annual Report on Form 10-K and this Quarterly Report on Form 10-Q, including Part II, Item 1A, ”Risk Factors.”</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of short-term debt, net of cash, amounted to net debt of $769.2 million and net debt of $317.9 million, at March 31, 2024 and</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December 31, 2023, respectively. A hypothetical 100 basis point increase in interest rates applied to this variable-rate short-term debt as of March 31, 2024 would have changed interest expense by approximately $1.9 million for the first three months of 2024 and $3.1 million for 2023.</w:t>
      </w:r>
    </w:p>
    <w:p>
      <w:pPr>
        <w:spacing w:after="0" w:line="1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March 31, 2024 and December 31, 2023 by approximately $162 million and $203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are exposed to currency fluctuations related to manufacturing or selling products in currencies other than the U.S. dollar. We may enter into foreign currency forward exchange contracts to reduce fluctuations in our long or short currency positions relating primarily to purchase commitments or forecasted purchases for equipment, raw materials and finished goods denominated in foreign currencies.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fair value of foreign currency forward exchange contracts represents the difference between the contracted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 The potential decline in fair value of foreign currency forward exchange contracts resulting from a hypothetical near-term adverse change in market rates of 10% was $19.2 million as of March 31, 2024 and $20.2 million as of December 31, 2023, generally offset by a reduction in foreign exchange associated with our transactional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522605</wp:posOffset>
            </wp:positionV>
            <wp:extent cx="19685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Commodities—Price Risk Management and Derivative Contracts</w:t>
      </w:r>
    </w:p>
    <w:p>
      <w:pPr>
        <w:spacing w:after="0" w:line="17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use futures and options contracts and other commodity derivative instruments in combination with forward purchasing of cocoa products, sugar, corn products, certain dairy products, wheat products, natural gas and diesel fuel primarily to mitigate price volatility and provide visibility to future costs within our supply chain. Significant changes impacting our commodity price risk management since our 2023 Annual Report on Form 10-K are described below.</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Cocoa Products</w:t>
      </w:r>
    </w:p>
    <w:p>
      <w:pPr>
        <w:spacing w:after="0" w:line="17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During the first quarter of 2024, the average cocoa futures contract price was $2.60 per pound, with a trading range of $1.99 to $3.35 per pound, based on the Intercontinental Exchange futures contract. This average cocoa futures contract price represents an increase of approximately 74% compared to the 2023 annual average of $1.49 per pound. The production forecast for the 2023 – 2024 season is down significantly in Ghana and Ivory Coast, and has continued to deteriorate due to a combination of adverse weather and crop disease, leading to lower than expected outputs and a reduction in global cocoa bean inventory. Further, during April 2024, we continued to experience rising market prices for cocoa futures, which may have an impact on our financial condition and results of operations.</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costs for cocoa products will not necessarily reflect market price fluctuations because of our forward purchasing and hedging practices (including amount and duration thereof), premiums and discounts reflective of varying delivery times, and supply and demand for our specific varieties and grades of cocoa liquor, cocoa butter and cocoa powder. We generally hedge commodity price risks for 3- to 24-month periods. As a result, the average market prices are not necessarily indicative of our average costs.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Sensitivity Analysis</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open commodity derivative contracts had a notional value of $206.3 million as of March 31, 2024 and $94.9 million as of December 31, 2023. At the end of the first quarter of 2024, the potential change in fair value of commodity derivative instruments, assuming a 10% decrease in the underlying commodity price, would have increased our net unrealized losses by $10.5 million, generally offset by a reduction in the cost of the underlying commodity purchases.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our market risks, see Item 7A under Part II of our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291465</wp:posOffset>
            </wp:positionV>
            <wp:extent cx="19685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4" w:name="page45"/>
    <w:bookmarkEnd w:id="44"/>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March 31, 2024. Based on this evaluation, our Chief Executive Officer and Chief Financial Officer concluded that our disclosure controls and procedures were effective as of March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6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As of March 31, 2024, we were in the process of our multi-year implementation of a new global enterprise resource planning (“ERP”) system, which replaces our existing operating and financial systems. The ERP system is designed to accurately maintain the Company’s financial records, enhance operational functionality, and provide timely information to the Company’s management team related to the operation of the business. During the third quarter of 2022, we completed the implementation of one operating segment that is included in our International segment. In July 2023, we completed the transition to our new consolidated financial reporting book of record. During, October 2023, we completed the implementation of our new ERP system in the North America Salty Snacks segment. We updated our internal controls to reflect changes to the financial reporting business processes impacted by the implementation. There have been no changes to the Company’s internal control over financial reporting during the quarter ended March 31, 2024, that have materially affected, or are reasonably likely to materially affect, the Company’s internal control over financial reporting.</w:t>
      </w:r>
    </w:p>
    <w:p>
      <w:pPr>
        <w:spacing w:after="0" w:line="14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completed the implementation of our new ERP system in the North America Confectionery segment and select operating segments included in our International segment in April 2024. The implementation of the new ERP system results in material changes to our internal controls over financial reporting. The Company has updated the internal controls as appropriate and will continue to monitor the impact of the implementation on our financial reporting business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365760</wp:posOffset>
            </wp:positionV>
            <wp:extent cx="19685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on legal proceedings is included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to the Unaudited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following risk factors relating to increases in and adequate supplies of raw materials, and our multi-year implementation of a new global enterprise resource planning (“ERP”) system, should be read in conjunction with the risk factors previously disclosed in Part I, Item 1A, “Risk Factors,” of our 2023 Annual Report on Form 10-K (the "2023 Form 10-K") and the information contained in this Quarterly Report on Form 10-Q and our other reports and registration statements filed with the SEC. The developments described in these risk factors have heightened, or in some cases manifested, certain of the risks disclosed in the risk factor section of our 2023 Form 10-K, and such risk factors are further qualified by the information described in this Quarterly Report on Form 10-Q, including in the risk factors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Related to the Industry in Which We Operate</w:t>
      </w:r>
    </w:p>
    <w:p>
      <w:pPr>
        <w:spacing w:after="0" w:line="17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raw material and energy costs, along with the availability of adequate supplies of raw materials and our ability to successfully hedge against volatility in raw material pricing, could affect future financial results.</w:t>
      </w:r>
    </w:p>
    <w:p>
      <w:pPr>
        <w:spacing w:after="0" w:line="3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use many different commodities for our business, including cocoa products, sugar, corn products, dairy products, wheat products, peanuts, almonds, natural gas and diesel fuel.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Commodities are subject to price volatility and changes in supply caused by numerous factors, including:</w:t>
      </w:r>
    </w:p>
    <w:p>
      <w:pPr>
        <w:spacing w:after="0" w:line="10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market fluctuations;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Imbalances between supply and demand;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levels of inflation and interest rates related to domestic and global economic conditions or supply chain issues;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 extreme weather or agricultural diseases on crop yield and quality;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influences;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agreements among producing and consuming nations;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compliance with commitments;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Import/export requirements for raw materials and finished goods;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in producing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living income premiums or similar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agricultural programs and energy policies; and</w:t>
      </w:r>
    </w:p>
    <w:p>
      <w:pPr>
        <w:spacing w:after="0" w:line="9" w:lineRule="exact"/>
        <w:rPr>
          <w:rFonts w:ascii="Times New Roman" w:cs="Times New Roman" w:eastAsia="Times New Roman" w:hAnsi="Times New Roman"/>
          <w:sz w:val="18"/>
          <w:szCs w:val="18"/>
          <w:color w:val="auto"/>
        </w:rPr>
      </w:pPr>
    </w:p>
    <w:p>
      <w:pPr>
        <w:ind w:left="660" w:right="520" w:hanging="328"/>
        <w:spacing w:after="0" w:line="26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beyond our control such as the impacts on the business or supply chain arising from the ongoing conflict between Russia and Ukraine.</w:t>
      </w:r>
    </w:p>
    <w:p>
      <w:pPr>
        <w:spacing w:after="0" w:line="2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we use forward contracts and commodity futures and options contracts to hedge commodity prices where possible, commodity price increases ultimately result in corresponding increases in our raw material and energy costs. For example, our cost of sales during the first quarter of 2024 compared to the same period of 2023 experienced an incremental $208.4 million of favorable mark-to-market activity on our commodity derivative instruments intended to economically hedge future years’ commodity purchases, more than offsetting higher commodity costs. During the first quarter of 2024, market prices for the majority of our exchange traded commodities increased, including cocoa and sugar futures which have increased approximately 140% and 10%, respectively, since the beginning of the year. Further, we continued to experience rising market prices for cocoa futures during April 2024 due to a combination of adverse weather and crop disease, leading to lower than expected outputs and a reduction in global cocoa bean inventory.</w:t>
      </w:r>
    </w:p>
    <w:p>
      <w:pPr>
        <w:spacing w:after="0" w:line="21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continue to monitor and use our risk management strategy where possible to hedge commodity prices in order to mitigate corresponding increases in our raw materials and energy costs, however, if we are unable to offset cost increases for major raw materials and energy, there could be a negative impact on our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260350</wp:posOffset>
            </wp:positionV>
            <wp:extent cx="19685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1"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Digital Transformation, Cybersecurity and Data Privacy</w:t>
      </w:r>
    </w:p>
    <w:p>
      <w:pPr>
        <w:spacing w:after="0" w:line="17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Complications with the design, implementation or usage of our new enterprise resource planning system, including the ability to support post-implementation efforts and maintain enhancements, new features or modifications, could adversely impact our business and operations.</w:t>
      </w:r>
    </w:p>
    <w:p>
      <w:pPr>
        <w:spacing w:after="0" w:line="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extensively on information systems and technology to manage our business and summarize operating results. We are in the process of a multi-year implementation of a new global ERP system; specifically, in April 2024, we operationalized the final phase of our project by implementing our new ERP system in the North America Confectionery segment and select operating segments included in our International segment. This ERP system replaces our legacy operating and financial systems and is designed to accurately maintain the Company’s financial records, enhance operational functionality and provide timely information to the Company’s management team related to the operation of the business. The ERP system implementation process has required, and will continue to require, the investment of significant personnel and financial resources as we support post-implementation efforts and system functionality. We may not be able to successfully support post-implementation efforts without experiencing delays, increased costs and other difficulties. Any disruptions or difficulties in using our ERP system could result in harm to our business, including our ability to forecast, manufacture or facilitate the shipment of our product, record net sales and collect our outstanding receivables. If we are unable to successfully manage post-implementation efforts related to our new ERP system as planned, our financial positions, results of operations and cash flows could be negatively impacted. Additionally, if the ERP system does not operate as intended, the effectiveness of our internal control over financial reporting could be adversely affected or our ability to assess those controls adequately could be further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483235</wp:posOffset>
            </wp:positionV>
            <wp:extent cx="19685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47" w:name="page48"/>
    <w:bookmarkEnd w:id="47"/>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08"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The following table shows the purchases of shares of Common Stock made by or on behalf of Hershey, or any “affiliated purchaser” (as defined in Rule 10b-18(a)(3) under the Securities Exchange Act of 1934, as amended) of Hershey, for each fiscal month in the three months ended March 31, 2024.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rPr>
              <w:t>Approximate</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ind w:right="137"/>
              <w:spacing w:after="0" w:line="162" w:lineRule="exact"/>
              <w:rPr>
                <w:sz w:val="20"/>
                <w:szCs w:val="20"/>
                <w:color w:val="auto"/>
              </w:rPr>
            </w:pPr>
            <w:r>
              <w:rPr>
                <w:rFonts w:ascii="Times New Roman" w:cs="Times New Roman" w:eastAsia="Times New Roman" w:hAnsi="Times New Roman"/>
                <w:sz w:val="16"/>
                <w:szCs w:val="16"/>
                <w:b w:val="1"/>
                <w:bCs w:val="1"/>
                <w:color w:val="auto"/>
                <w:w w:val="99"/>
              </w:rPr>
              <w:t>Dollar Value of</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20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ind w:right="117"/>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0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as Part of Publicly</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ind w:right="137"/>
              <w:spacing w:after="0" w:line="162" w:lineRule="exact"/>
              <w:rPr>
                <w:sz w:val="20"/>
                <w:szCs w:val="20"/>
                <w:color w:val="auto"/>
              </w:rPr>
            </w:pPr>
            <w:r>
              <w:rPr>
                <w:rFonts w:ascii="Times New Roman" w:cs="Times New Roman" w:eastAsia="Times New Roman" w:hAnsi="Times New Roman"/>
                <w:sz w:val="16"/>
                <w:szCs w:val="16"/>
                <w:b w:val="1"/>
                <w:bCs w:val="1"/>
                <w:color w:val="auto"/>
                <w:w w:val="98"/>
              </w:rPr>
              <w:t>Yet Be Purchased</w:t>
            </w:r>
          </w:p>
        </w:tc>
        <w:tc>
          <w:tcPr>
            <w:tcW w:w="0" w:type="dxa"/>
            <w:vAlign w:val="bottom"/>
          </w:tcPr>
          <w:p>
            <w:pPr>
              <w:spacing w:after="0"/>
              <w:rPr>
                <w:sz w:val="1"/>
                <w:szCs w:val="1"/>
                <w:color w:val="auto"/>
              </w:rPr>
            </w:pPr>
          </w:p>
        </w:tc>
      </w:tr>
      <w:tr>
        <w:trPr>
          <w:trHeight w:val="162"/>
        </w:trPr>
        <w:tc>
          <w:tcPr>
            <w:tcW w:w="352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Paid</w:t>
            </w:r>
          </w:p>
        </w:tc>
        <w:tc>
          <w:tcPr>
            <w:tcW w:w="20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ind w:right="137"/>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3520" w:type="dxa"/>
            <w:vAlign w:val="bottom"/>
            <w:gridSpan w:val="2"/>
            <w:vMerge w:val="continue"/>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 Programs (2)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rPr>
              <w:t>Programs (2)</w:t>
            </w:r>
          </w:p>
        </w:tc>
        <w:tc>
          <w:tcPr>
            <w:tcW w:w="0" w:type="dxa"/>
            <w:vAlign w:val="bottom"/>
          </w:tcPr>
          <w:p>
            <w:pPr>
              <w:spacing w:after="0"/>
              <w:rPr>
                <w:sz w:val="1"/>
                <w:szCs w:val="1"/>
                <w:color w:val="auto"/>
              </w:rPr>
            </w:pPr>
          </w:p>
        </w:tc>
      </w:tr>
      <w:tr>
        <w:trPr>
          <w:trHeight w:val="192"/>
        </w:trPr>
        <w:tc>
          <w:tcPr>
            <w:tcW w:w="3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0" w:type="dxa"/>
            <w:vAlign w:val="bottom"/>
          </w:tcPr>
          <w:p>
            <w:pPr>
              <w:spacing w:after="0"/>
              <w:rPr>
                <w:sz w:val="1"/>
                <w:szCs w:val="1"/>
                <w:color w:val="auto"/>
              </w:rPr>
            </w:pPr>
          </w:p>
        </w:tc>
      </w:tr>
      <w:tr>
        <w:trPr>
          <w:trHeight w:val="236"/>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through January 28</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870,073</w:t>
            </w:r>
          </w:p>
        </w:tc>
        <w:tc>
          <w:tcPr>
            <w:tcW w:w="0" w:type="dxa"/>
            <w:vAlign w:val="bottom"/>
          </w:tcPr>
          <w:p>
            <w:pPr>
              <w:spacing w:after="0"/>
              <w:rPr>
                <w:sz w:val="1"/>
                <w:szCs w:val="1"/>
                <w:color w:val="auto"/>
              </w:rPr>
            </w:pPr>
          </w:p>
        </w:tc>
      </w:tr>
      <w:tr>
        <w:trPr>
          <w:trHeight w:val="22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29 through February 25</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483,033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194.39</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870,073</w:t>
            </w: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26 through March 31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197.80</w:t>
            </w:r>
          </w:p>
        </w:tc>
        <w:tc>
          <w:tcPr>
            <w:tcW w:w="100" w:type="dxa"/>
            <w:vAlign w:val="bottom"/>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2,022,064</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470,073</w:t>
            </w:r>
          </w:p>
        </w:tc>
        <w:tc>
          <w:tcPr>
            <w:tcW w:w="0" w:type="dxa"/>
            <w:vAlign w:val="bottom"/>
          </w:tcPr>
          <w:p>
            <w:pPr>
              <w:spacing w:after="0"/>
              <w:rPr>
                <w:sz w:val="1"/>
                <w:szCs w:val="1"/>
                <w:color w:val="auto"/>
              </w:rPr>
            </w:pPr>
          </w:p>
        </w:tc>
      </w:tr>
      <w:tr>
        <w:trPr>
          <w:trHeight w:val="22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483,033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8"/>
        <w:spacing w:after="0" w:line="266"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2024, 483,033 shares of Common Stock were purchased in open market transactions in connection with our standing authorization to buy back shares sufficient to offset those issued under incentive compensation plans, which authorization does not have a dollar or share limit and is not included in our share repurchase authorizations described in the following paragraph.</w:t>
      </w:r>
    </w:p>
    <w:p>
      <w:pPr>
        <w:spacing w:after="0" w:line="13" w:lineRule="exact"/>
        <w:rPr>
          <w:rFonts w:ascii="Times New Roman" w:cs="Times New Roman" w:eastAsia="Times New Roman" w:hAnsi="Times New Roman"/>
          <w:sz w:val="18"/>
          <w:szCs w:val="18"/>
          <w:color w:val="auto"/>
        </w:rPr>
      </w:pPr>
    </w:p>
    <w:p>
      <w:pPr>
        <w:ind w:right="20" w:firstLine="8"/>
        <w:spacing w:after="0" w:line="255"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2021, our Board of Directors approved a $500 million share repurchase authorization, which was completed as of March 31, 2024. In December 2023, our Board of Directors approved an additional $500 million share repurchase authorization. This program commenced after the existing May 2021 authorization was completed and is to be utilized at management’s discretion. As a result of the share repurchase authorization, approximately $470 million remains available for repurchases under our December 2023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591820</wp:posOffset>
            </wp:positionV>
            <wp:extent cx="19685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Executive Officer Trading</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 portion of our directors’ and officers’ compensation is in the form of equity awards and, from time to time, they may engage in open-market transactions with respect to their Company securities for diversification or other personal reasons. All such transactions in Company securities by directors and officers must comply with the Company’s Insider Trading Policy, which requires that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the Company’s securities in a manner that avoids concerns about initiating transactions while in possession of material nonpublic information.</w:t>
      </w:r>
    </w:p>
    <w:p>
      <w:pPr>
        <w:spacing w:after="0" w:line="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no directors or officers (as defined in Rule 16a-1(f) under the Exchange Act) adopted or terminated any contract, instruction, or written plan for the purchase or sale of securities that are intended to satisfy the affirmative defense conditions of Rule 10b5-1(c) or any other Rule 10b5-1 trading arrangements or “non-Rule 10b5–1 trading arrangements” (as defined by S-K Item 408(c)).</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Quarterly Report on Form 10-Q:</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56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2"/>
        </w:trPr>
        <w:tc>
          <w:tcPr>
            <w:tcW w:w="700" w:type="dxa"/>
            <w:vAlign w:val="bottom"/>
            <w:tcBorders>
              <w:top w:val="single" w:sz="8" w:color="auto"/>
            </w:tcBorders>
            <w:gridSpan w:val="3"/>
            <w:shd w:val="clear" w:color="auto" w:fill="CCEEFF"/>
          </w:tcPr>
          <w:p>
            <w:pPr>
              <w:jc w:val="center"/>
              <w:ind w:left="419"/>
              <w:spacing w:after="0" w:line="172" w:lineRule="exact"/>
              <w:rPr>
                <w:rFonts w:ascii="Times New Roman" w:cs="Times New Roman" w:eastAsia="Times New Roman" w:hAnsi="Times New Roman"/>
                <w:sz w:val="16"/>
                <w:szCs w:val="16"/>
                <w:color w:val="0000FF"/>
                <w:w w:val="99"/>
              </w:rPr>
            </w:pPr>
            <w:hyperlink r:id="rId130">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920" w:type="dxa"/>
            <w:vAlign w:val="bottom"/>
            <w:tcBorders>
              <w:top w:val="single" w:sz="8" w:color="auto"/>
            </w:tcBorders>
            <w:gridSpan w:val="9"/>
            <w:shd w:val="clear" w:color="auto" w:fill="CCEEFF"/>
          </w:tcPr>
          <w:p>
            <w:pPr>
              <w:spacing w:after="0" w:line="172"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The Company’s Restated Certificate of Incorporation, as amended, is incorporated by reference from Exhibit 3 to the Company’s Quarterly Report on</w:t>
              </w:r>
            </w:hyperlink>
          </w:p>
        </w:tc>
      </w:tr>
      <w:tr>
        <w:trPr>
          <w:trHeight w:val="142"/>
        </w:trPr>
        <w:tc>
          <w:tcPr>
            <w:tcW w:w="4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700" w:type="dxa"/>
            <w:vAlign w:val="bottom"/>
            <w:tcBorders>
              <w:top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Form 10-Q for the quarter ended April 3, 2005.</w:t>
              </w:r>
            </w:hyperlink>
          </w:p>
        </w:tc>
        <w:tc>
          <w:tcPr>
            <w:tcW w:w="220" w:type="dxa"/>
            <w:vAlign w:val="bottom"/>
            <w:tcBorders>
              <w:top w:val="single" w:sz="8" w:color="CCEEFF"/>
            </w:tcBorders>
            <w:shd w:val="clear" w:color="auto" w:fill="CCEEFF"/>
          </w:tcPr>
          <w:p>
            <w:pPr>
              <w:spacing w:after="0"/>
              <w:rPr>
                <w:sz w:val="12"/>
                <w:szCs w:val="12"/>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gridSpan w:val="3"/>
          </w:tcPr>
          <w:p>
            <w:pPr>
              <w:jc w:val="center"/>
              <w:ind w:left="419"/>
              <w:spacing w:after="0" w:line="175" w:lineRule="exact"/>
              <w:rPr>
                <w:rFonts w:ascii="Times New Roman" w:cs="Times New Roman" w:eastAsia="Times New Roman" w:hAnsi="Times New Roman"/>
                <w:sz w:val="16"/>
                <w:szCs w:val="16"/>
                <w:color w:val="0000FF"/>
                <w:w w:val="99"/>
              </w:rPr>
            </w:pPr>
            <w:hyperlink r:id="rId131">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9"/>
          </w:tcPr>
          <w:p>
            <w:pPr>
              <w:spacing w:after="0" w:line="175"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The Company's By-laws, as amended and restated as of February 21, 2017, are incorporated by reference from Exhibit 3.2 to the Company’s Annual</w:t>
              </w:r>
            </w:hyperlink>
          </w:p>
        </w:tc>
      </w:tr>
      <w:tr>
        <w:trPr>
          <w:trHeight w:val="142"/>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Report on Form 10-K for the fiscal year ended December 31, 2018.</w:t>
              </w:r>
            </w:hyperlink>
          </w:p>
        </w:tc>
        <w:tc>
          <w:tcPr>
            <w:tcW w:w="300" w:type="dxa"/>
            <w:vAlign w:val="bottom"/>
            <w:gridSpan w:val="2"/>
          </w:tcPr>
          <w:p>
            <w:pPr>
              <w:spacing w:after="0"/>
              <w:rPr>
                <w:sz w:val="12"/>
                <w:szCs w:val="12"/>
                <w:color w:val="auto"/>
              </w:rPr>
            </w:pPr>
          </w:p>
        </w:tc>
      </w:tr>
      <w:tr>
        <w:trPr>
          <w:trHeight w:val="21"/>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118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Michele G. Buck, Chief Executive Officer, pursuant to Section 302 of the Sarbanes-Oxley Act of 2002.</w:t>
            </w:r>
            <w:r>
              <w:rPr>
                <w:rFonts w:ascii="Times New Roman" w:cs="Times New Roman" w:eastAsia="Times New Roman" w:hAnsi="Times New Roman"/>
                <w:sz w:val="16"/>
                <w:szCs w:val="16"/>
                <w:color w:val="000000"/>
              </w:rPr>
              <w:t>*</w:t>
            </w: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3360" w:type="dxa"/>
            <w:vAlign w:val="bottom"/>
            <w:tcBorders>
              <w:top w:val="single" w:sz="8" w:color="0000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8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9"/>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Steven E. Voskuil, Chief Financial Officer, pursuant to Section 302 of the Sarbanes-Oxley Act of 2002.</w:t>
            </w:r>
            <w:r>
              <w:rPr>
                <w:rFonts w:ascii="Times New Roman" w:cs="Times New Roman" w:eastAsia="Times New Roman" w:hAnsi="Times New Roman"/>
                <w:sz w:val="16"/>
                <w:szCs w:val="16"/>
                <w:color w:val="000000"/>
              </w:rPr>
              <w:t>*</w:t>
            </w:r>
          </w:p>
        </w:tc>
      </w:tr>
      <w:tr>
        <w:trPr>
          <w:trHeight w:val="20"/>
        </w:trPr>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360" w:type="dxa"/>
            <w:vAlign w:val="bottom"/>
            <w:tcBorders>
              <w:top w:val="single" w:sz="8" w:color="0000FF"/>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5"/>
        </w:trPr>
        <w:tc>
          <w:tcPr>
            <w:tcW w:w="118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Michele G. Buck, Chief Executive Officer, and Steven E. Voskuil, Chief Financial Officer, pursuant to Section 906 of the Sarbanes-</w:t>
            </w:r>
          </w:p>
        </w:tc>
      </w:tr>
      <w:tr>
        <w:trPr>
          <w:trHeight w:val="142"/>
        </w:trPr>
        <w:tc>
          <w:tcPr>
            <w:tcW w:w="4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540" w:type="dxa"/>
            <w:vAlign w:val="bottom"/>
            <w:tcBorders>
              <w:top w:val="single" w:sz="8" w:color="0000FF"/>
            </w:tcBorders>
            <w:gridSpan w:val="5"/>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Oxley Act of 2002.</w:t>
            </w:r>
            <w:r>
              <w:rPr>
                <w:rFonts w:ascii="Times New Roman" w:cs="Times New Roman" w:eastAsia="Times New Roman" w:hAnsi="Times New Roman"/>
                <w:sz w:val="16"/>
                <w:szCs w:val="16"/>
                <w:color w:val="000000"/>
              </w:rPr>
              <w:t>**</w:t>
            </w:r>
          </w:p>
        </w:tc>
        <w:tc>
          <w:tcPr>
            <w:tcW w:w="360" w:type="dxa"/>
            <w:vAlign w:val="bottom"/>
            <w:tcBorders>
              <w:top w:val="single" w:sz="8" w:color="CCEEFF"/>
            </w:tcBorders>
            <w:gridSpan w:val="3"/>
            <w:shd w:val="clear" w:color="auto" w:fill="CCEEFF"/>
          </w:tcPr>
          <w:p>
            <w:pPr>
              <w:spacing w:after="0"/>
              <w:rPr>
                <w:sz w:val="12"/>
                <w:szCs w:val="12"/>
                <w:color w:val="auto"/>
              </w:rPr>
            </w:pP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300" w:type="dxa"/>
            <w:vAlign w:val="bottom"/>
            <w:gridSpan w:val="6"/>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14"/>
                <w:szCs w:val="14"/>
                <w:color w:val="auto"/>
              </w:rPr>
            </w:pPr>
          </w:p>
        </w:tc>
        <w:tc>
          <w:tcPr>
            <w:tcW w:w="992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r>
      <w:tr>
        <w:trPr>
          <w:trHeight w:val="213"/>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232"/>
        </w:trPr>
        <w:tc>
          <w:tcPr>
            <w:tcW w:w="130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shd w:val="clear" w:color="auto" w:fill="CCEEFF"/>
          </w:tcPr>
          <w:p>
            <w:pPr>
              <w:spacing w:after="0"/>
              <w:rPr>
                <w:sz w:val="20"/>
                <w:szCs w:val="20"/>
                <w:color w:val="auto"/>
              </w:rPr>
            </w:pPr>
          </w:p>
        </w:tc>
        <w:tc>
          <w:tcPr>
            <w:tcW w:w="99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20"/>
        </w:trPr>
        <w:tc>
          <w:tcPr>
            <w:tcW w:w="13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101.CAL</w:t>
            </w:r>
          </w:p>
        </w:tc>
        <w:tc>
          <w:tcPr>
            <w:tcW w:w="20" w:type="dxa"/>
            <w:vAlign w:val="bottom"/>
          </w:tcPr>
          <w:p>
            <w:pPr>
              <w:spacing w:after="0"/>
              <w:rPr>
                <w:sz w:val="19"/>
                <w:szCs w:val="19"/>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26"/>
        </w:trPr>
        <w:tc>
          <w:tcPr>
            <w:tcW w:w="130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101.LAB</w:t>
            </w:r>
          </w:p>
        </w:tc>
        <w:tc>
          <w:tcPr>
            <w:tcW w:w="20" w:type="dxa"/>
            <w:vAlign w:val="bottom"/>
            <w:shd w:val="clear" w:color="auto" w:fill="CCEEFF"/>
          </w:tcPr>
          <w:p>
            <w:pPr>
              <w:spacing w:after="0"/>
              <w:rPr>
                <w:sz w:val="19"/>
                <w:szCs w:val="19"/>
                <w:color w:val="auto"/>
              </w:rPr>
            </w:pPr>
          </w:p>
        </w:tc>
        <w:tc>
          <w:tcPr>
            <w:tcW w:w="99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13"/>
        </w:trPr>
        <w:tc>
          <w:tcPr>
            <w:tcW w:w="130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18"/>
                <w:szCs w:val="18"/>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r>
        <w:trPr>
          <w:trHeight w:val="219"/>
        </w:trPr>
        <w:tc>
          <w:tcPr>
            <w:tcW w:w="130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shd w:val="clear" w:color="auto" w:fill="CCEEFF"/>
          </w:tcPr>
          <w:p>
            <w:pPr>
              <w:spacing w:after="0"/>
              <w:rPr>
                <w:sz w:val="19"/>
                <w:szCs w:val="19"/>
                <w:color w:val="auto"/>
              </w:rPr>
            </w:pPr>
          </w:p>
        </w:tc>
        <w:tc>
          <w:tcPr>
            <w:tcW w:w="99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bl>
    <w:p>
      <w:pPr>
        <w:ind w:left="1300" w:right="380" w:hanging="826"/>
        <w:spacing w:after="0" w:line="245" w:lineRule="auto"/>
        <w:tabs>
          <w:tab w:leader="none" w:pos="13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the Company's Quarterly Report on Form 10-Q for the quarterly period ended March 31, 2024, formatted in Inline XBRL and contained in Exhibit 101.</w:t>
      </w:r>
    </w:p>
    <w:p>
      <w:pPr>
        <w:spacing w:after="0" w:line="272" w:lineRule="exact"/>
        <w:rPr>
          <w:sz w:val="20"/>
          <w:szCs w:val="20"/>
          <w:color w:val="auto"/>
        </w:rPr>
      </w:pPr>
    </w:p>
    <w:p>
      <w:pPr>
        <w:ind w:left="1300" w:hanging="745"/>
        <w:spacing w:after="0"/>
        <w:tabs>
          <w:tab w:leader="none" w:pos="13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ind w:left="1300" w:hanging="786"/>
        <w:spacing w:after="0"/>
        <w:tabs>
          <w:tab w:leader="none" w:pos="13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1169035</wp:posOffset>
            </wp:positionV>
            <wp:extent cx="19685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thereunto duly authorized.</w:t>
      </w:r>
    </w:p>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229"/>
        </w:trPr>
        <w:tc>
          <w:tcPr>
            <w:tcW w:w="2640" w:type="dxa"/>
            <w:vAlign w:val="bottom"/>
          </w:tcPr>
          <w:p>
            <w:pPr>
              <w:spacing w:after="0"/>
              <w:rPr>
                <w:sz w:val="19"/>
                <w:szCs w:val="19"/>
                <w:color w:val="auto"/>
              </w:rPr>
            </w:pPr>
          </w:p>
        </w:tc>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THE HERSHEY COMPANY</w:t>
            </w:r>
          </w:p>
        </w:tc>
      </w:tr>
      <w:tr>
        <w:trPr>
          <w:trHeight w:val="238"/>
        </w:trPr>
        <w:tc>
          <w:tcPr>
            <w:tcW w:w="2640" w:type="dxa"/>
            <w:vAlign w:val="bottom"/>
          </w:tcPr>
          <w:p>
            <w:pPr>
              <w:spacing w:after="0"/>
              <w:rPr>
                <w:sz w:val="20"/>
                <w:szCs w:val="20"/>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(Registrant)</w:t>
            </w:r>
          </w:p>
        </w:tc>
      </w:tr>
      <w:tr>
        <w:trPr>
          <w:trHeight w:val="49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2024</w:t>
            </w:r>
          </w:p>
        </w:tc>
        <w:tc>
          <w:tcPr>
            <w:tcW w:w="5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 Steven E. Voskuil</w:t>
            </w:r>
          </w:p>
        </w:tc>
      </w:tr>
      <w:tr>
        <w:trPr>
          <w:trHeight w:val="218"/>
        </w:trPr>
        <w:tc>
          <w:tcPr>
            <w:tcW w:w="2640" w:type="dxa"/>
            <w:vAlign w:val="bottom"/>
          </w:tcPr>
          <w:p>
            <w:pPr>
              <w:spacing w:after="0"/>
              <w:rPr>
                <w:sz w:val="18"/>
                <w:szCs w:val="18"/>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Steven E. Voskuil</w:t>
            </w:r>
          </w:p>
        </w:tc>
      </w:tr>
      <w:tr>
        <w:trPr>
          <w:trHeight w:val="229"/>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34"/>
        </w:trPr>
        <w:tc>
          <w:tcPr>
            <w:tcW w:w="2640" w:type="dxa"/>
            <w:vAlign w:val="bottom"/>
          </w:tcPr>
          <w:p>
            <w:pPr>
              <w:spacing w:after="0"/>
              <w:rPr>
                <w:sz w:val="20"/>
                <w:szCs w:val="20"/>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2024</w:t>
            </w:r>
          </w:p>
        </w:tc>
        <w:tc>
          <w:tcPr>
            <w:tcW w:w="5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 Jennifer L. McCalman</w:t>
            </w:r>
          </w:p>
        </w:tc>
      </w:tr>
      <w:tr>
        <w:trPr>
          <w:trHeight w:val="218"/>
        </w:trPr>
        <w:tc>
          <w:tcPr>
            <w:tcW w:w="2640" w:type="dxa"/>
            <w:vAlign w:val="bottom"/>
          </w:tcPr>
          <w:p>
            <w:pPr>
              <w:spacing w:after="0"/>
              <w:rPr>
                <w:sz w:val="18"/>
                <w:szCs w:val="18"/>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Jennifer L. McCalman</w:t>
            </w:r>
          </w:p>
        </w:tc>
      </w:tr>
      <w:tr>
        <w:trPr>
          <w:trHeight w:val="230"/>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Vice President, Chief Accounting Officer</w:t>
            </w:r>
          </w:p>
        </w:tc>
      </w:tr>
      <w:tr>
        <w:trPr>
          <w:trHeight w:val="234"/>
        </w:trPr>
        <w:tc>
          <w:tcPr>
            <w:tcW w:w="2640" w:type="dxa"/>
            <w:vAlign w:val="bottom"/>
          </w:tcPr>
          <w:p>
            <w:pPr>
              <w:spacing w:after="0"/>
              <w:rPr>
                <w:sz w:val="20"/>
                <w:szCs w:val="20"/>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488315</wp:posOffset>
            </wp:positionV>
            <wp:extent cx="19685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2024 Form 10-Q | Page 47</w:t>
      </w:r>
    </w:p>
    <w:p>
      <w:pPr>
        <w:sectPr>
          <w:pgSz w:w="11900" w:h="16838" w:orient="portrait"/>
          <w:cols w:equalWidth="0" w:num="1">
            <w:col w:w="11220"/>
          </w:cols>
          <w:pgMar w:left="320" w:top="1251" w:right="35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Michele G. Buck, certify that:</w:t>
      </w:r>
    </w:p>
    <w:p>
      <w:pPr>
        <w:spacing w:after="0" w:line="104"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Hershey Company;</w:t>
      </w:r>
    </w:p>
    <w:p>
      <w:pPr>
        <w:spacing w:after="0" w:line="90" w:lineRule="exact"/>
        <w:rPr>
          <w:rFonts w:ascii="Times New Roman" w:cs="Times New Roman" w:eastAsia="Times New Roman" w:hAnsi="Times New Roman"/>
          <w:sz w:val="18"/>
          <w:szCs w:val="18"/>
          <w:color w:val="auto"/>
        </w:rPr>
      </w:pPr>
    </w:p>
    <w:p>
      <w:pPr>
        <w:ind w:left="420" w:right="340" w:hanging="412"/>
        <w:spacing w:after="0" w:line="266" w:lineRule="auto"/>
        <w:tabs>
          <w:tab w:leader="none" w:pos="33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380" w:hanging="412"/>
        <w:spacing w:after="0" w:line="282" w:lineRule="auto"/>
        <w:tabs>
          <w:tab w:leader="none" w:pos="33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420" w:right="320" w:hanging="412"/>
        <w:spacing w:after="0" w:line="266" w:lineRule="auto"/>
        <w:tabs>
          <w:tab w:leader="none" w:pos="3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860" w:right="160" w:hanging="406"/>
        <w:spacing w:after="0" w:line="266" w:lineRule="auto"/>
        <w:tabs>
          <w:tab w:leader="none" w:pos="83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860" w:right="440" w:hanging="406"/>
        <w:spacing w:after="0" w:line="266" w:lineRule="auto"/>
        <w:tabs>
          <w:tab w:leader="none" w:pos="84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860" w:right="620" w:hanging="406"/>
        <w:spacing w:after="0" w:line="312" w:lineRule="auto"/>
        <w:tabs>
          <w:tab w:leader="none" w:pos="835"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40" w:hanging="406"/>
        <w:spacing w:after="0" w:line="266" w:lineRule="auto"/>
        <w:tabs>
          <w:tab w:leader="none" w:pos="84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120" w:hanging="412"/>
        <w:spacing w:after="0" w:line="282" w:lineRule="auto"/>
        <w:tabs>
          <w:tab w:leader="none" w:pos="3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860" w:right="60" w:hanging="406"/>
        <w:spacing w:after="0" w:line="282" w:lineRule="auto"/>
        <w:tabs>
          <w:tab w:leader="none" w:pos="82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20" w:hanging="406"/>
        <w:spacing w:after="0" w:line="282" w:lineRule="auto"/>
        <w:tabs>
          <w:tab w:leader="none" w:pos="83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83820</wp:posOffset>
            </wp:positionV>
            <wp:extent cx="34632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Michele G. Buck</w:t>
      </w:r>
    </w:p>
    <w:p>
      <w:pPr>
        <w:spacing w:after="0" w:line="29"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5"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b w:val="1"/>
          <w:bCs w:val="1"/>
          <w:color w:val="auto"/>
        </w:rPr>
        <w:t>May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487680</wp:posOffset>
            </wp:positionV>
            <wp:extent cx="19685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The Hershey Company | Q1 2024 Form 10-Q | Exhibit 31.1</w:t>
      </w:r>
    </w:p>
    <w:p>
      <w:pPr>
        <w:sectPr>
          <w:pgSz w:w="11900" w:h="16838" w:orient="portrait"/>
          <w:cols w:equalWidth="0" w:num="1">
            <w:col w:w="11200"/>
          </w:cols>
          <w:pgMar w:left="360" w:top="765"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E. Voskuil, certify that:</w:t>
      </w:r>
    </w:p>
    <w:p>
      <w:pPr>
        <w:spacing w:after="0" w:line="104"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Hershey Company;</w:t>
      </w:r>
    </w:p>
    <w:p>
      <w:pPr>
        <w:spacing w:after="0" w:line="90" w:lineRule="exact"/>
        <w:rPr>
          <w:rFonts w:ascii="Times New Roman" w:cs="Times New Roman" w:eastAsia="Times New Roman" w:hAnsi="Times New Roman"/>
          <w:sz w:val="18"/>
          <w:szCs w:val="18"/>
          <w:color w:val="auto"/>
        </w:rPr>
      </w:pPr>
    </w:p>
    <w:p>
      <w:pPr>
        <w:ind w:left="420" w:right="340" w:hanging="412"/>
        <w:spacing w:after="0" w:line="266" w:lineRule="auto"/>
        <w:tabs>
          <w:tab w:leader="none" w:pos="33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380" w:hanging="412"/>
        <w:spacing w:after="0" w:line="282" w:lineRule="auto"/>
        <w:tabs>
          <w:tab w:leader="none" w:pos="33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420" w:right="320" w:hanging="412"/>
        <w:spacing w:after="0" w:line="266" w:lineRule="auto"/>
        <w:tabs>
          <w:tab w:leader="none" w:pos="3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860" w:right="160" w:hanging="406"/>
        <w:spacing w:after="0" w:line="266" w:lineRule="auto"/>
        <w:tabs>
          <w:tab w:leader="none" w:pos="83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860" w:right="440" w:hanging="406"/>
        <w:spacing w:after="0" w:line="266" w:lineRule="auto"/>
        <w:tabs>
          <w:tab w:leader="none" w:pos="84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860" w:right="620" w:hanging="406"/>
        <w:spacing w:after="0" w:line="312" w:lineRule="auto"/>
        <w:tabs>
          <w:tab w:leader="none" w:pos="835"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40" w:hanging="406"/>
        <w:spacing w:after="0" w:line="266" w:lineRule="auto"/>
        <w:tabs>
          <w:tab w:leader="none" w:pos="84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120" w:hanging="412"/>
        <w:spacing w:after="0" w:line="282" w:lineRule="auto"/>
        <w:tabs>
          <w:tab w:leader="none" w:pos="3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860" w:right="60" w:hanging="406"/>
        <w:spacing w:after="0" w:line="282" w:lineRule="auto"/>
        <w:tabs>
          <w:tab w:leader="none" w:pos="82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20" w:hanging="406"/>
        <w:spacing w:after="0" w:line="282" w:lineRule="auto"/>
        <w:tabs>
          <w:tab w:leader="none" w:pos="83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0"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92075</wp:posOffset>
            </wp:positionV>
            <wp:extent cx="34632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41"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Steven E. Voskuil</w:t>
      </w:r>
    </w:p>
    <w:p>
      <w:pPr>
        <w:spacing w:after="0" w:line="29"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5"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b w:val="1"/>
          <w:bCs w:val="1"/>
          <w:color w:val="auto"/>
        </w:rPr>
        <w:t>May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641985</wp:posOffset>
            </wp:positionV>
            <wp:extent cx="19685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The Hershey Company | Q1 2024 Form 10-Q | Exhibit 31.2</w:t>
      </w:r>
    </w:p>
    <w:p>
      <w:pPr>
        <w:sectPr>
          <w:pgSz w:w="11900" w:h="16838" w:orient="portrait"/>
          <w:cols w:equalWidth="0" w:num="1">
            <w:col w:w="11200"/>
          </w:cols>
          <w:pgMar w:left="360" w:top="765"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officers of The Hershey Company (the “Company”) hereby certify, to the best of their knowledge, that the Company’s Quarterly Report on Form 10-Q for the quarterly period ended March 31, 2024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8" w:lineRule="exact"/>
        <w:rPr>
          <w:sz w:val="20"/>
          <w:szCs w:val="20"/>
          <w:color w:val="auto"/>
        </w:rPr>
      </w:pPr>
    </w:p>
    <w:tbl>
      <w:tblPr>
        <w:tblLayout w:type="fixed"/>
        <w:tblInd w:w="540" w:type="dxa"/>
        <w:tblCellMar>
          <w:top w:w="0" w:type="dxa"/>
          <w:left w:w="0" w:type="dxa"/>
          <w:bottom w:w="0" w:type="dxa"/>
          <w:right w:w="0" w:type="dxa"/>
        </w:tblCellMar>
      </w:tblPr>
      <w:tr>
        <w:trPr>
          <w:trHeight w:val="26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2024</w:t>
            </w: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MICHELE G. BUCK</w:t>
            </w:r>
          </w:p>
        </w:tc>
      </w:tr>
      <w:tr>
        <w:trPr>
          <w:trHeight w:val="196"/>
        </w:trPr>
        <w:tc>
          <w:tcPr>
            <w:tcW w:w="29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Michele G. Buck</w:t>
            </w:r>
          </w:p>
        </w:tc>
      </w:tr>
      <w:tr>
        <w:trPr>
          <w:trHeight w:val="162"/>
        </w:trPr>
        <w:tc>
          <w:tcPr>
            <w:tcW w:w="2920" w:type="dxa"/>
            <w:vAlign w:val="bottom"/>
          </w:tcPr>
          <w:p>
            <w:pPr>
              <w:spacing w:after="0"/>
              <w:rPr>
                <w:sz w:val="14"/>
                <w:szCs w:val="14"/>
                <w:color w:val="auto"/>
              </w:rPr>
            </w:pPr>
          </w:p>
        </w:tc>
        <w:tc>
          <w:tcPr>
            <w:tcW w:w="3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Chief Executive Officer</w:t>
            </w:r>
          </w:p>
        </w:tc>
      </w:tr>
      <w:tr>
        <w:trPr>
          <w:trHeight w:val="212"/>
        </w:trPr>
        <w:tc>
          <w:tcPr>
            <w:tcW w:w="29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tc>
      </w:tr>
    </w:tbl>
    <w:p>
      <w:pPr>
        <w:spacing w:after="0" w:line="228" w:lineRule="exact"/>
        <w:rPr>
          <w:sz w:val="20"/>
          <w:szCs w:val="20"/>
          <w:color w:val="auto"/>
        </w:rPr>
      </w:pPr>
    </w:p>
    <w:tbl>
      <w:tblPr>
        <w:tblLayout w:type="fixed"/>
        <w:tblInd w:w="540" w:type="dxa"/>
        <w:tblCellMar>
          <w:top w:w="0" w:type="dxa"/>
          <w:left w:w="0" w:type="dxa"/>
          <w:bottom w:w="0" w:type="dxa"/>
          <w:right w:w="0" w:type="dxa"/>
        </w:tblCellMar>
      </w:tblPr>
      <w:tr>
        <w:trPr>
          <w:trHeight w:val="26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2024</w:t>
            </w: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E. VOSKUIL</w:t>
            </w:r>
          </w:p>
        </w:tc>
      </w:tr>
      <w:tr>
        <w:trPr>
          <w:trHeight w:val="196"/>
        </w:trPr>
        <w:tc>
          <w:tcPr>
            <w:tcW w:w="29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Steven E. Voskuil</w:t>
            </w:r>
          </w:p>
        </w:tc>
      </w:tr>
      <w:tr>
        <w:trPr>
          <w:trHeight w:val="162"/>
        </w:trPr>
        <w:tc>
          <w:tcPr>
            <w:tcW w:w="2920" w:type="dxa"/>
            <w:vAlign w:val="bottom"/>
          </w:tcPr>
          <w:p>
            <w:pPr>
              <w:spacing w:after="0"/>
              <w:rPr>
                <w:sz w:val="14"/>
                <w:szCs w:val="14"/>
                <w:color w:val="auto"/>
              </w:rPr>
            </w:pPr>
          </w:p>
        </w:tc>
        <w:tc>
          <w:tcPr>
            <w:tcW w:w="3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Chief Financial Officer</w:t>
            </w:r>
          </w:p>
        </w:tc>
      </w:tr>
      <w:tr>
        <w:trPr>
          <w:trHeight w:val="212"/>
        </w:trPr>
        <w:tc>
          <w:tcPr>
            <w:tcW w:w="29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tc>
      </w:tr>
    </w:tbl>
    <w:p>
      <w:pPr>
        <w:spacing w:after="0" w:line="24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1049020</wp:posOffset>
            </wp:positionV>
            <wp:extent cx="19685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Hershey Company | Q1 2024 Form 10-Q | Exhibit 32.1</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lowerLetter"/>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lvl w:ilvl="1">
      <w:lvlJc w:val="left"/>
      <w:lvlText w:val="(%2)"/>
      <w:numFmt w:val="decimal"/>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04"/>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2" Type="http://schemas.openxmlformats.org/officeDocument/2006/relationships/image" Target="media/image123.jpeg"/><Relationship Id="rId133" Type="http://schemas.openxmlformats.org/officeDocument/2006/relationships/image" Target="media/image124.png"/><Relationship Id="rId134" Type="http://schemas.openxmlformats.org/officeDocument/2006/relationships/image" Target="media/image125.jpeg"/><Relationship Id="rId135" Type="http://schemas.openxmlformats.org/officeDocument/2006/relationships/image" Target="media/image126.png"/><Relationship Id="rId136" Type="http://schemas.openxmlformats.org/officeDocument/2006/relationships/image" Target="media/image127.jpeg"/><Relationship Id="rId137" Type="http://schemas.openxmlformats.org/officeDocument/2006/relationships/image" Target="media/image128.png"/><Relationship Id="rId138" Type="http://schemas.openxmlformats.org/officeDocument/2006/relationships/image" Target="media/image129.jpeg"/><Relationship Id="rId139" Type="http://schemas.openxmlformats.org/officeDocument/2006/relationships/image" Target="media/image130.jpeg"/><Relationship Id="rId130" Type="http://schemas.openxmlformats.org/officeDocument/2006/relationships/hyperlink" Target="https://www.sec.gov/Archives/edgar/data/47111/000004711105000159/exhibit3.htm?_sm_byp=iVV7PRrr5tFtD2T5" TargetMode="External"/><Relationship Id="rId131" Type="http://schemas.openxmlformats.org/officeDocument/2006/relationships/hyperlink" Target="https://www.sec.gov/Archives/edgar/data/47111/000004711119000010/hsy_20181231exhibit32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2024-05-03T07:12:43Z</dcterms:created>
  <dcterms:modified xsi:type="dcterms:W3CDTF">2024-05-03T07:12:43Z</dcterms:modified>
</cp:coreProperties>
</file>