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6"/>
          <w:szCs w:val="36"/>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jc w:val="center"/>
        <w:spacing w:after="0" w:line="212" w:lineRule="auto"/>
        <w:rPr>
          <w:sz w:val="20"/>
          <w:szCs w:val="20"/>
          <w:color w:val="auto"/>
        </w:rPr>
      </w:pPr>
      <w:r>
        <w:rPr>
          <w:rFonts w:ascii="Arial" w:cs="Arial" w:eastAsia="Arial" w:hAnsi="Arial"/>
          <w:sz w:val="36"/>
          <w:szCs w:val="36"/>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FORM 10-Q</w:t>
      </w:r>
    </w:p>
    <w:p>
      <w:pPr>
        <w:spacing w:after="0" w:line="52" w:lineRule="exact"/>
        <w:rPr>
          <w:sz w:val="24"/>
          <w:szCs w:val="24"/>
          <w:color w:val="auto"/>
        </w:rPr>
      </w:pPr>
    </w:p>
    <w:p>
      <w:pPr>
        <w:ind w:left="540" w:hanging="351"/>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July 2, 2023</w:t>
      </w:r>
    </w:p>
    <w:p>
      <w:pPr>
        <w:jc w:val="center"/>
        <w:spacing w:after="0"/>
        <w:rPr>
          <w:sz w:val="20"/>
          <w:szCs w:val="20"/>
          <w:color w:val="auto"/>
        </w:rPr>
      </w:pPr>
      <w:r>
        <w:rPr>
          <w:rFonts w:ascii="Arial" w:cs="Arial" w:eastAsia="Arial" w:hAnsi="Arial"/>
          <w:sz w:val="18"/>
          <w:szCs w:val="18"/>
          <w:b w:val="1"/>
          <w:bCs w:val="1"/>
          <w:color w:val="auto"/>
        </w:rPr>
        <w:t>OR</w:t>
      </w:r>
    </w:p>
    <w:p>
      <w:pPr>
        <w:spacing w:after="0" w:line="16" w:lineRule="exact"/>
        <w:rPr>
          <w:sz w:val="24"/>
          <w:szCs w:val="24"/>
          <w:color w:val="auto"/>
        </w:rPr>
      </w:pPr>
    </w:p>
    <w:p>
      <w:pPr>
        <w:ind w:left="540" w:hanging="351"/>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79"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For the transition period from ______to_______</w:t>
      </w:r>
    </w:p>
    <w:p>
      <w:pPr>
        <w:jc w:val="center"/>
        <w:spacing w:after="0"/>
        <w:rPr>
          <w:sz w:val="20"/>
          <w:szCs w:val="20"/>
          <w:color w:val="auto"/>
        </w:rPr>
      </w:pPr>
      <w:r>
        <w:rPr>
          <w:rFonts w:ascii="Arial" w:cs="Arial" w:eastAsia="Arial" w:hAnsi="Arial"/>
          <w:sz w:val="18"/>
          <w:szCs w:val="18"/>
          <w:b w:val="1"/>
          <w:bCs w:val="1"/>
          <w:color w:val="auto"/>
        </w:rPr>
        <w:t>Commission file number 1-183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058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THE HERSHEY COMPANY</w:t>
      </w: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580" w:type="dxa"/>
            <w:vAlign w:val="bottom"/>
          </w:tcPr>
          <w:p>
            <w:pPr>
              <w:spacing w:after="0"/>
              <w:rPr>
                <w:sz w:val="18"/>
                <w:szCs w:val="18"/>
                <w:color w:val="auto"/>
              </w:rPr>
            </w:pPr>
          </w:p>
        </w:tc>
        <w:tc>
          <w:tcPr>
            <w:tcW w:w="7640" w:type="dxa"/>
            <w:vAlign w:val="bottom"/>
            <w:gridSpan w:val="5"/>
          </w:tcPr>
          <w:p>
            <w:pPr>
              <w:jc w:val="center"/>
              <w:ind w:right="347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233"/>
        </w:trPr>
        <w:tc>
          <w:tcPr>
            <w:tcW w:w="3580" w:type="dxa"/>
            <w:vAlign w:val="bottom"/>
          </w:tcPr>
          <w:p>
            <w:pPr>
              <w:jc w:val="center"/>
              <w:ind w:left="1810"/>
              <w:spacing w:after="0"/>
              <w:rPr>
                <w:sz w:val="20"/>
                <w:szCs w:val="20"/>
                <w:color w:val="auto"/>
              </w:rPr>
            </w:pPr>
            <w:r>
              <w:rPr>
                <w:rFonts w:ascii="Arial" w:cs="Arial" w:eastAsia="Arial" w:hAnsi="Arial"/>
                <w:sz w:val="18"/>
                <w:szCs w:val="18"/>
                <w:b w:val="1"/>
                <w:bCs w:val="1"/>
                <w:color w:val="auto"/>
                <w:w w:val="91"/>
              </w:rPr>
              <w:t>Delaware</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380" w:type="dxa"/>
            <w:vAlign w:val="bottom"/>
            <w:gridSpan w:val="2"/>
          </w:tcPr>
          <w:p>
            <w:pPr>
              <w:jc w:val="right"/>
              <w:ind w:right="2190"/>
              <w:spacing w:after="0"/>
              <w:rPr>
                <w:sz w:val="20"/>
                <w:szCs w:val="20"/>
                <w:color w:val="auto"/>
              </w:rPr>
            </w:pPr>
            <w:r>
              <w:rPr>
                <w:rFonts w:ascii="Arial" w:cs="Arial" w:eastAsia="Arial" w:hAnsi="Arial"/>
                <w:sz w:val="18"/>
                <w:szCs w:val="18"/>
                <w:b w:val="1"/>
                <w:bCs w:val="1"/>
                <w:color w:val="auto"/>
              </w:rPr>
              <w:t>23-0691590</w:t>
            </w:r>
          </w:p>
        </w:tc>
      </w:tr>
      <w:tr>
        <w:trPr>
          <w:trHeight w:val="230"/>
        </w:trPr>
        <w:tc>
          <w:tcPr>
            <w:tcW w:w="6840" w:type="dxa"/>
            <w:vAlign w:val="bottom"/>
            <w:gridSpan w:val="4"/>
          </w:tcPr>
          <w:p>
            <w:pPr>
              <w:jc w:val="center"/>
              <w:ind w:right="125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100" w:type="dxa"/>
            <w:vAlign w:val="bottom"/>
          </w:tcPr>
          <w:p>
            <w:pPr>
              <w:spacing w:after="0"/>
              <w:rPr>
                <w:sz w:val="20"/>
                <w:szCs w:val="20"/>
                <w:color w:val="auto"/>
              </w:rPr>
            </w:pPr>
          </w:p>
        </w:tc>
        <w:tc>
          <w:tcPr>
            <w:tcW w:w="4280" w:type="dxa"/>
            <w:vAlign w:val="bottom"/>
          </w:tcPr>
          <w:p>
            <w:pPr>
              <w:jc w:val="center"/>
              <w:ind w:right="1050"/>
              <w:spacing w:after="0"/>
              <w:rPr>
                <w:sz w:val="20"/>
                <w:szCs w:val="20"/>
                <w:color w:val="auto"/>
              </w:rPr>
            </w:pPr>
            <w:r>
              <w:rPr>
                <w:rFonts w:ascii="Arial" w:cs="Arial" w:eastAsia="Arial" w:hAnsi="Arial"/>
                <w:sz w:val="18"/>
                <w:szCs w:val="18"/>
                <w:color w:val="auto"/>
                <w:w w:val="94"/>
              </w:rPr>
              <w:t>(I.R.S. Employer Identification No.)</w:t>
            </w:r>
          </w:p>
        </w:tc>
      </w:tr>
      <w:tr>
        <w:trPr>
          <w:trHeight w:val="243"/>
        </w:trPr>
        <w:tc>
          <w:tcPr>
            <w:tcW w:w="3580" w:type="dxa"/>
            <w:vAlign w:val="bottom"/>
          </w:tcPr>
          <w:p>
            <w:pPr>
              <w:spacing w:after="0"/>
              <w:rPr>
                <w:sz w:val="21"/>
                <w:szCs w:val="21"/>
                <w:color w:val="auto"/>
              </w:rPr>
            </w:pPr>
          </w:p>
        </w:tc>
        <w:tc>
          <w:tcPr>
            <w:tcW w:w="7640" w:type="dxa"/>
            <w:vAlign w:val="bottom"/>
            <w:gridSpan w:val="5"/>
          </w:tcPr>
          <w:p>
            <w:pPr>
              <w:jc w:val="center"/>
              <w:ind w:right="3410"/>
              <w:spacing w:after="0"/>
              <w:rPr>
                <w:sz w:val="20"/>
                <w:szCs w:val="20"/>
                <w:color w:val="auto"/>
              </w:rPr>
            </w:pPr>
            <w:r>
              <w:rPr>
                <w:rFonts w:ascii="Arial" w:cs="Arial" w:eastAsia="Arial" w:hAnsi="Arial"/>
                <w:sz w:val="18"/>
                <w:szCs w:val="18"/>
                <w:b w:val="1"/>
                <w:bCs w:val="1"/>
                <w:color w:val="auto"/>
                <w:w w:val="88"/>
              </w:rPr>
              <w:t>19 East Chocolate Avenue, Hershey, PA 17033</w:t>
            </w:r>
          </w:p>
        </w:tc>
      </w:tr>
      <w:tr>
        <w:trPr>
          <w:trHeight w:val="184"/>
        </w:trPr>
        <w:tc>
          <w:tcPr>
            <w:tcW w:w="3580" w:type="dxa"/>
            <w:vAlign w:val="bottom"/>
          </w:tcPr>
          <w:p>
            <w:pPr>
              <w:spacing w:after="0"/>
              <w:rPr>
                <w:sz w:val="16"/>
                <w:szCs w:val="16"/>
                <w:color w:val="auto"/>
              </w:rPr>
            </w:pPr>
          </w:p>
        </w:tc>
        <w:tc>
          <w:tcPr>
            <w:tcW w:w="7640" w:type="dxa"/>
            <w:vAlign w:val="bottom"/>
            <w:gridSpan w:val="5"/>
          </w:tcPr>
          <w:p>
            <w:pPr>
              <w:jc w:val="center"/>
              <w:ind w:right="3430"/>
              <w:spacing w:after="0" w:line="184" w:lineRule="exact"/>
              <w:rPr>
                <w:sz w:val="20"/>
                <w:szCs w:val="20"/>
                <w:color w:val="auto"/>
              </w:rPr>
            </w:pPr>
            <w:r>
              <w:rPr>
                <w:rFonts w:ascii="Arial" w:cs="Arial" w:eastAsia="Arial" w:hAnsi="Arial"/>
                <w:sz w:val="18"/>
                <w:szCs w:val="18"/>
                <w:color w:val="auto"/>
                <w:w w:val="92"/>
              </w:rPr>
              <w:t>(Address of principal executive offices and Zip Code)</w:t>
            </w:r>
          </w:p>
        </w:tc>
      </w:tr>
      <w:tr>
        <w:trPr>
          <w:trHeight w:val="180"/>
        </w:trPr>
        <w:tc>
          <w:tcPr>
            <w:tcW w:w="3580" w:type="dxa"/>
            <w:vAlign w:val="bottom"/>
          </w:tcPr>
          <w:p>
            <w:pPr>
              <w:spacing w:after="0"/>
              <w:rPr>
                <w:sz w:val="15"/>
                <w:szCs w:val="15"/>
                <w:color w:val="auto"/>
              </w:rPr>
            </w:pPr>
          </w:p>
        </w:tc>
        <w:tc>
          <w:tcPr>
            <w:tcW w:w="3260" w:type="dxa"/>
            <w:vAlign w:val="bottom"/>
            <w:gridSpan w:val="3"/>
          </w:tcPr>
          <w:p>
            <w:pPr>
              <w:jc w:val="center"/>
              <w:ind w:left="730"/>
              <w:spacing w:after="0" w:line="181" w:lineRule="exact"/>
              <w:rPr>
                <w:sz w:val="20"/>
                <w:szCs w:val="20"/>
                <w:color w:val="auto"/>
              </w:rPr>
            </w:pPr>
            <w:r>
              <w:rPr>
                <w:rFonts w:ascii="Arial" w:cs="Arial" w:eastAsia="Arial" w:hAnsi="Arial"/>
                <w:sz w:val="18"/>
                <w:szCs w:val="18"/>
                <w:b w:val="1"/>
                <w:bCs w:val="1"/>
                <w:color w:val="auto"/>
                <w:w w:val="90"/>
              </w:rPr>
              <w:t>(717) 534-4200</w:t>
            </w:r>
          </w:p>
        </w:tc>
        <w:tc>
          <w:tcPr>
            <w:tcW w:w="100" w:type="dxa"/>
            <w:vAlign w:val="bottom"/>
          </w:tcPr>
          <w:p>
            <w:pPr>
              <w:spacing w:after="0"/>
              <w:rPr>
                <w:sz w:val="15"/>
                <w:szCs w:val="15"/>
                <w:color w:val="auto"/>
              </w:rPr>
            </w:pPr>
          </w:p>
        </w:tc>
        <w:tc>
          <w:tcPr>
            <w:tcW w:w="4280" w:type="dxa"/>
            <w:vAlign w:val="bottom"/>
          </w:tcPr>
          <w:p>
            <w:pPr>
              <w:spacing w:after="0"/>
              <w:rPr>
                <w:sz w:val="15"/>
                <w:szCs w:val="15"/>
                <w:color w:val="auto"/>
              </w:rPr>
            </w:pPr>
          </w:p>
        </w:tc>
      </w:tr>
      <w:tr>
        <w:trPr>
          <w:trHeight w:val="230"/>
        </w:trPr>
        <w:tc>
          <w:tcPr>
            <w:tcW w:w="3580" w:type="dxa"/>
            <w:vAlign w:val="bottom"/>
          </w:tcPr>
          <w:p>
            <w:pPr>
              <w:spacing w:after="0"/>
              <w:rPr>
                <w:sz w:val="20"/>
                <w:szCs w:val="20"/>
                <w:color w:val="auto"/>
              </w:rPr>
            </w:pPr>
          </w:p>
        </w:tc>
        <w:tc>
          <w:tcPr>
            <w:tcW w:w="7640" w:type="dxa"/>
            <w:vAlign w:val="bottom"/>
            <w:gridSpan w:val="5"/>
          </w:tcPr>
          <w:p>
            <w:pPr>
              <w:jc w:val="center"/>
              <w:ind w:right="347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390"/>
        </w:trPr>
        <w:tc>
          <w:tcPr>
            <w:tcW w:w="3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0"/>
              </w:rPr>
              <w:t>Not Applicable</w:t>
            </w:r>
          </w:p>
        </w:tc>
        <w:tc>
          <w:tcPr>
            <w:tcW w:w="10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198"/>
        </w:trPr>
        <w:tc>
          <w:tcPr>
            <w:tcW w:w="11220" w:type="dxa"/>
            <w:vAlign w:val="bottom"/>
            <w:gridSpan w:val="6"/>
          </w:tcPr>
          <w:p>
            <w:pPr>
              <w:jc w:val="center"/>
              <w:spacing w:after="0" w:line="199" w:lineRule="exact"/>
              <w:rPr>
                <w:sz w:val="20"/>
                <w:szCs w:val="20"/>
                <w:color w:val="auto"/>
              </w:rPr>
            </w:pPr>
            <w:r>
              <w:rPr>
                <w:rFonts w:ascii="Arial" w:cs="Arial" w:eastAsia="Arial" w:hAnsi="Arial"/>
                <w:sz w:val="18"/>
                <w:szCs w:val="18"/>
                <w:color w:val="auto"/>
                <w:w w:val="89"/>
              </w:rPr>
              <w:t>(Former name or former address, if changed since last report)</w:t>
            </w:r>
          </w:p>
        </w:tc>
      </w:tr>
      <w:tr>
        <w:trPr>
          <w:trHeight w:val="230"/>
        </w:trPr>
        <w:tc>
          <w:tcPr>
            <w:tcW w:w="6840" w:type="dxa"/>
            <w:vAlign w:val="bottom"/>
            <w:gridSpan w:val="4"/>
          </w:tcPr>
          <w:p>
            <w:pPr>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100" w:type="dxa"/>
            <w:vAlign w:val="bottom"/>
          </w:tcPr>
          <w:p>
            <w:pPr>
              <w:spacing w:after="0"/>
              <w:rPr>
                <w:sz w:val="19"/>
                <w:szCs w:val="19"/>
                <w:color w:val="auto"/>
              </w:rPr>
            </w:pPr>
          </w:p>
        </w:tc>
        <w:tc>
          <w:tcPr>
            <w:tcW w:w="4280" w:type="dxa"/>
            <w:vAlign w:val="bottom"/>
          </w:tcPr>
          <w:p>
            <w:pPr>
              <w:spacing w:after="0"/>
              <w:rPr>
                <w:sz w:val="19"/>
                <w:szCs w:val="19"/>
                <w:color w:val="auto"/>
              </w:rPr>
            </w:pPr>
          </w:p>
        </w:tc>
      </w:tr>
      <w:tr>
        <w:trPr>
          <w:trHeight w:val="234"/>
        </w:trPr>
        <w:tc>
          <w:tcPr>
            <w:tcW w:w="3580" w:type="dxa"/>
            <w:vAlign w:val="bottom"/>
            <w:tcBorders>
              <w:bottom w:val="single" w:sz="8" w:color="auto"/>
            </w:tcBorders>
          </w:tcPr>
          <w:p>
            <w:pPr>
              <w:jc w:val="center"/>
              <w:ind w:left="610"/>
              <w:spacing w:after="0"/>
              <w:rPr>
                <w:sz w:val="20"/>
                <w:szCs w:val="20"/>
                <w:color w:val="auto"/>
              </w:rPr>
            </w:pPr>
            <w:r>
              <w:rPr>
                <w:rFonts w:ascii="Arial" w:cs="Arial" w:eastAsia="Arial" w:hAnsi="Arial"/>
                <w:sz w:val="18"/>
                <w:szCs w:val="18"/>
                <w:b w:val="1"/>
                <w:bCs w:val="1"/>
                <w:color w:val="auto"/>
                <w:w w:val="87"/>
              </w:rPr>
              <w:t>Title of each class</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100" w:type="dxa"/>
            <w:vAlign w:val="bottom"/>
          </w:tcPr>
          <w:p>
            <w:pPr>
              <w:spacing w:after="0"/>
              <w:rPr>
                <w:sz w:val="20"/>
                <w:szCs w:val="20"/>
                <w:color w:val="auto"/>
              </w:rPr>
            </w:pPr>
          </w:p>
        </w:tc>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580" w:type="dxa"/>
            <w:vAlign w:val="bottom"/>
          </w:tcPr>
          <w:p>
            <w:pPr>
              <w:jc w:val="center"/>
              <w:ind w:left="610"/>
              <w:spacing w:after="0"/>
              <w:rPr>
                <w:sz w:val="20"/>
                <w:szCs w:val="20"/>
                <w:color w:val="auto"/>
              </w:rPr>
            </w:pPr>
            <w:r>
              <w:rPr>
                <w:rFonts w:ascii="Arial" w:cs="Arial" w:eastAsia="Arial" w:hAnsi="Arial"/>
                <w:sz w:val="18"/>
                <w:szCs w:val="18"/>
                <w:color w:val="auto"/>
                <w:w w:val="90"/>
              </w:rPr>
              <w:t>Common Stock, one dollar par value</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97"/>
              </w:rPr>
              <w:t>HSY</w:t>
            </w:r>
          </w:p>
        </w:tc>
        <w:tc>
          <w:tcPr>
            <w:tcW w:w="100" w:type="dxa"/>
            <w:vAlign w:val="bottom"/>
          </w:tcPr>
          <w:p>
            <w:pPr>
              <w:spacing w:after="0"/>
              <w:rPr>
                <w:sz w:val="19"/>
                <w:szCs w:val="19"/>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30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w:t>
      </w:r>
    </w:p>
    <w:p>
      <w:pPr>
        <w:spacing w:after="0" w:line="21" w:lineRule="exact"/>
        <w:rPr>
          <w:sz w:val="24"/>
          <w:szCs w:val="24"/>
          <w:color w:val="auto"/>
        </w:rPr>
      </w:pPr>
    </w:p>
    <w:p>
      <w:pPr>
        <w:jc w:val="both"/>
        <w:spacing w:after="0" w:line="209" w:lineRule="exact"/>
        <w:rPr>
          <w:sz w:val="20"/>
          <w:szCs w:val="20"/>
          <w:color w:val="auto"/>
        </w:rPr>
      </w:pPr>
      <w:r>
        <w:rPr>
          <w:rFonts w:ascii="Arial" w:cs="Arial" w:eastAsia="Arial" w:hAnsi="Arial"/>
          <w:sz w:val="18"/>
          <w:szCs w:val="18"/>
          <w:color w:val="auto"/>
        </w:rPr>
        <w:t xml:space="preserve">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w:t>
      </w:r>
    </w:p>
    <w:p>
      <w:pPr>
        <w:spacing w:after="0" w:line="21" w:lineRule="exact"/>
        <w:rPr>
          <w:sz w:val="24"/>
          <w:szCs w:val="24"/>
          <w:color w:val="auto"/>
        </w:rPr>
      </w:pPr>
    </w:p>
    <w:p>
      <w:pPr>
        <w:ind w:right="120"/>
        <w:spacing w:after="0" w:line="209" w:lineRule="exact"/>
        <w:rPr>
          <w:sz w:val="20"/>
          <w:szCs w:val="20"/>
          <w:color w:val="auto"/>
        </w:rPr>
      </w:pPr>
      <w:r>
        <w:rPr>
          <w:rFonts w:ascii="Arial" w:cs="Arial" w:eastAsia="Arial" w:hAnsi="Arial"/>
          <w:sz w:val="18"/>
          <w:szCs w:val="18"/>
          <w:color w:val="auto"/>
        </w:rPr>
        <w:t xml:space="preserve">Regulation S-T (§232.405 of this chapter) during the preceding 12 months (or for such shorter period that the registrant was required to submit such files). Yes x No </w:t>
      </w:r>
      <w:r>
        <w:rPr>
          <w:rFonts w:ascii="MS PGothic" w:cs="MS PGothic" w:eastAsia="MS PGothic" w:hAnsi="MS PGothic"/>
          <w:sz w:val="18"/>
          <w:szCs w:val="18"/>
          <w:color w:val="auto"/>
        </w:rPr>
        <w:t>☐</w:t>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w:t>
      </w:r>
    </w:p>
    <w:p>
      <w:pPr>
        <w:spacing w:after="0" w:line="21" w:lineRule="exact"/>
        <w:rPr>
          <w:sz w:val="24"/>
          <w:szCs w:val="24"/>
          <w:color w:val="auto"/>
        </w:rPr>
      </w:pPr>
    </w:p>
    <w:p>
      <w:pPr>
        <w:ind w:right="680"/>
        <w:spacing w:after="0" w:line="226" w:lineRule="auto"/>
        <w:rPr>
          <w:sz w:val="20"/>
          <w:szCs w:val="20"/>
          <w:color w:val="auto"/>
        </w:rPr>
      </w:pPr>
      <w:r>
        <w:rPr>
          <w:rFonts w:ascii="Arial" w:cs="Arial" w:eastAsia="Arial" w:hAnsi="Arial"/>
          <w:sz w:val="18"/>
          <w:szCs w:val="18"/>
          <w:color w:val="auto"/>
        </w:rPr>
        <w:t>emerging growth company. See the definitions of “large accelerated filer,” “accelerated filer,” “smaller reporting company” and “emerging growth company” in Rule 12b-2 of the Exchange Act. (Check one):</w:t>
      </w:r>
    </w:p>
    <w:p>
      <w:pPr>
        <w:spacing w:after="0" w:line="49" w:lineRule="exact"/>
        <w:rPr>
          <w:sz w:val="24"/>
          <w:szCs w:val="24"/>
          <w:color w:val="auto"/>
        </w:rPr>
      </w:pPr>
    </w:p>
    <w:p>
      <w:pPr>
        <w:ind w:left="160"/>
        <w:spacing w:after="0" w:line="207" w:lineRule="exact"/>
        <w:tabs>
          <w:tab w:leader="none" w:pos="1980" w:val="left"/>
          <w:tab w:leader="none" w:pos="2300" w:val="left"/>
          <w:tab w:leader="none" w:pos="3700" w:val="left"/>
          <w:tab w:leader="none" w:pos="8720" w:val="left"/>
          <w:tab w:leader="none" w:pos="1092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Non-accelerated filer</w:t>
      </w:r>
      <w:r>
        <w:rPr>
          <w:rFonts w:ascii="MS PGothic" w:cs="MS PGothic" w:eastAsia="MS PGothic" w:hAnsi="MS PGothic"/>
          <w:sz w:val="18"/>
          <w:szCs w:val="18"/>
          <w:color w:val="auto"/>
        </w:rPr>
        <w:t xml:space="preserve">  ☐  </w:t>
      </w:r>
      <w:r>
        <w:rPr>
          <w:rFonts w:ascii="Arial" w:cs="Arial" w:eastAsia="Arial" w:hAnsi="Arial"/>
          <w:sz w:val="18"/>
          <w:szCs w:val="18"/>
          <w:color w:val="auto"/>
        </w:rPr>
        <w:t>Smaller reporting company</w:t>
      </w:r>
      <w:r>
        <w:rPr>
          <w:rFonts w:ascii="MS PGothic" w:cs="MS PGothic" w:eastAsia="MS PGothic" w:hAnsi="MS PGothic"/>
          <w:sz w:val="18"/>
          <w:szCs w:val="18"/>
          <w:color w:val="auto"/>
        </w:rPr>
        <w:t xml:space="preserve">   ☐</w:t>
      </w:r>
      <w:r>
        <w:rPr>
          <w:sz w:val="20"/>
          <w:szCs w:val="20"/>
          <w:color w:val="auto"/>
        </w:rPr>
        <w:tab/>
      </w: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351" w:lineRule="exact"/>
        <w:rPr>
          <w:sz w:val="24"/>
          <w:szCs w:val="24"/>
          <w:color w:val="auto"/>
        </w:rPr>
      </w:pPr>
    </w:p>
    <w:p>
      <w:pPr>
        <w:ind w:right="160"/>
        <w:spacing w:after="0" w:line="21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ind w:left="660"/>
        <w:spacing w:after="0" w:line="203" w:lineRule="auto"/>
        <w:rPr>
          <w:sz w:val="20"/>
          <w:szCs w:val="20"/>
          <w:color w:val="auto"/>
        </w:rPr>
      </w:pPr>
      <w:r>
        <w:rPr>
          <w:rFonts w:ascii="Arial" w:cs="Arial" w:eastAsia="Arial" w:hAnsi="Arial"/>
          <w:sz w:val="18"/>
          <w:szCs w:val="18"/>
          <w:color w:val="auto"/>
        </w:rPr>
        <w:t>Common Stock, one dollar par value—149,854,381 shares, as of July 21, 2023.</w:t>
      </w:r>
    </w:p>
    <w:p>
      <w:pPr>
        <w:ind w:left="660"/>
        <w:spacing w:after="0"/>
        <w:rPr>
          <w:sz w:val="20"/>
          <w:szCs w:val="20"/>
          <w:color w:val="auto"/>
        </w:rPr>
      </w:pPr>
      <w:r>
        <w:rPr>
          <w:rFonts w:ascii="Arial" w:cs="Arial" w:eastAsia="Arial" w:hAnsi="Arial"/>
          <w:sz w:val="18"/>
          <w:szCs w:val="18"/>
          <w:color w:val="auto"/>
        </w:rPr>
        <w:t>Class B Common Stock, one dollar par value—54,613,514 shares, as of July 21,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257810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4"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Ended July 2, 2023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Borders>
              <w:bottom w:val="single" w:sz="8" w:color="CCEEFF"/>
            </w:tcBorders>
            <w:shd w:val="clear" w:color="auto" w:fill="CCEEFF"/>
          </w:tcPr>
          <w:p>
            <w:pPr>
              <w:spacing w:after="0"/>
              <w:rPr>
                <w:sz w:val="17"/>
                <w:szCs w:val="17"/>
                <w:color w:val="auto"/>
              </w:rPr>
            </w:pPr>
          </w:p>
        </w:tc>
        <w:tc>
          <w:tcPr>
            <w:tcW w:w="2600" w:type="dxa"/>
            <w:vAlign w:val="bottom"/>
            <w:tcBorders>
              <w:bottom w:val="single" w:sz="8" w:color="0000FF"/>
            </w:tcBorders>
            <w:gridSpan w:val="17"/>
            <w:shd w:val="clear" w:color="auto" w:fill="CCEEFF"/>
          </w:tcPr>
          <w:p>
            <w:pPr>
              <w:spacing w:after="0"/>
              <w:rPr>
                <w:sz w:val="20"/>
                <w:szCs w:val="20"/>
                <w:color w:val="auto"/>
              </w:rPr>
            </w:pPr>
            <w:r>
              <w:rPr>
                <w:rFonts w:ascii="Arial" w:cs="Arial" w:eastAsia="Arial" w:hAnsi="Arial"/>
                <w:sz w:val="16"/>
                <w:szCs w:val="16"/>
                <w:color w:val="0000FF"/>
                <w:w w:val="99"/>
              </w:rPr>
              <w:t>PART I. FINANCIAL INFORMATION</w:t>
            </w:r>
          </w:p>
        </w:tc>
        <w:tc>
          <w:tcPr>
            <w:tcW w:w="5320" w:type="dxa"/>
            <w:vAlign w:val="bottom"/>
            <w:tcBorders>
              <w:bottom w:val="single" w:sz="8" w:color="CCEEFF"/>
            </w:tcBorders>
            <w:gridSpan w:val="18"/>
            <w:shd w:val="clear" w:color="auto" w:fill="CCEEFF"/>
          </w:tcPr>
          <w:p>
            <w:pPr>
              <w:spacing w:after="0"/>
              <w:rPr>
                <w:sz w:val="17"/>
                <w:szCs w:val="17"/>
                <w:color w:val="auto"/>
              </w:rPr>
            </w:pPr>
          </w:p>
        </w:tc>
        <w:tc>
          <w:tcPr>
            <w:tcW w:w="3200" w:type="dxa"/>
            <w:vAlign w:val="bottom"/>
            <w:tcBorders>
              <w:bottom w:val="single" w:sz="8" w:color="CCEEFF"/>
            </w:tcBorders>
            <w:gridSpan w:val="2"/>
            <w:shd w:val="clear" w:color="auto" w:fill="CCEEFF"/>
          </w:tcPr>
          <w:p>
            <w:pPr>
              <w:spacing w:after="0"/>
              <w:rPr>
                <w:sz w:val="17"/>
                <w:szCs w:val="17"/>
                <w:color w:val="auto"/>
              </w:rPr>
            </w:pPr>
          </w:p>
        </w:tc>
        <w:tc>
          <w:tcPr>
            <w:tcW w:w="80" w:type="dxa"/>
            <w:vAlign w:val="bottom"/>
            <w:tcBorders>
              <w:bottom w:val="single" w:sz="8" w:color="0000FF"/>
            </w:tcBorders>
            <w:shd w:val="clear" w:color="auto" w:fill="CCEEFF"/>
          </w:tcPr>
          <w:p>
            <w:pPr>
              <w:jc w:val="right"/>
              <w:spacing w:after="0"/>
              <w:rPr>
                <w:sz w:val="20"/>
                <w:szCs w:val="20"/>
                <w:color w:val="auto"/>
              </w:rPr>
            </w:pPr>
            <w:r>
              <w:rPr>
                <w:rFonts w:ascii="Arial" w:cs="Arial" w:eastAsia="Arial" w:hAnsi="Arial"/>
                <w:sz w:val="15"/>
                <w:szCs w:val="15"/>
                <w:color w:val="0000FF"/>
                <w:w w:val="71"/>
              </w:rPr>
              <w:t>2</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7920" w:type="dxa"/>
            <w:vAlign w:val="bottom"/>
            <w:gridSpan w:val="35"/>
          </w:tcPr>
          <w:p>
            <w:pPr>
              <w:ind w:left="120"/>
              <w:spacing w:after="0" w:line="175" w:lineRule="exact"/>
              <w:rPr>
                <w:sz w:val="20"/>
                <w:szCs w:val="20"/>
                <w:color w:val="auto"/>
              </w:rPr>
            </w:pPr>
            <w:r>
              <w:rPr>
                <w:rFonts w:ascii="Arial" w:cs="Arial" w:eastAsia="Arial" w:hAnsi="Arial"/>
                <w:sz w:val="16"/>
                <w:szCs w:val="16"/>
                <w:color w:val="0000FF"/>
              </w:rPr>
              <w:t>Item 1. Financial Statements</w:t>
            </w:r>
          </w:p>
        </w:tc>
        <w:tc>
          <w:tcPr>
            <w:tcW w:w="3280" w:type="dxa"/>
            <w:vAlign w:val="bottom"/>
            <w:gridSpan w:val="3"/>
          </w:tcPr>
          <w:p>
            <w:pPr>
              <w:jc w:val="right"/>
              <w:spacing w:after="0" w:line="175" w:lineRule="exact"/>
              <w:rPr>
                <w:sz w:val="20"/>
                <w:szCs w:val="20"/>
                <w:color w:val="auto"/>
              </w:rPr>
            </w:pPr>
            <w:r>
              <w:rPr>
                <w:rFonts w:ascii="Arial" w:cs="Arial" w:eastAsia="Arial" w:hAnsi="Arial"/>
                <w:sz w:val="16"/>
                <w:szCs w:val="16"/>
                <w:color w:val="0000FF"/>
              </w:rPr>
              <w:t>2</w:t>
            </w:r>
          </w:p>
        </w:tc>
        <w:tc>
          <w:tcPr>
            <w:tcW w:w="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720" w:type="dxa"/>
            <w:vAlign w:val="bottom"/>
            <w:gridSpan w:val="33"/>
            <w:shd w:val="clear" w:color="auto" w:fill="CCEEFF"/>
          </w:tcPr>
          <w:p>
            <w:pPr>
              <w:spacing w:after="0" w:line="175" w:lineRule="exact"/>
              <w:rPr>
                <w:sz w:val="20"/>
                <w:szCs w:val="20"/>
                <w:color w:val="auto"/>
              </w:rPr>
            </w:pPr>
            <w:r>
              <w:rPr>
                <w:rFonts w:ascii="Arial" w:cs="Arial" w:eastAsia="Arial" w:hAnsi="Arial"/>
                <w:sz w:val="16"/>
                <w:szCs w:val="16"/>
                <w:color w:val="0000FF"/>
              </w:rPr>
              <w:t>Consolidated Statements of Income for the Three and Six Months Ended July 2, 2023 and July 3, 2022</w:t>
            </w:r>
          </w:p>
        </w:tc>
        <w:tc>
          <w:tcPr>
            <w:tcW w:w="328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rPr>
              <w:t>2</w:t>
            </w:r>
          </w:p>
        </w:tc>
        <w:tc>
          <w:tcPr>
            <w:tcW w:w="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5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720" w:type="dxa"/>
            <w:vAlign w:val="bottom"/>
            <w:gridSpan w:val="33"/>
          </w:tcPr>
          <w:p>
            <w:pPr>
              <w:spacing w:after="0" w:line="175" w:lineRule="exact"/>
              <w:rPr>
                <w:sz w:val="20"/>
                <w:szCs w:val="20"/>
                <w:color w:val="auto"/>
              </w:rPr>
            </w:pPr>
            <w:r>
              <w:rPr>
                <w:rFonts w:ascii="Arial" w:cs="Arial" w:eastAsia="Arial" w:hAnsi="Arial"/>
                <w:sz w:val="16"/>
                <w:szCs w:val="16"/>
                <w:color w:val="0000FF"/>
                <w:w w:val="91"/>
              </w:rPr>
              <w:t>Consolidated Statements of Comprehensive Income for the Three and Six Months Ended July 2, 2023 and July 3, 2022</w:t>
            </w:r>
          </w:p>
        </w:tc>
        <w:tc>
          <w:tcPr>
            <w:tcW w:w="3280" w:type="dxa"/>
            <w:vAlign w:val="bottom"/>
            <w:gridSpan w:val="3"/>
          </w:tcPr>
          <w:p>
            <w:pPr>
              <w:jc w:val="right"/>
              <w:spacing w:after="0" w:line="175" w:lineRule="exact"/>
              <w:rPr>
                <w:sz w:val="20"/>
                <w:szCs w:val="20"/>
                <w:color w:val="auto"/>
              </w:rPr>
            </w:pPr>
            <w:r>
              <w:rPr>
                <w:rFonts w:ascii="Arial" w:cs="Arial" w:eastAsia="Arial" w:hAnsi="Arial"/>
                <w:sz w:val="16"/>
                <w:szCs w:val="16"/>
                <w:color w:val="0000FF"/>
              </w:rPr>
              <w:t>3</w:t>
            </w:r>
          </w:p>
        </w:tc>
        <w:tc>
          <w:tcPr>
            <w:tcW w:w="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5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720" w:type="dxa"/>
            <w:vAlign w:val="bottom"/>
            <w:gridSpan w:val="33"/>
            <w:shd w:val="clear" w:color="auto" w:fill="CCEEFF"/>
          </w:tcPr>
          <w:p>
            <w:pPr>
              <w:spacing w:after="0" w:line="175" w:lineRule="exact"/>
              <w:rPr>
                <w:sz w:val="20"/>
                <w:szCs w:val="20"/>
                <w:color w:val="auto"/>
              </w:rPr>
            </w:pPr>
            <w:r>
              <w:rPr>
                <w:rFonts w:ascii="Arial" w:cs="Arial" w:eastAsia="Arial" w:hAnsi="Arial"/>
                <w:sz w:val="16"/>
                <w:szCs w:val="16"/>
                <w:color w:val="0000FF"/>
              </w:rPr>
              <w:t>Consolidated Balance Sheets as of July 2, 2023 and December 31, 2022</w:t>
            </w:r>
          </w:p>
        </w:tc>
        <w:tc>
          <w:tcPr>
            <w:tcW w:w="328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rPr>
              <w:t>4</w:t>
            </w:r>
          </w:p>
        </w:tc>
        <w:tc>
          <w:tcPr>
            <w:tcW w:w="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720" w:type="dxa"/>
            <w:vAlign w:val="bottom"/>
            <w:gridSpan w:val="33"/>
          </w:tcPr>
          <w:p>
            <w:pPr>
              <w:spacing w:after="0" w:line="175" w:lineRule="exact"/>
              <w:rPr>
                <w:sz w:val="20"/>
                <w:szCs w:val="20"/>
                <w:color w:val="auto"/>
              </w:rPr>
            </w:pPr>
            <w:r>
              <w:rPr>
                <w:rFonts w:ascii="Arial" w:cs="Arial" w:eastAsia="Arial" w:hAnsi="Arial"/>
                <w:sz w:val="16"/>
                <w:szCs w:val="16"/>
                <w:color w:val="0000FF"/>
              </w:rPr>
              <w:t>Consolidated Statements of Cash Flows for the Three and Six Months Ended July 2, 2023 and July 3, 2022</w:t>
            </w:r>
          </w:p>
        </w:tc>
        <w:tc>
          <w:tcPr>
            <w:tcW w:w="3280" w:type="dxa"/>
            <w:vAlign w:val="bottom"/>
            <w:gridSpan w:val="3"/>
          </w:tcPr>
          <w:p>
            <w:pPr>
              <w:jc w:val="right"/>
              <w:spacing w:after="0" w:line="175" w:lineRule="exact"/>
              <w:rPr>
                <w:sz w:val="20"/>
                <w:szCs w:val="20"/>
                <w:color w:val="auto"/>
              </w:rPr>
            </w:pPr>
            <w:r>
              <w:rPr>
                <w:rFonts w:ascii="Arial" w:cs="Arial" w:eastAsia="Arial" w:hAnsi="Arial"/>
                <w:sz w:val="16"/>
                <w:szCs w:val="16"/>
                <w:color w:val="0000FF"/>
              </w:rPr>
              <w:t>5</w:t>
            </w:r>
          </w:p>
        </w:tc>
        <w:tc>
          <w:tcPr>
            <w:tcW w:w="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5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720" w:type="dxa"/>
            <w:vAlign w:val="bottom"/>
            <w:gridSpan w:val="33"/>
            <w:shd w:val="clear" w:color="auto" w:fill="CCEEFF"/>
          </w:tcPr>
          <w:p>
            <w:pPr>
              <w:spacing w:after="0" w:line="175" w:lineRule="exact"/>
              <w:rPr>
                <w:sz w:val="20"/>
                <w:szCs w:val="20"/>
                <w:color w:val="auto"/>
              </w:rPr>
            </w:pPr>
            <w:r>
              <w:rPr>
                <w:rFonts w:ascii="Arial" w:cs="Arial" w:eastAsia="Arial" w:hAnsi="Arial"/>
                <w:sz w:val="16"/>
                <w:szCs w:val="16"/>
                <w:color w:val="0000FF"/>
                <w:w w:val="93"/>
              </w:rPr>
              <w:t>Consolidated Statements of Stockholders’ Equity for the Three and Six Months Ended July 2, 2023 and July 3, 2022</w:t>
            </w:r>
          </w:p>
        </w:tc>
        <w:tc>
          <w:tcPr>
            <w:tcW w:w="328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rPr>
              <w:t>6</w:t>
            </w:r>
          </w:p>
        </w:tc>
        <w:tc>
          <w:tcPr>
            <w:tcW w:w="20" w:type="dxa"/>
            <w:vAlign w:val="bottom"/>
            <w:shd w:val="clear" w:color="auto" w:fill="CCEEFF"/>
          </w:tcPr>
          <w:p>
            <w:pPr>
              <w:spacing w:after="0"/>
              <w:rPr>
                <w:sz w:val="17"/>
                <w:szCs w:val="17"/>
                <w:color w:val="auto"/>
              </w:rPr>
            </w:pPr>
          </w:p>
        </w:tc>
      </w:tr>
      <w:tr>
        <w:trPr>
          <w:trHeight w:val="175"/>
        </w:trPr>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7540" w:type="dxa"/>
            <w:vAlign w:val="bottom"/>
            <w:tcBorders>
              <w:top w:val="single" w:sz="8" w:color="0000FF"/>
            </w:tcBorders>
            <w:gridSpan w:val="32"/>
          </w:tcPr>
          <w:p>
            <w:pPr>
              <w:spacing w:after="0" w:line="175" w:lineRule="exact"/>
              <w:rPr>
                <w:sz w:val="20"/>
                <w:szCs w:val="20"/>
                <w:color w:val="auto"/>
              </w:rPr>
            </w:pPr>
            <w:r>
              <w:rPr>
                <w:rFonts w:ascii="Arial" w:cs="Arial" w:eastAsia="Arial" w:hAnsi="Arial"/>
                <w:sz w:val="16"/>
                <w:szCs w:val="16"/>
                <w:color w:val="0000FF"/>
              </w:rPr>
              <w:t>Notes to Unaudited Consolidated Financial Statements</w:t>
            </w:r>
          </w:p>
        </w:tc>
        <w:tc>
          <w:tcPr>
            <w:tcW w:w="180" w:type="dxa"/>
            <w:vAlign w:val="bottom"/>
            <w:tcBorders>
              <w:top w:val="single" w:sz="8" w:color="CCEEFF"/>
            </w:tcBorders>
          </w:tcPr>
          <w:p>
            <w:pPr>
              <w:spacing w:after="0"/>
              <w:rPr>
                <w:sz w:val="15"/>
                <w:szCs w:val="15"/>
                <w:color w:val="auto"/>
              </w:rPr>
            </w:pPr>
          </w:p>
        </w:tc>
        <w:tc>
          <w:tcPr>
            <w:tcW w:w="3200" w:type="dxa"/>
            <w:vAlign w:val="bottom"/>
            <w:tcBorders>
              <w:top w:val="single" w:sz="8" w:color="CCEEFF"/>
            </w:tcBorders>
            <w:gridSpan w:val="2"/>
          </w:tcPr>
          <w:p>
            <w:pPr>
              <w:spacing w:after="0"/>
              <w:rPr>
                <w:sz w:val="15"/>
                <w:szCs w:val="15"/>
                <w:color w:val="auto"/>
              </w:rPr>
            </w:pPr>
          </w:p>
        </w:tc>
        <w:tc>
          <w:tcPr>
            <w:tcW w:w="80" w:type="dxa"/>
            <w:vAlign w:val="bottom"/>
            <w:tcBorders>
              <w:top w:val="single" w:sz="8" w:color="0000FF"/>
            </w:tcBorders>
          </w:tcPr>
          <w:p>
            <w:pPr>
              <w:jc w:val="right"/>
              <w:spacing w:after="0"/>
              <w:rPr>
                <w:sz w:val="20"/>
                <w:szCs w:val="20"/>
                <w:color w:val="auto"/>
              </w:rPr>
            </w:pPr>
            <w:r>
              <w:rPr>
                <w:rFonts w:ascii="Arial" w:cs="Arial" w:eastAsia="Arial" w:hAnsi="Arial"/>
                <w:sz w:val="15"/>
                <w:szCs w:val="15"/>
                <w:color w:val="0000FF"/>
                <w:w w:val="71"/>
              </w:rPr>
              <w:t>8</w:t>
            </w:r>
          </w:p>
        </w:tc>
        <w:tc>
          <w:tcPr>
            <w:tcW w:w="20" w:type="dxa"/>
            <w:vAlign w:val="bottom"/>
            <w:tcBorders>
              <w:top w:val="single" w:sz="8" w:color="CCEEFF"/>
            </w:tcBorders>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720" w:type="dxa"/>
            <w:vAlign w:val="bottom"/>
            <w:gridSpan w:val="33"/>
            <w:shd w:val="clear" w:color="auto" w:fill="CCEEFF"/>
          </w:tcPr>
          <w:p>
            <w:pPr>
              <w:ind w:left="340"/>
              <w:spacing w:after="0" w:line="175" w:lineRule="exact"/>
              <w:rPr>
                <w:sz w:val="20"/>
                <w:szCs w:val="20"/>
                <w:color w:val="auto"/>
              </w:rPr>
            </w:pPr>
            <w:r>
              <w:rPr>
                <w:rFonts w:ascii="Arial" w:cs="Arial" w:eastAsia="Arial" w:hAnsi="Arial"/>
                <w:sz w:val="16"/>
                <w:szCs w:val="16"/>
                <w:color w:val="0000FF"/>
              </w:rPr>
              <w:t>Note 1 - Summary of Significant Accounting Policies</w:t>
            </w:r>
          </w:p>
        </w:tc>
        <w:tc>
          <w:tcPr>
            <w:tcW w:w="328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rPr>
              <w:t>8</w:t>
            </w:r>
          </w:p>
        </w:tc>
        <w:tc>
          <w:tcPr>
            <w:tcW w:w="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720" w:type="dxa"/>
            <w:vAlign w:val="bottom"/>
            <w:gridSpan w:val="33"/>
          </w:tcPr>
          <w:p>
            <w:pPr>
              <w:ind w:left="340"/>
              <w:spacing w:after="0" w:line="175" w:lineRule="exact"/>
              <w:rPr>
                <w:sz w:val="20"/>
                <w:szCs w:val="20"/>
                <w:color w:val="auto"/>
              </w:rPr>
            </w:pPr>
            <w:r>
              <w:rPr>
                <w:rFonts w:ascii="Arial" w:cs="Arial" w:eastAsia="Arial" w:hAnsi="Arial"/>
                <w:sz w:val="16"/>
                <w:szCs w:val="16"/>
                <w:color w:val="0000FF"/>
              </w:rPr>
              <w:t>Note 2 - Business Acquisitions</w:t>
            </w:r>
          </w:p>
        </w:tc>
        <w:tc>
          <w:tcPr>
            <w:tcW w:w="3280" w:type="dxa"/>
            <w:vAlign w:val="bottom"/>
            <w:gridSpan w:val="3"/>
          </w:tcPr>
          <w:p>
            <w:pPr>
              <w:jc w:val="right"/>
              <w:spacing w:after="0" w:line="175" w:lineRule="exact"/>
              <w:rPr>
                <w:sz w:val="20"/>
                <w:szCs w:val="20"/>
                <w:color w:val="auto"/>
              </w:rPr>
            </w:pPr>
            <w:r>
              <w:rPr>
                <w:rFonts w:ascii="Arial" w:cs="Arial" w:eastAsia="Arial" w:hAnsi="Arial"/>
                <w:sz w:val="16"/>
                <w:szCs w:val="16"/>
                <w:color w:val="0000FF"/>
              </w:rPr>
              <w:t>9</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720" w:type="dxa"/>
            <w:vAlign w:val="bottom"/>
            <w:gridSpan w:val="33"/>
            <w:shd w:val="clear" w:color="auto" w:fill="CCEEFF"/>
          </w:tcPr>
          <w:p>
            <w:pPr>
              <w:ind w:left="340"/>
              <w:spacing w:after="0" w:line="175" w:lineRule="exact"/>
              <w:rPr>
                <w:sz w:val="20"/>
                <w:szCs w:val="20"/>
                <w:color w:val="auto"/>
              </w:rPr>
            </w:pPr>
            <w:r>
              <w:rPr>
                <w:rFonts w:ascii="Arial" w:cs="Arial" w:eastAsia="Arial" w:hAnsi="Arial"/>
                <w:sz w:val="16"/>
                <w:szCs w:val="16"/>
                <w:color w:val="0000FF"/>
              </w:rPr>
              <w:t>Note 3 - Goodwill and Intangible Assets</w:t>
            </w:r>
          </w:p>
        </w:tc>
        <w:tc>
          <w:tcPr>
            <w:tcW w:w="328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rPr>
              <w:t>11</w:t>
            </w:r>
          </w:p>
        </w:tc>
        <w:tc>
          <w:tcPr>
            <w:tcW w:w="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720" w:type="dxa"/>
            <w:vAlign w:val="bottom"/>
            <w:gridSpan w:val="33"/>
          </w:tcPr>
          <w:p>
            <w:pPr>
              <w:ind w:left="340"/>
              <w:spacing w:after="0" w:line="175" w:lineRule="exact"/>
              <w:rPr>
                <w:sz w:val="20"/>
                <w:szCs w:val="20"/>
                <w:color w:val="auto"/>
              </w:rPr>
            </w:pPr>
            <w:r>
              <w:rPr>
                <w:rFonts w:ascii="Arial" w:cs="Arial" w:eastAsia="Arial" w:hAnsi="Arial"/>
                <w:sz w:val="16"/>
                <w:szCs w:val="16"/>
                <w:color w:val="0000FF"/>
              </w:rPr>
              <w:t>Note 4 - Short and Long-Term Debt</w:t>
            </w:r>
          </w:p>
        </w:tc>
        <w:tc>
          <w:tcPr>
            <w:tcW w:w="3280" w:type="dxa"/>
            <w:vAlign w:val="bottom"/>
            <w:gridSpan w:val="3"/>
          </w:tcPr>
          <w:p>
            <w:pPr>
              <w:jc w:val="right"/>
              <w:spacing w:after="0" w:line="175" w:lineRule="exact"/>
              <w:rPr>
                <w:sz w:val="20"/>
                <w:szCs w:val="20"/>
                <w:color w:val="auto"/>
              </w:rPr>
            </w:pPr>
            <w:r>
              <w:rPr>
                <w:rFonts w:ascii="Arial" w:cs="Arial" w:eastAsia="Arial" w:hAnsi="Arial"/>
                <w:sz w:val="16"/>
                <w:szCs w:val="16"/>
                <w:color w:val="0000FF"/>
              </w:rPr>
              <w:t>12</w:t>
            </w:r>
          </w:p>
        </w:tc>
        <w:tc>
          <w:tcPr>
            <w:tcW w:w="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720" w:type="dxa"/>
            <w:vAlign w:val="bottom"/>
            <w:gridSpan w:val="33"/>
            <w:shd w:val="clear" w:color="auto" w:fill="CCEEFF"/>
          </w:tcPr>
          <w:p>
            <w:pPr>
              <w:ind w:left="340"/>
              <w:spacing w:after="0" w:line="175" w:lineRule="exact"/>
              <w:rPr>
                <w:sz w:val="20"/>
                <w:szCs w:val="20"/>
                <w:color w:val="auto"/>
              </w:rPr>
            </w:pPr>
            <w:r>
              <w:rPr>
                <w:rFonts w:ascii="Arial" w:cs="Arial" w:eastAsia="Arial" w:hAnsi="Arial"/>
                <w:sz w:val="16"/>
                <w:szCs w:val="16"/>
                <w:color w:val="0000FF"/>
              </w:rPr>
              <w:t>Note 5 - Derivative Instruments</w:t>
            </w:r>
          </w:p>
        </w:tc>
        <w:tc>
          <w:tcPr>
            <w:tcW w:w="328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rPr>
              <w:t>13</w:t>
            </w:r>
          </w:p>
        </w:tc>
        <w:tc>
          <w:tcPr>
            <w:tcW w:w="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720" w:type="dxa"/>
            <w:vAlign w:val="bottom"/>
            <w:gridSpan w:val="33"/>
          </w:tcPr>
          <w:p>
            <w:pPr>
              <w:ind w:left="340"/>
              <w:spacing w:after="0" w:line="175" w:lineRule="exact"/>
              <w:rPr>
                <w:sz w:val="20"/>
                <w:szCs w:val="20"/>
                <w:color w:val="auto"/>
              </w:rPr>
            </w:pPr>
            <w:r>
              <w:rPr>
                <w:rFonts w:ascii="Arial" w:cs="Arial" w:eastAsia="Arial" w:hAnsi="Arial"/>
                <w:sz w:val="16"/>
                <w:szCs w:val="16"/>
                <w:color w:val="0000FF"/>
              </w:rPr>
              <w:t>Note 6 - Fair Value Measurements</w:t>
            </w:r>
          </w:p>
        </w:tc>
        <w:tc>
          <w:tcPr>
            <w:tcW w:w="3280" w:type="dxa"/>
            <w:vAlign w:val="bottom"/>
            <w:gridSpan w:val="3"/>
          </w:tcPr>
          <w:p>
            <w:pPr>
              <w:jc w:val="right"/>
              <w:spacing w:after="0" w:line="175" w:lineRule="exact"/>
              <w:rPr>
                <w:sz w:val="20"/>
                <w:szCs w:val="20"/>
                <w:color w:val="auto"/>
              </w:rPr>
            </w:pPr>
            <w:r>
              <w:rPr>
                <w:rFonts w:ascii="Arial" w:cs="Arial" w:eastAsia="Arial" w:hAnsi="Arial"/>
                <w:sz w:val="16"/>
                <w:szCs w:val="16"/>
                <w:color w:val="0000FF"/>
              </w:rPr>
              <w:t>16</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720" w:type="dxa"/>
            <w:vAlign w:val="bottom"/>
            <w:gridSpan w:val="33"/>
            <w:shd w:val="clear" w:color="auto" w:fill="CCEEFF"/>
          </w:tcPr>
          <w:p>
            <w:pPr>
              <w:ind w:left="340"/>
              <w:spacing w:after="0" w:line="175" w:lineRule="exact"/>
              <w:rPr>
                <w:sz w:val="20"/>
                <w:szCs w:val="20"/>
                <w:color w:val="auto"/>
              </w:rPr>
            </w:pPr>
            <w:r>
              <w:rPr>
                <w:rFonts w:ascii="Arial" w:cs="Arial" w:eastAsia="Arial" w:hAnsi="Arial"/>
                <w:sz w:val="16"/>
                <w:szCs w:val="16"/>
                <w:color w:val="0000FF"/>
              </w:rPr>
              <w:t>Note 7 - Leases</w:t>
            </w:r>
          </w:p>
        </w:tc>
        <w:tc>
          <w:tcPr>
            <w:tcW w:w="328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rPr>
              <w:t>18</w:t>
            </w:r>
          </w:p>
        </w:tc>
        <w:tc>
          <w:tcPr>
            <w:tcW w:w="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720" w:type="dxa"/>
            <w:vAlign w:val="bottom"/>
            <w:gridSpan w:val="33"/>
          </w:tcPr>
          <w:p>
            <w:pPr>
              <w:ind w:left="340"/>
              <w:spacing w:after="0" w:line="175" w:lineRule="exact"/>
              <w:rPr>
                <w:sz w:val="20"/>
                <w:szCs w:val="20"/>
                <w:color w:val="auto"/>
              </w:rPr>
            </w:pPr>
            <w:r>
              <w:rPr>
                <w:rFonts w:ascii="Arial" w:cs="Arial" w:eastAsia="Arial" w:hAnsi="Arial"/>
                <w:sz w:val="16"/>
                <w:szCs w:val="16"/>
                <w:color w:val="0000FF"/>
              </w:rPr>
              <w:t>Note 8 - Investments in Unconsolidated Affiliates</w:t>
            </w:r>
          </w:p>
        </w:tc>
        <w:tc>
          <w:tcPr>
            <w:tcW w:w="3280" w:type="dxa"/>
            <w:vAlign w:val="bottom"/>
            <w:gridSpan w:val="3"/>
          </w:tcPr>
          <w:p>
            <w:pPr>
              <w:jc w:val="right"/>
              <w:spacing w:after="0" w:line="175" w:lineRule="exact"/>
              <w:rPr>
                <w:sz w:val="20"/>
                <w:szCs w:val="20"/>
                <w:color w:val="auto"/>
              </w:rPr>
            </w:pPr>
            <w:r>
              <w:rPr>
                <w:rFonts w:ascii="Arial" w:cs="Arial" w:eastAsia="Arial" w:hAnsi="Arial"/>
                <w:sz w:val="16"/>
                <w:szCs w:val="16"/>
                <w:color w:val="0000FF"/>
              </w:rPr>
              <w:t>21</w:t>
            </w:r>
          </w:p>
        </w:tc>
        <w:tc>
          <w:tcPr>
            <w:tcW w:w="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720" w:type="dxa"/>
            <w:vAlign w:val="bottom"/>
            <w:gridSpan w:val="33"/>
            <w:shd w:val="clear" w:color="auto" w:fill="CCEEFF"/>
          </w:tcPr>
          <w:p>
            <w:pPr>
              <w:ind w:left="340"/>
              <w:spacing w:after="0" w:line="175" w:lineRule="exact"/>
              <w:rPr>
                <w:sz w:val="20"/>
                <w:szCs w:val="20"/>
                <w:color w:val="auto"/>
              </w:rPr>
            </w:pPr>
            <w:r>
              <w:rPr>
                <w:rFonts w:ascii="Arial" w:cs="Arial" w:eastAsia="Arial" w:hAnsi="Arial"/>
                <w:sz w:val="16"/>
                <w:szCs w:val="16"/>
                <w:color w:val="0000FF"/>
              </w:rPr>
              <w:t>Note 9 - Business Realignment Activities</w:t>
            </w:r>
          </w:p>
        </w:tc>
        <w:tc>
          <w:tcPr>
            <w:tcW w:w="328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rPr>
              <w:t>21</w:t>
            </w:r>
          </w:p>
        </w:tc>
        <w:tc>
          <w:tcPr>
            <w:tcW w:w="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720" w:type="dxa"/>
            <w:vAlign w:val="bottom"/>
            <w:gridSpan w:val="33"/>
          </w:tcPr>
          <w:p>
            <w:pPr>
              <w:ind w:left="340"/>
              <w:spacing w:after="0" w:line="175" w:lineRule="exact"/>
              <w:rPr>
                <w:sz w:val="20"/>
                <w:szCs w:val="20"/>
                <w:color w:val="auto"/>
              </w:rPr>
            </w:pPr>
            <w:r>
              <w:rPr>
                <w:rFonts w:ascii="Arial" w:cs="Arial" w:eastAsia="Arial" w:hAnsi="Arial"/>
                <w:sz w:val="16"/>
                <w:szCs w:val="16"/>
                <w:color w:val="0000FF"/>
              </w:rPr>
              <w:t>Note 10 - Income Taxes</w:t>
            </w:r>
          </w:p>
        </w:tc>
        <w:tc>
          <w:tcPr>
            <w:tcW w:w="3280" w:type="dxa"/>
            <w:vAlign w:val="bottom"/>
            <w:gridSpan w:val="3"/>
          </w:tcPr>
          <w:p>
            <w:pPr>
              <w:jc w:val="right"/>
              <w:spacing w:after="0" w:line="175" w:lineRule="exact"/>
              <w:rPr>
                <w:sz w:val="20"/>
                <w:szCs w:val="20"/>
                <w:color w:val="auto"/>
              </w:rPr>
            </w:pPr>
            <w:r>
              <w:rPr>
                <w:rFonts w:ascii="Arial" w:cs="Arial" w:eastAsia="Arial" w:hAnsi="Arial"/>
                <w:sz w:val="16"/>
                <w:szCs w:val="16"/>
                <w:color w:val="0000FF"/>
              </w:rPr>
              <w:t>22</w:t>
            </w:r>
          </w:p>
        </w:tc>
        <w:tc>
          <w:tcPr>
            <w:tcW w:w="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720" w:type="dxa"/>
            <w:vAlign w:val="bottom"/>
            <w:gridSpan w:val="33"/>
            <w:shd w:val="clear" w:color="auto" w:fill="CCEEFF"/>
          </w:tcPr>
          <w:p>
            <w:pPr>
              <w:ind w:left="340"/>
              <w:spacing w:after="0" w:line="175" w:lineRule="exact"/>
              <w:rPr>
                <w:sz w:val="20"/>
                <w:szCs w:val="20"/>
                <w:color w:val="auto"/>
              </w:rPr>
            </w:pPr>
            <w:r>
              <w:rPr>
                <w:rFonts w:ascii="Arial" w:cs="Arial" w:eastAsia="Arial" w:hAnsi="Arial"/>
                <w:sz w:val="16"/>
                <w:szCs w:val="16"/>
                <w:color w:val="0000FF"/>
              </w:rPr>
              <w:t>Note 11 - Pension and Other Post-Retirement Benefit Plans</w:t>
            </w:r>
          </w:p>
        </w:tc>
        <w:tc>
          <w:tcPr>
            <w:tcW w:w="328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rPr>
              <w:t>23</w:t>
            </w:r>
          </w:p>
        </w:tc>
        <w:tc>
          <w:tcPr>
            <w:tcW w:w="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720" w:type="dxa"/>
            <w:vAlign w:val="bottom"/>
            <w:gridSpan w:val="33"/>
          </w:tcPr>
          <w:p>
            <w:pPr>
              <w:ind w:left="340"/>
              <w:spacing w:after="0" w:line="175" w:lineRule="exact"/>
              <w:rPr>
                <w:sz w:val="20"/>
                <w:szCs w:val="20"/>
                <w:color w:val="auto"/>
              </w:rPr>
            </w:pPr>
            <w:r>
              <w:rPr>
                <w:rFonts w:ascii="Arial" w:cs="Arial" w:eastAsia="Arial" w:hAnsi="Arial"/>
                <w:sz w:val="16"/>
                <w:szCs w:val="16"/>
                <w:color w:val="0000FF"/>
              </w:rPr>
              <w:t>Note 12 - Stock Compensation Plans</w:t>
            </w:r>
          </w:p>
        </w:tc>
        <w:tc>
          <w:tcPr>
            <w:tcW w:w="3280" w:type="dxa"/>
            <w:vAlign w:val="bottom"/>
            <w:gridSpan w:val="3"/>
          </w:tcPr>
          <w:p>
            <w:pPr>
              <w:jc w:val="right"/>
              <w:spacing w:after="0" w:line="175" w:lineRule="exact"/>
              <w:rPr>
                <w:sz w:val="20"/>
                <w:szCs w:val="20"/>
                <w:color w:val="auto"/>
              </w:rPr>
            </w:pPr>
            <w:r>
              <w:rPr>
                <w:rFonts w:ascii="Arial" w:cs="Arial" w:eastAsia="Arial" w:hAnsi="Arial"/>
                <w:sz w:val="16"/>
                <w:szCs w:val="16"/>
                <w:color w:val="0000FF"/>
              </w:rPr>
              <w:t>24</w:t>
            </w:r>
          </w:p>
        </w:tc>
        <w:tc>
          <w:tcPr>
            <w:tcW w:w="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720" w:type="dxa"/>
            <w:vAlign w:val="bottom"/>
            <w:gridSpan w:val="33"/>
            <w:shd w:val="clear" w:color="auto" w:fill="CCEEFF"/>
          </w:tcPr>
          <w:p>
            <w:pPr>
              <w:ind w:left="340"/>
              <w:spacing w:after="0" w:line="175" w:lineRule="exact"/>
              <w:rPr>
                <w:sz w:val="20"/>
                <w:szCs w:val="20"/>
                <w:color w:val="auto"/>
              </w:rPr>
            </w:pPr>
            <w:r>
              <w:rPr>
                <w:rFonts w:ascii="Arial" w:cs="Arial" w:eastAsia="Arial" w:hAnsi="Arial"/>
                <w:sz w:val="16"/>
                <w:szCs w:val="16"/>
                <w:color w:val="0000FF"/>
              </w:rPr>
              <w:t>Note 13 - Segment Information</w:t>
            </w:r>
          </w:p>
        </w:tc>
        <w:tc>
          <w:tcPr>
            <w:tcW w:w="328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rPr>
              <w:t>26</w:t>
            </w:r>
          </w:p>
        </w:tc>
        <w:tc>
          <w:tcPr>
            <w:tcW w:w="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720" w:type="dxa"/>
            <w:vAlign w:val="bottom"/>
            <w:gridSpan w:val="33"/>
          </w:tcPr>
          <w:p>
            <w:pPr>
              <w:ind w:left="340"/>
              <w:spacing w:after="0" w:line="175" w:lineRule="exact"/>
              <w:rPr>
                <w:sz w:val="20"/>
                <w:szCs w:val="20"/>
                <w:color w:val="auto"/>
              </w:rPr>
            </w:pPr>
            <w:r>
              <w:rPr>
                <w:rFonts w:ascii="Arial" w:cs="Arial" w:eastAsia="Arial" w:hAnsi="Arial"/>
                <w:sz w:val="16"/>
                <w:szCs w:val="16"/>
                <w:color w:val="0000FF"/>
              </w:rPr>
              <w:t>Note 14 - Treasury Stock Activity</w:t>
            </w:r>
          </w:p>
        </w:tc>
        <w:tc>
          <w:tcPr>
            <w:tcW w:w="3280" w:type="dxa"/>
            <w:vAlign w:val="bottom"/>
            <w:gridSpan w:val="3"/>
          </w:tcPr>
          <w:p>
            <w:pPr>
              <w:jc w:val="right"/>
              <w:spacing w:after="0" w:line="175" w:lineRule="exact"/>
              <w:rPr>
                <w:sz w:val="20"/>
                <w:szCs w:val="20"/>
                <w:color w:val="auto"/>
              </w:rPr>
            </w:pPr>
            <w:r>
              <w:rPr>
                <w:rFonts w:ascii="Arial" w:cs="Arial" w:eastAsia="Arial" w:hAnsi="Arial"/>
                <w:sz w:val="16"/>
                <w:szCs w:val="16"/>
                <w:color w:val="0000FF"/>
              </w:rPr>
              <w:t>29</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720" w:type="dxa"/>
            <w:vAlign w:val="bottom"/>
            <w:gridSpan w:val="33"/>
            <w:shd w:val="clear" w:color="auto" w:fill="CCEEFF"/>
          </w:tcPr>
          <w:p>
            <w:pPr>
              <w:ind w:left="340"/>
              <w:spacing w:after="0" w:line="175" w:lineRule="exact"/>
              <w:rPr>
                <w:sz w:val="20"/>
                <w:szCs w:val="20"/>
                <w:color w:val="auto"/>
              </w:rPr>
            </w:pPr>
            <w:r>
              <w:rPr>
                <w:rFonts w:ascii="Arial" w:cs="Arial" w:eastAsia="Arial" w:hAnsi="Arial"/>
                <w:sz w:val="16"/>
                <w:szCs w:val="16"/>
                <w:color w:val="0000FF"/>
              </w:rPr>
              <w:t>Note 15 - Contingencies</w:t>
            </w:r>
          </w:p>
        </w:tc>
        <w:tc>
          <w:tcPr>
            <w:tcW w:w="328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rPr>
              <w:t>29</w:t>
            </w:r>
          </w:p>
        </w:tc>
        <w:tc>
          <w:tcPr>
            <w:tcW w:w="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720" w:type="dxa"/>
            <w:vAlign w:val="bottom"/>
            <w:gridSpan w:val="33"/>
          </w:tcPr>
          <w:p>
            <w:pPr>
              <w:ind w:left="340"/>
              <w:spacing w:after="0" w:line="175" w:lineRule="exact"/>
              <w:rPr>
                <w:sz w:val="20"/>
                <w:szCs w:val="20"/>
                <w:color w:val="auto"/>
              </w:rPr>
            </w:pPr>
            <w:r>
              <w:rPr>
                <w:rFonts w:ascii="Arial" w:cs="Arial" w:eastAsia="Arial" w:hAnsi="Arial"/>
                <w:sz w:val="16"/>
                <w:szCs w:val="16"/>
                <w:color w:val="0000FF"/>
              </w:rPr>
              <w:t>Note 16 - Earnings Per Share</w:t>
            </w:r>
          </w:p>
        </w:tc>
        <w:tc>
          <w:tcPr>
            <w:tcW w:w="3280" w:type="dxa"/>
            <w:vAlign w:val="bottom"/>
            <w:gridSpan w:val="3"/>
          </w:tcPr>
          <w:p>
            <w:pPr>
              <w:jc w:val="right"/>
              <w:spacing w:after="0" w:line="175" w:lineRule="exact"/>
              <w:rPr>
                <w:sz w:val="20"/>
                <w:szCs w:val="20"/>
                <w:color w:val="auto"/>
              </w:rPr>
            </w:pPr>
            <w:r>
              <w:rPr>
                <w:rFonts w:ascii="Arial" w:cs="Arial" w:eastAsia="Arial" w:hAnsi="Arial"/>
                <w:sz w:val="16"/>
                <w:szCs w:val="16"/>
                <w:color w:val="0000FF"/>
              </w:rPr>
              <w:t>31</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720" w:type="dxa"/>
            <w:vAlign w:val="bottom"/>
            <w:gridSpan w:val="33"/>
            <w:shd w:val="clear" w:color="auto" w:fill="CCEEFF"/>
          </w:tcPr>
          <w:p>
            <w:pPr>
              <w:ind w:left="340"/>
              <w:spacing w:after="0" w:line="175" w:lineRule="exact"/>
              <w:rPr>
                <w:sz w:val="20"/>
                <w:szCs w:val="20"/>
                <w:color w:val="auto"/>
              </w:rPr>
            </w:pPr>
            <w:r>
              <w:rPr>
                <w:rFonts w:ascii="Arial" w:cs="Arial" w:eastAsia="Arial" w:hAnsi="Arial"/>
                <w:sz w:val="16"/>
                <w:szCs w:val="16"/>
                <w:color w:val="0000FF"/>
              </w:rPr>
              <w:t>Note 17 - Other (Income) Expense, Net</w:t>
            </w:r>
          </w:p>
        </w:tc>
        <w:tc>
          <w:tcPr>
            <w:tcW w:w="328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rPr>
              <w:t>33</w:t>
            </w:r>
          </w:p>
        </w:tc>
        <w:tc>
          <w:tcPr>
            <w:tcW w:w="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720" w:type="dxa"/>
            <w:vAlign w:val="bottom"/>
            <w:gridSpan w:val="33"/>
          </w:tcPr>
          <w:p>
            <w:pPr>
              <w:ind w:left="340"/>
              <w:spacing w:after="0" w:line="175" w:lineRule="exact"/>
              <w:rPr>
                <w:sz w:val="20"/>
                <w:szCs w:val="20"/>
                <w:color w:val="auto"/>
              </w:rPr>
            </w:pPr>
            <w:r>
              <w:rPr>
                <w:rFonts w:ascii="Arial" w:cs="Arial" w:eastAsia="Arial" w:hAnsi="Arial"/>
                <w:sz w:val="16"/>
                <w:szCs w:val="16"/>
                <w:color w:val="0000FF"/>
              </w:rPr>
              <w:t>Note 18 - Related Party Transactions</w:t>
            </w:r>
          </w:p>
        </w:tc>
        <w:tc>
          <w:tcPr>
            <w:tcW w:w="3280" w:type="dxa"/>
            <w:vAlign w:val="bottom"/>
            <w:gridSpan w:val="3"/>
          </w:tcPr>
          <w:p>
            <w:pPr>
              <w:jc w:val="right"/>
              <w:spacing w:after="0" w:line="175" w:lineRule="exact"/>
              <w:rPr>
                <w:sz w:val="20"/>
                <w:szCs w:val="20"/>
                <w:color w:val="auto"/>
              </w:rPr>
            </w:pPr>
            <w:r>
              <w:rPr>
                <w:rFonts w:ascii="Arial" w:cs="Arial" w:eastAsia="Arial" w:hAnsi="Arial"/>
                <w:sz w:val="16"/>
                <w:szCs w:val="16"/>
                <w:color w:val="0000FF"/>
              </w:rPr>
              <w:t>33</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720" w:type="dxa"/>
            <w:vAlign w:val="bottom"/>
            <w:gridSpan w:val="33"/>
            <w:shd w:val="clear" w:color="auto" w:fill="CCEEFF"/>
          </w:tcPr>
          <w:p>
            <w:pPr>
              <w:ind w:left="340"/>
              <w:spacing w:after="0" w:line="175" w:lineRule="exact"/>
              <w:rPr>
                <w:sz w:val="20"/>
                <w:szCs w:val="20"/>
                <w:color w:val="auto"/>
              </w:rPr>
            </w:pPr>
            <w:r>
              <w:rPr>
                <w:rFonts w:ascii="Arial" w:cs="Arial" w:eastAsia="Arial" w:hAnsi="Arial"/>
                <w:sz w:val="16"/>
                <w:szCs w:val="16"/>
                <w:color w:val="0000FF"/>
              </w:rPr>
              <w:t>Note 19 - Supplemental Balance Sheet Information</w:t>
            </w:r>
          </w:p>
        </w:tc>
        <w:tc>
          <w:tcPr>
            <w:tcW w:w="328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rPr>
              <w:t>34</w:t>
            </w:r>
          </w:p>
        </w:tc>
        <w:tc>
          <w:tcPr>
            <w:tcW w:w="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920" w:type="dxa"/>
            <w:vAlign w:val="bottom"/>
            <w:gridSpan w:val="35"/>
          </w:tcPr>
          <w:p>
            <w:pPr>
              <w:ind w:left="120"/>
              <w:spacing w:after="0" w:line="175" w:lineRule="exact"/>
              <w:rPr>
                <w:sz w:val="20"/>
                <w:szCs w:val="20"/>
                <w:color w:val="auto"/>
              </w:rPr>
            </w:pPr>
            <w:r>
              <w:rPr>
                <w:rFonts w:ascii="Arial" w:cs="Arial" w:eastAsia="Arial" w:hAnsi="Arial"/>
                <w:sz w:val="16"/>
                <w:szCs w:val="16"/>
                <w:color w:val="0000FF"/>
              </w:rPr>
              <w:t>Item 2. Management’s Discussion and Analysis of Financial Condition and Results of Operations</w:t>
            </w:r>
          </w:p>
        </w:tc>
        <w:tc>
          <w:tcPr>
            <w:tcW w:w="3280" w:type="dxa"/>
            <w:vAlign w:val="bottom"/>
            <w:gridSpan w:val="3"/>
          </w:tcPr>
          <w:p>
            <w:pPr>
              <w:jc w:val="right"/>
              <w:spacing w:after="0" w:line="175" w:lineRule="exact"/>
              <w:rPr>
                <w:sz w:val="20"/>
                <w:szCs w:val="20"/>
                <w:color w:val="auto"/>
              </w:rPr>
            </w:pPr>
            <w:r>
              <w:rPr>
                <w:rFonts w:ascii="Arial" w:cs="Arial" w:eastAsia="Arial" w:hAnsi="Arial"/>
                <w:sz w:val="16"/>
                <w:szCs w:val="16"/>
                <w:color w:val="0000FF"/>
              </w:rPr>
              <w:t>36</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58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0" w:type="dxa"/>
            <w:vAlign w:val="bottom"/>
            <w:gridSpan w:val="34"/>
            <w:shd w:val="clear" w:color="auto" w:fill="CCEEFF"/>
          </w:tcPr>
          <w:p>
            <w:pPr>
              <w:spacing w:after="0" w:line="175" w:lineRule="exact"/>
              <w:rPr>
                <w:sz w:val="20"/>
                <w:szCs w:val="20"/>
                <w:color w:val="auto"/>
              </w:rPr>
            </w:pPr>
            <w:r>
              <w:rPr>
                <w:rFonts w:ascii="Arial" w:cs="Arial" w:eastAsia="Arial" w:hAnsi="Arial"/>
                <w:sz w:val="16"/>
                <w:szCs w:val="16"/>
                <w:color w:val="0000FF"/>
              </w:rPr>
              <w:t>Item 3. Quantitative and Qualitative Disclosures About Market Risk</w:t>
            </w:r>
          </w:p>
        </w:tc>
        <w:tc>
          <w:tcPr>
            <w:tcW w:w="328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rPr>
              <w:t>46</w:t>
            </w:r>
          </w:p>
        </w:tc>
        <w:tc>
          <w:tcPr>
            <w:tcW w:w="20" w:type="dxa"/>
            <w:vAlign w:val="bottom"/>
            <w:shd w:val="clear" w:color="auto" w:fill="CCEEFF"/>
          </w:tcPr>
          <w:p>
            <w:pPr>
              <w:spacing w:after="0"/>
              <w:rPr>
                <w:sz w:val="17"/>
                <w:szCs w:val="17"/>
                <w:color w:val="auto"/>
              </w:rPr>
            </w:pPr>
          </w:p>
        </w:tc>
      </w:tr>
      <w:tr>
        <w:trPr>
          <w:trHeight w:val="175"/>
        </w:trPr>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420" w:type="dxa"/>
            <w:vAlign w:val="bottom"/>
            <w:tcBorders>
              <w:top w:val="single" w:sz="8" w:color="0000FF"/>
            </w:tcBorders>
            <w:gridSpan w:val="28"/>
          </w:tcPr>
          <w:p>
            <w:pPr>
              <w:spacing w:after="0" w:line="175" w:lineRule="exact"/>
              <w:rPr>
                <w:sz w:val="20"/>
                <w:szCs w:val="20"/>
                <w:color w:val="auto"/>
              </w:rPr>
            </w:pPr>
            <w:r>
              <w:rPr>
                <w:rFonts w:ascii="Arial" w:cs="Arial" w:eastAsia="Arial" w:hAnsi="Arial"/>
                <w:sz w:val="16"/>
                <w:szCs w:val="16"/>
                <w:color w:val="0000FF"/>
              </w:rPr>
              <w:t>Item 4. Controls and Procedures</w:t>
            </w:r>
          </w:p>
        </w:tc>
        <w:tc>
          <w:tcPr>
            <w:tcW w:w="3380" w:type="dxa"/>
            <w:vAlign w:val="bottom"/>
            <w:tcBorders>
              <w:top w:val="single" w:sz="8" w:color="CCEEFF"/>
            </w:tcBorders>
            <w:gridSpan w:val="6"/>
          </w:tcPr>
          <w:p>
            <w:pPr>
              <w:spacing w:after="0"/>
              <w:rPr>
                <w:sz w:val="15"/>
                <w:szCs w:val="15"/>
                <w:color w:val="auto"/>
              </w:rPr>
            </w:pPr>
          </w:p>
        </w:tc>
        <w:tc>
          <w:tcPr>
            <w:tcW w:w="3120" w:type="dxa"/>
            <w:vAlign w:val="bottom"/>
            <w:tcBorders>
              <w:top w:val="single" w:sz="8" w:color="CCEEFF"/>
            </w:tcBorders>
          </w:tcPr>
          <w:p>
            <w:pPr>
              <w:spacing w:after="0"/>
              <w:rPr>
                <w:sz w:val="15"/>
                <w:szCs w:val="15"/>
                <w:color w:val="auto"/>
              </w:rPr>
            </w:pPr>
          </w:p>
        </w:tc>
        <w:tc>
          <w:tcPr>
            <w:tcW w:w="160" w:type="dxa"/>
            <w:vAlign w:val="bottom"/>
            <w:tcBorders>
              <w:top w:val="single" w:sz="8" w:color="0000FF"/>
            </w:tcBorders>
            <w:gridSpan w:val="2"/>
          </w:tcPr>
          <w:p>
            <w:pPr>
              <w:jc w:val="right"/>
              <w:spacing w:after="0" w:line="175" w:lineRule="exact"/>
              <w:rPr>
                <w:sz w:val="20"/>
                <w:szCs w:val="20"/>
                <w:color w:val="auto"/>
              </w:rPr>
            </w:pPr>
            <w:r>
              <w:rPr>
                <w:rFonts w:ascii="Arial" w:cs="Arial" w:eastAsia="Arial" w:hAnsi="Arial"/>
                <w:sz w:val="16"/>
                <w:szCs w:val="16"/>
                <w:color w:val="0000FF"/>
                <w:w w:val="78"/>
              </w:rPr>
              <w:t>47</w:t>
            </w:r>
          </w:p>
        </w:tc>
        <w:tc>
          <w:tcPr>
            <w:tcW w:w="20" w:type="dxa"/>
            <w:vAlign w:val="bottom"/>
            <w:tcBorders>
              <w:top w:val="single" w:sz="8" w:color="CCEEFF"/>
            </w:tcBorders>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320" w:type="dxa"/>
            <w:vAlign w:val="bottom"/>
            <w:tcBorders>
              <w:bottom w:val="single" w:sz="8" w:color="0000FF"/>
            </w:tcBorders>
            <w:gridSpan w:val="13"/>
            <w:shd w:val="clear" w:color="auto" w:fill="CCEEFF"/>
          </w:tcPr>
          <w:p>
            <w:pPr>
              <w:spacing w:after="0" w:line="175" w:lineRule="exact"/>
              <w:rPr>
                <w:sz w:val="20"/>
                <w:szCs w:val="20"/>
                <w:color w:val="auto"/>
              </w:rPr>
            </w:pPr>
            <w:r>
              <w:rPr>
                <w:rFonts w:ascii="Arial" w:cs="Arial" w:eastAsia="Arial" w:hAnsi="Arial"/>
                <w:sz w:val="16"/>
                <w:szCs w:val="16"/>
                <w:color w:val="0000FF"/>
                <w:w w:val="96"/>
              </w:rPr>
              <w:t>PART II. OTHER INFORMATION</w:t>
            </w:r>
          </w:p>
        </w:tc>
        <w:tc>
          <w:tcPr>
            <w:tcW w:w="5600" w:type="dxa"/>
            <w:vAlign w:val="bottom"/>
            <w:tcBorders>
              <w:bottom w:val="single" w:sz="8" w:color="CCEEFF"/>
            </w:tcBorders>
            <w:gridSpan w:val="22"/>
            <w:shd w:val="clear" w:color="auto" w:fill="CCEEFF"/>
          </w:tcPr>
          <w:p>
            <w:pPr>
              <w:spacing w:after="0"/>
              <w:rPr>
                <w:sz w:val="17"/>
                <w:szCs w:val="17"/>
                <w:color w:val="auto"/>
              </w:rPr>
            </w:pPr>
          </w:p>
        </w:tc>
        <w:tc>
          <w:tcPr>
            <w:tcW w:w="3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0000FF"/>
            </w:tcBorders>
            <w:gridSpan w:val="2"/>
            <w:shd w:val="clear" w:color="auto" w:fill="CCEEFF"/>
          </w:tcPr>
          <w:p>
            <w:pPr>
              <w:jc w:val="right"/>
              <w:spacing w:after="0" w:line="175" w:lineRule="exact"/>
              <w:rPr>
                <w:sz w:val="20"/>
                <w:szCs w:val="20"/>
                <w:color w:val="auto"/>
              </w:rPr>
            </w:pPr>
            <w:r>
              <w:rPr>
                <w:rFonts w:ascii="Arial" w:cs="Arial" w:eastAsia="Arial" w:hAnsi="Arial"/>
                <w:sz w:val="16"/>
                <w:szCs w:val="16"/>
                <w:color w:val="0000FF"/>
                <w:w w:val="78"/>
              </w:rPr>
              <w:t>48</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7920" w:type="dxa"/>
            <w:vAlign w:val="bottom"/>
            <w:gridSpan w:val="35"/>
          </w:tcPr>
          <w:p>
            <w:pPr>
              <w:ind w:left="120"/>
              <w:spacing w:after="0" w:line="175" w:lineRule="exact"/>
              <w:rPr>
                <w:sz w:val="20"/>
                <w:szCs w:val="20"/>
                <w:color w:val="auto"/>
              </w:rPr>
            </w:pPr>
            <w:r>
              <w:rPr>
                <w:rFonts w:ascii="Arial" w:cs="Arial" w:eastAsia="Arial" w:hAnsi="Arial"/>
                <w:sz w:val="16"/>
                <w:szCs w:val="16"/>
                <w:color w:val="0000FF"/>
              </w:rPr>
              <w:t>Item 1. Legal Proceedings</w:t>
            </w:r>
          </w:p>
        </w:tc>
        <w:tc>
          <w:tcPr>
            <w:tcW w:w="3280" w:type="dxa"/>
            <w:vAlign w:val="bottom"/>
            <w:gridSpan w:val="3"/>
          </w:tcPr>
          <w:p>
            <w:pPr>
              <w:jc w:val="right"/>
              <w:spacing w:after="0" w:line="175" w:lineRule="exact"/>
              <w:rPr>
                <w:sz w:val="20"/>
                <w:szCs w:val="20"/>
                <w:color w:val="auto"/>
              </w:rPr>
            </w:pPr>
            <w:r>
              <w:rPr>
                <w:rFonts w:ascii="Arial" w:cs="Arial" w:eastAsia="Arial" w:hAnsi="Arial"/>
                <w:sz w:val="16"/>
                <w:szCs w:val="16"/>
                <w:color w:val="0000FF"/>
              </w:rPr>
              <w:t>48</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0000FF"/>
            </w:tcBorders>
            <w:gridSpan w:val="6"/>
            <w:shd w:val="clear" w:color="auto" w:fill="CCEEFF"/>
          </w:tcPr>
          <w:p>
            <w:pPr>
              <w:spacing w:after="0" w:line="175" w:lineRule="exact"/>
              <w:rPr>
                <w:sz w:val="20"/>
                <w:szCs w:val="20"/>
                <w:color w:val="auto"/>
              </w:rPr>
            </w:pPr>
            <w:r>
              <w:rPr>
                <w:rFonts w:ascii="Arial" w:cs="Arial" w:eastAsia="Arial" w:hAnsi="Arial"/>
                <w:sz w:val="16"/>
                <w:szCs w:val="16"/>
                <w:color w:val="0000FF"/>
                <w:w w:val="92"/>
              </w:rPr>
              <w:t>Item 1A. Risk Factors</w:t>
            </w:r>
          </w:p>
        </w:tc>
        <w:tc>
          <w:tcPr>
            <w:tcW w:w="6360" w:type="dxa"/>
            <w:vAlign w:val="bottom"/>
            <w:tcBorders>
              <w:bottom w:val="single" w:sz="8" w:color="CCEEFF"/>
            </w:tcBorders>
            <w:gridSpan w:val="28"/>
            <w:shd w:val="clear" w:color="auto" w:fill="CCEEFF"/>
          </w:tcPr>
          <w:p>
            <w:pPr>
              <w:spacing w:after="0"/>
              <w:rPr>
                <w:sz w:val="17"/>
                <w:szCs w:val="17"/>
                <w:color w:val="auto"/>
              </w:rPr>
            </w:pPr>
          </w:p>
        </w:tc>
        <w:tc>
          <w:tcPr>
            <w:tcW w:w="3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0000FF"/>
            </w:tcBorders>
            <w:gridSpan w:val="2"/>
            <w:shd w:val="clear" w:color="auto" w:fill="CCEEFF"/>
          </w:tcPr>
          <w:p>
            <w:pPr>
              <w:jc w:val="right"/>
              <w:spacing w:after="0" w:line="175" w:lineRule="exact"/>
              <w:rPr>
                <w:sz w:val="20"/>
                <w:szCs w:val="20"/>
                <w:color w:val="auto"/>
              </w:rPr>
            </w:pPr>
            <w:r>
              <w:rPr>
                <w:rFonts w:ascii="Arial" w:cs="Arial" w:eastAsia="Arial" w:hAnsi="Arial"/>
                <w:sz w:val="16"/>
                <w:szCs w:val="16"/>
                <w:color w:val="0000FF"/>
                <w:w w:val="78"/>
              </w:rPr>
              <w:t>48</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7920" w:type="dxa"/>
            <w:vAlign w:val="bottom"/>
            <w:gridSpan w:val="35"/>
          </w:tcPr>
          <w:p>
            <w:pPr>
              <w:ind w:left="120"/>
              <w:spacing w:after="0" w:line="175" w:lineRule="exact"/>
              <w:rPr>
                <w:sz w:val="20"/>
                <w:szCs w:val="20"/>
                <w:color w:val="auto"/>
              </w:rPr>
            </w:pPr>
            <w:r>
              <w:rPr>
                <w:rFonts w:ascii="Arial" w:cs="Arial" w:eastAsia="Arial" w:hAnsi="Arial"/>
                <w:sz w:val="16"/>
                <w:szCs w:val="16"/>
                <w:color w:val="0000FF"/>
              </w:rPr>
              <w:t>Item 2. Unregistered Sales of Equity Securities and Use of Proceeds</w:t>
            </w:r>
          </w:p>
        </w:tc>
        <w:tc>
          <w:tcPr>
            <w:tcW w:w="3280" w:type="dxa"/>
            <w:vAlign w:val="bottom"/>
            <w:gridSpan w:val="3"/>
          </w:tcPr>
          <w:p>
            <w:pPr>
              <w:jc w:val="right"/>
              <w:spacing w:after="0" w:line="175" w:lineRule="exact"/>
              <w:rPr>
                <w:sz w:val="20"/>
                <w:szCs w:val="20"/>
                <w:color w:val="auto"/>
              </w:rPr>
            </w:pPr>
            <w:r>
              <w:rPr>
                <w:rFonts w:ascii="Arial" w:cs="Arial" w:eastAsia="Arial" w:hAnsi="Arial"/>
                <w:sz w:val="16"/>
                <w:szCs w:val="16"/>
                <w:color w:val="0000FF"/>
              </w:rPr>
              <w:t>48</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0" w:type="dxa"/>
            <w:vAlign w:val="bottom"/>
            <w:tcBorders>
              <w:bottom w:val="single" w:sz="8" w:color="0000FF"/>
            </w:tcBorders>
            <w:gridSpan w:val="17"/>
            <w:shd w:val="clear" w:color="auto" w:fill="CCEEFF"/>
          </w:tcPr>
          <w:p>
            <w:pPr>
              <w:spacing w:after="0" w:line="175" w:lineRule="exact"/>
              <w:rPr>
                <w:sz w:val="20"/>
                <w:szCs w:val="20"/>
                <w:color w:val="auto"/>
              </w:rPr>
            </w:pPr>
            <w:r>
              <w:rPr>
                <w:rFonts w:ascii="Arial" w:cs="Arial" w:eastAsia="Arial" w:hAnsi="Arial"/>
                <w:sz w:val="16"/>
                <w:szCs w:val="16"/>
                <w:color w:val="0000FF"/>
                <w:w w:val="92"/>
              </w:rPr>
              <w:t>Item 3. Defaults Upon Senior Securities</w:t>
            </w:r>
          </w:p>
        </w:tc>
        <w:tc>
          <w:tcPr>
            <w:tcW w:w="5200" w:type="dxa"/>
            <w:vAlign w:val="bottom"/>
            <w:tcBorders>
              <w:bottom w:val="single" w:sz="8" w:color="CCEEFF"/>
            </w:tcBorders>
            <w:gridSpan w:val="17"/>
            <w:shd w:val="clear" w:color="auto" w:fill="CCEEFF"/>
          </w:tcPr>
          <w:p>
            <w:pPr>
              <w:spacing w:after="0"/>
              <w:rPr>
                <w:sz w:val="17"/>
                <w:szCs w:val="17"/>
                <w:color w:val="auto"/>
              </w:rPr>
            </w:pPr>
          </w:p>
        </w:tc>
        <w:tc>
          <w:tcPr>
            <w:tcW w:w="3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0000FF"/>
            </w:tcBorders>
            <w:gridSpan w:val="2"/>
            <w:shd w:val="clear" w:color="auto" w:fill="CCEEFF"/>
          </w:tcPr>
          <w:p>
            <w:pPr>
              <w:jc w:val="right"/>
              <w:spacing w:after="0" w:line="175" w:lineRule="exact"/>
              <w:rPr>
                <w:sz w:val="20"/>
                <w:szCs w:val="20"/>
                <w:color w:val="auto"/>
              </w:rPr>
            </w:pPr>
            <w:r>
              <w:rPr>
                <w:rFonts w:ascii="Arial" w:cs="Arial" w:eastAsia="Arial" w:hAnsi="Arial"/>
                <w:sz w:val="16"/>
                <w:szCs w:val="16"/>
                <w:color w:val="0000FF"/>
                <w:w w:val="78"/>
              </w:rPr>
              <w:t>48</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76"/>
        </w:trPr>
        <w:tc>
          <w:tcPr>
            <w:tcW w:w="20" w:type="dxa"/>
            <w:vAlign w:val="bottom"/>
          </w:tcPr>
          <w:p>
            <w:pPr>
              <w:spacing w:after="0"/>
              <w:rPr>
                <w:sz w:val="15"/>
                <w:szCs w:val="15"/>
                <w:color w:val="auto"/>
              </w:rPr>
            </w:pPr>
          </w:p>
        </w:tc>
        <w:tc>
          <w:tcPr>
            <w:tcW w:w="7920" w:type="dxa"/>
            <w:vAlign w:val="bottom"/>
            <w:gridSpan w:val="35"/>
          </w:tcPr>
          <w:p>
            <w:pPr>
              <w:ind w:left="120"/>
              <w:spacing w:after="0" w:line="175" w:lineRule="exact"/>
              <w:rPr>
                <w:sz w:val="20"/>
                <w:szCs w:val="20"/>
                <w:color w:val="auto"/>
              </w:rPr>
            </w:pPr>
            <w:r>
              <w:rPr>
                <w:rFonts w:ascii="Arial" w:cs="Arial" w:eastAsia="Arial" w:hAnsi="Arial"/>
                <w:sz w:val="16"/>
                <w:szCs w:val="16"/>
                <w:color w:val="0000FF"/>
              </w:rPr>
              <w:t>Item 4. Mine Safety Disclosures</w:t>
            </w:r>
          </w:p>
        </w:tc>
        <w:tc>
          <w:tcPr>
            <w:tcW w:w="3280" w:type="dxa"/>
            <w:vAlign w:val="bottom"/>
            <w:gridSpan w:val="3"/>
          </w:tcPr>
          <w:p>
            <w:pPr>
              <w:jc w:val="right"/>
              <w:spacing w:after="0" w:line="175" w:lineRule="exact"/>
              <w:rPr>
                <w:sz w:val="20"/>
                <w:szCs w:val="20"/>
                <w:color w:val="auto"/>
              </w:rPr>
            </w:pPr>
            <w:r>
              <w:rPr>
                <w:rFonts w:ascii="Arial" w:cs="Arial" w:eastAsia="Arial" w:hAnsi="Arial"/>
                <w:sz w:val="16"/>
                <w:szCs w:val="16"/>
                <w:color w:val="0000FF"/>
              </w:rPr>
              <w:t>49</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0000FF"/>
            </w:tcBorders>
            <w:gridSpan w:val="7"/>
            <w:shd w:val="clear" w:color="auto" w:fill="CCEEFF"/>
          </w:tcPr>
          <w:p>
            <w:pPr>
              <w:spacing w:after="0" w:line="175" w:lineRule="exact"/>
              <w:rPr>
                <w:sz w:val="20"/>
                <w:szCs w:val="20"/>
                <w:color w:val="auto"/>
              </w:rPr>
            </w:pPr>
            <w:r>
              <w:rPr>
                <w:rFonts w:ascii="Arial" w:cs="Arial" w:eastAsia="Arial" w:hAnsi="Arial"/>
                <w:sz w:val="16"/>
                <w:szCs w:val="16"/>
                <w:color w:val="0000FF"/>
                <w:w w:val="94"/>
              </w:rPr>
              <w:t>Item 5. Other Information</w:t>
            </w:r>
          </w:p>
        </w:tc>
        <w:tc>
          <w:tcPr>
            <w:tcW w:w="6100" w:type="dxa"/>
            <w:vAlign w:val="bottom"/>
            <w:tcBorders>
              <w:bottom w:val="single" w:sz="8" w:color="CCEEFF"/>
            </w:tcBorders>
            <w:gridSpan w:val="27"/>
            <w:shd w:val="clear" w:color="auto" w:fill="CCEEFF"/>
          </w:tcPr>
          <w:p>
            <w:pPr>
              <w:spacing w:after="0"/>
              <w:rPr>
                <w:sz w:val="17"/>
                <w:szCs w:val="17"/>
                <w:color w:val="auto"/>
              </w:rPr>
            </w:pPr>
          </w:p>
        </w:tc>
        <w:tc>
          <w:tcPr>
            <w:tcW w:w="3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0000FF"/>
            </w:tcBorders>
            <w:gridSpan w:val="2"/>
            <w:shd w:val="clear" w:color="auto" w:fill="CCEEFF"/>
          </w:tcPr>
          <w:p>
            <w:pPr>
              <w:jc w:val="right"/>
              <w:spacing w:after="0" w:line="175" w:lineRule="exact"/>
              <w:rPr>
                <w:sz w:val="20"/>
                <w:szCs w:val="20"/>
                <w:color w:val="auto"/>
              </w:rPr>
            </w:pPr>
            <w:r>
              <w:rPr>
                <w:rFonts w:ascii="Arial" w:cs="Arial" w:eastAsia="Arial" w:hAnsi="Arial"/>
                <w:sz w:val="16"/>
                <w:szCs w:val="16"/>
                <w:color w:val="0000FF"/>
                <w:w w:val="78"/>
              </w:rPr>
              <w:t>49</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7920" w:type="dxa"/>
            <w:vAlign w:val="bottom"/>
            <w:gridSpan w:val="35"/>
          </w:tcPr>
          <w:p>
            <w:pPr>
              <w:ind w:left="120"/>
              <w:spacing w:after="0" w:line="175" w:lineRule="exact"/>
              <w:rPr>
                <w:sz w:val="20"/>
                <w:szCs w:val="20"/>
                <w:color w:val="auto"/>
              </w:rPr>
            </w:pPr>
            <w:r>
              <w:rPr>
                <w:rFonts w:ascii="Arial" w:cs="Arial" w:eastAsia="Arial" w:hAnsi="Arial"/>
                <w:sz w:val="16"/>
                <w:szCs w:val="16"/>
                <w:color w:val="0000FF"/>
              </w:rPr>
              <w:t>Item 6. Exhibits</w:t>
            </w:r>
          </w:p>
        </w:tc>
        <w:tc>
          <w:tcPr>
            <w:tcW w:w="3280" w:type="dxa"/>
            <w:vAlign w:val="bottom"/>
            <w:gridSpan w:val="3"/>
          </w:tcPr>
          <w:p>
            <w:pPr>
              <w:jc w:val="right"/>
              <w:spacing w:after="0" w:line="175" w:lineRule="exact"/>
              <w:rPr>
                <w:sz w:val="20"/>
                <w:szCs w:val="20"/>
                <w:color w:val="auto"/>
              </w:rPr>
            </w:pPr>
            <w:r>
              <w:rPr>
                <w:rFonts w:ascii="Arial" w:cs="Arial" w:eastAsia="Arial" w:hAnsi="Arial"/>
                <w:sz w:val="16"/>
                <w:szCs w:val="16"/>
                <w:color w:val="0000FF"/>
              </w:rPr>
              <w:t>50</w:t>
            </w:r>
          </w:p>
        </w:tc>
        <w:tc>
          <w:tcPr>
            <w:tcW w:w="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7920" w:type="dxa"/>
            <w:vAlign w:val="bottom"/>
            <w:gridSpan w:val="35"/>
            <w:shd w:val="clear" w:color="auto" w:fill="CCEEFF"/>
          </w:tcPr>
          <w:p>
            <w:pPr>
              <w:spacing w:after="0" w:line="175" w:lineRule="exact"/>
              <w:rPr>
                <w:sz w:val="20"/>
                <w:szCs w:val="20"/>
                <w:color w:val="auto"/>
              </w:rPr>
            </w:pPr>
            <w:r>
              <w:rPr>
                <w:rFonts w:ascii="Arial" w:cs="Arial" w:eastAsia="Arial" w:hAnsi="Arial"/>
                <w:sz w:val="16"/>
                <w:szCs w:val="16"/>
                <w:color w:val="0000FF"/>
              </w:rPr>
              <w:t>Signatures</w:t>
            </w:r>
          </w:p>
        </w:tc>
        <w:tc>
          <w:tcPr>
            <w:tcW w:w="328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rPr>
              <w:t>51</w:t>
            </w:r>
          </w:p>
        </w:tc>
        <w:tc>
          <w:tcPr>
            <w:tcW w:w="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643255</wp:posOffset>
            </wp:positionV>
            <wp:extent cx="19685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spacing w:after="0"/>
        <w:tabs>
          <w:tab w:leader="none" w:pos="386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Q2 2023 Form 10-Q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THE HERSHEY COMPANY</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Six Months Ended</w:t>
            </w:r>
          </w:p>
        </w:tc>
      </w:tr>
      <w:tr>
        <w:trPr>
          <w:trHeight w:val="232"/>
        </w:trPr>
        <w:tc>
          <w:tcPr>
            <w:tcW w:w="5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July 2, 2023</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July 3, 2022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July 2, 2023</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July 3, 2022</w:t>
            </w:r>
          </w:p>
        </w:tc>
      </w:tr>
      <w:tr>
        <w:trPr>
          <w:trHeight w:val="227"/>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2,490,280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2,372,582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5,477,894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5,038,803</w:t>
            </w:r>
          </w:p>
        </w:tc>
      </w:tr>
      <w:tr>
        <w:trPr>
          <w:trHeight w:val="230"/>
        </w:trPr>
        <w:tc>
          <w:tcPr>
            <w:tcW w:w="5180" w:type="dxa"/>
            <w:vAlign w:val="bottom"/>
          </w:tcPr>
          <w:p>
            <w:pPr>
              <w:ind w:left="180"/>
              <w:spacing w:after="0"/>
              <w:rPr>
                <w:sz w:val="20"/>
                <w:szCs w:val="20"/>
                <w:color w:val="auto"/>
              </w:rPr>
            </w:pPr>
            <w:r>
              <w:rPr>
                <w:rFonts w:ascii="Arial" w:cs="Arial" w:eastAsia="Arial" w:hAnsi="Arial"/>
                <w:sz w:val="18"/>
                <w:szCs w:val="18"/>
                <w:color w:val="auto"/>
              </w:rPr>
              <w:t>Cost of sales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1,358,181</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1,372,583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2,963,473</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2,793,324</w:t>
            </w:r>
          </w:p>
        </w:tc>
      </w:tr>
      <w:tr>
        <w:trPr>
          <w:trHeight w:val="237"/>
        </w:trPr>
        <w:tc>
          <w:tcPr>
            <w:tcW w:w="518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Gross profit</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1,132,099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999,999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2,514,421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2,245,479</w:t>
            </w:r>
          </w:p>
        </w:tc>
      </w:tr>
      <w:tr>
        <w:trPr>
          <w:trHeight w:val="229"/>
        </w:trPr>
        <w:tc>
          <w:tcPr>
            <w:tcW w:w="5180" w:type="dxa"/>
            <w:vAlign w:val="bottom"/>
          </w:tcPr>
          <w:p>
            <w:pPr>
              <w:ind w:left="180"/>
              <w:spacing w:after="0"/>
              <w:rPr>
                <w:sz w:val="20"/>
                <w:szCs w:val="20"/>
                <w:color w:val="auto"/>
              </w:rPr>
            </w:pPr>
            <w:r>
              <w:rPr>
                <w:rFonts w:ascii="Arial" w:cs="Arial" w:eastAsia="Arial" w:hAnsi="Arial"/>
                <w:sz w:val="18"/>
                <w:szCs w:val="18"/>
                <w:color w:val="auto"/>
              </w:rPr>
              <w:t>Selling, marketing and administrative expense</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571,804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543,468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1,153,391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1,067,684</w:t>
            </w:r>
          </w:p>
        </w:tc>
      </w:tr>
      <w:tr>
        <w:trPr>
          <w:trHeight w:val="229"/>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Business realignment (benefits) costs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32"/>
        </w:trPr>
        <w:tc>
          <w:tcPr>
            <w:tcW w:w="5180" w:type="dxa"/>
            <w:vAlign w:val="bottom"/>
          </w:tcPr>
          <w:p>
            <w:pPr>
              <w:ind w:left="60"/>
              <w:spacing w:after="0"/>
              <w:rPr>
                <w:sz w:val="20"/>
                <w:szCs w:val="20"/>
                <w:color w:val="auto"/>
              </w:rPr>
            </w:pPr>
            <w:r>
              <w:rPr>
                <w:rFonts w:ascii="Arial" w:cs="Arial" w:eastAsia="Arial" w:hAnsi="Arial"/>
                <w:sz w:val="18"/>
                <w:szCs w:val="18"/>
                <w:b w:val="1"/>
                <w:bCs w:val="1"/>
                <w:color w:val="auto"/>
              </w:rPr>
              <w:t>Operating profit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560,665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456,531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1,360,589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1,177,521</w:t>
            </w:r>
          </w:p>
        </w:tc>
      </w:tr>
      <w:tr>
        <w:trPr>
          <w:trHeight w:val="234"/>
        </w:trPr>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36,661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74,346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66,592</w:t>
            </w:r>
          </w:p>
        </w:tc>
      </w:tr>
      <w:tr>
        <w:trPr>
          <w:trHeight w:val="229"/>
        </w:trPr>
        <w:tc>
          <w:tcPr>
            <w:tcW w:w="5180" w:type="dxa"/>
            <w:vAlign w:val="bottom"/>
          </w:tcPr>
          <w:p>
            <w:pPr>
              <w:ind w:left="420"/>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84,484</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19,658</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87,467</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30,065</w:t>
            </w:r>
          </w:p>
        </w:tc>
      </w:tr>
      <w:tr>
        <w:trPr>
          <w:trHeight w:val="237"/>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439,520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403,460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1,198,776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1,080,864</w:t>
            </w:r>
          </w:p>
        </w:tc>
      </w:tr>
      <w:tr>
        <w:trPr>
          <w:trHeight w:val="216"/>
        </w:trPr>
        <w:tc>
          <w:tcPr>
            <w:tcW w:w="518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32,537</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87,904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204,608</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231,830</w:t>
            </w:r>
          </w:p>
        </w:tc>
      </w:tr>
      <w:tr>
        <w:trPr>
          <w:trHeight w:val="257"/>
        </w:trPr>
        <w:tc>
          <w:tcPr>
            <w:tcW w:w="518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406,983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994,168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849,034</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5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per share—basic:</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18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4.24</w:t>
            </w:r>
          </w:p>
        </w:tc>
      </w:tr>
      <w:tr>
        <w:trPr>
          <w:trHeight w:val="243"/>
        </w:trPr>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B common stock</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70"/>
        </w:trPr>
        <w:tc>
          <w:tcPr>
            <w:tcW w:w="5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per share—diluted:</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18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4.83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243"/>
        </w:trPr>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B common stock</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r>
      <w:tr>
        <w:trPr>
          <w:trHeight w:val="270"/>
        </w:trPr>
        <w:tc>
          <w:tcPr>
            <w:tcW w:w="5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Dividends paid per share:</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18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1.036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0.901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2.072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1.802</w:t>
            </w:r>
          </w:p>
        </w:tc>
      </w:tr>
      <w:tr>
        <w:trPr>
          <w:trHeight w:val="243"/>
        </w:trPr>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B common stock</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w:t>
            </w:r>
          </w:p>
        </w:tc>
      </w:tr>
    </w:tbl>
    <w:p>
      <w:pPr>
        <w:spacing w:after="0" w:line="31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445770</wp:posOffset>
            </wp:positionV>
            <wp:extent cx="19685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0"/>
        <w:spacing w:after="0"/>
        <w:tabs>
          <w:tab w:leader="none" w:pos="386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Q2 2023 Form 10-Q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55" w:right="5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gridSpan w:val="9"/>
          </w:tcPr>
          <w:p>
            <w:pPr>
              <w:ind w:left="440"/>
              <w:spacing w:after="0"/>
              <w:rPr>
                <w:sz w:val="20"/>
                <w:szCs w:val="20"/>
                <w:color w:val="auto"/>
              </w:rPr>
            </w:pPr>
            <w:r>
              <w:rPr>
                <w:rFonts w:ascii="Arial" w:cs="Arial" w:eastAsia="Arial" w:hAnsi="Arial"/>
                <w:sz w:val="14"/>
                <w:szCs w:val="14"/>
                <w:b w:val="1"/>
                <w:bCs w:val="1"/>
                <w:color w:val="auto"/>
              </w:rPr>
              <w:t>For the Three Months Ended</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20" w:type="dxa"/>
            <w:vAlign w:val="bottom"/>
            <w:gridSpan w:val="8"/>
          </w:tcPr>
          <w:p>
            <w:pPr>
              <w:jc w:val="right"/>
              <w:ind w:right="8"/>
              <w:spacing w:after="0"/>
              <w:rPr>
                <w:sz w:val="20"/>
                <w:szCs w:val="20"/>
                <w:color w:val="auto"/>
              </w:rPr>
            </w:pPr>
            <w:r>
              <w:rPr>
                <w:rFonts w:ascii="Arial" w:cs="Arial" w:eastAsia="Arial" w:hAnsi="Arial"/>
                <w:sz w:val="14"/>
                <w:szCs w:val="14"/>
                <w:b w:val="1"/>
                <w:bCs w:val="1"/>
                <w:color w:val="auto"/>
                <w:w w:val="93"/>
              </w:rPr>
              <w:t>For the Six Months Ended</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6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64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88"/>
              </w:rPr>
              <w:t>July 2, 2023</w:t>
            </w:r>
          </w:p>
        </w:tc>
        <w:tc>
          <w:tcPr>
            <w:tcW w:w="6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July 3, 2022</w:t>
            </w:r>
          </w:p>
        </w:tc>
        <w:tc>
          <w:tcPr>
            <w:tcW w:w="6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6"/>
              </w:rPr>
              <w:t>July 2, 2023</w:t>
            </w:r>
          </w:p>
        </w:tc>
        <w:tc>
          <w:tcPr>
            <w:tcW w:w="6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July 3, 2022</w:t>
            </w: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64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Pre-Tax</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Tax</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0"/>
              </w:rPr>
              <w:t>Tax</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3"/>
          </w:tcPr>
          <w:p>
            <w:pPr>
              <w:jc w:val="right"/>
              <w:ind w:right="308"/>
              <w:spacing w:after="0" w:line="135" w:lineRule="exact"/>
              <w:rPr>
                <w:sz w:val="20"/>
                <w:szCs w:val="20"/>
                <w:color w:val="auto"/>
              </w:rPr>
            </w:pPr>
            <w:r>
              <w:rPr>
                <w:rFonts w:ascii="Arial" w:cs="Arial" w:eastAsia="Arial" w:hAnsi="Arial"/>
                <w:sz w:val="14"/>
                <w:szCs w:val="14"/>
                <w:b w:val="1"/>
                <w:bCs w:val="1"/>
                <w:color w:val="auto"/>
              </w:rPr>
              <w:t>Tax</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Pre-Tax</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Tax</w:t>
            </w: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After-Tax</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(Expense)</w:t>
            </w:r>
          </w:p>
        </w:tc>
        <w:tc>
          <w:tcPr>
            <w:tcW w:w="3460" w:type="dxa"/>
            <w:vAlign w:val="bottom"/>
            <w:gridSpan w:val="10"/>
          </w:tcPr>
          <w:p>
            <w:pPr>
              <w:jc w:val="right"/>
              <w:spacing w:after="0" w:line="149" w:lineRule="exact"/>
              <w:rPr>
                <w:sz w:val="20"/>
                <w:szCs w:val="20"/>
                <w:color w:val="auto"/>
              </w:rPr>
            </w:pPr>
            <w:r>
              <w:rPr>
                <w:rFonts w:ascii="Arial" w:cs="Arial" w:eastAsia="Arial" w:hAnsi="Arial"/>
                <w:sz w:val="14"/>
                <w:szCs w:val="14"/>
                <w:b w:val="1"/>
                <w:bCs w:val="1"/>
                <w:color w:val="auto"/>
              </w:rPr>
              <w:t>After-Tax  Pre-Tax  (Expense)  After-Tax  Pre-Tax</w:t>
            </w:r>
          </w:p>
        </w:tc>
        <w:tc>
          <w:tcPr>
            <w:tcW w:w="80" w:type="dxa"/>
            <w:vAlign w:val="bottom"/>
          </w:tcPr>
          <w:p>
            <w:pPr>
              <w:spacing w:after="0"/>
              <w:rPr>
                <w:sz w:val="12"/>
                <w:szCs w:val="12"/>
                <w:color w:val="auto"/>
              </w:rPr>
            </w:pPr>
          </w:p>
        </w:tc>
        <w:tc>
          <w:tcPr>
            <w:tcW w:w="148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(Expense)  After-Tax</w:t>
            </w: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(Expense)</w:t>
            </w: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88"/>
              </w:rPr>
              <w:t>Benefit</w:t>
            </w:r>
          </w:p>
        </w:tc>
        <w:tc>
          <w:tcPr>
            <w:tcW w:w="8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2"/>
              </w:rPr>
              <w:t>Benefit</w:t>
            </w:r>
          </w:p>
        </w:tc>
        <w:tc>
          <w:tcPr>
            <w:tcW w:w="80" w:type="dxa"/>
            <w:vAlign w:val="bottom"/>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88"/>
              </w:rPr>
              <w:t>Benefit</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6"/>
                <w:szCs w:val="16"/>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2"/>
              </w:rPr>
              <w:t>Benefit</w:t>
            </w:r>
          </w:p>
        </w:tc>
        <w:tc>
          <w:tcPr>
            <w:tcW w:w="80" w:type="dxa"/>
            <w:vAlign w:val="bottom"/>
          </w:tcPr>
          <w:p>
            <w:pPr>
              <w:spacing w:after="0"/>
              <w:rPr>
                <w:sz w:val="16"/>
                <w:szCs w:val="16"/>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2"/>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$406,983</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$315,556</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994,168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2"/>
              </w:rPr>
              <w:t>$849,034</w:t>
            </w:r>
          </w:p>
        </w:tc>
        <w:tc>
          <w:tcPr>
            <w:tcW w:w="0" w:type="dxa"/>
            <w:vAlign w:val="bottom"/>
          </w:tcPr>
          <w:p>
            <w:pPr>
              <w:spacing w:after="0"/>
              <w:rPr>
                <w:sz w:val="1"/>
                <w:szCs w:val="1"/>
                <w:color w:val="auto"/>
              </w:rPr>
            </w:pPr>
          </w:p>
        </w:tc>
      </w:tr>
      <w:tr>
        <w:trPr>
          <w:trHeight w:val="174"/>
        </w:trPr>
        <w:tc>
          <w:tcPr>
            <w:tcW w:w="2640" w:type="dxa"/>
            <w:vAlign w:val="bottom"/>
          </w:tcPr>
          <w:p>
            <w:pPr>
              <w:ind w:left="40"/>
              <w:spacing w:after="0"/>
              <w:rPr>
                <w:sz w:val="20"/>
                <w:szCs w:val="20"/>
                <w:color w:val="auto"/>
              </w:rPr>
            </w:pPr>
            <w:r>
              <w:rPr>
                <w:rFonts w:ascii="Arial" w:cs="Arial" w:eastAsia="Arial" w:hAnsi="Arial"/>
                <w:sz w:val="14"/>
                <w:szCs w:val="14"/>
                <w:b w:val="1"/>
                <w:bCs w:val="1"/>
                <w:color w:val="auto"/>
                <w:w w:val="95"/>
              </w:rPr>
              <w:t>Other comprehensive income, net of tax:</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640" w:type="dxa"/>
            <w:vAlign w:val="bottom"/>
            <w:shd w:val="clear" w:color="auto" w:fill="CCEEFF"/>
          </w:tcPr>
          <w:p>
            <w:pPr>
              <w:ind w:left="160"/>
              <w:spacing w:after="0" w:line="151" w:lineRule="exact"/>
              <w:rPr>
                <w:sz w:val="20"/>
                <w:szCs w:val="20"/>
                <w:color w:val="auto"/>
              </w:rPr>
            </w:pPr>
            <w:r>
              <w:rPr>
                <w:rFonts w:ascii="Arial" w:cs="Arial" w:eastAsia="Arial" w:hAnsi="Arial"/>
                <w:sz w:val="14"/>
                <w:szCs w:val="14"/>
                <w:color w:val="auto"/>
              </w:rPr>
              <w:t>Foreign currency translation</w:t>
            </w: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adjustments:</w:t>
            </w: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640" w:type="dxa"/>
            <w:vAlign w:val="bottom"/>
          </w:tcPr>
          <w:p>
            <w:pPr>
              <w:ind w:left="240"/>
              <w:spacing w:after="0" w:line="143" w:lineRule="exact"/>
              <w:rPr>
                <w:sz w:val="20"/>
                <w:szCs w:val="20"/>
                <w:color w:val="auto"/>
              </w:rPr>
            </w:pPr>
            <w:r>
              <w:rPr>
                <w:rFonts w:ascii="Arial" w:cs="Arial" w:eastAsia="Arial" w:hAnsi="Arial"/>
                <w:sz w:val="14"/>
                <w:szCs w:val="14"/>
                <w:color w:val="auto"/>
              </w:rPr>
              <w:t>Foreign currency translation gains</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640" w:type="dxa"/>
            <w:vAlign w:val="bottom"/>
          </w:tcPr>
          <w:p>
            <w:pPr>
              <w:ind w:left="240"/>
              <w:spacing w:after="0"/>
              <w:rPr>
                <w:sz w:val="20"/>
                <w:szCs w:val="20"/>
                <w:color w:val="auto"/>
              </w:rPr>
            </w:pPr>
            <w:r>
              <w:rPr>
                <w:rFonts w:ascii="Arial" w:cs="Arial" w:eastAsia="Arial" w:hAnsi="Arial"/>
                <w:sz w:val="14"/>
                <w:szCs w:val="14"/>
                <w:color w:val="auto"/>
              </w:rPr>
              <w:t>(losses) during period</w:t>
            </w:r>
          </w:p>
        </w:tc>
        <w:tc>
          <w:tcPr>
            <w:tcW w:w="560" w:type="dxa"/>
            <w:vAlign w:val="bottom"/>
          </w:tcPr>
          <w:p>
            <w:pPr>
              <w:jc w:val="right"/>
              <w:spacing w:after="0"/>
              <w:rPr>
                <w:sz w:val="20"/>
                <w:szCs w:val="20"/>
                <w:color w:val="auto"/>
              </w:rPr>
            </w:pPr>
            <w:r>
              <w:rPr>
                <w:rFonts w:ascii="Arial" w:cs="Arial" w:eastAsia="Arial" w:hAnsi="Arial"/>
                <w:sz w:val="14"/>
                <w:szCs w:val="14"/>
                <w:color w:val="auto"/>
                <w:w w:val="88"/>
              </w:rPr>
              <w:t>$ 12,395</w:t>
            </w:r>
          </w:p>
        </w:tc>
        <w:tc>
          <w:tcPr>
            <w:tcW w:w="180" w:type="dxa"/>
            <w:vAlign w:val="bottom"/>
            <w:gridSpan w:val="2"/>
          </w:tcPr>
          <w:p>
            <w:pPr>
              <w:ind w:left="100"/>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12,395</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$(16,758)</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(16,758)</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$ 21,336</w:t>
            </w:r>
          </w:p>
        </w:tc>
        <w:tc>
          <w:tcPr>
            <w:tcW w:w="180" w:type="dxa"/>
            <w:vAlign w:val="bottom"/>
            <w:gridSpan w:val="2"/>
          </w:tcPr>
          <w:p>
            <w:pPr>
              <w:ind w:left="100"/>
              <w:spacing w:after="0"/>
              <w:rPr>
                <w:sz w:val="20"/>
                <w:szCs w:val="20"/>
                <w:color w:val="auto"/>
              </w:rPr>
            </w:pPr>
            <w:r>
              <w:rPr>
                <w:rFonts w:ascii="Arial" w:cs="Arial" w:eastAsia="Arial" w:hAnsi="Arial"/>
                <w:sz w:val="14"/>
                <w:szCs w:val="14"/>
                <w:color w:val="auto"/>
                <w:w w:val="76"/>
              </w:rPr>
              <w:t>$</w:t>
            </w:r>
          </w:p>
        </w:tc>
        <w:tc>
          <w:tcPr>
            <w:tcW w:w="720" w:type="dxa"/>
            <w:vAlign w:val="bottom"/>
            <w:gridSpan w:val="3"/>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21,336</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(2,340)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(2,340)</w:t>
            </w:r>
          </w:p>
        </w:tc>
        <w:tc>
          <w:tcPr>
            <w:tcW w:w="0" w:type="dxa"/>
            <w:vAlign w:val="bottom"/>
          </w:tcPr>
          <w:p>
            <w:pPr>
              <w:spacing w:after="0"/>
              <w:rPr>
                <w:sz w:val="1"/>
                <w:szCs w:val="1"/>
                <w:color w:val="auto"/>
              </w:rPr>
            </w:pPr>
          </w:p>
        </w:tc>
      </w:tr>
      <w:tr>
        <w:trPr>
          <w:trHeight w:val="26"/>
        </w:trPr>
        <w:tc>
          <w:tcPr>
            <w:tcW w:w="2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640" w:type="dxa"/>
            <w:vAlign w:val="bottom"/>
            <w:shd w:val="clear" w:color="auto" w:fill="CCEEFF"/>
          </w:tcPr>
          <w:p>
            <w:pPr>
              <w:ind w:left="160"/>
              <w:spacing w:after="0" w:line="135" w:lineRule="exact"/>
              <w:rPr>
                <w:sz w:val="20"/>
                <w:szCs w:val="20"/>
                <w:color w:val="auto"/>
              </w:rPr>
            </w:pPr>
            <w:r>
              <w:rPr>
                <w:rFonts w:ascii="Arial" w:cs="Arial" w:eastAsia="Arial" w:hAnsi="Arial"/>
                <w:sz w:val="14"/>
                <w:szCs w:val="14"/>
                <w:color w:val="auto"/>
              </w:rPr>
              <w:t>Pension and post-retirement benefit</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plans:</w:t>
            </w:r>
          </w:p>
        </w:tc>
        <w:tc>
          <w:tcPr>
            <w:tcW w:w="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640" w:type="dxa"/>
            <w:vAlign w:val="bottom"/>
          </w:tcPr>
          <w:p>
            <w:pPr>
              <w:ind w:left="240"/>
              <w:spacing w:after="0" w:line="143" w:lineRule="exact"/>
              <w:rPr>
                <w:sz w:val="20"/>
                <w:szCs w:val="20"/>
                <w:color w:val="auto"/>
              </w:rPr>
            </w:pPr>
            <w:r>
              <w:rPr>
                <w:rFonts w:ascii="Arial" w:cs="Arial" w:eastAsia="Arial" w:hAnsi="Arial"/>
                <w:sz w:val="14"/>
                <w:szCs w:val="14"/>
                <w:color w:val="auto"/>
              </w:rPr>
              <w:t>Net actuarial gain (loss) and service</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640" w:type="dxa"/>
            <w:vAlign w:val="bottom"/>
          </w:tcPr>
          <w:p>
            <w:pPr>
              <w:ind w:left="240"/>
              <w:spacing w:after="0"/>
              <w:rPr>
                <w:sz w:val="20"/>
                <w:szCs w:val="20"/>
                <w:color w:val="auto"/>
              </w:rPr>
            </w:pPr>
            <w:r>
              <w:rPr>
                <w:rFonts w:ascii="Arial" w:cs="Arial" w:eastAsia="Arial" w:hAnsi="Arial"/>
                <w:sz w:val="14"/>
                <w:szCs w:val="14"/>
                <w:color w:val="auto"/>
              </w:rPr>
              <w:t>cost</w:t>
            </w:r>
          </w:p>
        </w:tc>
        <w:tc>
          <w:tcPr>
            <w:tcW w:w="560" w:type="dxa"/>
            <w:vAlign w:val="bottom"/>
          </w:tcPr>
          <w:p>
            <w:pPr>
              <w:jc w:val="right"/>
              <w:spacing w:after="0"/>
              <w:rPr>
                <w:sz w:val="20"/>
                <w:szCs w:val="20"/>
                <w:color w:val="auto"/>
              </w:rPr>
            </w:pPr>
            <w:r>
              <w:rPr>
                <w:rFonts w:ascii="Arial" w:cs="Arial" w:eastAsia="Arial" w:hAnsi="Arial"/>
                <w:sz w:val="14"/>
                <w:szCs w:val="14"/>
                <w:color w:val="auto"/>
              </w:rPr>
              <w:t>905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(180)</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725</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(32,337)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7,758</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(24,579)</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924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746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1"/>
              </w:rPr>
              <w:t>(38,811)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7,191</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(31,620)</w:t>
            </w:r>
          </w:p>
        </w:tc>
        <w:tc>
          <w:tcPr>
            <w:tcW w:w="0" w:type="dxa"/>
            <w:vAlign w:val="bottom"/>
          </w:tcPr>
          <w:p>
            <w:pPr>
              <w:spacing w:after="0"/>
              <w:rPr>
                <w:sz w:val="1"/>
                <w:szCs w:val="1"/>
                <w:color w:val="auto"/>
              </w:rPr>
            </w:pPr>
          </w:p>
        </w:tc>
      </w:tr>
      <w:tr>
        <w:trPr>
          <w:trHeight w:val="188"/>
        </w:trPr>
        <w:tc>
          <w:tcPr>
            <w:tcW w:w="2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Reclassification to earnings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7,661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(1,839)</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5,822</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9,481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(2,275)</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7,206</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10,888</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(2,613)</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8,275</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13,441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(3,226)</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10,215</w:t>
            </w:r>
          </w:p>
        </w:tc>
        <w:tc>
          <w:tcPr>
            <w:tcW w:w="0" w:type="dxa"/>
            <w:vAlign w:val="bottom"/>
          </w:tcPr>
          <w:p>
            <w:pPr>
              <w:spacing w:after="0"/>
              <w:rPr>
                <w:sz w:val="1"/>
                <w:szCs w:val="1"/>
                <w:color w:val="auto"/>
              </w:rPr>
            </w:pPr>
          </w:p>
        </w:tc>
      </w:tr>
      <w:tr>
        <w:trPr>
          <w:trHeight w:val="182"/>
        </w:trPr>
        <w:tc>
          <w:tcPr>
            <w:tcW w:w="2640" w:type="dxa"/>
            <w:vAlign w:val="bottom"/>
          </w:tcPr>
          <w:p>
            <w:pPr>
              <w:ind w:left="160"/>
              <w:spacing w:after="0"/>
              <w:rPr>
                <w:sz w:val="20"/>
                <w:szCs w:val="20"/>
                <w:color w:val="auto"/>
              </w:rPr>
            </w:pPr>
            <w:r>
              <w:rPr>
                <w:rFonts w:ascii="Arial" w:cs="Arial" w:eastAsia="Arial" w:hAnsi="Arial"/>
                <w:sz w:val="14"/>
                <w:szCs w:val="14"/>
                <w:color w:val="auto"/>
              </w:rPr>
              <w:t>Cash flow hedges:</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640" w:type="dxa"/>
            <w:vAlign w:val="bottom"/>
            <w:shd w:val="clear" w:color="auto" w:fill="CCEEFF"/>
          </w:tcPr>
          <w:p>
            <w:pPr>
              <w:ind w:left="240"/>
              <w:spacing w:after="0" w:line="135" w:lineRule="exact"/>
              <w:rPr>
                <w:sz w:val="20"/>
                <w:szCs w:val="20"/>
                <w:color w:val="auto"/>
              </w:rPr>
            </w:pPr>
            <w:r>
              <w:rPr>
                <w:rFonts w:ascii="Arial" w:cs="Arial" w:eastAsia="Arial" w:hAnsi="Arial"/>
                <w:sz w:val="14"/>
                <w:szCs w:val="14"/>
                <w:color w:val="auto"/>
              </w:rPr>
              <w:t>(Losses) gains on cash flow hedging</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(4,930)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(2,271)</w:t>
            </w:r>
          </w:p>
        </w:tc>
        <w:tc>
          <w:tcPr>
            <w:tcW w:w="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(7,201)</w:t>
            </w: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5,278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(1,511)</w:t>
            </w:r>
          </w:p>
        </w:tc>
        <w:tc>
          <w:tcPr>
            <w:tcW w:w="8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3,767</w:t>
            </w: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(3,483)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(1,731)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(5,214)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(637)</w:t>
            </w:r>
          </w:p>
        </w:tc>
        <w:tc>
          <w:tcPr>
            <w:tcW w:w="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(1,283)</w:t>
            </w:r>
          </w:p>
        </w:tc>
        <w:tc>
          <w:tcPr>
            <w:tcW w:w="0" w:type="dxa"/>
            <w:vAlign w:val="bottom"/>
          </w:tcPr>
          <w:p>
            <w:pPr>
              <w:spacing w:after="0"/>
              <w:rPr>
                <w:sz w:val="1"/>
                <w:szCs w:val="1"/>
                <w:color w:val="auto"/>
              </w:rPr>
            </w:pPr>
          </w:p>
        </w:tc>
      </w:tr>
      <w:tr>
        <w:trPr>
          <w:trHeight w:val="183"/>
        </w:trPr>
        <w:tc>
          <w:tcPr>
            <w:tcW w:w="2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derivatives</w:t>
            </w:r>
          </w:p>
        </w:tc>
        <w:tc>
          <w:tcPr>
            <w:tcW w:w="5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vMerge w:val="continue"/>
            <w:shd w:val="clear" w:color="auto" w:fill="CCEEFF"/>
          </w:tcPr>
          <w:p>
            <w:pPr>
              <w:spacing w:after="0"/>
              <w:rPr>
                <w:sz w:val="15"/>
                <w:szCs w:val="15"/>
                <w:color w:val="auto"/>
              </w:rPr>
            </w:pPr>
          </w:p>
        </w:tc>
        <w:tc>
          <w:tcPr>
            <w:tcW w:w="700" w:type="dxa"/>
            <w:vAlign w:val="bottom"/>
            <w:tcBorders>
              <w:bottom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680" w:type="dxa"/>
            <w:vAlign w:val="bottom"/>
            <w:tcBorders>
              <w:bottom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640" w:type="dxa"/>
            <w:vAlign w:val="bottom"/>
          </w:tcPr>
          <w:p>
            <w:pPr>
              <w:ind w:left="240"/>
              <w:spacing w:after="0"/>
              <w:rPr>
                <w:sz w:val="20"/>
                <w:szCs w:val="20"/>
                <w:color w:val="auto"/>
              </w:rPr>
            </w:pPr>
            <w:r>
              <w:rPr>
                <w:rFonts w:ascii="Arial" w:cs="Arial" w:eastAsia="Arial" w:hAnsi="Arial"/>
                <w:sz w:val="14"/>
                <w:szCs w:val="14"/>
                <w:color w:val="auto"/>
              </w:rPr>
              <w:t>Reclassification to earnings</w:t>
            </w:r>
          </w:p>
        </w:tc>
        <w:tc>
          <w:tcPr>
            <w:tcW w:w="560" w:type="dxa"/>
            <w:vAlign w:val="bottom"/>
          </w:tcPr>
          <w:p>
            <w:pPr>
              <w:jc w:val="right"/>
              <w:spacing w:after="0"/>
              <w:rPr>
                <w:sz w:val="20"/>
                <w:szCs w:val="20"/>
                <w:color w:val="auto"/>
              </w:rPr>
            </w:pPr>
            <w:r>
              <w:rPr>
                <w:rFonts w:ascii="Arial" w:cs="Arial" w:eastAsia="Arial" w:hAnsi="Arial"/>
                <w:sz w:val="14"/>
                <w:szCs w:val="14"/>
                <w:color w:val="auto"/>
              </w:rPr>
              <w:t>7,246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(2,021)</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5,225</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4,289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(296)</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3,993</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9,253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(3,104)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6,149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6,885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(1,023)</w:t>
            </w:r>
          </w:p>
        </w:tc>
        <w:tc>
          <w:tcPr>
            <w:tcW w:w="80" w:type="dxa"/>
            <w:vAlign w:val="bottom"/>
          </w:tcPr>
          <w:p>
            <w:pPr>
              <w:spacing w:after="0"/>
              <w:rPr>
                <w:sz w:val="15"/>
                <w:szCs w:val="15"/>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5,862</w:t>
            </w:r>
          </w:p>
        </w:tc>
        <w:tc>
          <w:tcPr>
            <w:tcW w:w="0" w:type="dxa"/>
            <w:vAlign w:val="bottom"/>
          </w:tcPr>
          <w:p>
            <w:pPr>
              <w:spacing w:after="0"/>
              <w:rPr>
                <w:sz w:val="1"/>
                <w:szCs w:val="1"/>
                <w:color w:val="auto"/>
              </w:rPr>
            </w:pPr>
          </w:p>
        </w:tc>
      </w:tr>
      <w:tr>
        <w:trPr>
          <w:trHeight w:val="20"/>
        </w:trPr>
        <w:tc>
          <w:tcPr>
            <w:tcW w:w="26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9"/>
        </w:trPr>
        <w:tc>
          <w:tcPr>
            <w:tcW w:w="2640" w:type="dxa"/>
            <w:vAlign w:val="bottom"/>
            <w:shd w:val="clear" w:color="auto" w:fill="CCEEFF"/>
          </w:tcPr>
          <w:p>
            <w:pPr>
              <w:ind w:left="40"/>
              <w:spacing w:after="0" w:line="119" w:lineRule="exact"/>
              <w:rPr>
                <w:sz w:val="20"/>
                <w:szCs w:val="20"/>
                <w:color w:val="auto"/>
              </w:rPr>
            </w:pPr>
            <w:r>
              <w:rPr>
                <w:rFonts w:ascii="Arial" w:cs="Arial" w:eastAsia="Arial" w:hAnsi="Arial"/>
                <w:sz w:val="13"/>
                <w:szCs w:val="13"/>
                <w:b w:val="1"/>
                <w:bCs w:val="1"/>
                <w:color w:val="auto"/>
              </w:rPr>
              <w:t>Total other comprehensive income (loss),</w:t>
            </w: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of tax</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 xml:space="preserve"> 23,277</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(6,311)</w:t>
            </w: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16,966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(30,047)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3,676</w:t>
            </w: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(26,371)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$ 38,918</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(7,626)</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31,292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(21,471)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2,305</w:t>
            </w: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(19,166)</w:t>
            </w:r>
          </w:p>
        </w:tc>
        <w:tc>
          <w:tcPr>
            <w:tcW w:w="0" w:type="dxa"/>
            <w:vAlign w:val="bottom"/>
          </w:tcPr>
          <w:p>
            <w:pPr>
              <w:spacing w:after="0"/>
              <w:rPr>
                <w:sz w:val="1"/>
                <w:szCs w:val="1"/>
                <w:color w:val="auto"/>
              </w:rPr>
            </w:pPr>
          </w:p>
        </w:tc>
      </w:tr>
      <w:tr>
        <w:trPr>
          <w:trHeight w:val="163"/>
        </w:trPr>
        <w:tc>
          <w:tcPr>
            <w:tcW w:w="2640" w:type="dxa"/>
            <w:vAlign w:val="bottom"/>
            <w:tcBorders>
              <w:top w:val="single" w:sz="8" w:color="CCEEFF"/>
            </w:tcBorders>
          </w:tcPr>
          <w:p>
            <w:pPr>
              <w:ind w:left="40"/>
              <w:spacing w:after="0"/>
              <w:rPr>
                <w:sz w:val="20"/>
                <w:szCs w:val="20"/>
                <w:color w:val="auto"/>
              </w:rPr>
            </w:pPr>
            <w:r>
              <w:rPr>
                <w:rFonts w:ascii="Arial" w:cs="Arial" w:eastAsia="Arial" w:hAnsi="Arial"/>
                <w:sz w:val="14"/>
                <w:szCs w:val="14"/>
                <w:b w:val="1"/>
                <w:bCs w:val="1"/>
                <w:color w:val="auto"/>
              </w:rPr>
              <w:t>Comprehensive income</w:t>
            </w:r>
          </w:p>
        </w:tc>
        <w:tc>
          <w:tcPr>
            <w:tcW w:w="56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5"/>
              </w:rPr>
              <w:t>$423,949</w:t>
            </w:r>
          </w:p>
        </w:tc>
        <w:tc>
          <w:tcPr>
            <w:tcW w:w="80" w:type="dxa"/>
            <w:vAlign w:val="bottom"/>
            <w:tcBorders>
              <w:top w:val="single" w:sz="8" w:color="CCEEFF"/>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2"/>
              </w:rPr>
              <w:t>$289,185</w:t>
            </w:r>
          </w:p>
        </w:tc>
        <w:tc>
          <w:tcPr>
            <w:tcW w:w="80" w:type="dxa"/>
            <w:vAlign w:val="bottom"/>
            <w:tcBorders>
              <w:top w:val="single" w:sz="8" w:color="CCEEFF"/>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89"/>
              </w:rPr>
              <w:t>1,025,460</w:t>
            </w:r>
          </w:p>
        </w:tc>
        <w:tc>
          <w:tcPr>
            <w:tcW w:w="8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92"/>
              </w:rPr>
              <w:t>$829,868</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5980430</wp:posOffset>
            </wp:positionH>
            <wp:positionV relativeFrom="paragraph">
              <wp:posOffset>300355</wp:posOffset>
            </wp:positionV>
            <wp:extent cx="19685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144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Q2 2023 Form 10-Q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330835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1255" w:right="379" w:bottom="1440" w:gutter="0" w:footer="0" w:header="0"/>
        </w:sectPr>
      </w:pPr>
    </w:p>
    <w:bookmarkStart w:id="4" w:name="page5"/>
    <w:bookmarkEnd w:id="4"/>
    <w:tbl>
      <w:tblPr>
        <w:tblLayout w:type="fixed"/>
        <w:tblInd w:w="200" w:type="dxa"/>
        <w:tblCellMar>
          <w:top w:w="0" w:type="dxa"/>
          <w:left w:w="0" w:type="dxa"/>
          <w:bottom w:w="0" w:type="dxa"/>
          <w:right w:w="0" w:type="dxa"/>
        </w:tblCellMar>
      </w:tblPr>
      <w:tr>
        <w:trPr>
          <w:trHeight w:val="229"/>
        </w:trPr>
        <w:tc>
          <w:tcPr>
            <w:tcW w:w="6740" w:type="dxa"/>
            <w:vAlign w:val="bottom"/>
          </w:tcPr>
          <w:p>
            <w:pPr>
              <w:jc w:val="center"/>
              <w:ind w:left="4110"/>
              <w:spacing w:after="0"/>
              <w:rPr>
                <w:sz w:val="20"/>
                <w:szCs w:val="20"/>
                <w:color w:val="auto"/>
              </w:rPr>
            </w:pPr>
            <w:r>
              <w:rPr>
                <w:rFonts w:ascii="Arial" w:cs="Arial" w:eastAsia="Arial" w:hAnsi="Arial"/>
                <w:sz w:val="18"/>
                <w:szCs w:val="18"/>
                <w:b w:val="1"/>
                <w:bCs w:val="1"/>
                <w:color w:val="auto"/>
              </w:rPr>
              <w:t>THE HERSHEY COMPANY</w:t>
            </w:r>
          </w:p>
        </w:tc>
        <w:tc>
          <w:tcPr>
            <w:tcW w:w="4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180" w:type="dxa"/>
            <w:vAlign w:val="bottom"/>
            <w:gridSpan w:val="2"/>
          </w:tcPr>
          <w:p>
            <w:pPr>
              <w:jc w:val="center"/>
              <w:ind w:left="3650"/>
              <w:spacing w:after="0"/>
              <w:rPr>
                <w:sz w:val="20"/>
                <w:szCs w:val="20"/>
                <w:color w:val="auto"/>
              </w:rPr>
            </w:pPr>
            <w:r>
              <w:rPr>
                <w:rFonts w:ascii="Arial" w:cs="Arial" w:eastAsia="Arial" w:hAnsi="Arial"/>
                <w:sz w:val="18"/>
                <w:szCs w:val="18"/>
                <w:b w:val="1"/>
                <w:bCs w:val="1"/>
                <w:color w:val="auto"/>
                <w:w w:val="99"/>
              </w:rPr>
              <w:t>CONSOLIDATED BALANCE SHEETS</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jc w:val="center"/>
              <w:ind w:left="4090"/>
              <w:spacing w:after="0"/>
              <w:rPr>
                <w:sz w:val="20"/>
                <w:szCs w:val="20"/>
                <w:color w:val="auto"/>
              </w:rPr>
            </w:pPr>
            <w:r>
              <w:rPr>
                <w:rFonts w:ascii="Arial" w:cs="Arial" w:eastAsia="Arial" w:hAnsi="Arial"/>
                <w:sz w:val="18"/>
                <w:szCs w:val="18"/>
                <w:b w:val="1"/>
                <w:bCs w:val="1"/>
                <w:color w:val="auto"/>
                <w:w w:val="88"/>
              </w:rPr>
              <w:t>(in thousands, except share data)</w:t>
            </w:r>
          </w:p>
        </w:tc>
        <w:tc>
          <w:tcPr>
            <w:tcW w:w="4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74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July 2, 2023</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3"/>
              </w:rPr>
              <w:t>December 31, 2022</w:t>
            </w:r>
          </w:p>
        </w:tc>
        <w:tc>
          <w:tcPr>
            <w:tcW w:w="0" w:type="dxa"/>
            <w:vAlign w:val="bottom"/>
          </w:tcPr>
          <w:p>
            <w:pPr>
              <w:spacing w:after="0"/>
              <w:rPr>
                <w:sz w:val="1"/>
                <w:szCs w:val="1"/>
                <w:color w:val="auto"/>
              </w:rPr>
            </w:pPr>
          </w:p>
        </w:tc>
      </w:tr>
      <w:tr>
        <w:trPr>
          <w:trHeight w:val="232"/>
        </w:trPr>
        <w:tc>
          <w:tcPr>
            <w:tcW w:w="6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40" w:type="dxa"/>
            <w:vAlign w:val="bottom"/>
          </w:tcPr>
          <w:p>
            <w:pPr>
              <w:jc w:val="right"/>
              <w:ind w:right="490"/>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4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446,161</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463,889</w:t>
            </w:r>
          </w:p>
        </w:tc>
        <w:tc>
          <w:tcPr>
            <w:tcW w:w="0" w:type="dxa"/>
            <w:vAlign w:val="bottom"/>
          </w:tcPr>
          <w:p>
            <w:pPr>
              <w:spacing w:after="0"/>
              <w:rPr>
                <w:sz w:val="1"/>
                <w:szCs w:val="1"/>
                <w:color w:val="auto"/>
              </w:rPr>
            </w:pPr>
          </w:p>
        </w:tc>
      </w:tr>
      <w:tr>
        <w:trPr>
          <w:trHeight w:val="230"/>
        </w:trPr>
        <w:tc>
          <w:tcPr>
            <w:tcW w:w="6740" w:type="dxa"/>
            <w:vAlign w:val="bottom"/>
          </w:tcPr>
          <w:p>
            <w:pPr>
              <w:ind w:left="240"/>
              <w:spacing w:after="0"/>
              <w:rPr>
                <w:sz w:val="20"/>
                <w:szCs w:val="20"/>
                <w:color w:val="auto"/>
              </w:rPr>
            </w:pPr>
            <w:r>
              <w:rPr>
                <w:rFonts w:ascii="Arial" w:cs="Arial" w:eastAsia="Arial" w:hAnsi="Arial"/>
                <w:sz w:val="18"/>
                <w:szCs w:val="18"/>
                <w:color w:val="auto"/>
              </w:rPr>
              <w:t>Accounts receivable—trade, net</w:t>
            </w:r>
          </w:p>
        </w:tc>
        <w:tc>
          <w:tcPr>
            <w:tcW w:w="4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764,269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711,203</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Inventories</w:t>
            </w:r>
          </w:p>
        </w:tc>
        <w:tc>
          <w:tcPr>
            <w:tcW w:w="4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1,385,424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1,173,119</w:t>
            </w:r>
          </w:p>
        </w:tc>
        <w:tc>
          <w:tcPr>
            <w:tcW w:w="0" w:type="dxa"/>
            <w:vAlign w:val="bottom"/>
          </w:tcPr>
          <w:p>
            <w:pPr>
              <w:spacing w:after="0"/>
              <w:rPr>
                <w:sz w:val="1"/>
                <w:szCs w:val="1"/>
                <w:color w:val="auto"/>
              </w:rPr>
            </w:pPr>
          </w:p>
        </w:tc>
      </w:tr>
      <w:tr>
        <w:trPr>
          <w:trHeight w:val="243"/>
        </w:trPr>
        <w:tc>
          <w:tcPr>
            <w:tcW w:w="67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Prepaid expenses and other</w:t>
            </w:r>
          </w:p>
        </w:tc>
        <w:tc>
          <w:tcPr>
            <w:tcW w:w="4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285,051</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272,195</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4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2,880,905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2,620,406</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4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3,014,876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2,769,702</w:t>
            </w:r>
          </w:p>
        </w:tc>
        <w:tc>
          <w:tcPr>
            <w:tcW w:w="0" w:type="dxa"/>
            <w:vAlign w:val="bottom"/>
          </w:tcPr>
          <w:p>
            <w:pPr>
              <w:spacing w:after="0"/>
              <w:rPr>
                <w:sz w:val="1"/>
                <w:szCs w:val="1"/>
                <w:color w:val="auto"/>
              </w:rPr>
            </w:pPr>
          </w:p>
        </w:tc>
      </w:tr>
      <w:tr>
        <w:trPr>
          <w:trHeight w:val="24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Goodwill</w:t>
            </w:r>
          </w:p>
        </w:tc>
        <w:tc>
          <w:tcPr>
            <w:tcW w:w="44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2,695,997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2,606,956</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Other intangibles</w:t>
            </w:r>
          </w:p>
        </w:tc>
        <w:tc>
          <w:tcPr>
            <w:tcW w:w="4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1,928,184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1,966,269</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assets</w:t>
            </w:r>
          </w:p>
        </w:tc>
        <w:tc>
          <w:tcPr>
            <w:tcW w:w="4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961,741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944,989</w:t>
            </w:r>
          </w:p>
        </w:tc>
        <w:tc>
          <w:tcPr>
            <w:tcW w:w="0" w:type="dxa"/>
            <w:vAlign w:val="bottom"/>
          </w:tcPr>
          <w:p>
            <w:pPr>
              <w:spacing w:after="0"/>
              <w:rPr>
                <w:sz w:val="1"/>
                <w:szCs w:val="1"/>
                <w:color w:val="auto"/>
              </w:rPr>
            </w:pPr>
          </w:p>
        </w:tc>
      </w:tr>
      <w:tr>
        <w:trPr>
          <w:trHeight w:val="243"/>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Deferred income taxes</w:t>
            </w:r>
          </w:p>
        </w:tc>
        <w:tc>
          <w:tcPr>
            <w:tcW w:w="4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43,973</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40,498</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11,525,676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10,948,820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4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44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1,014,058</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970,558</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liabilities</w:t>
            </w:r>
          </w:p>
        </w:tc>
        <w:tc>
          <w:tcPr>
            <w:tcW w:w="4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828,207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832,518</w:t>
            </w:r>
          </w:p>
        </w:tc>
        <w:tc>
          <w:tcPr>
            <w:tcW w:w="0" w:type="dxa"/>
            <w:vAlign w:val="bottom"/>
          </w:tcPr>
          <w:p>
            <w:pPr>
              <w:spacing w:after="0"/>
              <w:rPr>
                <w:sz w:val="1"/>
                <w:szCs w:val="1"/>
                <w:color w:val="auto"/>
              </w:rPr>
            </w:pPr>
          </w:p>
        </w:tc>
      </w:tr>
      <w:tr>
        <w:trPr>
          <w:trHeight w:val="237"/>
        </w:trPr>
        <w:tc>
          <w:tcPr>
            <w:tcW w:w="6740" w:type="dxa"/>
            <w:vAlign w:val="bottom"/>
          </w:tcPr>
          <w:p>
            <w:pPr>
              <w:ind w:left="240"/>
              <w:spacing w:after="0"/>
              <w:rPr>
                <w:sz w:val="20"/>
                <w:szCs w:val="20"/>
                <w:color w:val="auto"/>
              </w:rPr>
            </w:pPr>
            <w:r>
              <w:rPr>
                <w:rFonts w:ascii="Arial" w:cs="Arial" w:eastAsia="Arial" w:hAnsi="Arial"/>
                <w:sz w:val="18"/>
                <w:szCs w:val="18"/>
                <w:color w:val="auto"/>
              </w:rPr>
              <w:t>Accrued income taxes</w:t>
            </w:r>
          </w:p>
        </w:tc>
        <w:tc>
          <w:tcPr>
            <w:tcW w:w="4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16,009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6,710</w:t>
            </w:r>
          </w:p>
        </w:tc>
        <w:tc>
          <w:tcPr>
            <w:tcW w:w="0" w:type="dxa"/>
            <w:vAlign w:val="bottom"/>
          </w:tcPr>
          <w:p>
            <w:pPr>
              <w:spacing w:after="0"/>
              <w:rPr>
                <w:sz w:val="1"/>
                <w:szCs w:val="1"/>
                <w:color w:val="auto"/>
              </w:rPr>
            </w:pPr>
          </w:p>
        </w:tc>
      </w:tr>
      <w:tr>
        <w:trPr>
          <w:trHeight w:val="236"/>
        </w:trPr>
        <w:tc>
          <w:tcPr>
            <w:tcW w:w="6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Short-term debt</w:t>
            </w:r>
          </w:p>
        </w:tc>
        <w:tc>
          <w:tcPr>
            <w:tcW w:w="44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859,773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693,790</w:t>
            </w:r>
          </w:p>
        </w:tc>
        <w:tc>
          <w:tcPr>
            <w:tcW w:w="0" w:type="dxa"/>
            <w:vAlign w:val="bottom"/>
          </w:tcPr>
          <w:p>
            <w:pPr>
              <w:spacing w:after="0"/>
              <w:rPr>
                <w:sz w:val="1"/>
                <w:szCs w:val="1"/>
                <w:color w:val="auto"/>
              </w:rPr>
            </w:pPr>
          </w:p>
        </w:tc>
      </w:tr>
      <w:tr>
        <w:trPr>
          <w:trHeight w:val="230"/>
        </w:trPr>
        <w:tc>
          <w:tcPr>
            <w:tcW w:w="6740" w:type="dxa"/>
            <w:vAlign w:val="bottom"/>
          </w:tcPr>
          <w:p>
            <w:pPr>
              <w:ind w:left="240"/>
              <w:spacing w:after="0"/>
              <w:rPr>
                <w:sz w:val="20"/>
                <w:szCs w:val="20"/>
                <w:color w:val="auto"/>
              </w:rPr>
            </w:pPr>
            <w:r>
              <w:rPr>
                <w:rFonts w:ascii="Arial" w:cs="Arial" w:eastAsia="Arial" w:hAnsi="Arial"/>
                <w:sz w:val="18"/>
                <w:szCs w:val="18"/>
                <w:color w:val="auto"/>
              </w:rPr>
              <w:t>Current portion of long-term debt</w:t>
            </w:r>
          </w:p>
        </w:tc>
        <w:tc>
          <w:tcPr>
            <w:tcW w:w="4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8,010</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753,578</w:t>
            </w:r>
          </w:p>
        </w:tc>
        <w:tc>
          <w:tcPr>
            <w:tcW w:w="0" w:type="dxa"/>
            <w:vAlign w:val="bottom"/>
          </w:tcPr>
          <w:p>
            <w:pPr>
              <w:spacing w:after="0"/>
              <w:rPr>
                <w:sz w:val="1"/>
                <w:szCs w:val="1"/>
                <w:color w:val="auto"/>
              </w:rPr>
            </w:pPr>
          </w:p>
        </w:tc>
      </w:tr>
      <w:tr>
        <w:trPr>
          <w:trHeight w:val="23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44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2,726,057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3,257,154</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Long-term debt</w:t>
            </w:r>
          </w:p>
        </w:tc>
        <w:tc>
          <w:tcPr>
            <w:tcW w:w="4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4,086,195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3,343,977</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long-term liabilities</w:t>
            </w:r>
          </w:p>
        </w:tc>
        <w:tc>
          <w:tcPr>
            <w:tcW w:w="4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714,532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719,742</w:t>
            </w:r>
          </w:p>
        </w:tc>
        <w:tc>
          <w:tcPr>
            <w:tcW w:w="0" w:type="dxa"/>
            <w:vAlign w:val="bottom"/>
          </w:tcPr>
          <w:p>
            <w:pPr>
              <w:spacing w:after="0"/>
              <w:rPr>
                <w:sz w:val="1"/>
                <w:szCs w:val="1"/>
                <w:color w:val="auto"/>
              </w:rPr>
            </w:pPr>
          </w:p>
        </w:tc>
      </w:tr>
      <w:tr>
        <w:trPr>
          <w:trHeight w:val="243"/>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Deferred income taxes</w:t>
            </w:r>
          </w:p>
        </w:tc>
        <w:tc>
          <w:tcPr>
            <w:tcW w:w="4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304,107</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328,403</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4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7,830,891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7,649,276</w:t>
            </w: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44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160"/>
              <w:spacing w:after="0"/>
              <w:rPr>
                <w:sz w:val="20"/>
                <w:szCs w:val="20"/>
                <w:color w:val="auto"/>
              </w:rPr>
            </w:pPr>
            <w:r>
              <w:rPr>
                <w:rFonts w:ascii="Arial" w:cs="Arial" w:eastAsia="Arial" w:hAnsi="Arial"/>
                <w:sz w:val="18"/>
                <w:szCs w:val="18"/>
                <w:color w:val="auto"/>
              </w:rPr>
              <w:t>The Hershey Company stockholders’ equity</w:t>
            </w:r>
          </w:p>
        </w:tc>
        <w:tc>
          <w:tcPr>
            <w:tcW w:w="4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Preferred stock, shares issued: none in 2023 and 2022</w:t>
            </w:r>
          </w:p>
        </w:tc>
        <w:tc>
          <w:tcPr>
            <w:tcW w:w="4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6740" w:type="dxa"/>
            <w:vAlign w:val="bottom"/>
          </w:tcPr>
          <w:p>
            <w:pPr>
              <w:ind w:left="240"/>
              <w:spacing w:after="0" w:line="189" w:lineRule="exact"/>
              <w:rPr>
                <w:sz w:val="20"/>
                <w:szCs w:val="20"/>
                <w:color w:val="auto"/>
              </w:rPr>
            </w:pPr>
            <w:r>
              <w:rPr>
                <w:rFonts w:ascii="Arial" w:cs="Arial" w:eastAsia="Arial" w:hAnsi="Arial"/>
                <w:sz w:val="18"/>
                <w:szCs w:val="18"/>
                <w:color w:val="auto"/>
              </w:rPr>
              <w:t>Common stock, shares issued: 166,938,439 at July 2, 2023 and 163,439,248 at</w:t>
            </w:r>
          </w:p>
        </w:tc>
        <w:tc>
          <w:tcPr>
            <w:tcW w:w="4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40"/>
              <w:spacing w:after="0"/>
              <w:rPr>
                <w:sz w:val="20"/>
                <w:szCs w:val="20"/>
                <w:color w:val="auto"/>
              </w:rPr>
            </w:pPr>
            <w:r>
              <w:rPr>
                <w:rFonts w:ascii="Arial" w:cs="Arial" w:eastAsia="Arial" w:hAnsi="Arial"/>
                <w:sz w:val="18"/>
                <w:szCs w:val="18"/>
                <w:color w:val="auto"/>
              </w:rPr>
              <w:t>December 31, 2022</w:t>
            </w:r>
          </w:p>
        </w:tc>
        <w:tc>
          <w:tcPr>
            <w:tcW w:w="4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166,939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163,439</w:t>
            </w:r>
          </w:p>
        </w:tc>
        <w:tc>
          <w:tcPr>
            <w:tcW w:w="0" w:type="dxa"/>
            <w:vAlign w:val="bottom"/>
          </w:tcPr>
          <w:p>
            <w:pPr>
              <w:spacing w:after="0"/>
              <w:rPr>
                <w:sz w:val="1"/>
                <w:szCs w:val="1"/>
                <w:color w:val="auto"/>
              </w:rPr>
            </w:pPr>
          </w:p>
        </w:tc>
      </w:tr>
      <w:tr>
        <w:trPr>
          <w:trHeight w:val="175"/>
        </w:trPr>
        <w:tc>
          <w:tcPr>
            <w:tcW w:w="67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5"/>
              </w:rPr>
              <w:t>Class B common stock, shares issued: 54,613,777 at July 2, 2023 and 58,113,777 at</w:t>
            </w:r>
          </w:p>
        </w:tc>
        <w:tc>
          <w:tcPr>
            <w:tcW w:w="44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54,614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58,114</w:t>
            </w:r>
          </w:p>
        </w:tc>
        <w:tc>
          <w:tcPr>
            <w:tcW w:w="0" w:type="dxa"/>
            <w:vAlign w:val="bottom"/>
          </w:tcPr>
          <w:p>
            <w:pPr>
              <w:spacing w:after="0"/>
              <w:rPr>
                <w:sz w:val="1"/>
                <w:szCs w:val="1"/>
                <w:color w:val="auto"/>
              </w:rPr>
            </w:pPr>
          </w:p>
        </w:tc>
      </w:tr>
      <w:tr>
        <w:trPr>
          <w:trHeight w:val="243"/>
        </w:trPr>
        <w:tc>
          <w:tcPr>
            <w:tcW w:w="6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December 31, 2022</w:t>
            </w:r>
          </w:p>
        </w:tc>
        <w:tc>
          <w:tcPr>
            <w:tcW w:w="440" w:type="dxa"/>
            <w:vAlign w:val="bottom"/>
            <w:shd w:val="clear" w:color="auto" w:fill="CCEEFF"/>
          </w:tcPr>
          <w:p>
            <w:pPr>
              <w:spacing w:after="0"/>
              <w:rPr>
                <w:sz w:val="21"/>
                <w:szCs w:val="21"/>
                <w:color w:val="auto"/>
              </w:rPr>
            </w:pPr>
          </w:p>
        </w:tc>
        <w:tc>
          <w:tcPr>
            <w:tcW w:w="16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4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1,301,247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1,296,572</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Retained earnings</w:t>
            </w:r>
          </w:p>
        </w:tc>
        <w:tc>
          <w:tcPr>
            <w:tcW w:w="4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4,171,010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3,589,781</w:t>
            </w:r>
          </w:p>
        </w:tc>
        <w:tc>
          <w:tcPr>
            <w:tcW w:w="0" w:type="dxa"/>
            <w:vAlign w:val="bottom"/>
          </w:tcPr>
          <w:p>
            <w:pPr>
              <w:spacing w:after="0"/>
              <w:rPr>
                <w:sz w:val="1"/>
                <w:szCs w:val="1"/>
                <w:color w:val="auto"/>
              </w:rPr>
            </w:pPr>
          </w:p>
        </w:tc>
      </w:tr>
      <w:tr>
        <w:trPr>
          <w:trHeight w:val="188"/>
        </w:trPr>
        <w:tc>
          <w:tcPr>
            <w:tcW w:w="6740" w:type="dxa"/>
            <w:vAlign w:val="bottom"/>
          </w:tcPr>
          <w:p>
            <w:pPr>
              <w:ind w:left="240"/>
              <w:spacing w:after="0" w:line="189" w:lineRule="exact"/>
              <w:rPr>
                <w:sz w:val="20"/>
                <w:szCs w:val="20"/>
                <w:color w:val="auto"/>
              </w:rPr>
            </w:pPr>
            <w:r>
              <w:rPr>
                <w:rFonts w:ascii="Arial" w:cs="Arial" w:eastAsia="Arial" w:hAnsi="Arial"/>
                <w:sz w:val="18"/>
                <w:szCs w:val="18"/>
                <w:color w:val="auto"/>
                <w:w w:val="92"/>
              </w:rPr>
              <w:t>Treasury—common stock shares, at cost: 17,103,981 at July 2, 2023 and 16,588,308 at</w:t>
            </w:r>
          </w:p>
        </w:tc>
        <w:tc>
          <w:tcPr>
            <w:tcW w:w="4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40"/>
              <w:spacing w:after="0"/>
              <w:rPr>
                <w:sz w:val="20"/>
                <w:szCs w:val="20"/>
                <w:color w:val="auto"/>
              </w:rPr>
            </w:pPr>
            <w:r>
              <w:rPr>
                <w:rFonts w:ascii="Arial" w:cs="Arial" w:eastAsia="Arial" w:hAnsi="Arial"/>
                <w:sz w:val="18"/>
                <w:szCs w:val="18"/>
                <w:color w:val="auto"/>
              </w:rPr>
              <w:t>December 31, 2022</w:t>
            </w:r>
          </w:p>
        </w:tc>
        <w:tc>
          <w:tcPr>
            <w:tcW w:w="4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(1,777,984)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(1,556,029)</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Accumulated other comprehensive loss</w:t>
            </w:r>
          </w:p>
        </w:tc>
        <w:tc>
          <w:tcPr>
            <w:tcW w:w="4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(221,041)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(252,333)</w:t>
            </w:r>
          </w:p>
        </w:tc>
        <w:tc>
          <w:tcPr>
            <w:tcW w:w="0" w:type="dxa"/>
            <w:vAlign w:val="bottom"/>
          </w:tcPr>
          <w:p>
            <w:pPr>
              <w:spacing w:after="0"/>
              <w:rPr>
                <w:sz w:val="1"/>
                <w:szCs w:val="1"/>
                <w:color w:val="auto"/>
              </w:rPr>
            </w:pPr>
          </w:p>
        </w:tc>
      </w:tr>
      <w:tr>
        <w:trPr>
          <w:trHeight w:val="223"/>
        </w:trPr>
        <w:tc>
          <w:tcPr>
            <w:tcW w:w="6740" w:type="dxa"/>
            <w:vAlign w:val="bottom"/>
          </w:tcPr>
          <w:p>
            <w:pPr>
              <w:ind w:left="360"/>
              <w:spacing w:after="0"/>
              <w:rPr>
                <w:sz w:val="20"/>
                <w:szCs w:val="20"/>
                <w:color w:val="auto"/>
              </w:rPr>
            </w:pPr>
            <w:r>
              <w:rPr>
                <w:rFonts w:ascii="Arial" w:cs="Arial" w:eastAsia="Arial" w:hAnsi="Arial"/>
                <w:sz w:val="18"/>
                <w:szCs w:val="18"/>
                <w:color w:val="auto"/>
              </w:rPr>
              <w:t>Total stockholders’ equity</w:t>
            </w:r>
          </w:p>
        </w:tc>
        <w:tc>
          <w:tcPr>
            <w:tcW w:w="4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3,694,785</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3,299,544</w:t>
            </w:r>
          </w:p>
        </w:tc>
        <w:tc>
          <w:tcPr>
            <w:tcW w:w="0" w:type="dxa"/>
            <w:vAlign w:val="bottom"/>
          </w:tcPr>
          <w:p>
            <w:pPr>
              <w:spacing w:after="0"/>
              <w:rPr>
                <w:sz w:val="1"/>
                <w:szCs w:val="1"/>
                <w:color w:val="auto"/>
              </w:rPr>
            </w:pPr>
          </w:p>
        </w:tc>
      </w:tr>
      <w:tr>
        <w:trPr>
          <w:trHeight w:val="243"/>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11,525,676</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10,948,820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6918960</wp:posOffset>
            </wp:positionH>
            <wp:positionV relativeFrom="paragraph">
              <wp:posOffset>300355</wp:posOffset>
            </wp:positionV>
            <wp:extent cx="19685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spacing w:after="0"/>
        <w:tabs>
          <w:tab w:leader="none" w:pos="384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Q2 2023 Form 10-Q |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330835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55" w:right="339" w:bottom="1440" w:gutter="0" w:footer="0" w:header="0"/>
        </w:sectPr>
      </w:pPr>
    </w:p>
    <w:bookmarkStart w:id="5" w:name="page6"/>
    <w:bookmarkEnd w:id="5"/>
    <w:p>
      <w:pPr>
        <w:jc w:val="center"/>
        <w:ind w:right="-1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July 2, 2023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July 3, 2022</w:t>
            </w:r>
          </w:p>
        </w:tc>
      </w:tr>
      <w:tr>
        <w:trPr>
          <w:trHeight w:val="212"/>
        </w:trPr>
        <w:tc>
          <w:tcPr>
            <w:tcW w:w="2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Operating Activities</w:t>
            </w:r>
          </w:p>
        </w:tc>
        <w:tc>
          <w:tcPr>
            <w:tcW w:w="4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800" w:type="dxa"/>
            <w:vAlign w:val="bottom"/>
            <w:gridSpan w:val="2"/>
          </w:tcPr>
          <w:p>
            <w:pPr>
              <w:ind w:left="540"/>
              <w:spacing w:after="0"/>
              <w:rPr>
                <w:sz w:val="20"/>
                <w:szCs w:val="20"/>
                <w:color w:val="auto"/>
              </w:rPr>
            </w:pPr>
            <w:r>
              <w:rPr>
                <w:rFonts w:ascii="Arial" w:cs="Arial" w:eastAsia="Arial" w:hAnsi="Arial"/>
                <w:sz w:val="16"/>
                <w:szCs w:val="16"/>
                <w:color w:val="auto"/>
              </w:rPr>
              <w:t>Net income</w:t>
            </w:r>
          </w:p>
        </w:tc>
        <w:tc>
          <w:tcPr>
            <w:tcW w:w="42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994,168</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849,034</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ind w:left="5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800" w:type="dxa"/>
            <w:vAlign w:val="bottom"/>
            <w:gridSpan w:val="2"/>
          </w:tcPr>
          <w:p>
            <w:pPr>
              <w:ind w:left="780"/>
              <w:spacing w:after="0"/>
              <w:rPr>
                <w:sz w:val="20"/>
                <w:szCs w:val="20"/>
                <w:color w:val="auto"/>
              </w:rPr>
            </w:pPr>
            <w:r>
              <w:rPr>
                <w:rFonts w:ascii="Arial" w:cs="Arial" w:eastAsia="Arial" w:hAnsi="Arial"/>
                <w:sz w:val="16"/>
                <w:szCs w:val="16"/>
                <w:color w:val="auto"/>
              </w:rPr>
              <w:t>Depreciation and amortization</w:t>
            </w:r>
          </w:p>
        </w:tc>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199,787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184,882</w:t>
            </w:r>
          </w:p>
        </w:tc>
      </w:tr>
      <w:tr>
        <w:trPr>
          <w:trHeight w:val="21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Stock-based compensation expense</w:t>
            </w:r>
          </w:p>
        </w:tc>
        <w:tc>
          <w:tcPr>
            <w:tcW w:w="4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32,561</w:t>
            </w:r>
          </w:p>
        </w:tc>
      </w:tr>
      <w:tr>
        <w:trPr>
          <w:trHeight w:val="213"/>
        </w:trPr>
        <w:tc>
          <w:tcPr>
            <w:tcW w:w="20" w:type="dxa"/>
            <w:vAlign w:val="bottom"/>
          </w:tcPr>
          <w:p>
            <w:pPr>
              <w:spacing w:after="0"/>
              <w:rPr>
                <w:sz w:val="18"/>
                <w:szCs w:val="18"/>
                <w:color w:val="auto"/>
              </w:rPr>
            </w:pPr>
          </w:p>
        </w:tc>
        <w:tc>
          <w:tcPr>
            <w:tcW w:w="3800" w:type="dxa"/>
            <w:vAlign w:val="bottom"/>
            <w:gridSpan w:val="2"/>
          </w:tcPr>
          <w:p>
            <w:pPr>
              <w:ind w:left="780"/>
              <w:spacing w:after="0"/>
              <w:rPr>
                <w:sz w:val="20"/>
                <w:szCs w:val="20"/>
                <w:color w:val="auto"/>
              </w:rPr>
            </w:pPr>
            <w:r>
              <w:rPr>
                <w:rFonts w:ascii="Arial" w:cs="Arial" w:eastAsia="Arial" w:hAnsi="Arial"/>
                <w:sz w:val="16"/>
                <w:szCs w:val="16"/>
                <w:color w:val="auto"/>
              </w:rPr>
              <w:t>Deferred income taxes</w:t>
            </w:r>
          </w:p>
        </w:tc>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(27,294)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7,388</w:t>
            </w:r>
          </w:p>
        </w:tc>
      </w:tr>
      <w:tr>
        <w:trPr>
          <w:trHeight w:val="21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Write-down of equity investments</w:t>
            </w:r>
          </w:p>
        </w:tc>
        <w:tc>
          <w:tcPr>
            <w:tcW w:w="4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27,440</w:t>
            </w:r>
          </w:p>
        </w:tc>
      </w:tr>
      <w:tr>
        <w:trPr>
          <w:trHeight w:val="213"/>
        </w:trPr>
        <w:tc>
          <w:tcPr>
            <w:tcW w:w="20" w:type="dxa"/>
            <w:vAlign w:val="bottom"/>
          </w:tcPr>
          <w:p>
            <w:pPr>
              <w:spacing w:after="0"/>
              <w:rPr>
                <w:sz w:val="18"/>
                <w:szCs w:val="18"/>
                <w:color w:val="auto"/>
              </w:rPr>
            </w:pPr>
          </w:p>
        </w:tc>
        <w:tc>
          <w:tcPr>
            <w:tcW w:w="3800" w:type="dxa"/>
            <w:vAlign w:val="bottom"/>
            <w:gridSpan w:val="2"/>
          </w:tcPr>
          <w:p>
            <w:pPr>
              <w:ind w:left="780"/>
              <w:spacing w:after="0"/>
              <w:rPr>
                <w:sz w:val="20"/>
                <w:szCs w:val="20"/>
                <w:color w:val="auto"/>
              </w:rPr>
            </w:pPr>
            <w:r>
              <w:rPr>
                <w:rFonts w:ascii="Arial" w:cs="Arial" w:eastAsia="Arial" w:hAnsi="Arial"/>
                <w:sz w:val="16"/>
                <w:szCs w:val="16"/>
                <w:color w:val="auto"/>
              </w:rPr>
              <w:t>Other</w:t>
            </w:r>
          </w:p>
        </w:tc>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54,697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66,235</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Changes in assets and liabilities, net of business acquisition:</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800" w:type="dxa"/>
            <w:vAlign w:val="bottom"/>
            <w:gridSpan w:val="2"/>
          </w:tcPr>
          <w:p>
            <w:pPr>
              <w:ind w:left="980"/>
              <w:spacing w:after="0"/>
              <w:rPr>
                <w:sz w:val="20"/>
                <w:szCs w:val="20"/>
                <w:color w:val="auto"/>
              </w:rPr>
            </w:pPr>
            <w:r>
              <w:rPr>
                <w:rFonts w:ascii="Arial" w:cs="Arial" w:eastAsia="Arial" w:hAnsi="Arial"/>
                <w:sz w:val="16"/>
                <w:szCs w:val="16"/>
                <w:color w:val="auto"/>
              </w:rPr>
              <w:t>Accounts receivable—trade, net</w:t>
            </w:r>
          </w:p>
        </w:tc>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(43,503)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19,216</w:t>
            </w:r>
          </w:p>
        </w:tc>
      </w:tr>
      <w:tr>
        <w:trPr>
          <w:trHeight w:val="21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Inventories</w:t>
            </w:r>
          </w:p>
        </w:tc>
        <w:tc>
          <w:tcPr>
            <w:tcW w:w="4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(201,906)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(220,071)</w:t>
            </w:r>
          </w:p>
        </w:tc>
      </w:tr>
      <w:tr>
        <w:trPr>
          <w:trHeight w:val="213"/>
        </w:trPr>
        <w:tc>
          <w:tcPr>
            <w:tcW w:w="20" w:type="dxa"/>
            <w:vAlign w:val="bottom"/>
          </w:tcPr>
          <w:p>
            <w:pPr>
              <w:spacing w:after="0"/>
              <w:rPr>
                <w:sz w:val="18"/>
                <w:szCs w:val="18"/>
                <w:color w:val="auto"/>
              </w:rPr>
            </w:pPr>
          </w:p>
        </w:tc>
        <w:tc>
          <w:tcPr>
            <w:tcW w:w="3800" w:type="dxa"/>
            <w:vAlign w:val="bottom"/>
            <w:gridSpan w:val="2"/>
          </w:tcPr>
          <w:p>
            <w:pPr>
              <w:ind w:left="980"/>
              <w:spacing w:after="0"/>
              <w:rPr>
                <w:sz w:val="20"/>
                <w:szCs w:val="20"/>
                <w:color w:val="auto"/>
              </w:rPr>
            </w:pPr>
            <w:r>
              <w:rPr>
                <w:rFonts w:ascii="Arial" w:cs="Arial" w:eastAsia="Arial" w:hAnsi="Arial"/>
                <w:sz w:val="16"/>
                <w:szCs w:val="16"/>
                <w:color w:val="auto"/>
                <w:w w:val="91"/>
              </w:rPr>
              <w:t>Prepaid expenses and other current assets</w:t>
            </w:r>
          </w:p>
        </w:tc>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(4,457)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(3,588)</w:t>
            </w:r>
          </w:p>
        </w:tc>
      </w:tr>
      <w:tr>
        <w:trPr>
          <w:trHeight w:val="21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w w:val="98"/>
              </w:rPr>
              <w:t>Accounts payable and accrued liabilities</w:t>
            </w:r>
          </w:p>
        </w:tc>
        <w:tc>
          <w:tcPr>
            <w:tcW w:w="4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123,335</w:t>
            </w:r>
          </w:p>
        </w:tc>
      </w:tr>
      <w:tr>
        <w:trPr>
          <w:trHeight w:val="213"/>
        </w:trPr>
        <w:tc>
          <w:tcPr>
            <w:tcW w:w="20" w:type="dxa"/>
            <w:vAlign w:val="bottom"/>
          </w:tcPr>
          <w:p>
            <w:pPr>
              <w:spacing w:after="0"/>
              <w:rPr>
                <w:sz w:val="18"/>
                <w:szCs w:val="18"/>
                <w:color w:val="auto"/>
              </w:rPr>
            </w:pPr>
          </w:p>
        </w:tc>
        <w:tc>
          <w:tcPr>
            <w:tcW w:w="3800" w:type="dxa"/>
            <w:vAlign w:val="bottom"/>
            <w:gridSpan w:val="2"/>
          </w:tcPr>
          <w:p>
            <w:pPr>
              <w:ind w:left="980"/>
              <w:spacing w:after="0"/>
              <w:rPr>
                <w:sz w:val="20"/>
                <w:szCs w:val="20"/>
                <w:color w:val="auto"/>
              </w:rPr>
            </w:pPr>
            <w:r>
              <w:rPr>
                <w:rFonts w:ascii="Arial" w:cs="Arial" w:eastAsia="Arial" w:hAnsi="Arial"/>
                <w:sz w:val="16"/>
                <w:szCs w:val="16"/>
                <w:color w:val="auto"/>
              </w:rPr>
              <w:t>Accrued income taxes</w:t>
            </w:r>
          </w:p>
        </w:tc>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(3,674)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51,927</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ind w:left="980"/>
              <w:spacing w:after="0"/>
              <w:rPr>
                <w:sz w:val="20"/>
                <w:szCs w:val="20"/>
                <w:color w:val="auto"/>
              </w:rPr>
            </w:pPr>
            <w:r>
              <w:rPr>
                <w:rFonts w:ascii="Arial" w:cs="Arial" w:eastAsia="Arial" w:hAnsi="Arial"/>
                <w:sz w:val="16"/>
                <w:szCs w:val="16"/>
                <w:color w:val="auto"/>
              </w:rPr>
              <w:t>Contributions to pension and other benefit plans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(14,331)</w:t>
            </w:r>
          </w:p>
        </w:tc>
      </w:tr>
      <w:tr>
        <w:trPr>
          <w:trHeight w:val="213"/>
        </w:trPr>
        <w:tc>
          <w:tcPr>
            <w:tcW w:w="20" w:type="dxa"/>
            <w:vAlign w:val="bottom"/>
            <w:tcBorders>
              <w:bottom w:val="single" w:sz="8" w:color="CCEEFF"/>
            </w:tcBorders>
          </w:tcPr>
          <w:p>
            <w:pPr>
              <w:spacing w:after="0"/>
              <w:rPr>
                <w:sz w:val="18"/>
                <w:szCs w:val="18"/>
                <w:color w:val="auto"/>
              </w:rPr>
            </w:pPr>
          </w:p>
        </w:tc>
        <w:tc>
          <w:tcPr>
            <w:tcW w:w="3800" w:type="dxa"/>
            <w:vAlign w:val="bottom"/>
            <w:tcBorders>
              <w:bottom w:val="single" w:sz="8" w:color="CCEEFF"/>
            </w:tcBorders>
            <w:gridSpan w:val="2"/>
          </w:tcPr>
          <w:p>
            <w:pPr>
              <w:ind w:left="980"/>
              <w:spacing w:after="0"/>
              <w:rPr>
                <w:sz w:val="20"/>
                <w:szCs w:val="20"/>
                <w:color w:val="auto"/>
              </w:rPr>
            </w:pPr>
            <w:r>
              <w:rPr>
                <w:rFonts w:ascii="Arial" w:cs="Arial" w:eastAsia="Arial" w:hAnsi="Arial"/>
                <w:sz w:val="16"/>
                <w:szCs w:val="16"/>
                <w:color w:val="auto"/>
              </w:rPr>
              <w:t>Other assets and liabilities</w:t>
            </w:r>
          </w:p>
        </w:tc>
        <w:tc>
          <w:tcPr>
            <w:tcW w:w="4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(10,255)</w:t>
            </w:r>
          </w:p>
        </w:tc>
      </w:tr>
      <w:tr>
        <w:trPr>
          <w:trHeight w:val="213"/>
        </w:trPr>
        <w:tc>
          <w:tcPr>
            <w:tcW w:w="2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cash provided by operating activities</w:t>
            </w:r>
          </w:p>
        </w:tc>
        <w:tc>
          <w:tcPr>
            <w:tcW w:w="4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1,049,808</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1,113,773</w:t>
            </w:r>
          </w:p>
        </w:tc>
      </w:tr>
      <w:tr>
        <w:trPr>
          <w:trHeight w:val="193"/>
        </w:trPr>
        <w:tc>
          <w:tcPr>
            <w:tcW w:w="20" w:type="dxa"/>
            <w:vAlign w:val="bottom"/>
          </w:tcPr>
          <w:p>
            <w:pPr>
              <w:spacing w:after="0"/>
              <w:rPr>
                <w:sz w:val="16"/>
                <w:szCs w:val="16"/>
                <w:color w:val="auto"/>
              </w:rPr>
            </w:pPr>
          </w:p>
        </w:tc>
        <w:tc>
          <w:tcPr>
            <w:tcW w:w="3800" w:type="dxa"/>
            <w:vAlign w:val="bottom"/>
            <w:gridSpan w:val="2"/>
          </w:tcPr>
          <w:p>
            <w:pPr>
              <w:ind w:left="200"/>
              <w:spacing w:after="0"/>
              <w:rPr>
                <w:sz w:val="20"/>
                <w:szCs w:val="20"/>
                <w:color w:val="auto"/>
              </w:rPr>
            </w:pPr>
            <w:r>
              <w:rPr>
                <w:rFonts w:ascii="Arial" w:cs="Arial" w:eastAsia="Arial" w:hAnsi="Arial"/>
                <w:sz w:val="16"/>
                <w:szCs w:val="16"/>
                <w:b w:val="1"/>
                <w:bCs w:val="1"/>
                <w:color w:val="auto"/>
              </w:rPr>
              <w:t>Investing Activities</w:t>
            </w:r>
          </w:p>
        </w:tc>
        <w:tc>
          <w:tcPr>
            <w:tcW w:w="4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Capital additions (including software)</w:t>
            </w:r>
          </w:p>
        </w:tc>
        <w:tc>
          <w:tcPr>
            <w:tcW w:w="4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(330,505)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(240,960)</w:t>
            </w:r>
          </w:p>
        </w:tc>
      </w:tr>
      <w:tr>
        <w:trPr>
          <w:trHeight w:val="213"/>
        </w:trPr>
        <w:tc>
          <w:tcPr>
            <w:tcW w:w="20" w:type="dxa"/>
            <w:vAlign w:val="bottom"/>
          </w:tcPr>
          <w:p>
            <w:pPr>
              <w:spacing w:after="0"/>
              <w:rPr>
                <w:sz w:val="18"/>
                <w:szCs w:val="18"/>
                <w:color w:val="auto"/>
              </w:rPr>
            </w:pPr>
          </w:p>
        </w:tc>
        <w:tc>
          <w:tcPr>
            <w:tcW w:w="8080" w:type="dxa"/>
            <w:vAlign w:val="bottom"/>
            <w:gridSpan w:val="3"/>
          </w:tcPr>
          <w:p>
            <w:pPr>
              <w:ind w:left="540"/>
              <w:spacing w:after="0"/>
              <w:rPr>
                <w:sz w:val="20"/>
                <w:szCs w:val="20"/>
                <w:color w:val="auto"/>
              </w:rPr>
            </w:pPr>
            <w:r>
              <w:rPr>
                <w:rFonts w:ascii="Arial" w:cs="Arial" w:eastAsia="Arial" w:hAnsi="Arial"/>
                <w:sz w:val="16"/>
                <w:szCs w:val="16"/>
                <w:color w:val="auto"/>
              </w:rPr>
              <w:t>Equity investments in tax credit qualifying partnerships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(19,077)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(116,191)</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ind w:left="540"/>
              <w:spacing w:after="0"/>
              <w:rPr>
                <w:sz w:val="20"/>
                <w:szCs w:val="20"/>
                <w:color w:val="auto"/>
              </w:rPr>
            </w:pPr>
            <w:r>
              <w:rPr>
                <w:rFonts w:ascii="Arial" w:cs="Arial" w:eastAsia="Arial" w:hAnsi="Arial"/>
                <w:sz w:val="16"/>
                <w:szCs w:val="16"/>
                <w:color w:val="auto"/>
              </w:rPr>
              <w:t>Business acquisitions, net of cash and cash equivalents acquired</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(165,818)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Borders>
              <w:bottom w:val="single" w:sz="8" w:color="CCEEFF"/>
            </w:tcBorders>
          </w:tcPr>
          <w:p>
            <w:pPr>
              <w:spacing w:after="0"/>
              <w:rPr>
                <w:sz w:val="18"/>
                <w:szCs w:val="18"/>
                <w:color w:val="auto"/>
              </w:rPr>
            </w:pPr>
          </w:p>
        </w:tc>
        <w:tc>
          <w:tcPr>
            <w:tcW w:w="3800" w:type="dxa"/>
            <w:vAlign w:val="bottom"/>
            <w:tcBorders>
              <w:bottom w:val="single" w:sz="8" w:color="CCEEFF"/>
            </w:tcBorders>
            <w:gridSpan w:val="2"/>
          </w:tcPr>
          <w:p>
            <w:pPr>
              <w:ind w:left="540"/>
              <w:spacing w:after="0"/>
              <w:rPr>
                <w:sz w:val="20"/>
                <w:szCs w:val="20"/>
                <w:color w:val="auto"/>
              </w:rPr>
            </w:pPr>
            <w:r>
              <w:rPr>
                <w:rFonts w:ascii="Arial" w:cs="Arial" w:eastAsia="Arial" w:hAnsi="Arial"/>
                <w:sz w:val="16"/>
                <w:szCs w:val="16"/>
                <w:color w:val="auto"/>
              </w:rPr>
              <w:t>Other investing activities</w:t>
            </w:r>
          </w:p>
        </w:tc>
        <w:tc>
          <w:tcPr>
            <w:tcW w:w="4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6,166</w:t>
            </w:r>
          </w:p>
        </w:tc>
      </w:tr>
      <w:tr>
        <w:trPr>
          <w:trHeight w:val="213"/>
        </w:trPr>
        <w:tc>
          <w:tcPr>
            <w:tcW w:w="2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4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(516,029)</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(350,985)</w:t>
            </w:r>
          </w:p>
        </w:tc>
      </w:tr>
      <w:tr>
        <w:trPr>
          <w:trHeight w:val="193"/>
        </w:trPr>
        <w:tc>
          <w:tcPr>
            <w:tcW w:w="20" w:type="dxa"/>
            <w:vAlign w:val="bottom"/>
          </w:tcPr>
          <w:p>
            <w:pPr>
              <w:spacing w:after="0"/>
              <w:rPr>
                <w:sz w:val="16"/>
                <w:szCs w:val="16"/>
                <w:color w:val="auto"/>
              </w:rPr>
            </w:pPr>
          </w:p>
        </w:tc>
        <w:tc>
          <w:tcPr>
            <w:tcW w:w="3800" w:type="dxa"/>
            <w:vAlign w:val="bottom"/>
            <w:gridSpan w:val="2"/>
          </w:tcPr>
          <w:p>
            <w:pPr>
              <w:ind w:left="200"/>
              <w:spacing w:after="0"/>
              <w:rPr>
                <w:sz w:val="20"/>
                <w:szCs w:val="20"/>
                <w:color w:val="auto"/>
              </w:rPr>
            </w:pPr>
            <w:r>
              <w:rPr>
                <w:rFonts w:ascii="Arial" w:cs="Arial" w:eastAsia="Arial" w:hAnsi="Arial"/>
                <w:sz w:val="16"/>
                <w:szCs w:val="16"/>
                <w:b w:val="1"/>
                <w:bCs w:val="1"/>
                <w:color w:val="auto"/>
              </w:rPr>
              <w:t>Financing Activities</w:t>
            </w:r>
          </w:p>
        </w:tc>
        <w:tc>
          <w:tcPr>
            <w:tcW w:w="4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Net increase (decrease) in short-term debt</w:t>
            </w:r>
          </w:p>
        </w:tc>
        <w:tc>
          <w:tcPr>
            <w:tcW w:w="4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165,984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(24,507)</w:t>
            </w:r>
          </w:p>
        </w:tc>
      </w:tr>
      <w:tr>
        <w:trPr>
          <w:trHeight w:val="213"/>
        </w:trPr>
        <w:tc>
          <w:tcPr>
            <w:tcW w:w="20" w:type="dxa"/>
            <w:vAlign w:val="bottom"/>
          </w:tcPr>
          <w:p>
            <w:pPr>
              <w:spacing w:after="0"/>
              <w:rPr>
                <w:sz w:val="18"/>
                <w:szCs w:val="18"/>
                <w:color w:val="auto"/>
              </w:rPr>
            </w:pPr>
          </w:p>
        </w:tc>
        <w:tc>
          <w:tcPr>
            <w:tcW w:w="3800" w:type="dxa"/>
            <w:vAlign w:val="bottom"/>
            <w:gridSpan w:val="2"/>
          </w:tcPr>
          <w:p>
            <w:pPr>
              <w:ind w:left="540"/>
              <w:spacing w:after="0"/>
              <w:rPr>
                <w:sz w:val="20"/>
                <w:szCs w:val="20"/>
                <w:color w:val="auto"/>
              </w:rPr>
            </w:pPr>
            <w:r>
              <w:rPr>
                <w:rFonts w:ascii="Arial" w:cs="Arial" w:eastAsia="Arial" w:hAnsi="Arial"/>
                <w:sz w:val="16"/>
                <w:szCs w:val="16"/>
                <w:color w:val="auto"/>
                <w:w w:val="92"/>
              </w:rPr>
              <w:t>Long-term borrowings, net of debt issuance costs</w:t>
            </w:r>
          </w:p>
        </w:tc>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744,092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w w:val="93"/>
              </w:rPr>
              <w:t>Repayment of long-term debt and finance leases</w:t>
            </w:r>
          </w:p>
        </w:tc>
        <w:tc>
          <w:tcPr>
            <w:tcW w:w="4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(752,367)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(2,473)</w:t>
            </w:r>
          </w:p>
        </w:tc>
      </w:tr>
      <w:tr>
        <w:trPr>
          <w:trHeight w:val="213"/>
        </w:trPr>
        <w:tc>
          <w:tcPr>
            <w:tcW w:w="20" w:type="dxa"/>
            <w:vAlign w:val="bottom"/>
          </w:tcPr>
          <w:p>
            <w:pPr>
              <w:spacing w:after="0"/>
              <w:rPr>
                <w:sz w:val="18"/>
                <w:szCs w:val="18"/>
                <w:color w:val="auto"/>
              </w:rPr>
            </w:pPr>
          </w:p>
        </w:tc>
        <w:tc>
          <w:tcPr>
            <w:tcW w:w="3800" w:type="dxa"/>
            <w:vAlign w:val="bottom"/>
            <w:gridSpan w:val="2"/>
          </w:tcPr>
          <w:p>
            <w:pPr>
              <w:ind w:left="540"/>
              <w:spacing w:after="0"/>
              <w:rPr>
                <w:sz w:val="20"/>
                <w:szCs w:val="20"/>
                <w:color w:val="auto"/>
              </w:rPr>
            </w:pPr>
            <w:r>
              <w:rPr>
                <w:rFonts w:ascii="Arial" w:cs="Arial" w:eastAsia="Arial" w:hAnsi="Arial"/>
                <w:sz w:val="16"/>
                <w:szCs w:val="16"/>
                <w:color w:val="auto"/>
              </w:rPr>
              <w:t>Cash dividends paid</w:t>
            </w:r>
          </w:p>
        </w:tc>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(413,546)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(360,984)</w:t>
            </w:r>
          </w:p>
        </w:tc>
      </w:tr>
      <w:tr>
        <w:trPr>
          <w:trHeight w:val="21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Repurchase of common stock</w:t>
            </w:r>
          </w:p>
        </w:tc>
        <w:tc>
          <w:tcPr>
            <w:tcW w:w="4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(239,910)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(355,271)</w:t>
            </w:r>
          </w:p>
        </w:tc>
      </w:tr>
      <w:tr>
        <w:trPr>
          <w:trHeight w:val="213"/>
        </w:trPr>
        <w:tc>
          <w:tcPr>
            <w:tcW w:w="20" w:type="dxa"/>
            <w:vAlign w:val="bottom"/>
          </w:tcPr>
          <w:p>
            <w:pPr>
              <w:spacing w:after="0"/>
              <w:rPr>
                <w:sz w:val="18"/>
                <w:szCs w:val="18"/>
                <w:color w:val="auto"/>
              </w:rPr>
            </w:pPr>
          </w:p>
        </w:tc>
        <w:tc>
          <w:tcPr>
            <w:tcW w:w="3800" w:type="dxa"/>
            <w:vAlign w:val="bottom"/>
            <w:gridSpan w:val="2"/>
          </w:tcPr>
          <w:p>
            <w:pPr>
              <w:ind w:left="540"/>
              <w:spacing w:after="0"/>
              <w:rPr>
                <w:sz w:val="20"/>
                <w:szCs w:val="20"/>
                <w:color w:val="auto"/>
              </w:rPr>
            </w:pPr>
            <w:r>
              <w:rPr>
                <w:rFonts w:ascii="Arial" w:cs="Arial" w:eastAsia="Arial" w:hAnsi="Arial"/>
                <w:sz w:val="16"/>
                <w:szCs w:val="16"/>
                <w:color w:val="auto"/>
              </w:rPr>
              <w:t>Proceeds from exercised stock options</w:t>
            </w:r>
          </w:p>
        </w:tc>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22,021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21,770</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ind w:left="540"/>
              <w:spacing w:after="0"/>
              <w:rPr>
                <w:sz w:val="20"/>
                <w:szCs w:val="20"/>
                <w:color w:val="auto"/>
              </w:rPr>
            </w:pPr>
            <w:r>
              <w:rPr>
                <w:rFonts w:ascii="Arial" w:cs="Arial" w:eastAsia="Arial" w:hAnsi="Arial"/>
                <w:sz w:val="16"/>
                <w:szCs w:val="16"/>
                <w:color w:val="auto"/>
              </w:rPr>
              <w:t>Taxes withheld and paid on employee stock awards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(32,953)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(33,940)</w:t>
            </w:r>
          </w:p>
        </w:tc>
      </w:tr>
      <w:tr>
        <w:trPr>
          <w:trHeight w:val="206"/>
        </w:trPr>
        <w:tc>
          <w:tcPr>
            <w:tcW w:w="20" w:type="dxa"/>
            <w:vAlign w:val="bottom"/>
            <w:tcBorders>
              <w:bottom w:val="single" w:sz="8" w:color="CCEEFF"/>
            </w:tcBorders>
          </w:tcPr>
          <w:p>
            <w:pPr>
              <w:spacing w:after="0"/>
              <w:rPr>
                <w:sz w:val="17"/>
                <w:szCs w:val="17"/>
                <w:color w:val="auto"/>
              </w:rPr>
            </w:pPr>
          </w:p>
        </w:tc>
        <w:tc>
          <w:tcPr>
            <w:tcW w:w="38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Net cash used in financing activities</w:t>
            </w:r>
          </w:p>
        </w:tc>
        <w:tc>
          <w:tcPr>
            <w:tcW w:w="42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(506,679)</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(755,405)</w:t>
            </w: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80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2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(44,828)</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3,073</w:t>
            </w:r>
          </w:p>
        </w:tc>
      </w:tr>
      <w:tr>
        <w:trPr>
          <w:trHeight w:val="207"/>
        </w:trPr>
        <w:tc>
          <w:tcPr>
            <w:tcW w:w="20" w:type="dxa"/>
            <w:vAlign w:val="bottom"/>
          </w:tcPr>
          <w:p>
            <w:pPr>
              <w:spacing w:after="0"/>
              <w:rPr>
                <w:sz w:val="17"/>
                <w:szCs w:val="17"/>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w w:val="99"/>
              </w:rPr>
              <w:t>Net (decrease) increase in cash and cash equivalents</w:t>
            </w:r>
          </w:p>
        </w:tc>
        <w:tc>
          <w:tcPr>
            <w:tcW w:w="4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(17,728)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10,456</w:t>
            </w:r>
          </w:p>
        </w:tc>
      </w:tr>
      <w:tr>
        <w:trPr>
          <w:trHeight w:val="219"/>
        </w:trPr>
        <w:tc>
          <w:tcPr>
            <w:tcW w:w="20" w:type="dxa"/>
            <w:vAlign w:val="bottom"/>
            <w:tcBorders>
              <w:bottom w:val="single" w:sz="8" w:color="CCEEFF"/>
            </w:tcBorders>
            <w:shd w:val="clear" w:color="auto" w:fill="CCEEFF"/>
          </w:tcPr>
          <w:p>
            <w:pPr>
              <w:spacing w:after="0"/>
              <w:rPr>
                <w:sz w:val="19"/>
                <w:szCs w:val="19"/>
                <w:color w:val="auto"/>
              </w:rPr>
            </w:pPr>
          </w:p>
        </w:tc>
        <w:tc>
          <w:tcPr>
            <w:tcW w:w="3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Cash and cash equivalents, beginning of period</w:t>
            </w:r>
          </w:p>
        </w:tc>
        <w:tc>
          <w:tcPr>
            <w:tcW w:w="4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463,889</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329,266</w:t>
            </w:r>
          </w:p>
        </w:tc>
      </w:tr>
      <w:tr>
        <w:trPr>
          <w:trHeight w:val="210"/>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Cash and cash equivalents, end of period</w:t>
            </w:r>
          </w:p>
        </w:tc>
        <w:tc>
          <w:tcPr>
            <w:tcW w:w="42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446,161</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339,722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800" w:type="dxa"/>
            <w:vAlign w:val="bottom"/>
            <w:gridSpan w:val="2"/>
            <w:shd w:val="clear" w:color="auto" w:fill="CCEEFF"/>
          </w:tcPr>
          <w:p>
            <w:pPr>
              <w:ind w:left="200"/>
              <w:spacing w:after="0"/>
              <w:rPr>
                <w:sz w:val="20"/>
                <w:szCs w:val="20"/>
                <w:color w:val="auto"/>
              </w:rPr>
            </w:pPr>
            <w:r>
              <w:rPr>
                <w:rFonts w:ascii="Arial" w:cs="Arial" w:eastAsia="Arial" w:hAnsi="Arial"/>
                <w:sz w:val="16"/>
                <w:szCs w:val="16"/>
                <w:b w:val="1"/>
                <w:bCs w:val="1"/>
                <w:color w:val="auto"/>
              </w:rPr>
              <w:t>Supplemental Disclosure</w:t>
            </w:r>
          </w:p>
        </w:tc>
        <w:tc>
          <w:tcPr>
            <w:tcW w:w="4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Interest paid</w:t>
            </w:r>
          </w:p>
        </w:tc>
        <w:tc>
          <w:tcPr>
            <w:tcW w:w="42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76,537</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61,657</w:t>
            </w:r>
          </w:p>
        </w:tc>
      </w:tr>
      <w:tr>
        <w:trPr>
          <w:trHeight w:val="21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taxes paid</w:t>
            </w:r>
          </w:p>
        </w:tc>
        <w:tc>
          <w:tcPr>
            <w:tcW w:w="4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229,144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172,888</w:t>
            </w:r>
          </w:p>
        </w:tc>
      </w:tr>
      <w:tr>
        <w:trPr>
          <w:trHeight w:val="554"/>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920" w:type="dxa"/>
            <w:vAlign w:val="bottom"/>
            <w:gridSpan w:val="2"/>
          </w:tcPr>
          <w:p>
            <w:pPr>
              <w:jc w:val="center"/>
              <w:ind w:left="1890"/>
              <w:spacing w:after="0"/>
              <w:rPr>
                <w:sz w:val="20"/>
                <w:szCs w:val="20"/>
                <w:color w:val="auto"/>
              </w:rPr>
            </w:pPr>
            <w:r>
              <w:rPr>
                <w:rFonts w:ascii="Arial" w:cs="Arial" w:eastAsia="Arial" w:hAnsi="Arial"/>
                <w:sz w:val="18"/>
                <w:szCs w:val="18"/>
                <w:b w:val="1"/>
                <w:bCs w:val="1"/>
                <w:color w:val="auto"/>
                <w:w w:val="88"/>
              </w:rPr>
              <w:t>See Notes to Unaudited Consolidated Financial Statements.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688"/>
        </w:trPr>
        <w:tc>
          <w:tcPr>
            <w:tcW w:w="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4280" w:type="dxa"/>
            <w:vAlign w:val="bottom"/>
          </w:tcPr>
          <w:p>
            <w:pPr>
              <w:jc w:val="center"/>
              <w:ind w:right="579"/>
              <w:spacing w:after="0"/>
              <w:rPr>
                <w:sz w:val="20"/>
                <w:szCs w:val="20"/>
                <w:color w:val="auto"/>
              </w:rPr>
            </w:pPr>
            <w:r>
              <w:rPr>
                <w:rFonts w:ascii="Arial" w:cs="Arial" w:eastAsia="Arial" w:hAnsi="Arial"/>
                <w:sz w:val="16"/>
                <w:szCs w:val="16"/>
                <w:color w:val="auto"/>
                <w:w w:val="91"/>
              </w:rPr>
              <w:t>The Hershey Company | Q2 2023 Form 10-Q | Page 5</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540"/>
        </w:trPr>
        <w:tc>
          <w:tcPr>
            <w:tcW w:w="20" w:type="dxa"/>
            <w:vAlign w:val="bottom"/>
            <w:tcBorders>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-530860</wp:posOffset>
            </wp:positionV>
            <wp:extent cx="19685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HERSHEY COMPANY</w:t>
      </w:r>
    </w:p>
    <w:p>
      <w:pPr>
        <w:jc w:val="center"/>
        <w:ind w:right="-119"/>
        <w:spacing w:after="0" w:line="219" w:lineRule="auto"/>
        <w:rPr>
          <w:sz w:val="20"/>
          <w:szCs w:val="20"/>
          <w:color w:val="auto"/>
        </w:rPr>
      </w:pPr>
      <w:r>
        <w:rPr>
          <w:rFonts w:ascii="Arial" w:cs="Arial" w:eastAsia="Arial" w:hAnsi="Arial"/>
          <w:sz w:val="18"/>
          <w:szCs w:val="18"/>
          <w:b w:val="1"/>
          <w:bCs w:val="1"/>
          <w:color w:val="auto"/>
        </w:rPr>
        <w:t>CONSOLIDATED STATEMENTS OF STOCKHOLDERS’ EQUITY</w:t>
      </w:r>
    </w:p>
    <w:p>
      <w:pPr>
        <w:jc w:val="center"/>
        <w:ind w:right="-119"/>
        <w:spacing w:after="0" w:line="203" w:lineRule="auto"/>
        <w:rPr>
          <w:sz w:val="20"/>
          <w:szCs w:val="20"/>
          <w:color w:val="auto"/>
        </w:rPr>
      </w:pPr>
      <w:r>
        <w:rPr>
          <w:rFonts w:ascii="Arial" w:cs="Arial" w:eastAsia="Arial" w:hAnsi="Arial"/>
          <w:sz w:val="18"/>
          <w:szCs w:val="18"/>
          <w:b w:val="1"/>
          <w:bCs w:val="1"/>
          <w:color w:val="auto"/>
        </w:rPr>
        <w:t>For the Three Months Ended July 2, 2023 and July 3, 2022</w:t>
      </w:r>
    </w:p>
    <w:p>
      <w:pPr>
        <w:ind w:left="5140"/>
        <w:spacing w:after="0" w:line="204" w:lineRule="auto"/>
        <w:rPr>
          <w:sz w:val="20"/>
          <w:szCs w:val="20"/>
          <w:color w:val="auto"/>
        </w:rPr>
      </w:pPr>
      <w:r>
        <w:rPr>
          <w:rFonts w:ascii="Arial" w:cs="Arial" w:eastAsia="Arial" w:hAnsi="Arial"/>
          <w:sz w:val="18"/>
          <w:szCs w:val="18"/>
          <w:b w:val="1"/>
          <w:bCs w:val="1"/>
          <w:color w:val="auto"/>
        </w:rPr>
        <w:t>(in thousands)</w:t>
      </w:r>
    </w:p>
    <w:p>
      <w:pPr>
        <w:ind w:left="5180"/>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89"/>
              </w:rPr>
              <w:t>Class B</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Treasury</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9"/>
        </w:trPr>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6"/>
              </w:rPr>
              <w:t>Preferred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5"/>
              </w:rPr>
              <w:t>Common</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8"/>
              <w:spacing w:after="0" w:line="13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2"/>
              </w:rPr>
              <w:t>Common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Common</w:t>
            </w:r>
          </w:p>
        </w:tc>
        <w:tc>
          <w:tcPr>
            <w:tcW w:w="80" w:type="dxa"/>
            <w:vAlign w:val="bottom"/>
          </w:tcPr>
          <w:p>
            <w:pPr>
              <w:spacing w:after="0"/>
              <w:rPr>
                <w:sz w:val="12"/>
                <w:szCs w:val="12"/>
                <w:color w:val="auto"/>
              </w:rPr>
            </w:pPr>
          </w:p>
        </w:tc>
        <w:tc>
          <w:tcPr>
            <w:tcW w:w="10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92"/>
        </w:trPr>
        <w:tc>
          <w:tcPr>
            <w:tcW w:w="35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2"/>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April 2, 2023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164,439</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57,114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1,285,412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3,970,562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(1,781,155)</w:t>
            </w:r>
          </w:p>
        </w:tc>
        <w:tc>
          <w:tcPr>
            <w:tcW w:w="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(238,007)</w:t>
            </w: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3,458,365</w:t>
            </w:r>
          </w:p>
        </w:tc>
        <w:tc>
          <w:tcPr>
            <w:tcW w:w="0" w:type="dxa"/>
            <w:vAlign w:val="bottom"/>
          </w:tcPr>
          <w:p>
            <w:pPr>
              <w:spacing w:after="0"/>
              <w:rPr>
                <w:sz w:val="1"/>
                <w:szCs w:val="1"/>
                <w:color w:val="auto"/>
              </w:rPr>
            </w:pPr>
          </w:p>
        </w:tc>
      </w:tr>
      <w:tr>
        <w:trPr>
          <w:trHeight w:val="182"/>
        </w:trPr>
        <w:tc>
          <w:tcPr>
            <w:tcW w:w="35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406,983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406,983</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16,966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16,966</w:t>
            </w:r>
          </w:p>
        </w:tc>
        <w:tc>
          <w:tcPr>
            <w:tcW w:w="0" w:type="dxa"/>
            <w:vAlign w:val="bottom"/>
          </w:tcPr>
          <w:p>
            <w:pPr>
              <w:spacing w:after="0"/>
              <w:rPr>
                <w:sz w:val="1"/>
                <w:szCs w:val="1"/>
                <w:color w:val="auto"/>
              </w:rPr>
            </w:pPr>
          </w:p>
        </w:tc>
      </w:tr>
      <w:tr>
        <w:trPr>
          <w:trHeight w:val="182"/>
        </w:trPr>
        <w:tc>
          <w:tcPr>
            <w:tcW w:w="3520" w:type="dxa"/>
            <w:vAlign w:val="bottom"/>
          </w:tcPr>
          <w:p>
            <w:pPr>
              <w:ind w:left="20"/>
              <w:spacing w:after="0"/>
              <w:rPr>
                <w:sz w:val="20"/>
                <w:szCs w:val="20"/>
                <w:color w:val="auto"/>
              </w:rPr>
            </w:pPr>
            <w:r>
              <w:rPr>
                <w:rFonts w:ascii="Arial" w:cs="Arial" w:eastAsia="Arial" w:hAnsi="Arial"/>
                <w:sz w:val="14"/>
                <w:szCs w:val="14"/>
                <w:color w:val="auto"/>
              </w:rPr>
              <w:t>Dividends (including dividend equivalents):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Common Stock, $1.036 per share</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(152,734)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(152,734)</w:t>
            </w:r>
          </w:p>
        </w:tc>
        <w:tc>
          <w:tcPr>
            <w:tcW w:w="0" w:type="dxa"/>
            <w:vAlign w:val="bottom"/>
          </w:tcPr>
          <w:p>
            <w:pPr>
              <w:spacing w:after="0"/>
              <w:rPr>
                <w:sz w:val="1"/>
                <w:szCs w:val="1"/>
                <w:color w:val="auto"/>
              </w:rPr>
            </w:pPr>
          </w:p>
        </w:tc>
      </w:tr>
      <w:tr>
        <w:trPr>
          <w:trHeight w:val="186"/>
        </w:trPr>
        <w:tc>
          <w:tcPr>
            <w:tcW w:w="3520" w:type="dxa"/>
            <w:vAlign w:val="bottom"/>
          </w:tcPr>
          <w:p>
            <w:pPr>
              <w:ind w:left="220"/>
              <w:spacing w:after="0"/>
              <w:rPr>
                <w:sz w:val="20"/>
                <w:szCs w:val="20"/>
                <w:color w:val="auto"/>
              </w:rPr>
            </w:pPr>
            <w:r>
              <w:rPr>
                <w:rFonts w:ascii="Arial" w:cs="Arial" w:eastAsia="Arial" w:hAnsi="Arial"/>
                <w:sz w:val="14"/>
                <w:szCs w:val="14"/>
                <w:color w:val="auto"/>
              </w:rPr>
              <w:t>Class B Common Stock, $0.942 per share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(53,801)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(53,801)</w:t>
            </w:r>
          </w:p>
        </w:tc>
        <w:tc>
          <w:tcPr>
            <w:tcW w:w="0" w:type="dxa"/>
            <w:vAlign w:val="bottom"/>
          </w:tcPr>
          <w:p>
            <w:pPr>
              <w:spacing w:after="0"/>
              <w:rPr>
                <w:sz w:val="1"/>
                <w:szCs w:val="1"/>
                <w:color w:val="auto"/>
              </w:rPr>
            </w:pPr>
          </w:p>
        </w:tc>
      </w:tr>
      <w:tr>
        <w:trPr>
          <w:trHeight w:val="147"/>
        </w:trPr>
        <w:tc>
          <w:tcPr>
            <w:tcW w:w="352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rPr>
              <w:t>Conversion of Class B Common Stock into Common</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2,500</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w w:val="99"/>
              </w:rPr>
              <w:t>(2,500)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52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16,812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16,812</w:t>
            </w:r>
          </w:p>
        </w:tc>
        <w:tc>
          <w:tcPr>
            <w:tcW w:w="0" w:type="dxa"/>
            <w:vAlign w:val="bottom"/>
          </w:tcPr>
          <w:p>
            <w:pPr>
              <w:spacing w:after="0"/>
              <w:rPr>
                <w:sz w:val="1"/>
                <w:szCs w:val="1"/>
                <w:color w:val="auto"/>
              </w:rPr>
            </w:pPr>
          </w:p>
        </w:tc>
      </w:tr>
      <w:tr>
        <w:trPr>
          <w:trHeight w:val="189"/>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5"/>
              </w:rPr>
              <w:t>Exercise of stock options and incentive-based transactions</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(977)</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3,140</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2,163</w:t>
            </w:r>
          </w:p>
        </w:tc>
        <w:tc>
          <w:tcPr>
            <w:tcW w:w="0" w:type="dxa"/>
            <w:vAlign w:val="bottom"/>
          </w:tcPr>
          <w:p>
            <w:pPr>
              <w:spacing w:after="0"/>
              <w:rPr>
                <w:sz w:val="1"/>
                <w:szCs w:val="1"/>
                <w:color w:val="auto"/>
              </w:rPr>
            </w:pPr>
          </w:p>
        </w:tc>
      </w:tr>
      <w:tr>
        <w:trPr>
          <w:trHeight w:val="199"/>
        </w:trPr>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Balance, July 2, 2023</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ind w:left="54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166,939</w:t>
            </w: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ind w:left="260"/>
              <w:spacing w:after="0"/>
              <w:rPr>
                <w:sz w:val="20"/>
                <w:szCs w:val="20"/>
                <w:color w:val="auto"/>
              </w:rPr>
            </w:pPr>
            <w:r>
              <w:rPr>
                <w:rFonts w:ascii="Arial" w:cs="Arial" w:eastAsia="Arial" w:hAnsi="Arial"/>
                <w:sz w:val="14"/>
                <w:szCs w:val="14"/>
                <w:color w:val="auto"/>
              </w:rPr>
              <w:t>54,614</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1,301,247</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4,171,010</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(1,777,984)</w:t>
            </w:r>
          </w:p>
        </w:tc>
        <w:tc>
          <w:tcPr>
            <w:tcW w:w="20" w:type="dxa"/>
            <w:vAlign w:val="bottom"/>
          </w:tcPr>
          <w:p>
            <w:pPr>
              <w:spacing w:after="0"/>
              <w:rPr>
                <w:sz w:val="17"/>
                <w:szCs w:val="17"/>
                <w:color w:val="auto"/>
              </w:rPr>
            </w:pP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(221,041)</w:t>
            </w:r>
          </w:p>
        </w:tc>
        <w:tc>
          <w:tcPr>
            <w:tcW w:w="2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3,694,785</w:t>
            </w:r>
          </w:p>
        </w:tc>
        <w:tc>
          <w:tcPr>
            <w:tcW w:w="0" w:type="dxa"/>
            <w:vAlign w:val="bottom"/>
          </w:tcPr>
          <w:p>
            <w:pPr>
              <w:spacing w:after="0"/>
              <w:rPr>
                <w:sz w:val="1"/>
                <w:szCs w:val="1"/>
                <w:color w:val="auto"/>
              </w:rPr>
            </w:pPr>
          </w:p>
        </w:tc>
      </w:tr>
      <w:tr>
        <w:trPr>
          <w:trHeight w:val="21"/>
        </w:trPr>
        <w:tc>
          <w:tcPr>
            <w:tcW w:w="35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89"/>
              </w:rPr>
              <w:t>Class B</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Treasury</w:t>
            </w:r>
          </w:p>
        </w:tc>
        <w:tc>
          <w:tcPr>
            <w:tcW w:w="8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9"/>
        </w:trPr>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6"/>
              </w:rPr>
              <w:t>Preferred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2"/>
              </w:rPr>
              <w:t>Common</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28"/>
              <w:spacing w:after="0" w:line="13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2"/>
              </w:rPr>
              <w:t>Common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4"/>
              </w:rPr>
              <w:t>Paid-in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Common</w:t>
            </w:r>
          </w:p>
        </w:tc>
        <w:tc>
          <w:tcPr>
            <w:tcW w:w="8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2"/>
        </w:trPr>
        <w:tc>
          <w:tcPr>
            <w:tcW w:w="3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4"/>
              </w:rPr>
              <w:t>Stock</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4"/>
              </w:rPr>
              <w:t>Stock</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Stock</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2"/>
        </w:trPr>
        <w:tc>
          <w:tcPr>
            <w:tcW w:w="35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April 3, 2022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161,939</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59,614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1,243,240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3,071,416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(1,378,651)</w:t>
            </w:r>
          </w:p>
        </w:tc>
        <w:tc>
          <w:tcPr>
            <w:tcW w:w="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(242,009)</w:t>
            </w:r>
          </w:p>
        </w:tc>
        <w:tc>
          <w:tcPr>
            <w:tcW w:w="2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2,915,549</w:t>
            </w:r>
          </w:p>
        </w:tc>
        <w:tc>
          <w:tcPr>
            <w:tcW w:w="0" w:type="dxa"/>
            <w:vAlign w:val="bottom"/>
          </w:tcPr>
          <w:p>
            <w:pPr>
              <w:spacing w:after="0"/>
              <w:rPr>
                <w:sz w:val="1"/>
                <w:szCs w:val="1"/>
                <w:color w:val="auto"/>
              </w:rPr>
            </w:pPr>
          </w:p>
        </w:tc>
      </w:tr>
      <w:tr>
        <w:trPr>
          <w:trHeight w:val="182"/>
        </w:trPr>
        <w:tc>
          <w:tcPr>
            <w:tcW w:w="352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315,556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315,556</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(26,372)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(26,372)</w:t>
            </w:r>
          </w:p>
        </w:tc>
        <w:tc>
          <w:tcPr>
            <w:tcW w:w="0" w:type="dxa"/>
            <w:vAlign w:val="bottom"/>
          </w:tcPr>
          <w:p>
            <w:pPr>
              <w:spacing w:after="0"/>
              <w:rPr>
                <w:sz w:val="1"/>
                <w:szCs w:val="1"/>
                <w:color w:val="auto"/>
              </w:rPr>
            </w:pPr>
          </w:p>
        </w:tc>
      </w:tr>
      <w:tr>
        <w:trPr>
          <w:trHeight w:val="182"/>
        </w:trPr>
        <w:tc>
          <w:tcPr>
            <w:tcW w:w="3520" w:type="dxa"/>
            <w:vAlign w:val="bottom"/>
          </w:tcPr>
          <w:p>
            <w:pPr>
              <w:ind w:left="40"/>
              <w:spacing w:after="0"/>
              <w:rPr>
                <w:sz w:val="20"/>
                <w:szCs w:val="20"/>
                <w:color w:val="auto"/>
              </w:rPr>
            </w:pPr>
            <w:r>
              <w:rPr>
                <w:rFonts w:ascii="Arial" w:cs="Arial" w:eastAsia="Arial" w:hAnsi="Arial"/>
                <w:sz w:val="14"/>
                <w:szCs w:val="14"/>
                <w:color w:val="auto"/>
              </w:rPr>
              <w:t>Dividends (including dividend equivalents):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Common Stock, $0.901 per share</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(129,551)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(129,551)</w:t>
            </w:r>
          </w:p>
        </w:tc>
        <w:tc>
          <w:tcPr>
            <w:tcW w:w="0" w:type="dxa"/>
            <w:vAlign w:val="bottom"/>
          </w:tcPr>
          <w:p>
            <w:pPr>
              <w:spacing w:after="0"/>
              <w:rPr>
                <w:sz w:val="1"/>
                <w:szCs w:val="1"/>
                <w:color w:val="auto"/>
              </w:rPr>
            </w:pPr>
          </w:p>
        </w:tc>
      </w:tr>
      <w:tr>
        <w:trPr>
          <w:trHeight w:val="186"/>
        </w:trPr>
        <w:tc>
          <w:tcPr>
            <w:tcW w:w="3520" w:type="dxa"/>
            <w:vAlign w:val="bottom"/>
          </w:tcPr>
          <w:p>
            <w:pPr>
              <w:ind w:left="240"/>
              <w:spacing w:after="0"/>
              <w:rPr>
                <w:sz w:val="20"/>
                <w:szCs w:val="20"/>
                <w:color w:val="auto"/>
              </w:rPr>
            </w:pPr>
            <w:r>
              <w:rPr>
                <w:rFonts w:ascii="Arial" w:cs="Arial" w:eastAsia="Arial" w:hAnsi="Arial"/>
                <w:sz w:val="14"/>
                <w:szCs w:val="14"/>
                <w:color w:val="auto"/>
              </w:rPr>
              <w:t>Class B Common Stock, $0.819 per share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(48,823)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(48,823)</w:t>
            </w:r>
          </w:p>
        </w:tc>
        <w:tc>
          <w:tcPr>
            <w:tcW w:w="0" w:type="dxa"/>
            <w:vAlign w:val="bottom"/>
          </w:tcPr>
          <w:p>
            <w:pPr>
              <w:spacing w:after="0"/>
              <w:rPr>
                <w:sz w:val="1"/>
                <w:szCs w:val="1"/>
                <w:color w:val="auto"/>
              </w:rPr>
            </w:pPr>
          </w:p>
        </w:tc>
      </w:tr>
      <w:tr>
        <w:trPr>
          <w:trHeight w:val="147"/>
        </w:trPr>
        <w:tc>
          <w:tcPr>
            <w:tcW w:w="3520" w:type="dxa"/>
            <w:vAlign w:val="bottom"/>
            <w:shd w:val="clear" w:color="auto" w:fill="CCEEFF"/>
          </w:tcPr>
          <w:p>
            <w:pPr>
              <w:ind w:left="40"/>
              <w:spacing w:after="0" w:line="147" w:lineRule="exact"/>
              <w:rPr>
                <w:sz w:val="20"/>
                <w:szCs w:val="20"/>
                <w:color w:val="auto"/>
              </w:rPr>
            </w:pPr>
            <w:r>
              <w:rPr>
                <w:rFonts w:ascii="Arial" w:cs="Arial" w:eastAsia="Arial" w:hAnsi="Arial"/>
                <w:sz w:val="14"/>
                <w:szCs w:val="14"/>
                <w:color w:val="auto"/>
              </w:rPr>
              <w:t>Conversion of Class B Common Stock into Common</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Stock</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1,500</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w w:val="94"/>
              </w:rPr>
              <w:t>(1,500)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520" w:type="dxa"/>
            <w:vAlign w:val="bottom"/>
          </w:tcPr>
          <w:p>
            <w:pPr>
              <w:ind w:left="40"/>
              <w:spacing w:after="0"/>
              <w:rPr>
                <w:sz w:val="20"/>
                <w:szCs w:val="20"/>
                <w:color w:val="auto"/>
              </w:rPr>
            </w:pPr>
            <w:r>
              <w:rPr>
                <w:rFonts w:ascii="Arial" w:cs="Arial" w:eastAsia="Arial" w:hAnsi="Arial"/>
                <w:sz w:val="14"/>
                <w:szCs w:val="14"/>
                <w:color w:val="auto"/>
              </w:rPr>
              <w:t>Stock-based compensation</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17,146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17,146</w:t>
            </w:r>
          </w:p>
        </w:tc>
        <w:tc>
          <w:tcPr>
            <w:tcW w:w="0" w:type="dxa"/>
            <w:vAlign w:val="bottom"/>
          </w:tcPr>
          <w:p>
            <w:pPr>
              <w:spacing w:after="0"/>
              <w:rPr>
                <w:sz w:val="1"/>
                <w:szCs w:val="1"/>
                <w:color w:val="auto"/>
              </w:rPr>
            </w:pPr>
          </w:p>
        </w:tc>
      </w:tr>
      <w:tr>
        <w:trPr>
          <w:trHeight w:val="186"/>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95"/>
              </w:rPr>
              <w:t>Exercise of stock options and incentive-based transactions</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(2,295)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2,451</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86"/>
        </w:trPr>
        <w:tc>
          <w:tcPr>
            <w:tcW w:w="35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Repurchase of common stock</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(151,921)</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(151,921)</w:t>
            </w:r>
          </w:p>
        </w:tc>
        <w:tc>
          <w:tcPr>
            <w:tcW w:w="0" w:type="dxa"/>
            <w:vAlign w:val="bottom"/>
          </w:tcPr>
          <w:p>
            <w:pPr>
              <w:spacing w:after="0"/>
              <w:rPr>
                <w:sz w:val="1"/>
                <w:szCs w:val="1"/>
                <w:color w:val="auto"/>
              </w:rPr>
            </w:pPr>
          </w:p>
        </w:tc>
      </w:tr>
      <w:tr>
        <w:trPr>
          <w:trHeight w:val="224"/>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July 3, 2022</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163,439</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4"/>
                <w:szCs w:val="14"/>
                <w:color w:val="auto"/>
              </w:rPr>
              <w:t>58,114</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1,258,091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3,208,598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(1,528,121)</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(268,381)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2,891,740</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283210</wp:posOffset>
            </wp:positionV>
            <wp:extent cx="19685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1480"/>
        <w:spacing w:after="0"/>
        <w:tabs>
          <w:tab w:leader="none" w:pos="386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Q2 2023 Form 10-Q |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THE HERSHEY COMPANY</w:t>
      </w:r>
    </w:p>
    <w:p>
      <w:pPr>
        <w:jc w:val="center"/>
        <w:ind w:right="-119"/>
        <w:spacing w:after="0" w:line="219" w:lineRule="auto"/>
        <w:rPr>
          <w:sz w:val="20"/>
          <w:szCs w:val="20"/>
          <w:color w:val="auto"/>
        </w:rPr>
      </w:pPr>
      <w:r>
        <w:rPr>
          <w:rFonts w:ascii="Arial" w:cs="Arial" w:eastAsia="Arial" w:hAnsi="Arial"/>
          <w:sz w:val="18"/>
          <w:szCs w:val="18"/>
          <w:b w:val="1"/>
          <w:bCs w:val="1"/>
          <w:color w:val="auto"/>
        </w:rPr>
        <w:t>CONSOLIDATED STATEMENTS OF STOCKHOLDERS’ EQUITY</w:t>
      </w:r>
    </w:p>
    <w:p>
      <w:pPr>
        <w:jc w:val="center"/>
        <w:ind w:right="-119"/>
        <w:spacing w:after="0" w:line="203" w:lineRule="auto"/>
        <w:rPr>
          <w:sz w:val="20"/>
          <w:szCs w:val="20"/>
          <w:color w:val="auto"/>
        </w:rPr>
      </w:pPr>
      <w:r>
        <w:rPr>
          <w:rFonts w:ascii="Arial" w:cs="Arial" w:eastAsia="Arial" w:hAnsi="Arial"/>
          <w:sz w:val="18"/>
          <w:szCs w:val="18"/>
          <w:b w:val="1"/>
          <w:bCs w:val="1"/>
          <w:color w:val="auto"/>
        </w:rPr>
        <w:t>For the Six Months Ended July 2, 2023 and July 3, 2022</w:t>
      </w:r>
    </w:p>
    <w:p>
      <w:pPr>
        <w:ind w:left="5140"/>
        <w:spacing w:after="0" w:line="204" w:lineRule="auto"/>
        <w:rPr>
          <w:sz w:val="20"/>
          <w:szCs w:val="20"/>
          <w:color w:val="auto"/>
        </w:rPr>
      </w:pPr>
      <w:r>
        <w:rPr>
          <w:rFonts w:ascii="Arial" w:cs="Arial" w:eastAsia="Arial" w:hAnsi="Arial"/>
          <w:sz w:val="18"/>
          <w:szCs w:val="18"/>
          <w:b w:val="1"/>
          <w:bCs w:val="1"/>
          <w:color w:val="auto"/>
        </w:rPr>
        <w:t>(in thousands)</w:t>
      </w:r>
    </w:p>
    <w:p>
      <w:pPr>
        <w:ind w:left="5180"/>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Class B</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Treasury</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Preferred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Common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8"/>
              </w:rPr>
              <w:t>Retained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w w:val="96"/>
              </w:rPr>
              <w:t>Other</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Common</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Paid-in</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8"/>
              </w:rPr>
              <w:t>Capital</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6"/>
              </w:rPr>
              <w:t>Earnings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(Loss) Income</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2"/>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163,439</w:t>
            </w:r>
          </w:p>
        </w:tc>
        <w:tc>
          <w:tcPr>
            <w:tcW w:w="40" w:type="dxa"/>
            <w:vAlign w:val="bottom"/>
            <w:shd w:val="clear" w:color="auto" w:fill="CCEEFF"/>
          </w:tcPr>
          <w:p>
            <w:pPr>
              <w:spacing w:after="0"/>
              <w:rPr>
                <w:sz w:val="17"/>
                <w:szCs w:val="17"/>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58,114</w:t>
            </w:r>
          </w:p>
        </w:tc>
        <w:tc>
          <w:tcPr>
            <w:tcW w:w="2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1,296,572</w:t>
            </w:r>
          </w:p>
        </w:tc>
        <w:tc>
          <w:tcPr>
            <w:tcW w:w="4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3,589,781</w:t>
            </w:r>
          </w:p>
        </w:tc>
        <w:tc>
          <w:tcPr>
            <w:tcW w:w="4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(1,556,029)</w:t>
            </w:r>
          </w:p>
        </w:tc>
        <w:tc>
          <w:tcPr>
            <w:tcW w:w="160" w:type="dxa"/>
            <w:vAlign w:val="bottom"/>
            <w:gridSpan w:val="3"/>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(252,333)</w:t>
            </w:r>
          </w:p>
        </w:tc>
        <w:tc>
          <w:tcPr>
            <w:tcW w:w="24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3,299,544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2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994,168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994,168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31,292</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31,292</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520" w:type="dxa"/>
            <w:vAlign w:val="bottom"/>
            <w:gridSpan w:val="2"/>
          </w:tcPr>
          <w:p>
            <w:pPr>
              <w:ind w:left="20"/>
              <w:spacing w:after="0"/>
              <w:rPr>
                <w:sz w:val="20"/>
                <w:szCs w:val="20"/>
                <w:color w:val="auto"/>
              </w:rPr>
            </w:pPr>
            <w:r>
              <w:rPr>
                <w:rFonts w:ascii="Arial" w:cs="Arial" w:eastAsia="Arial" w:hAnsi="Arial"/>
                <w:sz w:val="14"/>
                <w:szCs w:val="14"/>
                <w:color w:val="auto"/>
              </w:rPr>
              <w:t>Dividends (including dividend equivalents):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Borders>
              <w:bottom w:val="single" w:sz="8" w:color="CCEEFF"/>
            </w:tcBorders>
            <w:shd w:val="clear" w:color="auto" w:fill="CCEEFF"/>
          </w:tcPr>
          <w:p>
            <w:pPr>
              <w:spacing w:after="0"/>
              <w:rPr>
                <w:sz w:val="15"/>
                <w:szCs w:val="15"/>
                <w:color w:val="auto"/>
              </w:rPr>
            </w:pPr>
          </w:p>
        </w:tc>
        <w:tc>
          <w:tcPr>
            <w:tcW w:w="3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Common Stock, $2.072 per share</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(305,337)</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(305,337)</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480" w:type="dxa"/>
            <w:vAlign w:val="bottom"/>
          </w:tcPr>
          <w:p>
            <w:pPr>
              <w:ind w:left="180"/>
              <w:spacing w:after="0"/>
              <w:rPr>
                <w:sz w:val="20"/>
                <w:szCs w:val="20"/>
                <w:color w:val="auto"/>
              </w:rPr>
            </w:pPr>
            <w:r>
              <w:rPr>
                <w:rFonts w:ascii="Arial" w:cs="Arial" w:eastAsia="Arial" w:hAnsi="Arial"/>
                <w:sz w:val="14"/>
                <w:szCs w:val="14"/>
                <w:color w:val="auto"/>
              </w:rPr>
              <w:t>Class B Common Stock, $1.884 per share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(107,602)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(107,602)</w:t>
            </w:r>
          </w:p>
        </w:tc>
        <w:tc>
          <w:tcPr>
            <w:tcW w:w="0" w:type="dxa"/>
            <w:vAlign w:val="bottom"/>
          </w:tcPr>
          <w:p>
            <w:pPr>
              <w:spacing w:after="0"/>
              <w:rPr>
                <w:sz w:val="1"/>
                <w:szCs w:val="1"/>
                <w:color w:val="auto"/>
              </w:rPr>
            </w:pPr>
          </w:p>
        </w:tc>
      </w:tr>
      <w:tr>
        <w:trPr>
          <w:trHeight w:val="147"/>
        </w:trPr>
        <w:tc>
          <w:tcPr>
            <w:tcW w:w="3520" w:type="dxa"/>
            <w:vAlign w:val="bottom"/>
            <w:gridSpan w:val="2"/>
            <w:shd w:val="clear" w:color="auto" w:fill="CCEEFF"/>
          </w:tcPr>
          <w:p>
            <w:pPr>
              <w:ind w:left="20"/>
              <w:spacing w:after="0" w:line="147" w:lineRule="exact"/>
              <w:rPr>
                <w:sz w:val="20"/>
                <w:szCs w:val="20"/>
                <w:color w:val="auto"/>
              </w:rPr>
            </w:pPr>
            <w:r>
              <w:rPr>
                <w:rFonts w:ascii="Arial" w:cs="Arial" w:eastAsia="Arial" w:hAnsi="Arial"/>
                <w:sz w:val="14"/>
                <w:szCs w:val="14"/>
                <w:color w:val="auto"/>
              </w:rPr>
              <w:t>Conversion of Class B Common Stock into Common</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Stock</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3,500</w:t>
            </w: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(3,500)</w:t>
            </w: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520" w:type="dxa"/>
            <w:vAlign w:val="bottom"/>
            <w:gridSpan w:val="2"/>
          </w:tcPr>
          <w:p>
            <w:pPr>
              <w:ind w:left="20"/>
              <w:spacing w:after="0"/>
              <w:rPr>
                <w:sz w:val="20"/>
                <w:szCs w:val="20"/>
                <w:color w:val="auto"/>
              </w:rPr>
            </w:pPr>
            <w:r>
              <w:rPr>
                <w:rFonts w:ascii="Arial" w:cs="Arial" w:eastAsia="Arial" w:hAnsi="Arial"/>
                <w:sz w:val="14"/>
                <w:szCs w:val="14"/>
                <w:color w:val="auto"/>
              </w:rPr>
              <w:t>Stock-based compensation</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35,760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35,760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w w:val="95"/>
              </w:rPr>
              <w:t>Exercise of stock options and incentive-based transactions</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(31,085)</w:t>
            </w: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20,153</w:t>
            </w: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(10,932)</w:t>
            </w:r>
          </w:p>
        </w:tc>
        <w:tc>
          <w:tcPr>
            <w:tcW w:w="0" w:type="dxa"/>
            <w:vAlign w:val="bottom"/>
          </w:tcPr>
          <w:p>
            <w:pPr>
              <w:spacing w:after="0"/>
              <w:rPr>
                <w:sz w:val="1"/>
                <w:szCs w:val="1"/>
                <w:color w:val="auto"/>
              </w:rPr>
            </w:pPr>
          </w:p>
        </w:tc>
      </w:tr>
      <w:tr>
        <w:trPr>
          <w:trHeight w:val="186"/>
        </w:trPr>
        <w:tc>
          <w:tcPr>
            <w:tcW w:w="35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Repurchase of common stock (including excise tax)</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(242,108)</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(242,108)</w:t>
            </w:r>
          </w:p>
        </w:tc>
        <w:tc>
          <w:tcPr>
            <w:tcW w:w="0" w:type="dxa"/>
            <w:vAlign w:val="bottom"/>
          </w:tcPr>
          <w:p>
            <w:pPr>
              <w:spacing w:after="0"/>
              <w:rPr>
                <w:sz w:val="1"/>
                <w:szCs w:val="1"/>
                <w:color w:val="auto"/>
              </w:rPr>
            </w:pPr>
          </w:p>
        </w:tc>
      </w:tr>
      <w:tr>
        <w:trPr>
          <w:trHeight w:val="224"/>
        </w:trPr>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July 2, 2023</w:t>
            </w: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166,939</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54,614</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1,301,247</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4,171,010</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(1,777,984)</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(221,041)</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3,694,785</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Class B</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6"/>
              </w:rPr>
              <w:t>Additional</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Treasury</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3"/>
          </w:tcPr>
          <w:p>
            <w:pPr>
              <w:ind w:left="6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Preferred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Common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1"/>
              </w:rPr>
              <w:t>Retained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5"/>
              </w:rPr>
              <w:t>Common</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8"/>
              </w:rPr>
              <w:t>Paid-in</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2"/>
              </w:rPr>
              <w:t>Common</w:t>
            </w:r>
          </w:p>
        </w:tc>
        <w:tc>
          <w:tcPr>
            <w:tcW w:w="40" w:type="dxa"/>
            <w:vAlign w:val="bottom"/>
          </w:tcPr>
          <w:p>
            <w:pPr>
              <w:spacing w:after="0"/>
              <w:rPr>
                <w:sz w:val="12"/>
                <w:szCs w:val="12"/>
                <w:color w:val="auto"/>
              </w:rPr>
            </w:pPr>
          </w:p>
        </w:tc>
        <w:tc>
          <w:tcPr>
            <w:tcW w:w="1040" w:type="dxa"/>
            <w:vAlign w:val="bottom"/>
            <w:gridSpan w:val="4"/>
          </w:tcPr>
          <w:p>
            <w:pPr>
              <w:ind w:left="20"/>
              <w:spacing w:after="0" w:line="145" w:lineRule="exact"/>
              <w:rPr>
                <w:sz w:val="20"/>
                <w:szCs w:val="20"/>
                <w:color w:val="auto"/>
              </w:rPr>
            </w:pPr>
            <w:r>
              <w:rPr>
                <w:rFonts w:ascii="Arial" w:cs="Arial" w:eastAsia="Arial" w:hAnsi="Arial"/>
                <w:sz w:val="14"/>
                <w:szCs w:val="14"/>
                <w:b w:val="1"/>
                <w:bCs w:val="1"/>
                <w:color w:val="auto"/>
                <w:w w:val="95"/>
              </w:rPr>
              <w:t>Comprehensive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ind w:left="20"/>
              <w:spacing w:after="0" w:line="145" w:lineRule="exact"/>
              <w:rPr>
                <w:sz w:val="20"/>
                <w:szCs w:val="20"/>
                <w:color w:val="auto"/>
              </w:rPr>
            </w:pPr>
            <w:r>
              <w:rPr>
                <w:rFonts w:ascii="Arial" w:cs="Arial" w:eastAsia="Arial" w:hAnsi="Arial"/>
                <w:sz w:val="14"/>
                <w:szCs w:val="14"/>
                <w:b w:val="1"/>
                <w:bCs w:val="1"/>
                <w:color w:val="auto"/>
                <w:w w:val="97"/>
              </w:rPr>
              <w:t>Stockholders’</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Stock</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Capital</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Earnings</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Stock</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(Loss) Income</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2021</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160,939</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60,614</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1,260,331</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2,719,936</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7"/>
              </w:rPr>
              <w:t>(1,195,376)</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(249,215)</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2,757,229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4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849,034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849,034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(19,166)</w:t>
            </w: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(19,166)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480" w:type="dxa"/>
            <w:vAlign w:val="bottom"/>
          </w:tcPr>
          <w:p>
            <w:pPr>
              <w:ind w:left="20"/>
              <w:spacing w:after="0"/>
              <w:rPr>
                <w:sz w:val="20"/>
                <w:szCs w:val="20"/>
                <w:color w:val="auto"/>
              </w:rPr>
            </w:pPr>
            <w:r>
              <w:rPr>
                <w:rFonts w:ascii="Arial" w:cs="Arial" w:eastAsia="Arial" w:hAnsi="Arial"/>
                <w:sz w:val="14"/>
                <w:szCs w:val="14"/>
                <w:color w:val="auto"/>
              </w:rPr>
              <w:t>Dividends (including dividend equivalents):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3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Common Stock, $1.802 per share</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(262,725)</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(262,725)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480" w:type="dxa"/>
            <w:vAlign w:val="bottom"/>
          </w:tcPr>
          <w:p>
            <w:pPr>
              <w:ind w:left="220"/>
              <w:spacing w:after="0"/>
              <w:rPr>
                <w:sz w:val="20"/>
                <w:szCs w:val="20"/>
                <w:color w:val="auto"/>
              </w:rPr>
            </w:pPr>
            <w:r>
              <w:rPr>
                <w:rFonts w:ascii="Arial" w:cs="Arial" w:eastAsia="Arial" w:hAnsi="Arial"/>
                <w:sz w:val="14"/>
                <w:szCs w:val="14"/>
                <w:color w:val="auto"/>
              </w:rPr>
              <w:t>Class B Common Stock, $1.638 per share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(97,647)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(97,647)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 w:type="dxa"/>
            <w:vAlign w:val="bottom"/>
          </w:tcPr>
          <w:p>
            <w:pPr>
              <w:spacing w:after="0"/>
              <w:rPr>
                <w:sz w:val="12"/>
                <w:szCs w:val="12"/>
                <w:color w:val="auto"/>
              </w:rPr>
            </w:pPr>
          </w:p>
        </w:tc>
        <w:tc>
          <w:tcPr>
            <w:tcW w:w="348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Conversion of Class B Common Stock into Common</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48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32,460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32,460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Exercise of stock options and incentive-based transactions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(34,700)</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22,526</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(12,174)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480" w:type="dxa"/>
            <w:vAlign w:val="bottom"/>
          </w:tcPr>
          <w:p>
            <w:pPr>
              <w:ind w:left="20"/>
              <w:spacing w:after="0"/>
              <w:rPr>
                <w:sz w:val="20"/>
                <w:szCs w:val="20"/>
                <w:color w:val="auto"/>
              </w:rPr>
            </w:pPr>
            <w:r>
              <w:rPr>
                <w:rFonts w:ascii="Arial" w:cs="Arial" w:eastAsia="Arial" w:hAnsi="Arial"/>
                <w:sz w:val="14"/>
                <w:szCs w:val="14"/>
                <w:color w:val="auto"/>
              </w:rPr>
              <w:t>Repurchase of common stock</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(355,271)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(355,271)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7"/>
                <w:szCs w:val="17"/>
                <w:color w:val="auto"/>
              </w:rPr>
            </w:pPr>
          </w:p>
        </w:tc>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July 3, 2022</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163,439</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58,114</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1,258,091</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3,208,598</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(1,528,121)</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(268,381)</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2,891,740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591820</wp:posOffset>
            </wp:positionV>
            <wp:extent cx="19685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480"/>
        <w:spacing w:after="0"/>
        <w:tabs>
          <w:tab w:leader="none" w:pos="386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Q2 2023 Form 10-Q |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unaudited consolidated financial statements provided in this report include the accounts of The Hershey Company (the “Company,” “Hershey,” “we” or “us”) and our majority-owned subsidiaries and entities in which we have a controlling financial interest after the elimination of intercompany accounts and transactions. We have a controlling financial interest if we own a majority of the outstanding voting common stock and minority shareholders do not have substantive participating rights, we have significant control through contractual or economic interests in which we are the primary beneficiary or we have the power to direct the activities that most significantly impact the entity’s economic performance. We use the equity method of accounting when we have a 20% to 50% interest in other companies and exercise significant influence. Other investments that are not controlled, and over which we do not have the ability to exercise significant influence, are accounted for under the cost method. Both equity and cost method investments are included as Other non-current assets in the Consolidated Balance Sheets.</w:t>
      </w:r>
    </w:p>
    <w:p>
      <w:pPr>
        <w:spacing w:after="0" w:line="124"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financial statements have been prepared in accordance with accounting principles generally accepted in the United States of America (“GAAP”) for interim financial reporting and with the rules and regulations for reporting on Form 10-Q. Accordingly, they do not contain certain information and disclosures required by GAAP for comprehensive financial statements. The financial statements reflect all adjustments (consisting of normal recurring adjustments) which are, in our opinion, necessary for a fair presentation of the results of operations, financial position, and cash flows for the indicated periods.</w:t>
      </w:r>
    </w:p>
    <w:p>
      <w:pPr>
        <w:spacing w:after="0" w:line="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Operating results for the quarter ended July 2, 2023 may not be indicative of the results that may be expected for the year ending December 31, 2023 because of seasonal effects on our business. These financial statements should be read in conjunction with our Annual Report on Form 10-K for the year ended December 31, 2022 (our “2022 Annual Report on Form 10-K”), which provides a more complete understanding of our accounting policies, financial position, operating results and other matters.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September 2022, the FASB issued ASU No. 2022-04, </w:t>
      </w:r>
      <w:r>
        <w:rPr>
          <w:rFonts w:ascii="Arial" w:cs="Arial" w:eastAsia="Arial" w:hAnsi="Arial"/>
          <w:sz w:val="18"/>
          <w:szCs w:val="18"/>
          <w:i w:val="1"/>
          <w:iCs w:val="1"/>
          <w:color w:val="auto"/>
        </w:rPr>
        <w:t>Liabilities—Supplier Finance Programs (Subtopic 405-50):</w:t>
      </w:r>
    </w:p>
    <w:p>
      <w:pPr>
        <w:spacing w:after="0" w:line="2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i w:val="1"/>
          <w:iCs w:val="1"/>
          <w:color w:val="auto"/>
        </w:rPr>
        <w:t>Disclosure of Supplier Finance Program Obligations</w:t>
      </w:r>
      <w:r>
        <w:rPr>
          <w:rFonts w:ascii="Arial" w:cs="Arial" w:eastAsia="Arial" w:hAnsi="Arial"/>
          <w:sz w:val="17"/>
          <w:szCs w:val="17"/>
          <w:color w:val="auto"/>
        </w:rPr>
        <w:t>. This ASU requires a buyer in a supplier finance program to disclose qualitative and quantitative</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about the program including the program’s nature, activity during the period, changes from period to period and potential magnitude. ASU 2022-04 is effective for annual periods beginning after December 15, 2022 and interim periods within those annual periods. A rollforward of obligations during the annual period, including the amount of obligations confirmed and obligations subsequently paid, is effective for annual periods beginning after December 15, 2023 with early adoption permitted. This ASU should be applied retrospectively to each period in which a balance sheet is presented, except for the amendment on rollforward information, which should be applied prospectively. We early adopted provisions of this ASU in the fourth quarter of 2022, with the exception of the amendment on rollforward information, which will be adopted in the fourth quarter of 2023. As a result of the adoption of this new standard, we made the required disclosures in the consolidated financial statements.</w:t>
      </w:r>
    </w:p>
    <w:p>
      <w:pPr>
        <w:spacing w:after="0" w:line="12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 xml:space="preserve">In October 2021, the FASB issued ASU No. 2021-08, </w:t>
      </w:r>
      <w:r>
        <w:rPr>
          <w:rFonts w:ascii="Arial" w:cs="Arial" w:eastAsia="Arial" w:hAnsi="Arial"/>
          <w:sz w:val="16"/>
          <w:szCs w:val="16"/>
          <w:i w:val="1"/>
          <w:iCs w:val="1"/>
          <w:color w:val="auto"/>
        </w:rPr>
        <w:t>Business Combinations (Topic 805): Accounting for Contract Assets and Contract Liabilities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with Customers. </w:t>
      </w:r>
      <w:r>
        <w:rPr>
          <w:rFonts w:ascii="Arial" w:cs="Arial" w:eastAsia="Arial" w:hAnsi="Arial"/>
          <w:sz w:val="16"/>
          <w:szCs w:val="16"/>
          <w:color w:val="auto"/>
        </w:rPr>
        <w:t>This ASU requires an acquirer to recognize and measure contract assets and contract liabilities acquired in a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combination in accordance with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rather than adjust them to fair value at the acquisition date. ASU 2021-08 is effective for annual periods beginning after December 15, 2022 and interim periods within those annual periods. This ASU should be applied prospectively to business combinations occurring on or after the date of adoption. As a result, we adopted the provisions of this ASU in the first quarter of 2023. This new standard was not applicable to the May 2023 acquisition (as discussed in </w:t>
      </w:r>
      <w:r>
        <w:rPr>
          <w:rFonts w:ascii="Arial" w:cs="Arial" w:eastAsia="Arial" w:hAnsi="Arial"/>
          <w:sz w:val="16"/>
          <w:szCs w:val="16"/>
          <w:u w:val="single" w:color="auto"/>
          <w:color w:val="0000FF"/>
        </w:rPr>
        <w:t>Note 2</w:t>
      </w:r>
      <w:r>
        <w:rPr>
          <w:rFonts w:ascii="Arial" w:cs="Arial" w:eastAsia="Arial" w:hAnsi="Arial"/>
          <w:sz w:val="16"/>
          <w:szCs w:val="16"/>
          <w:color w:val="auto"/>
        </w:rPr>
        <w:t>); however, will be applied in relevant future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508000</wp:posOffset>
            </wp:positionV>
            <wp:extent cx="19685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tabs>
          <w:tab w:leader="none" w:pos="386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Q2 2023 Form 10-Q |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March 2023, the FASB issued ASU No. 2023-02, </w:t>
      </w:r>
      <w:r>
        <w:rPr>
          <w:rFonts w:ascii="Arial" w:cs="Arial" w:eastAsia="Arial" w:hAnsi="Arial"/>
          <w:sz w:val="17"/>
          <w:szCs w:val="17"/>
          <w:i w:val="1"/>
          <w:iCs w:val="1"/>
          <w:color w:val="auto"/>
        </w:rPr>
        <w:t>Investments - Equity Method and Joint Ventures (Topic 323): Accounting for Investments in tax credit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structures using the proportional amortization method. </w:t>
      </w:r>
      <w:r>
        <w:rPr>
          <w:rFonts w:ascii="Arial" w:cs="Arial" w:eastAsia="Arial" w:hAnsi="Arial"/>
          <w:sz w:val="17"/>
          <w:szCs w:val="17"/>
          <w:color w:val="auto"/>
        </w:rPr>
        <w:t>This ASU allows entities to elect the proportional amortization method for all tax equity</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regardless of how the tax credits are received as long as certain criteria are met. This ASU may be applied in a modified retrospective or retrospective basis and an entity must evaluate the investments in which it still expects to receive tax credits or other income tax benefits as of the beginning of the earliest period presented. ASU 2023-02 is effective for annual periods beginning after December 15, 2023 and interim periods within those annual periods. We are currently evaluating the impact of the new standard on our consolidated financial statements and related disclosures.</w:t>
      </w:r>
    </w:p>
    <w:p>
      <w:pPr>
        <w:spacing w:after="0" w:line="12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No other new accounting pronouncement issued or effective during the fiscal year had or is expected to have a material impact on our consolidated financial statements or disclosures.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ACQUISITIONS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Manufacturing Capacity</w:t>
      </w:r>
    </w:p>
    <w:p>
      <w:pPr>
        <w:spacing w:after="0" w:line="15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 xml:space="preserve">On May 31, 2023, we completed the acquisition of certain assets that provide additional manufacturing capacity from Weaver Popcorn Manufacturing, Inc. (“Weaver”), a leader in the production and co-packing of microwave popcorn and ready-to-eat popcorn, and former co-manufacturer of the Company’s </w:t>
      </w:r>
      <w:r>
        <w:rPr>
          <w:rFonts w:ascii="Arial" w:cs="Arial" w:eastAsia="Arial" w:hAnsi="Arial"/>
          <w:sz w:val="18"/>
          <w:szCs w:val="18"/>
          <w:i w:val="1"/>
          <w:iCs w:val="1"/>
          <w:color w:val="auto"/>
        </w:rPr>
        <w:t xml:space="preserve">SkinnyPop </w:t>
      </w:r>
      <w:r>
        <w:rPr>
          <w:rFonts w:ascii="Arial" w:cs="Arial" w:eastAsia="Arial" w:hAnsi="Arial"/>
          <w:sz w:val="18"/>
          <w:szCs w:val="18"/>
          <w:color w:val="auto"/>
        </w:rPr>
        <w:t>brand. The initial cash consideration paid for Weaver totaled $165,818 and consisted of cash on hand and short-term borrowings. Acquisition-related costs for the Weaver acquisition were immaterial.</w:t>
      </w:r>
    </w:p>
    <w:p>
      <w:pPr>
        <w:spacing w:after="0" w:line="137"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acquisition has been accounted for as a business combination and, accordingly, Weaver has been included within the North America Salty Snacks segment from the date of acquisition. The preliminary purchase consideration was allocated to assets acquired and liabilities assumed based on their respective fair values and consisted of $85,231 to goodwill, $79,136 to property, plant and equipment, net and $1,451 to other net assets acquired. We are in the process of evaluating additional information necessary to finalize the valuation of assets acquired and liabilities assumed as of the acquisition date including, but not limited to, post-closing adjustments. The final fair value determination is not expected to result in material adjustments to our preliminary purchase price allocation, including goodwill. We expect to finalize the purchase price allocation by the end of 2023.</w:t>
      </w:r>
    </w:p>
    <w:p>
      <w:pPr>
        <w:spacing w:after="0" w:line="121"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Goodwill was determined as the excess of the purchase price over the fair value of the net assets acquired. The goodwill derived from this acquisition is deductible for tax purposes and reflects the value of leveraging our supply chain capabilities to accelerate growth and access to our portfolio of salty snacks products.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Pretzels Inc.</w:t>
      </w:r>
    </w:p>
    <w:p>
      <w:pPr>
        <w:spacing w:after="0" w:line="17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On December 14, 2021, we completed the acquisition of Pretzels Inc. (“Pretzels”), previously a privately held company that manufactures and sells pretzels and other salty snacks for other branded products and private labels in the United States. Pretzels is an industry leader in the pretzel category with a product portfolio that includes filled, gluten free and seasoned pretzels, as well as extruded snacks that complements Hershey’s snacks portfolio. Based in Bluffton, Indiana, Pretzels operates three manufacturing locations in Indiana and Kansas. Pretzels provides Hershey deep pretzel category and product expertise and the manufacturing capabilities to support brand growth and future pretzel innovation. The cash consideration paid for Pretzels totaled $304,334 and consisted of cash on hand and short-term borrowings. Acquisition-related costs for the Pretzels acquisition were immaterial.</w:t>
      </w:r>
    </w:p>
    <w:p>
      <w:pPr>
        <w:spacing w:after="0" w:line="110"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The acquisition has been accounted for as a business combination and, accordingly, Pretzels has been included within the North America Salty Snacks segment from the date of acquisition. The purchase consideration was allocated to assets acquired and liabilities assumed based on their respective fair values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262890</wp:posOffset>
            </wp:positionV>
            <wp:extent cx="19685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
        <w:spacing w:after="0"/>
        <w:tabs>
          <w:tab w:leader="none" w:pos="386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Q2 2023 Form 10-Q |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166,191</w:t>
            </w:r>
          </w:p>
        </w:tc>
      </w:tr>
      <w:tr>
        <w:trPr>
          <w:trHeight w:val="229"/>
        </w:trPr>
        <w:tc>
          <w:tcPr>
            <w:tcW w:w="930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6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26,100</w:t>
            </w:r>
          </w:p>
        </w:tc>
      </w:tr>
      <w:tr>
        <w:trPr>
          <w:trHeight w:val="243"/>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 acquired</w:t>
            </w:r>
          </w:p>
        </w:tc>
        <w:tc>
          <w:tcPr>
            <w:tcW w:w="6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30,835</w:t>
            </w:r>
          </w:p>
        </w:tc>
      </w:tr>
      <w:tr>
        <w:trPr>
          <w:trHeight w:val="229"/>
        </w:trPr>
        <w:tc>
          <w:tcPr>
            <w:tcW w:w="930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6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100,716</w:t>
            </w:r>
          </w:p>
        </w:tc>
      </w:tr>
      <w:tr>
        <w:trPr>
          <w:trHeight w:val="230"/>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 primarily operating lease ROU assets</w:t>
            </w:r>
          </w:p>
        </w:tc>
        <w:tc>
          <w:tcPr>
            <w:tcW w:w="6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111,787</w:t>
            </w:r>
          </w:p>
        </w:tc>
      </w:tr>
      <w:tr>
        <w:trPr>
          <w:trHeight w:val="237"/>
        </w:trPr>
        <w:tc>
          <w:tcPr>
            <w:tcW w:w="93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6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773</w:t>
            </w:r>
          </w:p>
        </w:tc>
      </w:tr>
      <w:tr>
        <w:trPr>
          <w:trHeight w:val="236"/>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 acquired</w:t>
            </w:r>
          </w:p>
        </w:tc>
        <w:tc>
          <w:tcPr>
            <w:tcW w:w="6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(22,713)</w:t>
            </w:r>
          </w:p>
        </w:tc>
      </w:tr>
      <w:tr>
        <w:trPr>
          <w:trHeight w:val="229"/>
        </w:trPr>
        <w:tc>
          <w:tcPr>
            <w:tcW w:w="9300" w:type="dxa"/>
            <w:vAlign w:val="bottom"/>
          </w:tcPr>
          <w:p>
            <w:pPr>
              <w:ind w:left="20"/>
              <w:spacing w:after="0"/>
              <w:rPr>
                <w:sz w:val="20"/>
                <w:szCs w:val="20"/>
                <w:color w:val="auto"/>
              </w:rPr>
            </w:pPr>
            <w:r>
              <w:rPr>
                <w:rFonts w:ascii="Arial" w:cs="Arial" w:eastAsia="Arial" w:hAnsi="Arial"/>
                <w:sz w:val="18"/>
                <w:szCs w:val="18"/>
                <w:color w:val="auto"/>
              </w:rPr>
              <w:t>Other long-term liabilities, primarily operating lease liabilities</w:t>
            </w:r>
          </w:p>
        </w:tc>
        <w:tc>
          <w:tcPr>
            <w:tcW w:w="6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(109,355)</w:t>
            </w:r>
          </w:p>
        </w:tc>
      </w:tr>
      <w:tr>
        <w:trPr>
          <w:trHeight w:val="262"/>
        </w:trPr>
        <w:tc>
          <w:tcPr>
            <w:tcW w:w="9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assets acquired</w:t>
            </w: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304,334</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purchase price allocation presented above has been finalized as of the third quarter of 2022. The measurement period adjustments to the initial allocation were immaterial and based on more detailed information obtained about the specific assets acquired and liabilities assumed, specifically, post-closing adjustments to the working capital acquired including certain holdbacks.</w:t>
      </w:r>
    </w:p>
    <w:p>
      <w:pPr>
        <w:spacing w:after="0" w:line="130"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Goodwill was determined as the excess of the purchase price over the fair value of the net assets acquired (including the identifiable intangible assets). A portion of goodwill derived from this acquisition is deductible for tax purposes and reflects the value of leveraging our brand building expertise, supply chain capabilities and retail relationships to accelerate growth and access to the portfolio of Pretzels’ products.</w:t>
      </w:r>
    </w:p>
    <w:p>
      <w:pPr>
        <w:spacing w:after="0" w:line="1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Other intangible assets include trademarks valued at $5,700 and customer relationships valued at $20,400. Trademarks were assigned an estimated useful life of five years and customer relationships were assigned an estimated useful life of 19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Dot's Pretzels, LLC</w:t>
      </w:r>
    </w:p>
    <w:p>
      <w:pPr>
        <w:spacing w:after="0" w:line="171"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 xml:space="preserve">On December 13, 2021, we completed the acquisition of Dot’s Pretzels, LLC (“Dot’s”), previously a privately held company that produces and sells pretzels and other snack food products to retailers and distributors in the United States, with </w:t>
      </w:r>
      <w:r>
        <w:rPr>
          <w:rFonts w:ascii="Arial" w:cs="Arial" w:eastAsia="Arial" w:hAnsi="Arial"/>
          <w:sz w:val="16"/>
          <w:szCs w:val="16"/>
          <w:i w:val="1"/>
          <w:iCs w:val="1"/>
          <w:color w:val="auto"/>
        </w:rPr>
        <w:t>Dot’s Homestyle Pretzels</w:t>
      </w:r>
      <w:r>
        <w:rPr>
          <w:rFonts w:ascii="Arial" w:cs="Arial" w:eastAsia="Arial" w:hAnsi="Arial"/>
          <w:sz w:val="16"/>
          <w:szCs w:val="16"/>
          <w:color w:val="auto"/>
        </w:rPr>
        <w:t xml:space="preserve"> snacks as its primary product. Dot’s is the fastest-growing scale brand in the pretzel category and complements Hershey’s snacks portfolio. The cash consideration paid for Dot’s totaled $891,169 and consisted of cash on hand and short-term borrowings. Acquisition-related costs for the Dot’s acquisition were immaterial.</w:t>
      </w:r>
    </w:p>
    <w:p>
      <w:pPr>
        <w:spacing w:after="0" w:line="103"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The acquisition has been accounted for as a business combination and, accordingly, Dot’s has been included within the North America Salty Snacks segment from the date of acquisition. The purchase consideration was allocated to assets acquired and liabilities assumed based on their respective fair values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271145</wp:posOffset>
            </wp:positionV>
            <wp:extent cx="19685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Q2 2023 Form 10-Q |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284,427</w:t>
            </w:r>
          </w:p>
        </w:tc>
      </w:tr>
      <w:tr>
        <w:trPr>
          <w:trHeight w:val="229"/>
        </w:trPr>
        <w:tc>
          <w:tcPr>
            <w:tcW w:w="930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543,100</w:t>
            </w:r>
          </w:p>
        </w:tc>
      </w:tr>
      <w:tr>
        <w:trPr>
          <w:trHeight w:val="243"/>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 acquired</w:t>
            </w:r>
          </w:p>
        </w:tc>
        <w:tc>
          <w:tcPr>
            <w:tcW w:w="7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51,121</w:t>
            </w:r>
          </w:p>
        </w:tc>
      </w:tr>
      <w:tr>
        <w:trPr>
          <w:trHeight w:val="229"/>
        </w:trPr>
        <w:tc>
          <w:tcPr>
            <w:tcW w:w="930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40,266</w:t>
            </w:r>
          </w:p>
        </w:tc>
      </w:tr>
      <w:tr>
        <w:trPr>
          <w:trHeight w:val="230"/>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7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w:t>
            </w:r>
          </w:p>
        </w:tc>
      </w:tr>
      <w:tr>
        <w:trPr>
          <w:trHeight w:val="243"/>
        </w:trPr>
        <w:tc>
          <w:tcPr>
            <w:tcW w:w="9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 assumed, primarily current liabilities</w:t>
            </w:r>
          </w:p>
        </w:tc>
        <w:tc>
          <w:tcPr>
            <w:tcW w:w="7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(29,946)</w:t>
            </w:r>
          </w:p>
        </w:tc>
      </w:tr>
      <w:tr>
        <w:trPr>
          <w:trHeight w:val="248"/>
        </w:trPr>
        <w:tc>
          <w:tcPr>
            <w:tcW w:w="9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assets acquired</w:t>
            </w: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891,169</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purchase price allocation presented above has been finalized as of the third quarter of 2022. The measurement period adjustments to the initial allocation were immaterial and based on more detailed information obtained about the specific assets acquired and liabilities assumed, specifically, the refinement of certain assumptions in the value of customer relationships based on an analysis of historical customer-specific data and post-closing adjustments to the working capital acquired including certain holdbacks.</w:t>
      </w:r>
    </w:p>
    <w:p>
      <w:pPr>
        <w:spacing w:after="0" w:line="13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Goodwill was determined as the excess of the purchase price over the fair value of the net assets acquired (including the identifiable intangible assets). The goodwill derived from this acquisition is deductible for tax purposes and reflects the value of leveraging our brand building expertise, supply chain capabilities and retail relationships to accelerate growth and access to the portfolio of Dot’s products.</w:t>
      </w:r>
    </w:p>
    <w:p>
      <w:pPr>
        <w:spacing w:after="0" w:line="13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Other intangible assets include trademarks valued at $336,600 and customer relationships valued at $206,500. Trademarks were assigned an estimated useful life of 33 years and customer relationships were assigned an estimated useful life of 18 years.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reportable segment for the six months ended July 2, 2023 are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ind w:right="310"/>
              <w:spacing w:after="0"/>
              <w:rPr>
                <w:sz w:val="20"/>
                <w:szCs w:val="20"/>
                <w:color w:val="auto"/>
              </w:rPr>
            </w:pPr>
            <w:r>
              <w:rPr>
                <w:rFonts w:ascii="Arial" w:cs="Arial" w:eastAsia="Arial" w:hAnsi="Arial"/>
                <w:sz w:val="18"/>
                <w:szCs w:val="18"/>
                <w:b w:val="1"/>
                <w:bCs w:val="1"/>
                <w:color w:val="auto"/>
                <w:w w:val="98"/>
              </w:rPr>
              <w:t>North America</w:t>
            </w:r>
          </w:p>
        </w:tc>
        <w:tc>
          <w:tcPr>
            <w:tcW w:w="14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b w:val="1"/>
                <w:bCs w:val="1"/>
                <w:color w:val="auto"/>
              </w:rPr>
              <w:t>North America Salty</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International</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vMerge w:val="restart"/>
          </w:tcPr>
          <w:p>
            <w:pPr>
              <w:jc w:val="right"/>
              <w:ind w:right="6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Confectionery</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Snacks</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6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2,018,430</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571,771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16,755</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2,606,956</w:t>
            </w:r>
          </w:p>
        </w:tc>
        <w:tc>
          <w:tcPr>
            <w:tcW w:w="0" w:type="dxa"/>
            <w:vAlign w:val="bottom"/>
          </w:tcPr>
          <w:p>
            <w:pPr>
              <w:spacing w:after="0"/>
              <w:rPr>
                <w:sz w:val="1"/>
                <w:szCs w:val="1"/>
                <w:color w:val="auto"/>
              </w:rPr>
            </w:pPr>
          </w:p>
        </w:tc>
      </w:tr>
      <w:tr>
        <w:trPr>
          <w:trHeight w:val="189"/>
        </w:trPr>
        <w:tc>
          <w:tcPr>
            <w:tcW w:w="366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 xml:space="preserve">Acquired during the period (see </w:t>
            </w:r>
            <w:r>
              <w:rPr>
                <w:rFonts w:ascii="Arial" w:cs="Arial" w:eastAsia="Arial" w:hAnsi="Arial"/>
                <w:sz w:val="18"/>
                <w:szCs w:val="18"/>
                <w:color w:val="0000FF"/>
              </w:rPr>
              <w:t>Note 2</w:t>
            </w: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16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85,231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Arial" w:cs="Arial" w:eastAsia="Arial" w:hAnsi="Arial"/>
                <w:sz w:val="18"/>
                <w:szCs w:val="18"/>
                <w:color w:val="auto"/>
              </w:rPr>
              <w:t>85,231</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3,810</w:t>
            </w:r>
          </w:p>
        </w:tc>
        <w:tc>
          <w:tcPr>
            <w:tcW w:w="0" w:type="dxa"/>
            <w:vAlign w:val="bottom"/>
          </w:tcPr>
          <w:p>
            <w:pPr>
              <w:spacing w:after="0"/>
              <w:rPr>
                <w:sz w:val="1"/>
                <w:szCs w:val="1"/>
                <w:color w:val="auto"/>
              </w:rPr>
            </w:pPr>
          </w:p>
        </w:tc>
      </w:tr>
      <w:tr>
        <w:trPr>
          <w:trHeight w:val="236"/>
        </w:trPr>
        <w:tc>
          <w:tcPr>
            <w:tcW w:w="3660" w:type="dxa"/>
            <w:vAlign w:val="bottom"/>
            <w:gridSpan w:val="3"/>
          </w:tcPr>
          <w:p>
            <w:pPr>
              <w:ind w:left="20"/>
              <w:spacing w:after="0"/>
              <w:rPr>
                <w:sz w:val="20"/>
                <w:szCs w:val="20"/>
                <w:color w:val="auto"/>
              </w:rPr>
            </w:pPr>
            <w:r>
              <w:rPr>
                <w:rFonts w:ascii="Arial" w:cs="Arial" w:eastAsia="Arial" w:hAnsi="Arial"/>
                <w:sz w:val="18"/>
                <w:szCs w:val="18"/>
                <w:color w:val="auto"/>
              </w:rPr>
              <w:t>Balance at July 2, 2023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2,020,827</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657,002</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18,168</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2,695,997</w:t>
            </w:r>
          </w:p>
        </w:tc>
        <w:tc>
          <w:tcPr>
            <w:tcW w:w="0" w:type="dxa"/>
            <w:vAlign w:val="bottom"/>
          </w:tcPr>
          <w:p>
            <w:pPr>
              <w:spacing w:after="0"/>
              <w:rPr>
                <w:sz w:val="1"/>
                <w:szCs w:val="1"/>
                <w:color w:val="auto"/>
              </w:rPr>
            </w:pPr>
          </w:p>
        </w:tc>
      </w:tr>
      <w:tr>
        <w:trPr>
          <w:trHeight w:val="21"/>
        </w:trPr>
        <w:tc>
          <w:tcPr>
            <w:tcW w:w="2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488950</wp:posOffset>
            </wp:positionV>
            <wp:extent cx="19685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Q2 2023 Form 10-Q |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60" w:type="dxa"/>
            <w:vAlign w:val="bottom"/>
            <w:gridSpan w:val="9"/>
          </w:tcPr>
          <w:p>
            <w:pPr>
              <w:spacing w:after="0"/>
              <w:rPr>
                <w:sz w:val="20"/>
                <w:szCs w:val="20"/>
                <w:color w:val="auto"/>
              </w:rPr>
            </w:pPr>
            <w:r>
              <w:rPr>
                <w:rFonts w:ascii="Arial" w:cs="Arial" w:eastAsia="Arial" w:hAnsi="Arial"/>
                <w:sz w:val="18"/>
                <w:szCs w:val="18"/>
                <w:color w:val="auto"/>
                <w:w w:val="95"/>
              </w:rPr>
              <w:t>The following table provides the gross carrying amount and accumulated amortization for each major class of intangible asset: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57"/>
        </w:trPr>
        <w:tc>
          <w:tcPr>
            <w:tcW w:w="46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080" w:type="dxa"/>
            <w:vAlign w:val="bottom"/>
            <w:tcBorders>
              <w:bottom w:val="single" w:sz="8" w:color="auto"/>
            </w:tcBorders>
            <w:gridSpan w:val="4"/>
          </w:tcPr>
          <w:p>
            <w:pPr>
              <w:jc w:val="right"/>
              <w:ind w:right="1070"/>
              <w:spacing w:after="0"/>
              <w:rPr>
                <w:sz w:val="20"/>
                <w:szCs w:val="20"/>
                <w:color w:val="auto"/>
              </w:rPr>
            </w:pPr>
            <w:r>
              <w:rPr>
                <w:rFonts w:ascii="Arial" w:cs="Arial" w:eastAsia="Arial" w:hAnsi="Arial"/>
                <w:sz w:val="18"/>
                <w:szCs w:val="18"/>
                <w:b w:val="1"/>
                <w:bCs w:val="1"/>
                <w:color w:val="auto"/>
              </w:rPr>
              <w:t>July 2, 2023</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08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December 31, 2022</w:t>
            </w:r>
          </w:p>
        </w:tc>
      </w:tr>
      <w:tr>
        <w:trPr>
          <w:trHeight w:val="178"/>
        </w:trPr>
        <w:tc>
          <w:tcPr>
            <w:tcW w:w="4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ind w:right="90"/>
              <w:spacing w:after="0" w:line="177" w:lineRule="exact"/>
              <w:rPr>
                <w:sz w:val="20"/>
                <w:szCs w:val="20"/>
                <w:color w:val="auto"/>
              </w:rPr>
            </w:pPr>
            <w:r>
              <w:rPr>
                <w:rFonts w:ascii="Arial" w:cs="Arial" w:eastAsia="Arial" w:hAnsi="Arial"/>
                <w:sz w:val="18"/>
                <w:szCs w:val="18"/>
                <w:b w:val="1"/>
                <w:bCs w:val="1"/>
                <w:color w:val="auto"/>
                <w:w w:val="91"/>
              </w:rPr>
              <w:t>Gross Carrying</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ind w:right="190"/>
              <w:spacing w:after="0" w:line="177" w:lineRule="exact"/>
              <w:rPr>
                <w:sz w:val="20"/>
                <w:szCs w:val="20"/>
                <w:color w:val="auto"/>
              </w:rPr>
            </w:pPr>
            <w:r>
              <w:rPr>
                <w:rFonts w:ascii="Arial" w:cs="Arial" w:eastAsia="Arial" w:hAnsi="Arial"/>
                <w:sz w:val="18"/>
                <w:szCs w:val="18"/>
                <w:b w:val="1"/>
                <w:bCs w:val="1"/>
                <w:color w:val="auto"/>
                <w:w w:val="95"/>
              </w:rPr>
              <w:t>Accumulated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ind w:right="90"/>
              <w:spacing w:after="0" w:line="177" w:lineRule="exact"/>
              <w:rPr>
                <w:sz w:val="20"/>
                <w:szCs w:val="20"/>
                <w:color w:val="auto"/>
              </w:rPr>
            </w:pPr>
            <w:r>
              <w:rPr>
                <w:rFonts w:ascii="Arial" w:cs="Arial" w:eastAsia="Arial" w:hAnsi="Arial"/>
                <w:sz w:val="18"/>
                <w:szCs w:val="18"/>
                <w:b w:val="1"/>
                <w:bCs w:val="1"/>
                <w:color w:val="auto"/>
                <w:w w:val="91"/>
              </w:rPr>
              <w:t>Gross Carrying</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ind w:right="190"/>
              <w:spacing w:after="0" w:line="177" w:lineRule="exact"/>
              <w:rPr>
                <w:sz w:val="20"/>
                <w:szCs w:val="20"/>
                <w:color w:val="auto"/>
              </w:rPr>
            </w:pPr>
            <w:r>
              <w:rPr>
                <w:rFonts w:ascii="Arial" w:cs="Arial" w:eastAsia="Arial" w:hAnsi="Arial"/>
                <w:sz w:val="18"/>
                <w:szCs w:val="18"/>
                <w:b w:val="1"/>
                <w:bCs w:val="1"/>
                <w:color w:val="auto"/>
                <w:w w:val="95"/>
              </w:rPr>
              <w:t>Accumulated</w:t>
            </w:r>
          </w:p>
        </w:tc>
      </w:tr>
      <w:tr>
        <w:trPr>
          <w:trHeight w:val="234"/>
        </w:trPr>
        <w:tc>
          <w:tcPr>
            <w:tcW w:w="46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Amount</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8"/>
              </w:rPr>
              <w:t>Amortization</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Amount</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Amortization</w:t>
            </w: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subject to amortization:</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4660" w:type="dxa"/>
            <w:vAlign w:val="bottom"/>
          </w:tcPr>
          <w:p>
            <w:pPr>
              <w:ind w:left="360"/>
              <w:spacing w:after="0"/>
              <w:rPr>
                <w:sz w:val="20"/>
                <w:szCs w:val="20"/>
                <w:color w:val="auto"/>
              </w:rPr>
            </w:pPr>
            <w:r>
              <w:rPr>
                <w:rFonts w:ascii="Arial" w:cs="Arial" w:eastAsia="Arial" w:hAnsi="Arial"/>
                <w:sz w:val="18"/>
                <w:szCs w:val="18"/>
                <w:color w:val="auto"/>
              </w:rPr>
              <w:t>Trademarks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1,703,026</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(215,399)</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1,701,932</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(190,045)</w:t>
            </w:r>
          </w:p>
        </w:tc>
      </w:tr>
      <w:tr>
        <w:trPr>
          <w:trHeight w:val="230"/>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Customer-related</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513,188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(93,495)</w:t>
            </w:r>
          </w:p>
        </w:tc>
      </w:tr>
      <w:tr>
        <w:trPr>
          <w:trHeight w:val="229"/>
        </w:trPr>
        <w:tc>
          <w:tcPr>
            <w:tcW w:w="4660" w:type="dxa"/>
            <w:vAlign w:val="bottom"/>
          </w:tcPr>
          <w:p>
            <w:pPr>
              <w:ind w:left="360"/>
              <w:spacing w:after="0"/>
              <w:rPr>
                <w:sz w:val="20"/>
                <w:szCs w:val="20"/>
                <w:color w:val="auto"/>
              </w:rPr>
            </w:pPr>
            <w:r>
              <w:rPr>
                <w:rFonts w:ascii="Arial" w:cs="Arial" w:eastAsia="Arial" w:hAnsi="Arial"/>
                <w:sz w:val="18"/>
                <w:szCs w:val="18"/>
                <w:color w:val="auto"/>
              </w:rPr>
              <w:t>Patents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(8,233)</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8,053</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(8,053)</w:t>
            </w:r>
          </w:p>
        </w:tc>
      </w:tr>
      <w:tr>
        <w:trPr>
          <w:trHeight w:val="237"/>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2,225,168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(332,422)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2,223,173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(291,593)</w:t>
            </w:r>
          </w:p>
        </w:tc>
      </w:tr>
      <w:tr>
        <w:trPr>
          <w:trHeight w:val="270"/>
        </w:trPr>
        <w:tc>
          <w:tcPr>
            <w:tcW w:w="4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not subject to amortization:</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4660" w:type="dxa"/>
            <w:vAlign w:val="bottom"/>
          </w:tcPr>
          <w:p>
            <w:pPr>
              <w:ind w:left="360"/>
              <w:spacing w:after="0"/>
              <w:rPr>
                <w:sz w:val="20"/>
                <w:szCs w:val="20"/>
                <w:color w:val="auto"/>
              </w:rPr>
            </w:pPr>
            <w:r>
              <w:rPr>
                <w:rFonts w:ascii="Arial" w:cs="Arial" w:eastAsia="Arial" w:hAnsi="Arial"/>
                <w:sz w:val="18"/>
                <w:szCs w:val="18"/>
                <w:color w:val="auto"/>
              </w:rPr>
              <w:t>Trademarks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57"/>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intangible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1,928,184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1,966,269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amortization expense for the three months ended July 2, 2023 and July 3, 2022 was $20,562 and $20,060, respectively. Total amortization expense for the six months ended July 2, 2023 and July 3, 2022 was $39,739 and $39,918,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SHORT AND LONG-TERM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Debt</w:t>
      </w:r>
    </w:p>
    <w:p>
      <w:pPr>
        <w:spacing w:after="0" w:line="108"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color w:val="auto"/>
        </w:rPr>
        <w:t>As a source of short-term financing, we utilize cash on hand and commercial paper or bank loans with an original maturity of three months or less. On April 26, 2023, we terminated the $1.5 billion unsecured revolving credit facility, which was set to expire in July and entered into a new unsecured revolving credit facility (the “new credit facility”). As of July 2, 2023, the new credit facility allows the Company to borrow up to $1.35 billion with the option to increase borrowings by an additional $500 million with the consent of the lenders. The new credit facility is scheduled to expire on April 26, 2028; however, we may extend the termination date for up to two additional one-year periods upon notice to the administrative agent.</w:t>
      </w:r>
    </w:p>
    <w:p>
      <w:pPr>
        <w:spacing w:after="0" w:line="2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credit agreements governing the prior credit facility and the new credit facility contain certain financial and other covenants, customary representations, warranties and events of default. As of July 2, 2023, we were in compliance with all covenants pertaining to the prior credit facility, and we had no significant compensating balance agreements that legally restricted these funds. For more information, refer to the Consolidated Financial Statements included in our 2022 Annual Report on Form 10-K.</w:t>
      </w:r>
    </w:p>
    <w:p>
      <w:pPr>
        <w:spacing w:after="0" w:line="308" w:lineRule="exact"/>
        <w:rPr>
          <w:sz w:val="20"/>
          <w:szCs w:val="20"/>
          <w:color w:val="auto"/>
        </w:rPr>
      </w:pPr>
    </w:p>
    <w:p>
      <w:pPr>
        <w:ind w:right="140"/>
        <w:spacing w:after="0" w:line="274" w:lineRule="auto"/>
        <w:rPr>
          <w:sz w:val="20"/>
          <w:szCs w:val="20"/>
          <w:color w:val="auto"/>
        </w:rPr>
      </w:pPr>
      <w:r>
        <w:rPr>
          <w:rFonts w:ascii="Arial" w:cs="Arial" w:eastAsia="Arial" w:hAnsi="Arial"/>
          <w:sz w:val="18"/>
          <w:szCs w:val="18"/>
          <w:color w:val="auto"/>
        </w:rPr>
        <w:t>In addition to the revolving credit facility, we maintain lines of credit with domestic and international commercial banks. Commitment fees relating to our revolving credit facility and lines of credit are not material. Short-term debt consisted of the following:</w:t>
      </w:r>
    </w:p>
    <w:tbl>
      <w:tblPr>
        <w:tblLayout w:type="fixed"/>
        <w:tblInd w:w="0" w:type="dxa"/>
        <w:tblCellMar>
          <w:top w:w="0" w:type="dxa"/>
          <w:left w:w="0" w:type="dxa"/>
          <w:bottom w:w="0" w:type="dxa"/>
          <w:right w:w="0" w:type="dxa"/>
        </w:tblCellMar>
      </w:tblPr>
      <w:tr>
        <w:trPr>
          <w:trHeight w:val="213"/>
        </w:trPr>
        <w:tc>
          <w:tcPr>
            <w:tcW w:w="66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July 2, 2023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December 31, 2022</w:t>
            </w:r>
          </w:p>
        </w:tc>
        <w:tc>
          <w:tcPr>
            <w:tcW w:w="0" w:type="dxa"/>
            <w:vAlign w:val="bottom"/>
          </w:tcPr>
          <w:p>
            <w:pPr>
              <w:spacing w:after="0"/>
              <w:rPr>
                <w:sz w:val="1"/>
                <w:szCs w:val="1"/>
                <w:color w:val="auto"/>
              </w:rPr>
            </w:pPr>
          </w:p>
        </w:tc>
      </w:tr>
      <w:tr>
        <w:trPr>
          <w:trHeight w:val="22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foreign bank borrowings against lines of credit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137,481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135,555</w:t>
            </w:r>
          </w:p>
        </w:tc>
        <w:tc>
          <w:tcPr>
            <w:tcW w:w="0" w:type="dxa"/>
            <w:vAlign w:val="bottom"/>
          </w:tcPr>
          <w:p>
            <w:pPr>
              <w:spacing w:after="0"/>
              <w:rPr>
                <w:sz w:val="1"/>
                <w:szCs w:val="1"/>
                <w:color w:val="auto"/>
              </w:rPr>
            </w:pPr>
          </w:p>
        </w:tc>
      </w:tr>
      <w:tr>
        <w:trPr>
          <w:trHeight w:val="243"/>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commercial paper</w:t>
            </w:r>
          </w:p>
        </w:tc>
        <w:tc>
          <w:tcPr>
            <w:tcW w:w="4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722,292</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558,235</w:t>
            </w:r>
          </w:p>
        </w:tc>
        <w:tc>
          <w:tcPr>
            <w:tcW w:w="0" w:type="dxa"/>
            <w:vAlign w:val="bottom"/>
          </w:tcPr>
          <w:p>
            <w:pPr>
              <w:spacing w:after="0"/>
              <w:rPr>
                <w:sz w:val="1"/>
                <w:szCs w:val="1"/>
                <w:color w:val="auto"/>
              </w:rPr>
            </w:pPr>
          </w:p>
        </w:tc>
      </w:tr>
      <w:tr>
        <w:trPr>
          <w:trHeight w:val="248"/>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short-term debt</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859,773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693,790</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interest rate on outstanding commercial paper</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8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820" w:type="dxa"/>
            <w:vAlign w:val="bottom"/>
          </w:tcPr>
          <w:p>
            <w:pPr>
              <w:jc w:val="right"/>
              <w:spacing w:after="0" w:line="204" w:lineRule="exact"/>
              <w:rPr>
                <w:sz w:val="20"/>
                <w:szCs w:val="20"/>
                <w:color w:val="auto"/>
              </w:rPr>
            </w:pPr>
            <w:r>
              <w:rPr>
                <w:rFonts w:ascii="Arial" w:cs="Arial" w:eastAsia="Arial" w:hAnsi="Arial"/>
                <w:sz w:val="18"/>
                <w:szCs w:val="18"/>
                <w:color w:val="auto"/>
              </w:rPr>
              <w:t>5.2 %</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jc w:val="right"/>
              <w:spacing w:after="0" w:line="204" w:lineRule="exact"/>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650875</wp:posOffset>
            </wp:positionV>
            <wp:extent cx="19685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Q2 2023 Form 10-Q |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Long-term Debt</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Long-term debt consisted of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40" w:type="dxa"/>
            <w:vAlign w:val="bottom"/>
            <w:gridSpan w:val="5"/>
          </w:tcPr>
          <w:p>
            <w:pPr>
              <w:spacing w:after="0"/>
              <w:rPr>
                <w:sz w:val="20"/>
                <w:szCs w:val="20"/>
                <w:color w:val="auto"/>
              </w:rPr>
            </w:pPr>
            <w:r>
              <w:rPr>
                <w:rFonts w:ascii="Arial" w:cs="Arial" w:eastAsia="Arial" w:hAnsi="Arial"/>
                <w:sz w:val="16"/>
                <w:szCs w:val="16"/>
                <w:b w:val="1"/>
                <w:bCs w:val="1"/>
                <w:color w:val="auto"/>
              </w:rPr>
              <w:t>Debt Type and Rate</w:t>
            </w:r>
          </w:p>
        </w:tc>
        <w:tc>
          <w:tcPr>
            <w:tcW w:w="120" w:type="dxa"/>
            <w:vAlign w:val="bottom"/>
          </w:tcPr>
          <w:p>
            <w:pPr>
              <w:spacing w:after="0"/>
              <w:rPr>
                <w:sz w:val="19"/>
                <w:szCs w:val="19"/>
                <w:color w:val="auto"/>
              </w:rPr>
            </w:pPr>
          </w:p>
        </w:tc>
        <w:tc>
          <w:tcPr>
            <w:tcW w:w="2600" w:type="dxa"/>
            <w:vAlign w:val="bottom"/>
            <w:gridSpan w:val="3"/>
          </w:tcPr>
          <w:p>
            <w:pPr>
              <w:jc w:val="right"/>
              <w:ind w:right="1160"/>
              <w:spacing w:after="0"/>
              <w:rPr>
                <w:sz w:val="20"/>
                <w:szCs w:val="20"/>
                <w:color w:val="auto"/>
              </w:rPr>
            </w:pPr>
            <w:r>
              <w:rPr>
                <w:rFonts w:ascii="Arial" w:cs="Arial" w:eastAsia="Arial" w:hAnsi="Arial"/>
                <w:sz w:val="16"/>
                <w:szCs w:val="16"/>
                <w:b w:val="1"/>
                <w:bCs w:val="1"/>
                <w:color w:val="auto"/>
              </w:rPr>
              <w:t>Maturity Date</w:t>
            </w:r>
          </w:p>
        </w:tc>
        <w:tc>
          <w:tcPr>
            <w:tcW w:w="1680" w:type="dxa"/>
            <w:vAlign w:val="bottom"/>
          </w:tcPr>
          <w:p>
            <w:pPr>
              <w:jc w:val="right"/>
              <w:ind w:right="510"/>
              <w:spacing w:after="0"/>
              <w:rPr>
                <w:sz w:val="20"/>
                <w:szCs w:val="20"/>
                <w:color w:val="auto"/>
              </w:rPr>
            </w:pPr>
            <w:r>
              <w:rPr>
                <w:rFonts w:ascii="Arial" w:cs="Arial" w:eastAsia="Arial" w:hAnsi="Arial"/>
                <w:sz w:val="16"/>
                <w:szCs w:val="16"/>
                <w:b w:val="1"/>
                <w:bCs w:val="1"/>
                <w:color w:val="auto"/>
              </w:rPr>
              <w:t>July 2, 2023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ind w:right="290"/>
              <w:spacing w:after="0"/>
              <w:rPr>
                <w:sz w:val="20"/>
                <w:szCs w:val="20"/>
                <w:color w:val="auto"/>
              </w:rPr>
            </w:pPr>
            <w:r>
              <w:rPr>
                <w:rFonts w:ascii="Arial" w:cs="Arial" w:eastAsia="Arial" w:hAnsi="Arial"/>
                <w:sz w:val="16"/>
                <w:szCs w:val="16"/>
                <w:b w:val="1"/>
                <w:bCs w:val="1"/>
                <w:color w:val="auto"/>
                <w:w w:val="98"/>
              </w:rPr>
              <w:t>December 31, 2022</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1"/>
              </w:rPr>
              <w:t>2.625%</w:t>
            </w:r>
          </w:p>
        </w:tc>
        <w:tc>
          <w:tcPr>
            <w:tcW w:w="402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Notes (1)</w:t>
            </w:r>
          </w:p>
        </w:tc>
        <w:tc>
          <w:tcPr>
            <w:tcW w:w="120" w:type="dxa"/>
            <w:vAlign w:val="bottom"/>
            <w:shd w:val="clear" w:color="auto" w:fill="CCEEFF"/>
          </w:tcPr>
          <w:p>
            <w:pPr>
              <w:spacing w:after="0"/>
              <w:rPr>
                <w:sz w:val="20"/>
                <w:szCs w:val="20"/>
                <w:color w:val="auto"/>
              </w:rPr>
            </w:pPr>
          </w:p>
        </w:tc>
        <w:tc>
          <w:tcPr>
            <w:tcW w:w="2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May 1, 2023</w:t>
            </w:r>
          </w:p>
        </w:tc>
        <w:tc>
          <w:tcPr>
            <w:tcW w:w="120" w:type="dxa"/>
            <w:vAlign w:val="bottom"/>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w w:val="91"/>
              </w:rPr>
              <w:t>3.375%</w:t>
            </w:r>
          </w:p>
        </w:tc>
        <w:tc>
          <w:tcPr>
            <w:tcW w:w="4020" w:type="dxa"/>
            <w:vAlign w:val="bottom"/>
            <w:gridSpan w:val="3"/>
          </w:tcPr>
          <w:p>
            <w:pPr>
              <w:ind w:left="20"/>
              <w:spacing w:after="0"/>
              <w:rPr>
                <w:sz w:val="20"/>
                <w:szCs w:val="20"/>
                <w:color w:val="auto"/>
              </w:rPr>
            </w:pPr>
            <w:r>
              <w:rPr>
                <w:rFonts w:ascii="Arial" w:cs="Arial" w:eastAsia="Arial" w:hAnsi="Arial"/>
                <w:sz w:val="18"/>
                <w:szCs w:val="18"/>
                <w:color w:val="auto"/>
              </w:rPr>
              <w:t>Notes (1)</w:t>
            </w:r>
          </w:p>
        </w:tc>
        <w:tc>
          <w:tcPr>
            <w:tcW w:w="120" w:type="dxa"/>
            <w:vAlign w:val="bottom"/>
          </w:tcPr>
          <w:p>
            <w:pPr>
              <w:spacing w:after="0"/>
              <w:rPr>
                <w:sz w:val="19"/>
                <w:szCs w:val="19"/>
                <w:color w:val="auto"/>
              </w:rPr>
            </w:pPr>
          </w:p>
        </w:tc>
        <w:tc>
          <w:tcPr>
            <w:tcW w:w="2600" w:type="dxa"/>
            <w:vAlign w:val="bottom"/>
            <w:gridSpan w:val="3"/>
          </w:tcPr>
          <w:p>
            <w:pPr>
              <w:jc w:val="center"/>
              <w:ind w:right="480"/>
              <w:spacing w:after="0"/>
              <w:rPr>
                <w:sz w:val="20"/>
                <w:szCs w:val="20"/>
                <w:color w:val="auto"/>
              </w:rPr>
            </w:pPr>
            <w:r>
              <w:rPr>
                <w:rFonts w:ascii="Arial" w:cs="Arial" w:eastAsia="Arial" w:hAnsi="Arial"/>
                <w:sz w:val="18"/>
                <w:szCs w:val="18"/>
                <w:color w:val="auto"/>
                <w:w w:val="91"/>
              </w:rPr>
              <w:t>May 15, 2023</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2.050%</w:t>
            </w:r>
          </w:p>
        </w:tc>
        <w:tc>
          <w:tcPr>
            <w:tcW w:w="4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120" w:type="dxa"/>
            <w:vAlign w:val="bottom"/>
            <w:shd w:val="clear" w:color="auto" w:fill="CCEEFF"/>
          </w:tcPr>
          <w:p>
            <w:pPr>
              <w:spacing w:after="0"/>
              <w:rPr>
                <w:sz w:val="19"/>
                <w:szCs w:val="19"/>
                <w:color w:val="auto"/>
              </w:rPr>
            </w:pPr>
          </w:p>
        </w:tc>
        <w:tc>
          <w:tcPr>
            <w:tcW w:w="2600" w:type="dxa"/>
            <w:vAlign w:val="bottom"/>
            <w:gridSpan w:val="3"/>
            <w:shd w:val="clear" w:color="auto" w:fill="CCEEFF"/>
          </w:tcPr>
          <w:p>
            <w:pPr>
              <w:jc w:val="center"/>
              <w:ind w:right="480"/>
              <w:spacing w:after="0"/>
              <w:rPr>
                <w:sz w:val="20"/>
                <w:szCs w:val="20"/>
                <w:color w:val="auto"/>
              </w:rPr>
            </w:pPr>
            <w:r>
              <w:rPr>
                <w:rFonts w:ascii="Arial" w:cs="Arial" w:eastAsia="Arial" w:hAnsi="Arial"/>
                <w:sz w:val="18"/>
                <w:szCs w:val="18"/>
                <w:color w:val="auto"/>
                <w:w w:val="91"/>
              </w:rPr>
              <w:t>November 15, 2024</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w w:val="91"/>
              </w:rPr>
              <w:t>0.900%</w:t>
            </w:r>
          </w:p>
        </w:tc>
        <w:tc>
          <w:tcPr>
            <w:tcW w:w="4020" w:type="dxa"/>
            <w:vAlign w:val="bottom"/>
            <w:gridSpan w:val="3"/>
          </w:tcPr>
          <w:p>
            <w:pPr>
              <w:ind w:left="20"/>
              <w:spacing w:after="0"/>
              <w:rPr>
                <w:sz w:val="20"/>
                <w:szCs w:val="20"/>
                <w:color w:val="auto"/>
              </w:rPr>
            </w:pPr>
            <w:r>
              <w:rPr>
                <w:rFonts w:ascii="Arial" w:cs="Arial" w:eastAsia="Arial" w:hAnsi="Arial"/>
                <w:sz w:val="18"/>
                <w:szCs w:val="18"/>
                <w:color w:val="auto"/>
              </w:rPr>
              <w:t>Notes</w:t>
            </w:r>
          </w:p>
        </w:tc>
        <w:tc>
          <w:tcPr>
            <w:tcW w:w="120" w:type="dxa"/>
            <w:vAlign w:val="bottom"/>
          </w:tcPr>
          <w:p>
            <w:pPr>
              <w:spacing w:after="0"/>
              <w:rPr>
                <w:sz w:val="20"/>
                <w:szCs w:val="20"/>
                <w:color w:val="auto"/>
              </w:rPr>
            </w:pPr>
          </w:p>
        </w:tc>
        <w:tc>
          <w:tcPr>
            <w:tcW w:w="2600" w:type="dxa"/>
            <w:vAlign w:val="bottom"/>
            <w:gridSpan w:val="3"/>
          </w:tcPr>
          <w:p>
            <w:pPr>
              <w:jc w:val="center"/>
              <w:ind w:right="480"/>
              <w:spacing w:after="0"/>
              <w:rPr>
                <w:sz w:val="20"/>
                <w:szCs w:val="20"/>
                <w:color w:val="auto"/>
              </w:rPr>
            </w:pPr>
            <w:r>
              <w:rPr>
                <w:rFonts w:ascii="Arial" w:cs="Arial" w:eastAsia="Arial" w:hAnsi="Arial"/>
                <w:sz w:val="18"/>
                <w:szCs w:val="18"/>
                <w:color w:val="auto"/>
                <w:w w:val="88"/>
              </w:rPr>
              <w:t>June 1, 2025</w:t>
            </w:r>
          </w:p>
        </w:tc>
        <w:tc>
          <w:tcPr>
            <w:tcW w:w="168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3.200%</w:t>
            </w:r>
          </w:p>
        </w:tc>
        <w:tc>
          <w:tcPr>
            <w:tcW w:w="4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120" w:type="dxa"/>
            <w:vAlign w:val="bottom"/>
            <w:shd w:val="clear" w:color="auto" w:fill="CCEEFF"/>
          </w:tcPr>
          <w:p>
            <w:pPr>
              <w:spacing w:after="0"/>
              <w:rPr>
                <w:sz w:val="21"/>
                <w:szCs w:val="21"/>
                <w:color w:val="auto"/>
              </w:rPr>
            </w:pPr>
          </w:p>
        </w:tc>
        <w:tc>
          <w:tcPr>
            <w:tcW w:w="2600" w:type="dxa"/>
            <w:vAlign w:val="bottom"/>
            <w:gridSpan w:val="3"/>
            <w:shd w:val="clear" w:color="auto" w:fill="CCEEFF"/>
          </w:tcPr>
          <w:p>
            <w:pPr>
              <w:jc w:val="center"/>
              <w:ind w:right="480"/>
              <w:spacing w:after="0"/>
              <w:rPr>
                <w:sz w:val="20"/>
                <w:szCs w:val="20"/>
                <w:color w:val="auto"/>
              </w:rPr>
            </w:pPr>
            <w:r>
              <w:rPr>
                <w:rFonts w:ascii="Arial" w:cs="Arial" w:eastAsia="Arial" w:hAnsi="Arial"/>
                <w:sz w:val="18"/>
                <w:szCs w:val="18"/>
                <w:color w:val="auto"/>
                <w:w w:val="91"/>
              </w:rPr>
              <w:t>August 21, 2025</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w w:val="91"/>
              </w:rPr>
              <w:t>2.300%</w:t>
            </w:r>
          </w:p>
        </w:tc>
        <w:tc>
          <w:tcPr>
            <w:tcW w:w="4020" w:type="dxa"/>
            <w:vAlign w:val="bottom"/>
            <w:gridSpan w:val="3"/>
          </w:tcPr>
          <w:p>
            <w:pPr>
              <w:ind w:left="20"/>
              <w:spacing w:after="0"/>
              <w:rPr>
                <w:sz w:val="20"/>
                <w:szCs w:val="20"/>
                <w:color w:val="auto"/>
              </w:rPr>
            </w:pPr>
            <w:r>
              <w:rPr>
                <w:rFonts w:ascii="Arial" w:cs="Arial" w:eastAsia="Arial" w:hAnsi="Arial"/>
                <w:sz w:val="18"/>
                <w:szCs w:val="18"/>
                <w:color w:val="auto"/>
              </w:rPr>
              <w:t>Notes</w:t>
            </w:r>
          </w:p>
        </w:tc>
        <w:tc>
          <w:tcPr>
            <w:tcW w:w="120" w:type="dxa"/>
            <w:vAlign w:val="bottom"/>
          </w:tcPr>
          <w:p>
            <w:pPr>
              <w:spacing w:after="0"/>
              <w:rPr>
                <w:sz w:val="19"/>
                <w:szCs w:val="19"/>
                <w:color w:val="auto"/>
              </w:rPr>
            </w:pPr>
          </w:p>
        </w:tc>
        <w:tc>
          <w:tcPr>
            <w:tcW w:w="2600" w:type="dxa"/>
            <w:vAlign w:val="bottom"/>
            <w:gridSpan w:val="3"/>
          </w:tcPr>
          <w:p>
            <w:pPr>
              <w:jc w:val="center"/>
              <w:ind w:right="480"/>
              <w:spacing w:after="0"/>
              <w:rPr>
                <w:sz w:val="20"/>
                <w:szCs w:val="20"/>
                <w:color w:val="auto"/>
              </w:rPr>
            </w:pPr>
            <w:r>
              <w:rPr>
                <w:rFonts w:ascii="Arial" w:cs="Arial" w:eastAsia="Arial" w:hAnsi="Arial"/>
                <w:sz w:val="18"/>
                <w:szCs w:val="18"/>
                <w:color w:val="auto"/>
                <w:w w:val="91"/>
              </w:rPr>
              <w:t>August 15, 2026</w:t>
            </w:r>
          </w:p>
        </w:tc>
        <w:tc>
          <w:tcPr>
            <w:tcW w:w="1680" w:type="dxa"/>
            <w:vAlign w:val="bottom"/>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7.200%</w:t>
            </w:r>
          </w:p>
        </w:tc>
        <w:tc>
          <w:tcPr>
            <w:tcW w:w="4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Debentures</w:t>
            </w:r>
          </w:p>
        </w:tc>
        <w:tc>
          <w:tcPr>
            <w:tcW w:w="120" w:type="dxa"/>
            <w:vAlign w:val="bottom"/>
            <w:shd w:val="clear" w:color="auto" w:fill="CCEEFF"/>
          </w:tcPr>
          <w:p>
            <w:pPr>
              <w:spacing w:after="0"/>
              <w:rPr>
                <w:sz w:val="21"/>
                <w:szCs w:val="21"/>
                <w:color w:val="auto"/>
              </w:rPr>
            </w:pPr>
          </w:p>
        </w:tc>
        <w:tc>
          <w:tcPr>
            <w:tcW w:w="2600" w:type="dxa"/>
            <w:vAlign w:val="bottom"/>
            <w:gridSpan w:val="3"/>
            <w:shd w:val="clear" w:color="auto" w:fill="CCEEFF"/>
          </w:tcPr>
          <w:p>
            <w:pPr>
              <w:jc w:val="center"/>
              <w:ind w:right="480"/>
              <w:spacing w:after="0"/>
              <w:rPr>
                <w:sz w:val="20"/>
                <w:szCs w:val="20"/>
                <w:color w:val="auto"/>
              </w:rPr>
            </w:pPr>
            <w:r>
              <w:rPr>
                <w:rFonts w:ascii="Arial" w:cs="Arial" w:eastAsia="Arial" w:hAnsi="Arial"/>
                <w:sz w:val="18"/>
                <w:szCs w:val="18"/>
                <w:color w:val="auto"/>
                <w:w w:val="91"/>
              </w:rPr>
              <w:t>August 15, 2027</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193,639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w w:val="91"/>
              </w:rPr>
              <w:t>4.250%</w:t>
            </w:r>
          </w:p>
        </w:tc>
        <w:tc>
          <w:tcPr>
            <w:tcW w:w="4020" w:type="dxa"/>
            <w:vAlign w:val="bottom"/>
            <w:gridSpan w:val="3"/>
          </w:tcPr>
          <w:p>
            <w:pPr>
              <w:ind w:left="20"/>
              <w:spacing w:after="0"/>
              <w:rPr>
                <w:sz w:val="20"/>
                <w:szCs w:val="20"/>
                <w:color w:val="auto"/>
              </w:rPr>
            </w:pPr>
            <w:r>
              <w:rPr>
                <w:rFonts w:ascii="Arial" w:cs="Arial" w:eastAsia="Arial" w:hAnsi="Arial"/>
                <w:sz w:val="18"/>
                <w:szCs w:val="18"/>
                <w:color w:val="auto"/>
              </w:rPr>
              <w:t>Notes (2)</w:t>
            </w:r>
          </w:p>
        </w:tc>
        <w:tc>
          <w:tcPr>
            <w:tcW w:w="120" w:type="dxa"/>
            <w:vAlign w:val="bottom"/>
          </w:tcPr>
          <w:p>
            <w:pPr>
              <w:spacing w:after="0"/>
              <w:rPr>
                <w:sz w:val="19"/>
                <w:szCs w:val="19"/>
                <w:color w:val="auto"/>
              </w:rPr>
            </w:pPr>
          </w:p>
        </w:tc>
        <w:tc>
          <w:tcPr>
            <w:tcW w:w="2600" w:type="dxa"/>
            <w:vAlign w:val="bottom"/>
            <w:gridSpan w:val="3"/>
          </w:tcPr>
          <w:p>
            <w:pPr>
              <w:jc w:val="center"/>
              <w:ind w:right="480"/>
              <w:spacing w:after="0"/>
              <w:rPr>
                <w:sz w:val="20"/>
                <w:szCs w:val="20"/>
                <w:color w:val="auto"/>
              </w:rPr>
            </w:pPr>
            <w:r>
              <w:rPr>
                <w:rFonts w:ascii="Arial" w:cs="Arial" w:eastAsia="Arial" w:hAnsi="Arial"/>
                <w:sz w:val="18"/>
                <w:szCs w:val="18"/>
                <w:color w:val="auto"/>
                <w:w w:val="92"/>
              </w:rPr>
              <w:t>May 4, 2028</w:t>
            </w:r>
          </w:p>
        </w:tc>
        <w:tc>
          <w:tcPr>
            <w:tcW w:w="1680" w:type="dxa"/>
            <w:vAlign w:val="bottom"/>
          </w:tcPr>
          <w:p>
            <w:pPr>
              <w:jc w:val="right"/>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2.450%</w:t>
            </w:r>
          </w:p>
        </w:tc>
        <w:tc>
          <w:tcPr>
            <w:tcW w:w="4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120" w:type="dxa"/>
            <w:vAlign w:val="bottom"/>
            <w:shd w:val="clear" w:color="auto" w:fill="CCEEFF"/>
          </w:tcPr>
          <w:p>
            <w:pPr>
              <w:spacing w:after="0"/>
              <w:rPr>
                <w:sz w:val="19"/>
                <w:szCs w:val="19"/>
                <w:color w:val="auto"/>
              </w:rPr>
            </w:pPr>
          </w:p>
        </w:tc>
        <w:tc>
          <w:tcPr>
            <w:tcW w:w="2600" w:type="dxa"/>
            <w:vAlign w:val="bottom"/>
            <w:gridSpan w:val="3"/>
            <w:shd w:val="clear" w:color="auto" w:fill="CCEEFF"/>
          </w:tcPr>
          <w:p>
            <w:pPr>
              <w:jc w:val="center"/>
              <w:ind w:right="480"/>
              <w:spacing w:after="0"/>
              <w:rPr>
                <w:sz w:val="20"/>
                <w:szCs w:val="20"/>
                <w:color w:val="auto"/>
              </w:rPr>
            </w:pPr>
            <w:r>
              <w:rPr>
                <w:rFonts w:ascii="Arial" w:cs="Arial" w:eastAsia="Arial" w:hAnsi="Arial"/>
                <w:sz w:val="18"/>
                <w:szCs w:val="18"/>
                <w:color w:val="auto"/>
                <w:w w:val="91"/>
              </w:rPr>
              <w:t>November 15, 2029</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w w:val="91"/>
              </w:rPr>
              <w:t>1.700%</w:t>
            </w:r>
          </w:p>
        </w:tc>
        <w:tc>
          <w:tcPr>
            <w:tcW w:w="4020" w:type="dxa"/>
            <w:vAlign w:val="bottom"/>
            <w:gridSpan w:val="3"/>
          </w:tcPr>
          <w:p>
            <w:pPr>
              <w:ind w:left="20"/>
              <w:spacing w:after="0"/>
              <w:rPr>
                <w:sz w:val="20"/>
                <w:szCs w:val="20"/>
                <w:color w:val="auto"/>
              </w:rPr>
            </w:pPr>
            <w:r>
              <w:rPr>
                <w:rFonts w:ascii="Arial" w:cs="Arial" w:eastAsia="Arial" w:hAnsi="Arial"/>
                <w:sz w:val="18"/>
                <w:szCs w:val="18"/>
                <w:color w:val="auto"/>
              </w:rPr>
              <w:t>Notes</w:t>
            </w:r>
          </w:p>
        </w:tc>
        <w:tc>
          <w:tcPr>
            <w:tcW w:w="120" w:type="dxa"/>
            <w:vAlign w:val="bottom"/>
          </w:tcPr>
          <w:p>
            <w:pPr>
              <w:spacing w:after="0"/>
              <w:rPr>
                <w:sz w:val="20"/>
                <w:szCs w:val="20"/>
                <w:color w:val="auto"/>
              </w:rPr>
            </w:pPr>
          </w:p>
        </w:tc>
        <w:tc>
          <w:tcPr>
            <w:tcW w:w="2600" w:type="dxa"/>
            <w:vAlign w:val="bottom"/>
            <w:gridSpan w:val="3"/>
          </w:tcPr>
          <w:p>
            <w:pPr>
              <w:jc w:val="center"/>
              <w:ind w:right="480"/>
              <w:spacing w:after="0"/>
              <w:rPr>
                <w:sz w:val="20"/>
                <w:szCs w:val="20"/>
                <w:color w:val="auto"/>
              </w:rPr>
            </w:pPr>
            <w:r>
              <w:rPr>
                <w:rFonts w:ascii="Arial" w:cs="Arial" w:eastAsia="Arial" w:hAnsi="Arial"/>
                <w:sz w:val="18"/>
                <w:szCs w:val="18"/>
                <w:color w:val="auto"/>
                <w:w w:val="88"/>
              </w:rPr>
              <w:t>June 1, 2030</w:t>
            </w:r>
          </w:p>
        </w:tc>
        <w:tc>
          <w:tcPr>
            <w:tcW w:w="1680" w:type="dxa"/>
            <w:vAlign w:val="bottom"/>
          </w:tcPr>
          <w:p>
            <w:pPr>
              <w:jc w:val="right"/>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4.500%</w:t>
            </w:r>
          </w:p>
        </w:tc>
        <w:tc>
          <w:tcPr>
            <w:tcW w:w="4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Notes (2)</w:t>
            </w:r>
          </w:p>
        </w:tc>
        <w:tc>
          <w:tcPr>
            <w:tcW w:w="120" w:type="dxa"/>
            <w:vAlign w:val="bottom"/>
            <w:shd w:val="clear" w:color="auto" w:fill="CCEEFF"/>
          </w:tcPr>
          <w:p>
            <w:pPr>
              <w:spacing w:after="0"/>
              <w:rPr>
                <w:sz w:val="21"/>
                <w:szCs w:val="21"/>
                <w:color w:val="auto"/>
              </w:rPr>
            </w:pPr>
          </w:p>
        </w:tc>
        <w:tc>
          <w:tcPr>
            <w:tcW w:w="2600" w:type="dxa"/>
            <w:vAlign w:val="bottom"/>
            <w:gridSpan w:val="3"/>
            <w:shd w:val="clear" w:color="auto" w:fill="CCEEFF"/>
          </w:tcPr>
          <w:p>
            <w:pPr>
              <w:jc w:val="center"/>
              <w:ind w:right="480"/>
              <w:spacing w:after="0"/>
              <w:rPr>
                <w:sz w:val="20"/>
                <w:szCs w:val="20"/>
                <w:color w:val="auto"/>
              </w:rPr>
            </w:pPr>
            <w:r>
              <w:rPr>
                <w:rFonts w:ascii="Arial" w:cs="Arial" w:eastAsia="Arial" w:hAnsi="Arial"/>
                <w:sz w:val="18"/>
                <w:szCs w:val="18"/>
                <w:color w:val="auto"/>
                <w:w w:val="92"/>
              </w:rPr>
              <w:t>May 4, 2033</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w w:val="91"/>
              </w:rPr>
              <w:t>3.375%</w:t>
            </w:r>
          </w:p>
        </w:tc>
        <w:tc>
          <w:tcPr>
            <w:tcW w:w="4020" w:type="dxa"/>
            <w:vAlign w:val="bottom"/>
            <w:gridSpan w:val="3"/>
          </w:tcPr>
          <w:p>
            <w:pPr>
              <w:ind w:left="20"/>
              <w:spacing w:after="0"/>
              <w:rPr>
                <w:sz w:val="20"/>
                <w:szCs w:val="20"/>
                <w:color w:val="auto"/>
              </w:rPr>
            </w:pPr>
            <w:r>
              <w:rPr>
                <w:rFonts w:ascii="Arial" w:cs="Arial" w:eastAsia="Arial" w:hAnsi="Arial"/>
                <w:sz w:val="18"/>
                <w:szCs w:val="18"/>
                <w:color w:val="auto"/>
              </w:rPr>
              <w:t>Notes</w:t>
            </w:r>
          </w:p>
        </w:tc>
        <w:tc>
          <w:tcPr>
            <w:tcW w:w="120" w:type="dxa"/>
            <w:vAlign w:val="bottom"/>
          </w:tcPr>
          <w:p>
            <w:pPr>
              <w:spacing w:after="0"/>
              <w:rPr>
                <w:sz w:val="19"/>
                <w:szCs w:val="19"/>
                <w:color w:val="auto"/>
              </w:rPr>
            </w:pPr>
          </w:p>
        </w:tc>
        <w:tc>
          <w:tcPr>
            <w:tcW w:w="2600" w:type="dxa"/>
            <w:vAlign w:val="bottom"/>
            <w:gridSpan w:val="3"/>
          </w:tcPr>
          <w:p>
            <w:pPr>
              <w:jc w:val="center"/>
              <w:ind w:right="480"/>
              <w:spacing w:after="0"/>
              <w:rPr>
                <w:sz w:val="20"/>
                <w:szCs w:val="20"/>
                <w:color w:val="auto"/>
              </w:rPr>
            </w:pPr>
            <w:r>
              <w:rPr>
                <w:rFonts w:ascii="Arial" w:cs="Arial" w:eastAsia="Arial" w:hAnsi="Arial"/>
                <w:sz w:val="18"/>
                <w:szCs w:val="18"/>
                <w:color w:val="auto"/>
                <w:w w:val="91"/>
              </w:rPr>
              <w:t>August 15, 2046</w:t>
            </w:r>
          </w:p>
        </w:tc>
        <w:tc>
          <w:tcPr>
            <w:tcW w:w="168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3.125%</w:t>
            </w:r>
          </w:p>
        </w:tc>
        <w:tc>
          <w:tcPr>
            <w:tcW w:w="4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120" w:type="dxa"/>
            <w:vAlign w:val="bottom"/>
            <w:shd w:val="clear" w:color="auto" w:fill="CCEEFF"/>
          </w:tcPr>
          <w:p>
            <w:pPr>
              <w:spacing w:after="0"/>
              <w:rPr>
                <w:sz w:val="21"/>
                <w:szCs w:val="21"/>
                <w:color w:val="auto"/>
              </w:rPr>
            </w:pPr>
          </w:p>
        </w:tc>
        <w:tc>
          <w:tcPr>
            <w:tcW w:w="2600" w:type="dxa"/>
            <w:vAlign w:val="bottom"/>
            <w:gridSpan w:val="3"/>
            <w:shd w:val="clear" w:color="auto" w:fill="CCEEFF"/>
          </w:tcPr>
          <w:p>
            <w:pPr>
              <w:jc w:val="center"/>
              <w:ind w:right="480"/>
              <w:spacing w:after="0"/>
              <w:rPr>
                <w:sz w:val="20"/>
                <w:szCs w:val="20"/>
                <w:color w:val="auto"/>
              </w:rPr>
            </w:pPr>
            <w:r>
              <w:rPr>
                <w:rFonts w:ascii="Arial" w:cs="Arial" w:eastAsia="Arial" w:hAnsi="Arial"/>
                <w:sz w:val="18"/>
                <w:szCs w:val="18"/>
                <w:color w:val="auto"/>
                <w:w w:val="91"/>
              </w:rPr>
              <w:t>November 15, 2049</w:t>
            </w: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w w:val="91"/>
              </w:rPr>
              <w:t>2.650%</w:t>
            </w:r>
          </w:p>
        </w:tc>
        <w:tc>
          <w:tcPr>
            <w:tcW w:w="4020" w:type="dxa"/>
            <w:vAlign w:val="bottom"/>
            <w:gridSpan w:val="3"/>
          </w:tcPr>
          <w:p>
            <w:pPr>
              <w:ind w:left="20"/>
              <w:spacing w:after="0"/>
              <w:rPr>
                <w:sz w:val="20"/>
                <w:szCs w:val="20"/>
                <w:color w:val="auto"/>
              </w:rPr>
            </w:pPr>
            <w:r>
              <w:rPr>
                <w:rFonts w:ascii="Arial" w:cs="Arial" w:eastAsia="Arial" w:hAnsi="Arial"/>
                <w:sz w:val="18"/>
                <w:szCs w:val="18"/>
                <w:color w:val="auto"/>
              </w:rPr>
              <w:t>Notes</w:t>
            </w:r>
          </w:p>
        </w:tc>
        <w:tc>
          <w:tcPr>
            <w:tcW w:w="120" w:type="dxa"/>
            <w:vAlign w:val="bottom"/>
          </w:tcPr>
          <w:p>
            <w:pPr>
              <w:spacing w:after="0"/>
              <w:rPr>
                <w:sz w:val="19"/>
                <w:szCs w:val="19"/>
                <w:color w:val="auto"/>
              </w:rPr>
            </w:pPr>
          </w:p>
        </w:tc>
        <w:tc>
          <w:tcPr>
            <w:tcW w:w="2600" w:type="dxa"/>
            <w:vAlign w:val="bottom"/>
            <w:gridSpan w:val="3"/>
          </w:tcPr>
          <w:p>
            <w:pPr>
              <w:jc w:val="center"/>
              <w:ind w:right="480"/>
              <w:spacing w:after="0"/>
              <w:rPr>
                <w:sz w:val="20"/>
                <w:szCs w:val="20"/>
                <w:color w:val="auto"/>
              </w:rPr>
            </w:pPr>
            <w:r>
              <w:rPr>
                <w:rFonts w:ascii="Arial" w:cs="Arial" w:eastAsia="Arial" w:hAnsi="Arial"/>
                <w:sz w:val="18"/>
                <w:szCs w:val="18"/>
                <w:color w:val="auto"/>
                <w:w w:val="88"/>
              </w:rPr>
              <w:t>June 1, 2050</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20" w:type="dxa"/>
            <w:vAlign w:val="bottom"/>
            <w:gridSpan w:val="4"/>
            <w:shd w:val="clear" w:color="auto" w:fill="CCEEFF"/>
          </w:tcPr>
          <w:p>
            <w:pPr>
              <w:ind w:left="20"/>
              <w:spacing w:after="0" w:line="189" w:lineRule="exact"/>
              <w:rPr>
                <w:sz w:val="20"/>
                <w:szCs w:val="20"/>
                <w:color w:val="auto"/>
              </w:rPr>
            </w:pPr>
            <w:r>
              <w:rPr>
                <w:rFonts w:ascii="Arial" w:cs="Arial" w:eastAsia="Arial" w:hAnsi="Arial"/>
                <w:sz w:val="18"/>
                <w:szCs w:val="18"/>
                <w:color w:val="auto"/>
              </w:rPr>
              <w:t xml:space="preserve">Finance lease obligations (see </w:t>
            </w:r>
            <w:r>
              <w:rPr>
                <w:rFonts w:ascii="Arial" w:cs="Arial" w:eastAsia="Arial" w:hAnsi="Arial"/>
                <w:sz w:val="18"/>
                <w:szCs w:val="18"/>
                <w:color w:val="0000FF"/>
              </w:rPr>
              <w:t>Note 7</w:t>
            </w: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73,231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2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73,479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4620" w:type="dxa"/>
            <w:vAlign w:val="bottom"/>
            <w:gridSpan w:val="4"/>
          </w:tcPr>
          <w:p>
            <w:pPr>
              <w:ind w:left="20"/>
              <w:spacing w:after="0" w:line="189" w:lineRule="exact"/>
              <w:rPr>
                <w:sz w:val="20"/>
                <w:szCs w:val="20"/>
                <w:color w:val="auto"/>
              </w:rPr>
            </w:pPr>
            <w:r>
              <w:rPr>
                <w:rFonts w:ascii="Arial" w:cs="Arial" w:eastAsia="Arial" w:hAnsi="Arial"/>
                <w:sz w:val="18"/>
                <w:szCs w:val="18"/>
                <w:color w:val="auto"/>
                <w:w w:val="98"/>
              </w:rPr>
              <w:t>Net impact of interest rate swaps, debt issuance costs and</w:t>
            </w:r>
          </w:p>
        </w:tc>
        <w:tc>
          <w:tcPr>
            <w:tcW w:w="1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vMerge w:val="restart"/>
          </w:tcPr>
          <w:p>
            <w:pPr>
              <w:jc w:val="right"/>
              <w:ind w:right="10"/>
              <w:spacing w:after="0"/>
              <w:rPr>
                <w:sz w:val="20"/>
                <w:szCs w:val="20"/>
                <w:color w:val="auto"/>
              </w:rPr>
            </w:pPr>
            <w:r>
              <w:rPr>
                <w:rFonts w:ascii="Arial" w:cs="Arial" w:eastAsia="Arial" w:hAnsi="Arial"/>
                <w:sz w:val="18"/>
                <w:szCs w:val="18"/>
                <w:color w:val="auto"/>
              </w:rPr>
              <w:t>(22,665)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vMerge w:val="restart"/>
          </w:tcPr>
          <w:p>
            <w:pPr>
              <w:jc w:val="right"/>
              <w:ind w:right="10"/>
              <w:spacing w:after="0"/>
              <w:rPr>
                <w:sz w:val="20"/>
                <w:szCs w:val="20"/>
                <w:color w:val="auto"/>
              </w:rPr>
            </w:pPr>
            <w:r>
              <w:rPr>
                <w:rFonts w:ascii="Arial" w:cs="Arial" w:eastAsia="Arial" w:hAnsi="Arial"/>
                <w:sz w:val="18"/>
                <w:szCs w:val="18"/>
                <w:color w:val="auto"/>
              </w:rPr>
              <w:t>(19,563)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20" w:type="dxa"/>
            <w:vAlign w:val="bottom"/>
            <w:gridSpan w:val="4"/>
          </w:tcPr>
          <w:p>
            <w:pPr>
              <w:ind w:left="20"/>
              <w:spacing w:after="0"/>
              <w:rPr>
                <w:sz w:val="20"/>
                <w:szCs w:val="20"/>
                <w:color w:val="auto"/>
              </w:rPr>
            </w:pPr>
            <w:r>
              <w:rPr>
                <w:rFonts w:ascii="Arial" w:cs="Arial" w:eastAsia="Arial" w:hAnsi="Arial"/>
                <w:sz w:val="18"/>
                <w:szCs w:val="18"/>
                <w:color w:val="auto"/>
              </w:rPr>
              <w:t>unamortized debt discounts</w:t>
            </w: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12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4,094,205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4,097,555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4"/>
          </w:tcPr>
          <w:p>
            <w:pPr>
              <w:ind w:left="20"/>
              <w:spacing w:after="0"/>
              <w:rPr>
                <w:sz w:val="20"/>
                <w:szCs w:val="20"/>
                <w:color w:val="auto"/>
              </w:rPr>
            </w:pPr>
            <w:r>
              <w:rPr>
                <w:rFonts w:ascii="Arial" w:cs="Arial" w:eastAsia="Arial" w:hAnsi="Arial"/>
                <w:sz w:val="18"/>
                <w:szCs w:val="18"/>
                <w:color w:val="auto"/>
              </w:rPr>
              <w:t>Less—current portion</w:t>
            </w:r>
          </w:p>
        </w:tc>
        <w:tc>
          <w:tcPr>
            <w:tcW w:w="1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8,010</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753,578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Long-term portion</w:t>
            </w:r>
          </w:p>
        </w:tc>
        <w:tc>
          <w:tcPr>
            <w:tcW w:w="27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4,086,195</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3,343,977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80" w:hanging="25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May 2023 we repaid $250,000 of 2.625% Notes and $500,000 of 3.375% Notes due upon their maturity.</w:t>
      </w:r>
    </w:p>
    <w:p>
      <w:pPr>
        <w:spacing w:after="0" w:line="63" w:lineRule="exact"/>
        <w:rPr>
          <w:rFonts w:ascii="Arial" w:cs="Arial" w:eastAsia="Arial" w:hAnsi="Arial"/>
          <w:sz w:val="18"/>
          <w:szCs w:val="18"/>
          <w:color w:val="auto"/>
        </w:rPr>
      </w:pPr>
    </w:p>
    <w:p>
      <w:pPr>
        <w:ind w:left="20" w:right="100" w:firstLine="8"/>
        <w:spacing w:after="0" w:line="263" w:lineRule="auto"/>
        <w:tabs>
          <w:tab w:leader="none" w:pos="275"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second quarter of 2023, we issued $350,000 of 4.250% Notes due in May 2028 and $400,000 of 4.500% Notes due in May 2033 (the “2023 Notes”). Proceeds from the issuance of the 2023 Notes, net of discounts and issuance costs, totaled $744,092. The 2023 Notes were issued under a shelf registration on Form S-3 filed in May 2021 that registered an indeterminate amount of debt securities.</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Interest Expense</w:t>
      </w:r>
    </w:p>
    <w:p>
      <w:pPr>
        <w:spacing w:after="0" w:line="10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interest expense consists of the following:</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2780" w:type="dxa"/>
            <w:vAlign w:val="bottom"/>
          </w:tcPr>
          <w:p>
            <w:pPr>
              <w:spacing w:after="0"/>
              <w:rPr>
                <w:sz w:val="18"/>
                <w:szCs w:val="18"/>
                <w:color w:val="auto"/>
              </w:rPr>
            </w:pPr>
          </w:p>
        </w:tc>
        <w:tc>
          <w:tcPr>
            <w:tcW w:w="3580" w:type="dxa"/>
            <w:vAlign w:val="bottom"/>
            <w:tcBorders>
              <w:bottom w:val="single" w:sz="8" w:color="auto"/>
            </w:tcBorders>
            <w:gridSpan w:val="4"/>
          </w:tcPr>
          <w:p>
            <w:pPr>
              <w:jc w:val="right"/>
              <w:ind w:right="675"/>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ind w:left="1100"/>
              <w:spacing w:after="0"/>
              <w:rPr>
                <w:sz w:val="20"/>
                <w:szCs w:val="20"/>
                <w:color w:val="auto"/>
              </w:rPr>
            </w:pPr>
            <w:r>
              <w:rPr>
                <w:rFonts w:ascii="Arial" w:cs="Arial" w:eastAsia="Arial" w:hAnsi="Arial"/>
                <w:sz w:val="16"/>
                <w:szCs w:val="16"/>
                <w:b w:val="1"/>
                <w:bCs w:val="1"/>
                <w:color w:val="auto"/>
                <w:w w:val="90"/>
              </w:rPr>
              <w:t>Six Months Ended</w:t>
            </w:r>
          </w:p>
        </w:tc>
        <w:tc>
          <w:tcPr>
            <w:tcW w:w="1440" w:type="dxa"/>
            <w:vAlign w:val="bottom"/>
            <w:tcBorders>
              <w:bottom w:val="single" w:sz="8" w:color="auto"/>
            </w:tcBorders>
          </w:tcPr>
          <w:p>
            <w:pPr>
              <w:spacing w:after="0"/>
              <w:rPr>
                <w:sz w:val="18"/>
                <w:szCs w:val="18"/>
                <w:color w:val="auto"/>
              </w:rPr>
            </w:pPr>
          </w:p>
        </w:tc>
      </w:tr>
      <w:tr>
        <w:trPr>
          <w:trHeight w:val="210"/>
        </w:trPr>
        <w:tc>
          <w:tcPr>
            <w:tcW w:w="278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July 2, 2023</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July 3, 2022</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July 2, 2023</w:t>
            </w: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w w:val="91"/>
              </w:rPr>
              <w:t>July 3, 2022</w:t>
            </w:r>
          </w:p>
        </w:tc>
      </w:tr>
      <w:tr>
        <w:trPr>
          <w:trHeight w:val="226"/>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440" w:type="dxa"/>
            <w:vAlign w:val="bottom"/>
            <w:shd w:val="clear" w:color="auto" w:fill="CCEEFF"/>
          </w:tcPr>
          <w:p>
            <w:pPr>
              <w:jc w:val="right"/>
              <w:ind w:right="1255"/>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43,893</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35"/>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35,635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86,399</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71,006</w:t>
            </w:r>
          </w:p>
        </w:tc>
      </w:tr>
      <w:tr>
        <w:trPr>
          <w:trHeight w:val="230"/>
        </w:trPr>
        <w:tc>
          <w:tcPr>
            <w:tcW w:w="2780" w:type="dxa"/>
            <w:vAlign w:val="bottom"/>
          </w:tcPr>
          <w:p>
            <w:pPr>
              <w:ind w:left="20"/>
              <w:spacing w:after="0"/>
              <w:rPr>
                <w:sz w:val="20"/>
                <w:szCs w:val="20"/>
                <w:color w:val="auto"/>
              </w:rPr>
            </w:pPr>
            <w:r>
              <w:rPr>
                <w:rFonts w:ascii="Arial" w:cs="Arial" w:eastAsia="Arial" w:hAnsi="Arial"/>
                <w:sz w:val="18"/>
                <w:szCs w:val="18"/>
                <w:color w:val="auto"/>
              </w:rPr>
              <w:t>Capitalized interest</w:t>
            </w:r>
          </w:p>
        </w:tc>
        <w:tc>
          <w:tcPr>
            <w:tcW w:w="14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1"/>
              </w:rPr>
              <w:t>(3,721)</w:t>
            </w:r>
          </w:p>
        </w:tc>
        <w:tc>
          <w:tcPr>
            <w:tcW w:w="12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(1,833)</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w w:val="94"/>
              </w:rPr>
              <w:t>(6,788)</w:t>
            </w:r>
          </w:p>
        </w:tc>
        <w:tc>
          <w:tcPr>
            <w:tcW w:w="1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(3,668)</w:t>
            </w:r>
          </w:p>
        </w:tc>
      </w:tr>
      <w:tr>
        <w:trPr>
          <w:trHeight w:val="236"/>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440" w:type="dxa"/>
            <w:vAlign w:val="bottom"/>
            <w:shd w:val="clear" w:color="auto" w:fill="CCEEFF"/>
          </w:tcPr>
          <w:p>
            <w:pPr>
              <w:spacing w:after="0"/>
              <w:rPr>
                <w:sz w:val="20"/>
                <w:szCs w:val="20"/>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40,172</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33,802</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680" w:type="dxa"/>
            <w:vAlign w:val="bottom"/>
            <w:shd w:val="clear" w:color="auto" w:fill="CCEEFF"/>
          </w:tcPr>
          <w:p>
            <w:pPr>
              <w:ind w:left="1120"/>
              <w:spacing w:after="0"/>
              <w:rPr>
                <w:sz w:val="20"/>
                <w:szCs w:val="20"/>
                <w:color w:val="auto"/>
              </w:rPr>
            </w:pPr>
            <w:r>
              <w:rPr>
                <w:rFonts w:ascii="Arial" w:cs="Arial" w:eastAsia="Arial" w:hAnsi="Arial"/>
                <w:sz w:val="18"/>
                <w:szCs w:val="18"/>
                <w:color w:val="auto"/>
                <w:w w:val="98"/>
              </w:rPr>
              <w:t>79,611</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67,338</w:t>
            </w:r>
          </w:p>
        </w:tc>
      </w:tr>
      <w:tr>
        <w:trPr>
          <w:trHeight w:val="230"/>
        </w:trPr>
        <w:tc>
          <w:tcPr>
            <w:tcW w:w="27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4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1"/>
              </w:rPr>
              <w:t>(3,511)</w:t>
            </w:r>
          </w:p>
        </w:tc>
        <w:tc>
          <w:tcPr>
            <w:tcW w:w="12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w w:val="94"/>
              </w:rPr>
              <w:t>(5,265)</w:t>
            </w:r>
          </w:p>
        </w:tc>
        <w:tc>
          <w:tcPr>
            <w:tcW w:w="1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w:t>
            </w:r>
          </w:p>
        </w:tc>
      </w:tr>
      <w:tr>
        <w:trPr>
          <w:trHeight w:val="243"/>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440" w:type="dxa"/>
            <w:vAlign w:val="bottom"/>
            <w:shd w:val="clear" w:color="auto" w:fill="CCEEFF"/>
          </w:tcPr>
          <w:p>
            <w:pPr>
              <w:jc w:val="right"/>
              <w:ind w:right="1255"/>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36,661</w:t>
            </w:r>
          </w:p>
        </w:tc>
        <w:tc>
          <w:tcPr>
            <w:tcW w:w="1560" w:type="dxa"/>
            <w:vAlign w:val="bottom"/>
            <w:gridSpan w:val="2"/>
            <w:shd w:val="clear" w:color="auto" w:fill="CCEEFF"/>
          </w:tcPr>
          <w:p>
            <w:pPr>
              <w:jc w:val="right"/>
              <w:ind w:right="123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33,413</w:t>
            </w:r>
          </w:p>
        </w:tc>
        <w:tc>
          <w:tcPr>
            <w:tcW w:w="4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74,346</w:t>
            </w:r>
          </w:p>
        </w:tc>
        <w:tc>
          <w:tcPr>
            <w:tcW w:w="70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66,592</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6944360</wp:posOffset>
            </wp:positionH>
            <wp:positionV relativeFrom="paragraph">
              <wp:posOffset>805815</wp:posOffset>
            </wp:positionV>
            <wp:extent cx="19685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0"/>
        <w:spacing w:after="0"/>
        <w:tabs>
          <w:tab w:leader="none" w:pos="384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Q2 2023 Form 10-Q |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w:t>
      </w:r>
    </w:p>
    <w:p>
      <w:pPr>
        <w:spacing w:after="0" w:line="17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We are exposed to market risks arising principally from changes in foreign currency exchange rates, interest rates and commodity prices. We use certain derivative instruments to manage these risks. These include interest rate swaps to manage interest rate risk, foreign currency forward exchange contracts to manage foreign currency exchange rate risk, and commodities futures and options contracts to manage commodity market price risk exposures.</w:t>
      </w:r>
    </w:p>
    <w:p>
      <w:pPr>
        <w:spacing w:after="0" w:line="9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entering into these contracts, we have assumed the risk that might arise from the possible inability of counterparties to meet the terms of their contracts. We mitigate this risk by entering into exchange-traded contracts with collateral posting requirements and/or by performing financial assessments prior to contract execution, conducting periodic evaluations of counterparty performance and maintaining a diverse portfolio of qualified counterparties. We do not expect any significant losses from counterparty defaults.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75"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We enter into commodities futures and options contracts and other commodity derivative instruments to reduce the effect of future price fluctuations associated with the purchase of raw materials, energy requirements and transportation services. We generally hedge commodity price risks for 3- to 24-month periods. Our open commodity derivative contracts had a notional value of $185,348 as of July 2, 2023 and $243,009 as of December 31, 2022.</w:t>
      </w:r>
    </w:p>
    <w:p>
      <w:pPr>
        <w:spacing w:after="0" w:line="9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Derivatives used to manage commodity price risk are not designated for hedge accounting treatment. Therefore, the changes in fair value of these derivatives are recorded as incurred within cost of sales. As discussed in </w:t>
      </w:r>
      <w:r>
        <w:rPr>
          <w:rFonts w:ascii="Arial" w:cs="Arial" w:eastAsia="Arial" w:hAnsi="Arial"/>
          <w:sz w:val="18"/>
          <w:szCs w:val="18"/>
          <w:u w:val="single" w:color="auto"/>
          <w:color w:val="0000FF"/>
        </w:rPr>
        <w:t>Note 13</w:t>
      </w:r>
      <w:r>
        <w:rPr>
          <w:rFonts w:ascii="Arial" w:cs="Arial" w:eastAsia="Arial" w:hAnsi="Arial"/>
          <w:sz w:val="18"/>
          <w:szCs w:val="18"/>
          <w:color w:val="auto"/>
        </w:rPr>
        <w:t>, we define our segment income to exclude gains and losses on commodity derivatives until the related inventory is sold, at which time the related gains and losses are reflected within segment income. This enables us to continue to align the derivative gains and losses with the underlying economic exposure being hedged and thereby eliminate the mark-to-market volatility within our reported segment income.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Price Risk</w:t>
      </w:r>
    </w:p>
    <w:p>
      <w:pPr>
        <w:spacing w:after="0" w:line="9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are exposed to foreign currency exchange rate risk related to our international operations, including non-functional currency intercompany debt and other non-functional currency transactions of certain subsidiaries. Principal currencies hedged include the euro, Canadian dollar, Japanese yen, British pound, Brazilian real, Malaysian ringgit, Mexican peso and Swiss franc. We typically utilize foreign currency forward exchange contracts to hedge these exposures for periods ranging from 3 to 12 months. The contracts are either designated as cash flow hedges or are undesignated. The net notional amount of foreign exchange contracts accounted for as cash flow hedges was $86,628 at July 2, 2023 and $59,448 at December 31, 2022. The effective portion of the changes in fair value on these contracts is recorded in other comprehensive income and reclassified into earnings in the same period in which the hedged transactions affect earnings. The net notional amount of foreign exchange contracts that are not designated as accounting hedges was $19,172 at July 2, 2023 and $1,843 at December 31, 2022. The change in fair value on these instruments is recorded directly in cost of sales or selling, marketing and administrative expense, depending on the nature of the underlying exposure.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order to manage interest rate exposure, from time to time, we enter into interest rate swap agreements to protect against unfavorable interest rate changes relating to forecasted debt transactions. These swaps, which are settled upon issuance of the related debt, are designated as cash flow hedges and the gains and losses that are deferred in other comprehensive income are being recognized as an adjustment to interest expense over the same period that the hedged interest payments affect earnings.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10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exposed to market price changes in certain broad market indices related to our deferred compensation obligations to our employees. To mitigate this risk, we use equity swap contracts to hedge the portion of the exposure that is linked to market-level equity returns. These contracts are not designated as hedges for accounting purposes and are entered into for periods of 3 to 12 months. The change in fair value of these derivatives is recorded in selling, marketing and administrative expense, together with the change in the related liabilities. The notional amount of the contracts outstanding at July 2, 2023 and December 31, 2022 was $21,740 and $18,803,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265430</wp:posOffset>
            </wp:positionV>
            <wp:extent cx="19685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Q2 2023 Form 10-Q |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classification of derivative assets and liabilities within the Consolidated Balance Sheets as of July 2, 2023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1090"/>
              <w:spacing w:after="0"/>
              <w:rPr>
                <w:sz w:val="20"/>
                <w:szCs w:val="20"/>
                <w:color w:val="auto"/>
              </w:rPr>
            </w:pPr>
            <w:r>
              <w:rPr>
                <w:rFonts w:ascii="Arial" w:cs="Arial" w:eastAsia="Arial" w:hAnsi="Arial"/>
                <w:sz w:val="18"/>
                <w:szCs w:val="18"/>
                <w:b w:val="1"/>
                <w:bCs w:val="1"/>
                <w:color w:val="auto"/>
              </w:rPr>
              <w:t>July 2, 2023</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810"/>
              <w:spacing w:after="0"/>
              <w:rPr>
                <w:sz w:val="20"/>
                <w:szCs w:val="20"/>
                <w:color w:val="auto"/>
              </w:rPr>
            </w:pPr>
            <w:r>
              <w:rPr>
                <w:rFonts w:ascii="Arial" w:cs="Arial" w:eastAsia="Arial" w:hAnsi="Arial"/>
                <w:sz w:val="18"/>
                <w:szCs w:val="18"/>
                <w:b w:val="1"/>
                <w:bCs w:val="1"/>
                <w:color w:val="auto"/>
              </w:rPr>
              <w:t>December 31, 2022</w:t>
            </w:r>
          </w:p>
        </w:tc>
      </w:tr>
      <w:tr>
        <w:trPr>
          <w:trHeight w:val="232"/>
        </w:trPr>
        <w:tc>
          <w:tcPr>
            <w:tcW w:w="46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Assets (1)</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Liabilities (1)</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Assets (1)</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8"/>
              </w:rPr>
              <w:t>Liabilities (1)</w:t>
            </w:r>
          </w:p>
        </w:tc>
      </w:tr>
      <w:tr>
        <w:trPr>
          <w:trHeight w:val="214"/>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1"/>
              </w:rPr>
              <w:t>Derivatives designated as cash flow hedging instruments: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7"/>
        </w:trPr>
        <w:tc>
          <w:tcPr>
            <w:tcW w:w="4600" w:type="dxa"/>
            <w:vAlign w:val="bottom"/>
          </w:tcPr>
          <w:p>
            <w:pPr>
              <w:ind w:left="20"/>
              <w:spacing w:after="0"/>
              <w:rPr>
                <w:sz w:val="20"/>
                <w:szCs w:val="20"/>
                <w:color w:val="auto"/>
              </w:rPr>
            </w:pPr>
            <w:r>
              <w:rPr>
                <w:rFonts w:ascii="Arial" w:cs="Arial" w:eastAsia="Arial" w:hAnsi="Arial"/>
                <w:sz w:val="18"/>
                <w:szCs w:val="18"/>
                <w:color w:val="auto"/>
              </w:rPr>
              <w:t>Foreign exchange contracts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436</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5,561</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3,921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76"/>
        </w:trPr>
        <w:tc>
          <w:tcPr>
            <w:tcW w:w="4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Commodities futures and options (2)</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r>
      <w:tr>
        <w:trPr>
          <w:trHeight w:val="237"/>
        </w:trPr>
        <w:tc>
          <w:tcPr>
            <w:tcW w:w="4600" w:type="dxa"/>
            <w:vAlign w:val="bottom"/>
          </w:tcPr>
          <w:p>
            <w:pPr>
              <w:ind w:left="20"/>
              <w:spacing w:after="0"/>
              <w:rPr>
                <w:sz w:val="20"/>
                <w:szCs w:val="20"/>
                <w:color w:val="auto"/>
              </w:rPr>
            </w:pPr>
            <w:r>
              <w:rPr>
                <w:rFonts w:ascii="Arial" w:cs="Arial" w:eastAsia="Arial" w:hAnsi="Arial"/>
                <w:sz w:val="18"/>
                <w:szCs w:val="18"/>
                <w:color w:val="auto"/>
              </w:rPr>
              <w:t>Deferred compensation derivatives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 contracts</w:t>
            </w:r>
          </w:p>
        </w:tc>
        <w:tc>
          <w:tcPr>
            <w:tcW w:w="2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7,562</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r>
      <w:tr>
        <w:trPr>
          <w:trHeight w:val="257"/>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6,074</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500" w:right="20" w:hanging="330"/>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Derivative assets are classified on our Consolidated Balance Sheets within prepaid expenses and other as well as other non-current assets. Derivative liabilities are classified on our Consolidated Balance Sheets within accrued liabilities and other long-term liabilities.</w:t>
      </w:r>
    </w:p>
    <w:p>
      <w:pPr>
        <w:spacing w:after="0" w:line="8" w:lineRule="exact"/>
        <w:rPr>
          <w:rFonts w:ascii="Arial" w:cs="Arial" w:eastAsia="Arial" w:hAnsi="Arial"/>
          <w:sz w:val="18"/>
          <w:szCs w:val="18"/>
          <w:color w:val="auto"/>
        </w:rPr>
      </w:pPr>
    </w:p>
    <w:p>
      <w:pPr>
        <w:ind w:left="500" w:right="100" w:hanging="330"/>
        <w:spacing w:after="0" w:line="25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of July 2, 2023, amounts reflected on a net basis in liabilities were assets of $30,450 and liabilities of $30,003, which are associated with cash transfers receivable or payable on commodities futures contracts reflecting the change in quoted market prices on the last trading day for the period. The comparable amounts reflected on a net basis in liabilities at December 31, 2022 were assets of $25,308 and liabilities of $25,296. At July 2, 2023 and December 31, 2022, the remaining amount reflected in assets and liabilities related to the fair value of other non-exchange traded derivative instruments, respectively.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 Impact of Derivative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effect of derivative instruments on the Consolidated Statements of Income for the three months ended July 2, 2023 and July 3, 2022 was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6"/>
                <w:szCs w:val="16"/>
                <w:b w:val="1"/>
                <w:bCs w:val="1"/>
                <w:color w:val="auto"/>
                <w:w w:val="98"/>
              </w:rPr>
              <w:t>Non-designated Hedges</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6"/>
                <w:szCs w:val="16"/>
                <w:b w:val="1"/>
                <w:bCs w:val="1"/>
                <w:color w:val="auto"/>
              </w:rPr>
              <w:t>Cash Flow Hedges</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500" w:type="dxa"/>
            <w:vAlign w:val="bottom"/>
            <w:gridSpan w:val="5"/>
            <w:vMerge w:val="restart"/>
          </w:tcPr>
          <w:p>
            <w:pPr>
              <w:ind w:left="40"/>
              <w:spacing w:after="0"/>
              <w:rPr>
                <w:sz w:val="20"/>
                <w:szCs w:val="20"/>
                <w:color w:val="auto"/>
              </w:rPr>
            </w:pPr>
            <w:r>
              <w:rPr>
                <w:rFonts w:ascii="Arial" w:cs="Arial" w:eastAsia="Arial" w:hAnsi="Arial"/>
                <w:sz w:val="16"/>
                <w:szCs w:val="16"/>
                <w:b w:val="1"/>
                <w:bCs w:val="1"/>
                <w:color w:val="auto"/>
                <w:w w:val="87"/>
              </w:rPr>
              <w:t>Gains (losses) recognized in income</w:t>
            </w:r>
          </w:p>
        </w:tc>
        <w:tc>
          <w:tcPr>
            <w:tcW w:w="120" w:type="dxa"/>
            <w:vAlign w:val="bottom"/>
          </w:tcPr>
          <w:p>
            <w:pPr>
              <w:spacing w:after="0"/>
              <w:rPr>
                <w:sz w:val="13"/>
                <w:szCs w:val="13"/>
                <w:color w:val="auto"/>
              </w:rPr>
            </w:pPr>
          </w:p>
        </w:tc>
        <w:tc>
          <w:tcPr>
            <w:tcW w:w="2480" w:type="dxa"/>
            <w:vAlign w:val="bottom"/>
            <w:gridSpan w:val="5"/>
            <w:vMerge w:val="restart"/>
          </w:tcPr>
          <w:p>
            <w:pPr>
              <w:jc w:val="right"/>
              <w:spacing w:after="0"/>
              <w:rPr>
                <w:sz w:val="20"/>
                <w:szCs w:val="20"/>
                <w:color w:val="auto"/>
              </w:rPr>
            </w:pPr>
            <w:r>
              <w:rPr>
                <w:rFonts w:ascii="Arial" w:cs="Arial" w:eastAsia="Arial" w:hAnsi="Arial"/>
                <w:sz w:val="16"/>
                <w:szCs w:val="16"/>
                <w:b w:val="1"/>
                <w:bCs w:val="1"/>
                <w:color w:val="auto"/>
                <w:w w:val="91"/>
              </w:rPr>
              <w:t>Gains (losses) recognized in other</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80" w:type="dxa"/>
            <w:vAlign w:val="bottom"/>
            <w:gridSpan w:val="4"/>
          </w:tcPr>
          <w:p>
            <w:pPr>
              <w:jc w:val="center"/>
              <w:ind w:right="12"/>
              <w:spacing w:after="0" w:line="158" w:lineRule="exact"/>
              <w:rPr>
                <w:sz w:val="20"/>
                <w:szCs w:val="20"/>
                <w:color w:val="auto"/>
              </w:rPr>
            </w:pPr>
            <w:r>
              <w:rPr>
                <w:rFonts w:ascii="Arial" w:cs="Arial" w:eastAsia="Arial" w:hAnsi="Arial"/>
                <w:sz w:val="16"/>
                <w:szCs w:val="16"/>
                <w:b w:val="1"/>
                <w:bCs w:val="1"/>
                <w:color w:val="auto"/>
                <w:w w:val="87"/>
              </w:rPr>
              <w:t>Gains (losses) reclassified from</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50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5"/>
          </w:tcPr>
          <w:p>
            <w:pPr>
              <w:jc w:val="center"/>
              <w:ind w:right="160"/>
              <w:spacing w:after="0" w:line="162" w:lineRule="exact"/>
              <w:rPr>
                <w:sz w:val="20"/>
                <w:szCs w:val="20"/>
                <w:color w:val="auto"/>
              </w:rPr>
            </w:pPr>
            <w:r>
              <w:rPr>
                <w:rFonts w:ascii="Arial" w:cs="Arial" w:eastAsia="Arial" w:hAnsi="Arial"/>
                <w:sz w:val="16"/>
                <w:szCs w:val="16"/>
                <w:b w:val="1"/>
                <w:bCs w:val="1"/>
                <w:color w:val="auto"/>
                <w:w w:val="96"/>
              </w:rPr>
              <w:t>accumulated OCI (“AOCI”) into</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6"/>
                <w:szCs w:val="16"/>
                <w:b w:val="1"/>
                <w:bCs w:val="1"/>
                <w:color w:val="auto"/>
              </w:rPr>
              <w:t>(a)</w:t>
            </w: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53"/>
              <w:spacing w:after="0"/>
              <w:rPr>
                <w:sz w:val="20"/>
                <w:szCs w:val="20"/>
                <w:color w:val="auto"/>
              </w:rPr>
            </w:pPr>
            <w:r>
              <w:rPr>
                <w:rFonts w:ascii="Arial" w:cs="Arial" w:eastAsia="Arial" w:hAnsi="Arial"/>
                <w:sz w:val="16"/>
                <w:szCs w:val="16"/>
                <w:b w:val="1"/>
                <w:bCs w:val="1"/>
                <w:color w:val="auto"/>
                <w:w w:val="91"/>
              </w:rPr>
              <w:t>comprehensive income (“OCI”)</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center"/>
              <w:ind w:left="634"/>
              <w:spacing w:after="0"/>
              <w:rPr>
                <w:sz w:val="20"/>
                <w:szCs w:val="20"/>
                <w:color w:val="auto"/>
              </w:rPr>
            </w:pPr>
            <w:r>
              <w:rPr>
                <w:rFonts w:ascii="Arial" w:cs="Arial" w:eastAsia="Arial" w:hAnsi="Arial"/>
                <w:sz w:val="16"/>
                <w:szCs w:val="16"/>
                <w:b w:val="1"/>
                <w:bCs w:val="1"/>
                <w:color w:val="auto"/>
                <w:w w:val="88"/>
              </w:rPr>
              <w:t>income (b)</w:t>
            </w: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Commodities futures and options</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(6,437)</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Foreign exchange contracts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5,278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 agreements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3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Deferred compensation derivatives</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(4,244)</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20" w:type="dxa"/>
            <w:vAlign w:val="bottom"/>
          </w:tcPr>
          <w:p>
            <w:pPr>
              <w:spacing w:after="0"/>
              <w:rPr>
                <w:sz w:val="24"/>
                <w:szCs w:val="24"/>
                <w:color w:val="auto"/>
              </w:rPr>
            </w:pPr>
          </w:p>
        </w:tc>
        <w:tc>
          <w:tcPr>
            <w:tcW w:w="344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240" w:type="dxa"/>
            <w:vAlign w:val="bottom"/>
          </w:tcPr>
          <w:p>
            <w:pPr>
              <w:spacing w:after="0"/>
              <w:rPr>
                <w:sz w:val="24"/>
                <w:szCs w:val="24"/>
                <w:color w:val="auto"/>
              </w:rPr>
            </w:pPr>
          </w:p>
        </w:tc>
        <w:tc>
          <w:tcPr>
            <w:tcW w:w="3960" w:type="dxa"/>
            <w:vAlign w:val="bottom"/>
            <w:gridSpan w:val="9"/>
          </w:tcPr>
          <w:p>
            <w:pPr>
              <w:jc w:val="right"/>
              <w:ind w:right="150"/>
              <w:spacing w:after="0"/>
              <w:rPr>
                <w:sz w:val="20"/>
                <w:szCs w:val="20"/>
                <w:color w:val="auto"/>
              </w:rPr>
            </w:pPr>
            <w:r>
              <w:rPr>
                <w:rFonts w:ascii="Arial" w:cs="Arial" w:eastAsia="Arial" w:hAnsi="Arial"/>
                <w:sz w:val="16"/>
                <w:szCs w:val="16"/>
                <w:color w:val="auto"/>
                <w:w w:val="94"/>
              </w:rPr>
              <w:t>The Hershey Company | Q2 2023 Form 10-Q | Page 15</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Borders>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-530860</wp:posOffset>
            </wp:positionV>
            <wp:extent cx="19685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ind w:right="-5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The effect of derivative instruments on the Consolidated Statements of Income for the six months ended July 2, 2023 and July 3, 2022 was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6"/>
                <w:szCs w:val="16"/>
                <w:b w:val="1"/>
                <w:bCs w:val="1"/>
                <w:color w:val="auto"/>
                <w:w w:val="96"/>
              </w:rPr>
              <w:t>Non-designated Hedges</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6"/>
                <w:szCs w:val="16"/>
                <w:b w:val="1"/>
                <w:bCs w:val="1"/>
                <w:color w:val="auto"/>
              </w:rPr>
              <w:t>Cash Flow Hedges</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460" w:type="dxa"/>
            <w:vAlign w:val="bottom"/>
          </w:tcPr>
          <w:p>
            <w:pPr>
              <w:spacing w:after="0"/>
              <w:rPr>
                <w:sz w:val="13"/>
                <w:szCs w:val="13"/>
                <w:color w:val="auto"/>
              </w:rPr>
            </w:pPr>
          </w:p>
        </w:tc>
        <w:tc>
          <w:tcPr>
            <w:tcW w:w="2500" w:type="dxa"/>
            <w:vAlign w:val="bottom"/>
            <w:gridSpan w:val="5"/>
            <w:vMerge w:val="restart"/>
          </w:tcPr>
          <w:p>
            <w:pPr>
              <w:ind w:left="40"/>
              <w:spacing w:after="0"/>
              <w:rPr>
                <w:sz w:val="20"/>
                <w:szCs w:val="20"/>
                <w:color w:val="auto"/>
              </w:rPr>
            </w:pPr>
            <w:r>
              <w:rPr>
                <w:rFonts w:ascii="Arial" w:cs="Arial" w:eastAsia="Arial" w:hAnsi="Arial"/>
                <w:sz w:val="16"/>
                <w:szCs w:val="16"/>
                <w:b w:val="1"/>
                <w:bCs w:val="1"/>
                <w:color w:val="auto"/>
                <w:w w:val="87"/>
              </w:rPr>
              <w:t>Gains (losses) recognized in income</w:t>
            </w:r>
          </w:p>
        </w:tc>
        <w:tc>
          <w:tcPr>
            <w:tcW w:w="120" w:type="dxa"/>
            <w:vAlign w:val="bottom"/>
          </w:tcPr>
          <w:p>
            <w:pPr>
              <w:spacing w:after="0"/>
              <w:rPr>
                <w:sz w:val="13"/>
                <w:szCs w:val="13"/>
                <w:color w:val="auto"/>
              </w:rPr>
            </w:pPr>
          </w:p>
        </w:tc>
        <w:tc>
          <w:tcPr>
            <w:tcW w:w="2480" w:type="dxa"/>
            <w:vAlign w:val="bottom"/>
            <w:gridSpan w:val="5"/>
            <w:vMerge w:val="restart"/>
          </w:tcPr>
          <w:p>
            <w:pPr>
              <w:jc w:val="right"/>
              <w:spacing w:after="0"/>
              <w:rPr>
                <w:sz w:val="20"/>
                <w:szCs w:val="20"/>
                <w:color w:val="auto"/>
              </w:rPr>
            </w:pPr>
            <w:r>
              <w:rPr>
                <w:rFonts w:ascii="Arial" w:cs="Arial" w:eastAsia="Arial" w:hAnsi="Arial"/>
                <w:sz w:val="16"/>
                <w:szCs w:val="16"/>
                <w:b w:val="1"/>
                <w:bCs w:val="1"/>
                <w:color w:val="auto"/>
                <w:w w:val="91"/>
              </w:rPr>
              <w:t>Gains (losses) recognized in other</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80" w:type="dxa"/>
            <w:vAlign w:val="bottom"/>
            <w:gridSpan w:val="4"/>
          </w:tcPr>
          <w:p>
            <w:pPr>
              <w:jc w:val="center"/>
              <w:ind w:right="12"/>
              <w:spacing w:after="0" w:line="158" w:lineRule="exact"/>
              <w:rPr>
                <w:sz w:val="20"/>
                <w:szCs w:val="20"/>
                <w:color w:val="auto"/>
              </w:rPr>
            </w:pPr>
            <w:r>
              <w:rPr>
                <w:rFonts w:ascii="Arial" w:cs="Arial" w:eastAsia="Arial" w:hAnsi="Arial"/>
                <w:sz w:val="16"/>
                <w:szCs w:val="16"/>
                <w:b w:val="1"/>
                <w:bCs w:val="1"/>
                <w:color w:val="auto"/>
                <w:w w:val="87"/>
              </w:rPr>
              <w:t>Gains (losses) reclassified from</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250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4"/>
          </w:tcPr>
          <w:p>
            <w:pPr>
              <w:jc w:val="center"/>
              <w:ind w:right="12"/>
              <w:spacing w:after="0" w:line="162" w:lineRule="exact"/>
              <w:rPr>
                <w:sz w:val="20"/>
                <w:szCs w:val="20"/>
                <w:color w:val="auto"/>
              </w:rPr>
            </w:pPr>
            <w:r>
              <w:rPr>
                <w:rFonts w:ascii="Arial" w:cs="Arial" w:eastAsia="Arial" w:hAnsi="Arial"/>
                <w:sz w:val="16"/>
                <w:szCs w:val="16"/>
                <w:b w:val="1"/>
                <w:bCs w:val="1"/>
                <w:color w:val="auto"/>
                <w:w w:val="96"/>
              </w:rPr>
              <w:t>accumulated OCI (“AOCI”) into</w:t>
            </w:r>
          </w:p>
        </w:tc>
        <w:tc>
          <w:tcPr>
            <w:tcW w:w="0" w:type="dxa"/>
            <w:vAlign w:val="bottom"/>
          </w:tcPr>
          <w:p>
            <w:pPr>
              <w:spacing w:after="0"/>
              <w:rPr>
                <w:sz w:val="1"/>
                <w:szCs w:val="1"/>
                <w:color w:val="auto"/>
              </w:rPr>
            </w:pPr>
          </w:p>
        </w:tc>
      </w:tr>
      <w:tr>
        <w:trPr>
          <w:trHeight w:val="213"/>
        </w:trPr>
        <w:tc>
          <w:tcPr>
            <w:tcW w:w="3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6"/>
                <w:szCs w:val="16"/>
                <w:b w:val="1"/>
                <w:bCs w:val="1"/>
                <w:color w:val="auto"/>
              </w:rPr>
              <w:t>(a)</w:t>
            </w: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53"/>
              <w:spacing w:after="0"/>
              <w:rPr>
                <w:sz w:val="20"/>
                <w:szCs w:val="20"/>
                <w:color w:val="auto"/>
              </w:rPr>
            </w:pPr>
            <w:r>
              <w:rPr>
                <w:rFonts w:ascii="Arial" w:cs="Arial" w:eastAsia="Arial" w:hAnsi="Arial"/>
                <w:sz w:val="16"/>
                <w:szCs w:val="16"/>
                <w:b w:val="1"/>
                <w:bCs w:val="1"/>
                <w:color w:val="auto"/>
                <w:w w:val="91"/>
              </w:rPr>
              <w:t>comprehensive income (“OCI”)</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center"/>
              <w:ind w:left="634"/>
              <w:spacing w:after="0"/>
              <w:rPr>
                <w:sz w:val="20"/>
                <w:szCs w:val="20"/>
                <w:color w:val="auto"/>
              </w:rPr>
            </w:pPr>
            <w:r>
              <w:rPr>
                <w:rFonts w:ascii="Arial" w:cs="Arial" w:eastAsia="Arial" w:hAnsi="Arial"/>
                <w:sz w:val="16"/>
                <w:szCs w:val="16"/>
                <w:b w:val="1"/>
                <w:bCs w:val="1"/>
                <w:color w:val="auto"/>
                <w:w w:val="88"/>
              </w:rPr>
              <w:t>income (b)</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26"/>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Commodities futures and options</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(17,051)</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42,071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460" w:type="dxa"/>
            <w:vAlign w:val="bottom"/>
          </w:tcPr>
          <w:p>
            <w:pPr>
              <w:ind w:left="20"/>
              <w:spacing w:after="0"/>
              <w:rPr>
                <w:sz w:val="20"/>
                <w:szCs w:val="20"/>
                <w:color w:val="auto"/>
              </w:rPr>
            </w:pPr>
            <w:r>
              <w:rPr>
                <w:rFonts w:ascii="Arial" w:cs="Arial" w:eastAsia="Arial" w:hAnsi="Arial"/>
                <w:sz w:val="18"/>
                <w:szCs w:val="18"/>
                <w:color w:val="auto"/>
              </w:rPr>
              <w:t>Foreign exchange contracts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(6,656)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1,728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36"/>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agreements</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(10,981)</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w:t>
            </w: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rPr>
                <w:sz w:val="20"/>
                <w:szCs w:val="20"/>
                <w:color w:val="auto"/>
              </w:rPr>
            </w:pPr>
            <w:r>
              <w:rPr>
                <w:rFonts w:ascii="Arial" w:cs="Arial" w:eastAsia="Arial" w:hAnsi="Arial"/>
                <w:sz w:val="18"/>
                <w:szCs w:val="18"/>
                <w:color w:val="auto"/>
              </w:rPr>
              <w:t>Deferred compensation derivatives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(5,044)</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(13,230)</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36,893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(9,253)</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(6,885)</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340" w:hanging="332"/>
        <w:spacing w:after="0" w:line="263"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Gains (losses) recognized in income for non-designated commodities futures and options contracts were included in cost of sales. Gains (losses) recognized in income for non-designated foreign currency forward exchange contracts and deferred compensation derivatives were included in selling, marketing and administrative expenses.</w:t>
      </w:r>
    </w:p>
    <w:p>
      <w:pPr>
        <w:spacing w:after="0" w:line="21" w:lineRule="exact"/>
        <w:rPr>
          <w:rFonts w:ascii="Arial" w:cs="Arial" w:eastAsia="Arial" w:hAnsi="Arial"/>
          <w:sz w:val="18"/>
          <w:szCs w:val="18"/>
          <w:color w:val="auto"/>
        </w:rPr>
      </w:pPr>
    </w:p>
    <w:p>
      <w:pPr>
        <w:ind w:left="340" w:right="800" w:hanging="332"/>
        <w:spacing w:after="0" w:line="342"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Gains (losses) reclassified from AOCI into income for foreign currency forward exchange contracts were included in selling, marketing and administrative expenses. Losses reclassified from AOCI into income for interest rate swap agreements were included in interest expense.</w:t>
      </w:r>
    </w:p>
    <w:p>
      <w:pPr>
        <w:spacing w:after="0" w:line="70"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amount of pre-tax net losses on derivative instruments, including interest rate swap agreements and foreign currency forward exchange contracts expected to be reclassified into earnings in the next 12 months was approximately $27,088 as of July 2, 2023. This amount is primarily associated with interest rate swap agreements.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08" w:lineRule="exact"/>
        <w:rPr>
          <w:sz w:val="20"/>
          <w:szCs w:val="20"/>
          <w:color w:val="auto"/>
        </w:rPr>
      </w:pPr>
    </w:p>
    <w:p>
      <w:pPr>
        <w:ind w:right="100"/>
        <w:spacing w:after="0" w:line="273" w:lineRule="auto"/>
        <w:rPr>
          <w:sz w:val="20"/>
          <w:szCs w:val="20"/>
          <w:color w:val="auto"/>
        </w:rPr>
      </w:pPr>
      <w:r>
        <w:rPr>
          <w:rFonts w:ascii="Arial" w:cs="Arial" w:eastAsia="Arial" w:hAnsi="Arial"/>
          <w:sz w:val="18"/>
          <w:szCs w:val="18"/>
          <w:color w:val="auto"/>
        </w:rPr>
        <w:t>Accounting guidance on fair value measurements requires that financial assets and liabilities be classified and disclosed in one of the following categories of the fair value hierarchy:</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Based on unadjusted quoted prices for identical assets or liabilities in an active market.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Based on observable market-based inputs or unobservable inputs that are corroborated by market data.</w:t>
      </w:r>
    </w:p>
    <w:p>
      <w:pPr>
        <w:spacing w:after="0" w:line="23" w:lineRule="exact"/>
        <w:rPr>
          <w:sz w:val="20"/>
          <w:szCs w:val="20"/>
          <w:color w:val="auto"/>
        </w:rPr>
      </w:pPr>
    </w:p>
    <w:p>
      <w:pPr>
        <w:ind w:left="20" w:right="140"/>
        <w:spacing w:after="0" w:line="245"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Based on unobservable inputs that reflect the entity’s own assumptions about the assumptions that a market participant would use in pricing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 or liability.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Level 3 financial assets or liabilities, nor were there any transfers between levels during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288925</wp:posOffset>
            </wp:positionV>
            <wp:extent cx="19685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Q2 2023 Form 10-Q |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380"/>
        <w:spacing w:after="0" w:line="274" w:lineRule="auto"/>
        <w:rPr>
          <w:sz w:val="20"/>
          <w:szCs w:val="20"/>
          <w:color w:val="auto"/>
        </w:rPr>
      </w:pPr>
      <w:r>
        <w:rPr>
          <w:rFonts w:ascii="Arial" w:cs="Arial" w:eastAsia="Arial" w:hAnsi="Arial"/>
          <w:sz w:val="18"/>
          <w:szCs w:val="18"/>
          <w:color w:val="auto"/>
        </w:rPr>
        <w:t>The following table presents assets and liabilities that were measured at fair value in the Consolidated Balance Sheets on a recurring basis as of July 2, 2023 and December 31, 2022:</w:t>
      </w:r>
    </w:p>
    <w:tbl>
      <w:tblPr>
        <w:tblLayout w:type="fixed"/>
        <w:tblInd w:w="0" w:type="dxa"/>
        <w:tblCellMar>
          <w:top w:w="0" w:type="dxa"/>
          <w:left w:w="0" w:type="dxa"/>
          <w:bottom w:w="0" w:type="dxa"/>
          <w:right w:w="0" w:type="dxa"/>
        </w:tblCellMar>
      </w:tblPr>
      <w:tr>
        <w:trPr>
          <w:trHeight w:val="213"/>
        </w:trPr>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ind w:left="640"/>
              <w:spacing w:after="0"/>
              <w:rPr>
                <w:sz w:val="20"/>
                <w:szCs w:val="20"/>
                <w:color w:val="auto"/>
              </w:rPr>
            </w:pPr>
            <w:r>
              <w:rPr>
                <w:rFonts w:ascii="Arial" w:cs="Arial" w:eastAsia="Arial" w:hAnsi="Arial"/>
                <w:sz w:val="16"/>
                <w:szCs w:val="16"/>
                <w:b w:val="1"/>
                <w:bCs w:val="1"/>
                <w:color w:val="auto"/>
              </w:rPr>
              <w:t>Assets (Liabilities)</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0"/>
        </w:trPr>
        <w:tc>
          <w:tcPr>
            <w:tcW w:w="46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Level 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Level 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Level 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Total</w:t>
            </w:r>
          </w:p>
        </w:tc>
      </w:tr>
      <w:tr>
        <w:trPr>
          <w:trHeight w:val="388"/>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July 2, 2023:</w:t>
            </w: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30"/>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Derivative Instruments:</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43"/>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30"/>
        </w:trPr>
        <w:tc>
          <w:tcPr>
            <w:tcW w:w="4780" w:type="dxa"/>
            <w:vAlign w:val="bottom"/>
            <w:gridSpan w:val="2"/>
          </w:tcPr>
          <w:p>
            <w:pPr>
              <w:ind w:left="360"/>
              <w:spacing w:after="0"/>
              <w:rPr>
                <w:sz w:val="20"/>
                <w:szCs w:val="20"/>
                <w:color w:val="auto"/>
              </w:rPr>
            </w:pPr>
            <w:r>
              <w:rPr>
                <w:rFonts w:ascii="Arial" w:cs="Arial" w:eastAsia="Arial" w:hAnsi="Arial"/>
                <w:sz w:val="18"/>
                <w:szCs w:val="18"/>
                <w:color w:val="auto"/>
              </w:rPr>
              <w:t>Foreign exchange contracts (1)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1,390</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Pr>
          <w:p>
            <w:pPr>
              <w:ind w:left="96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1,390</w:t>
            </w:r>
          </w:p>
        </w:tc>
      </w:tr>
      <w:tr>
        <w:trPr>
          <w:trHeight w:val="229"/>
        </w:trPr>
        <w:tc>
          <w:tcPr>
            <w:tcW w:w="4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compensation derivatives (2)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w:t>
            </w:r>
          </w:p>
        </w:tc>
      </w:tr>
      <w:tr>
        <w:trPr>
          <w:trHeight w:val="237"/>
        </w:trPr>
        <w:tc>
          <w:tcPr>
            <w:tcW w:w="4780" w:type="dxa"/>
            <w:vAlign w:val="bottom"/>
            <w:gridSpan w:val="2"/>
          </w:tcPr>
          <w:p>
            <w:pPr>
              <w:ind w:left="360"/>
              <w:spacing w:after="0"/>
              <w:rPr>
                <w:sz w:val="20"/>
                <w:szCs w:val="20"/>
                <w:color w:val="auto"/>
              </w:rPr>
            </w:pPr>
            <w:r>
              <w:rPr>
                <w:rFonts w:ascii="Arial" w:cs="Arial" w:eastAsia="Arial" w:hAnsi="Arial"/>
                <w:sz w:val="18"/>
                <w:szCs w:val="18"/>
                <w:color w:val="auto"/>
              </w:rPr>
              <w:t>Commodities futures and options (3)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3,729</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Pr>
          <w:p>
            <w:pPr>
              <w:ind w:left="96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3,729</w:t>
            </w:r>
          </w:p>
        </w:tc>
      </w:tr>
      <w:tr>
        <w:trPr>
          <w:trHeight w:val="236"/>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Liabilities:</w:t>
            </w: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4780" w:type="dxa"/>
            <w:vAlign w:val="bottom"/>
            <w:gridSpan w:val="2"/>
          </w:tcPr>
          <w:p>
            <w:pPr>
              <w:ind w:left="360"/>
              <w:spacing w:after="0"/>
              <w:rPr>
                <w:sz w:val="20"/>
                <w:szCs w:val="20"/>
                <w:color w:val="auto"/>
              </w:rPr>
            </w:pPr>
            <w:r>
              <w:rPr>
                <w:rFonts w:ascii="Arial" w:cs="Arial" w:eastAsia="Arial" w:hAnsi="Arial"/>
                <w:sz w:val="18"/>
                <w:szCs w:val="18"/>
                <w:color w:val="auto"/>
              </w:rPr>
              <w:t>Foreign exchange contracts (1)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5,561</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Pr>
          <w:p>
            <w:pPr>
              <w:ind w:left="96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5,561</w:t>
            </w:r>
          </w:p>
        </w:tc>
      </w:tr>
      <w:tr>
        <w:trPr>
          <w:trHeight w:val="243"/>
        </w:trPr>
        <w:tc>
          <w:tcPr>
            <w:tcW w:w="4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Commodities futures and options (3)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479"/>
        </w:trPr>
        <w:tc>
          <w:tcPr>
            <w:tcW w:w="47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2022:</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6"/>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4780" w:type="dxa"/>
            <w:vAlign w:val="bottom"/>
            <w:gridSpan w:val="2"/>
          </w:tcPr>
          <w:p>
            <w:pPr>
              <w:ind w:left="360"/>
              <w:spacing w:after="0"/>
              <w:rPr>
                <w:sz w:val="20"/>
                <w:szCs w:val="20"/>
                <w:color w:val="auto"/>
              </w:rPr>
            </w:pPr>
            <w:r>
              <w:rPr>
                <w:rFonts w:ascii="Arial" w:cs="Arial" w:eastAsia="Arial" w:hAnsi="Arial"/>
                <w:sz w:val="18"/>
                <w:szCs w:val="18"/>
                <w:color w:val="auto"/>
              </w:rPr>
              <w:t>Foreign exchange contracts (1)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4,167</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Pr>
          <w:p>
            <w:pPr>
              <w:ind w:left="96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4,167</w:t>
            </w:r>
          </w:p>
        </w:tc>
      </w:tr>
      <w:tr>
        <w:trPr>
          <w:trHeight w:val="243"/>
        </w:trPr>
        <w:tc>
          <w:tcPr>
            <w:tcW w:w="4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compensation derivatives (2)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r>
      <w:tr>
        <w:trPr>
          <w:trHeight w:val="230"/>
        </w:trPr>
        <w:tc>
          <w:tcPr>
            <w:tcW w:w="4780" w:type="dxa"/>
            <w:vAlign w:val="bottom"/>
            <w:gridSpan w:val="2"/>
          </w:tcPr>
          <w:p>
            <w:pPr>
              <w:ind w:left="360"/>
              <w:spacing w:after="0"/>
              <w:rPr>
                <w:sz w:val="20"/>
                <w:szCs w:val="20"/>
                <w:color w:val="auto"/>
              </w:rPr>
            </w:pPr>
            <w:r>
              <w:rPr>
                <w:rFonts w:ascii="Arial" w:cs="Arial" w:eastAsia="Arial" w:hAnsi="Arial"/>
                <w:sz w:val="18"/>
                <w:szCs w:val="18"/>
                <w:color w:val="auto"/>
              </w:rPr>
              <w:t>Commodities futures and options (3)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685</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Pr>
          <w:p>
            <w:pPr>
              <w:ind w:left="96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685</w:t>
            </w:r>
          </w:p>
        </w:tc>
      </w:tr>
      <w:tr>
        <w:trPr>
          <w:trHeight w:val="229"/>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Liabilities: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7"/>
        </w:trPr>
        <w:tc>
          <w:tcPr>
            <w:tcW w:w="4780" w:type="dxa"/>
            <w:vAlign w:val="bottom"/>
            <w:gridSpan w:val="2"/>
          </w:tcPr>
          <w:p>
            <w:pPr>
              <w:ind w:left="360"/>
              <w:spacing w:after="0"/>
              <w:rPr>
                <w:sz w:val="20"/>
                <w:szCs w:val="20"/>
                <w:color w:val="auto"/>
              </w:rPr>
            </w:pPr>
            <w:r>
              <w:rPr>
                <w:rFonts w:ascii="Arial" w:cs="Arial" w:eastAsia="Arial" w:hAnsi="Arial"/>
                <w:sz w:val="18"/>
                <w:szCs w:val="18"/>
                <w:color w:val="auto"/>
              </w:rPr>
              <w:t>Foreign exchange contracts (1)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261</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Pr>
          <w:p>
            <w:pPr>
              <w:ind w:left="96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36"/>
        </w:trPr>
        <w:tc>
          <w:tcPr>
            <w:tcW w:w="4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Commodities futures and options (3)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r>
    </w:tbl>
    <w:p>
      <w:pPr>
        <w:spacing w:after="0" w:line="80" w:lineRule="exact"/>
        <w:rPr>
          <w:sz w:val="20"/>
          <w:szCs w:val="20"/>
          <w:color w:val="auto"/>
        </w:rPr>
      </w:pPr>
    </w:p>
    <w:p>
      <w:pPr>
        <w:ind w:left="660" w:hanging="328"/>
        <w:spacing w:after="0" w:line="286"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fair value of foreign currency forward exchange contracts is the difference between the contract and current market foreign currency exchange rates at the end of the period. We estimate the fair value of foreign currency forward exchange contracts on a quarterly basis by obtaining market quotes of spot and forward rates for contracts with similar terms, adjusted where necessary for maturity differences.</w:t>
      </w:r>
    </w:p>
    <w:p>
      <w:pPr>
        <w:spacing w:after="0" w:line="84"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fair value of deferred compensation derivatives is based on quoted prices for market interest rates and a broad market equity index.</w:t>
      </w:r>
    </w:p>
    <w:p>
      <w:pPr>
        <w:spacing w:after="0" w:line="169"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fair value of commodities futures and options contracts is based on quoted market prices.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Instruments</w:t>
      </w:r>
    </w:p>
    <w:p>
      <w:pPr>
        <w:spacing w:after="0" w:line="14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carrying amounts of cash and cash equivalents, accounts receivable, accounts payable and short-term debt approximated fair values as of July 2, 2023 and December 31, 2022 because of the relatively short maturity of these instruments.</w:t>
      </w:r>
    </w:p>
    <w:p>
      <w:pPr>
        <w:spacing w:after="0" w:line="103" w:lineRule="exact"/>
        <w:rPr>
          <w:sz w:val="20"/>
          <w:szCs w:val="20"/>
          <w:color w:val="auto"/>
        </w:rPr>
      </w:pPr>
    </w:p>
    <w:p>
      <w:pPr>
        <w:ind w:right="340"/>
        <w:spacing w:after="0" w:line="290" w:lineRule="auto"/>
        <w:rPr>
          <w:sz w:val="20"/>
          <w:szCs w:val="20"/>
          <w:color w:val="auto"/>
        </w:rPr>
      </w:pPr>
      <w:r>
        <w:rPr>
          <w:rFonts w:ascii="Arial" w:cs="Arial" w:eastAsia="Arial" w:hAnsi="Arial"/>
          <w:sz w:val="17"/>
          <w:szCs w:val="17"/>
          <w:color w:val="auto"/>
        </w:rPr>
        <w:t>The estimated fair value of our long-term debt is based on quoted market prices for similar debt issues and is, therefore, classified as Level 2 within the valuation hierarchy. The fair values and carrying values of long-term debt, including the current portion,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4"/>
          </w:tcPr>
          <w:p>
            <w:pPr>
              <w:jc w:val="right"/>
              <w:ind w:right="1492"/>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4"/>
          </w:tcPr>
          <w:p>
            <w:pPr>
              <w:jc w:val="right"/>
              <w:ind w:right="1312"/>
              <w:spacing w:after="0"/>
              <w:rPr>
                <w:sz w:val="20"/>
                <w:szCs w:val="20"/>
                <w:color w:val="auto"/>
              </w:rPr>
            </w:pPr>
            <w:r>
              <w:rPr>
                <w:rFonts w:ascii="Arial" w:cs="Arial" w:eastAsia="Arial" w:hAnsi="Arial"/>
                <w:sz w:val="16"/>
                <w:szCs w:val="16"/>
                <w:b w:val="1"/>
                <w:bCs w:val="1"/>
                <w:color w:val="auto"/>
              </w:rPr>
              <w:t>Carrying Value</w:t>
            </w:r>
          </w:p>
        </w:tc>
      </w:tr>
      <w:tr>
        <w:trPr>
          <w:trHeight w:val="210"/>
        </w:trPr>
        <w:tc>
          <w:tcPr>
            <w:tcW w:w="33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July 2, 2023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w w:val="94"/>
              </w:rPr>
              <w:t>December 31, 2022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July 2, 2023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w w:val="94"/>
              </w:rPr>
              <w:t>December 31, 2022</w:t>
            </w:r>
          </w:p>
        </w:tc>
      </w:tr>
      <w:tr>
        <w:trPr>
          <w:trHeight w:val="226"/>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long-term debt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749,345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753,578</w:t>
            </w: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3,618,703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2,854,165</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4,086,195</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3,343,977</w:t>
            </w:r>
          </w:p>
        </w:tc>
      </w:tr>
      <w:tr>
        <w:trPr>
          <w:trHeight w:val="257"/>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3,626,713</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3,603,510</w:t>
            </w: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4,094,205</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4,097,555</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Measurements</w:t>
      </w:r>
    </w:p>
    <w:p>
      <w:pPr>
        <w:spacing w:after="0" w:line="27"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In addition to assets and liabilities that are recorded at fair value on a recurring basis, GAAP requires that, under certain circumstances, we also record assets and liabilities at fair value on a nonrecurring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358140</wp:posOffset>
            </wp:positionV>
            <wp:extent cx="19685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Q2 2023 Form 10-Q |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connection with the acquisition of Weaver in May 2023, as discussed in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we used valuation techniques to determine fair value, with the primary technique being the cost approach to value personal property, which uses significant unobservable inputs, or Level 3 inputs, as defined by the fair value hierarchy. Additionally, in connection with the acquisitions of Pretzels and Dot’s in December 2021 and subsequent measurement period adjustments through the third quarter of 2022, as discussed in </w:t>
      </w:r>
      <w:r>
        <w:rPr>
          <w:rFonts w:ascii="Arial" w:cs="Arial" w:eastAsia="Arial" w:hAnsi="Arial"/>
          <w:sz w:val="18"/>
          <w:szCs w:val="18"/>
          <w:u w:val="single" w:color="auto"/>
          <w:color w:val="0000FF"/>
        </w:rPr>
        <w:t>Note 2</w:t>
      </w:r>
      <w:r>
        <w:rPr>
          <w:rFonts w:ascii="Arial" w:cs="Arial" w:eastAsia="Arial" w:hAnsi="Arial"/>
          <w:sz w:val="18"/>
          <w:szCs w:val="18"/>
          <w:color w:val="auto"/>
        </w:rPr>
        <w:t>, we used various valuation techniques to determine fair value, with the primary techniques being discounted cash flow analysis and the relief-from-royalty, a form of the multi-period excess earnings, which use significant unobservable inputs, or Level 3 inputs, as defined by the fair value hierarchy.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14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lease office and retail space, warehouse and distribution facilities, land, vehicles, and equipment. We determine if an agreement is or contains a lease at inception. Leases with an initial term of 12 months or less are not recorded on the consolidated balance sheet.</w:t>
      </w:r>
    </w:p>
    <w:p>
      <w:pPr>
        <w:spacing w:after="0" w:line="103"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Right-of-use (“ROU”) assets represent our right to use an underlying asset for the lease term and lease liabilities represent our obligation to make lease payments arising from the lease. ROU assets and liabilities are based on the estimated present value of lease payments over the lease term and are recognized at the lease commencement date.</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As most of our leases do not provide an implicit rate, we use our estimated incremental borrowing rate in determining the present value of lease payments.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estimated incremental borrowing rate is derived from information available at the lease commencement date.</w:t>
      </w:r>
    </w:p>
    <w:p>
      <w:pPr>
        <w:spacing w:after="0" w:line="13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lease terms may include options to extend or terminate the lease when it is reasonably certain that we will exercise that option. A limited number of our lease agreements include rental payments adjusted periodically for inflation. Our lease agreements generally do not contain residual value guarantees or material restrictive covenants.</w:t>
      </w:r>
    </w:p>
    <w:p>
      <w:pPr>
        <w:spacing w:after="0" w:line="11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For real estate, equipment and vehicles that support selling, marketing and general administrative activities, the Company accounts for the lease and non-lease components as a single lease component. These asset categories comprise the majority of our leases. The lease and non-lease components of real estate and equipment leases supporting production activities are not accounted for as a single lease component. Consideration for such contracts are allocated to the lease and non-lease components based upon relative standalone prices either observable or estimated if observable prices are not readily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608330</wp:posOffset>
            </wp:positionV>
            <wp:extent cx="19685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Q2 2023 Form 10-Q | 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for the three months ended July 2, 2023 and July 3, 2022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gridSpan w:val="4"/>
          </w:tcPr>
          <w:p>
            <w:pPr>
              <w:jc w:val="right"/>
              <w:ind w:right="1312"/>
              <w:spacing w:after="0"/>
              <w:rPr>
                <w:sz w:val="20"/>
                <w:szCs w:val="20"/>
                <w:color w:val="auto"/>
              </w:rPr>
            </w:pPr>
            <w:r>
              <w:rPr>
                <w:rFonts w:ascii="Arial" w:cs="Arial" w:eastAsia="Arial" w:hAnsi="Arial"/>
                <w:sz w:val="16"/>
                <w:szCs w:val="16"/>
                <w:b w:val="1"/>
                <w:bCs w:val="1"/>
                <w:color w:val="auto"/>
              </w:rPr>
              <w:t>Three Months Ended</w:t>
            </w:r>
          </w:p>
        </w:tc>
      </w:tr>
      <w:tr>
        <w:trPr>
          <w:trHeight w:val="213"/>
        </w:trPr>
        <w:tc>
          <w:tcPr>
            <w:tcW w:w="3160" w:type="dxa"/>
            <w:vAlign w:val="bottom"/>
          </w:tcPr>
          <w:p>
            <w:pPr>
              <w:ind w:left="20"/>
              <w:spacing w:after="0"/>
              <w:rPr>
                <w:sz w:val="20"/>
                <w:szCs w:val="20"/>
                <w:color w:val="auto"/>
              </w:rPr>
            </w:pPr>
            <w:r>
              <w:rPr>
                <w:rFonts w:ascii="Arial" w:cs="Arial" w:eastAsia="Arial" w:hAnsi="Arial"/>
                <w:sz w:val="16"/>
                <w:szCs w:val="16"/>
                <w:b w:val="1"/>
                <w:bCs w:val="1"/>
                <w:color w:val="auto"/>
              </w:rPr>
              <w:t>Lease expense</w:t>
            </w:r>
          </w:p>
        </w:tc>
        <w:tc>
          <w:tcPr>
            <w:tcW w:w="120" w:type="dxa"/>
            <w:vAlign w:val="bottom"/>
          </w:tcPr>
          <w:p>
            <w:pPr>
              <w:spacing w:after="0"/>
              <w:rPr>
                <w:sz w:val="18"/>
                <w:szCs w:val="18"/>
                <w:color w:val="auto"/>
              </w:rPr>
            </w:pPr>
          </w:p>
        </w:tc>
        <w:tc>
          <w:tcPr>
            <w:tcW w:w="3660" w:type="dxa"/>
            <w:vAlign w:val="bottom"/>
            <w:gridSpan w:val="2"/>
          </w:tcPr>
          <w:p>
            <w:pPr>
              <w:ind w:left="20"/>
              <w:spacing w:after="0"/>
              <w:rPr>
                <w:sz w:val="20"/>
                <w:szCs w:val="20"/>
                <w:color w:val="auto"/>
              </w:rPr>
            </w:pPr>
            <w:r>
              <w:rPr>
                <w:rFonts w:ascii="Arial" w:cs="Arial" w:eastAsia="Arial" w:hAnsi="Arial"/>
                <w:sz w:val="16"/>
                <w:szCs w:val="16"/>
                <w:b w:val="1"/>
                <w:bCs w:val="1"/>
                <w:color w:val="auto"/>
              </w:rPr>
              <w:t>Classification</w:t>
            </w:r>
          </w:p>
        </w:tc>
        <w:tc>
          <w:tcPr>
            <w:tcW w:w="380" w:type="dxa"/>
            <w:vAlign w:val="bottom"/>
          </w:tcPr>
          <w:p>
            <w:pPr>
              <w:spacing w:after="0"/>
              <w:rPr>
                <w:sz w:val="18"/>
                <w:szCs w:val="18"/>
                <w:color w:val="auto"/>
              </w:rPr>
            </w:pPr>
          </w:p>
        </w:tc>
        <w:tc>
          <w:tcPr>
            <w:tcW w:w="1720" w:type="dxa"/>
            <w:vAlign w:val="bottom"/>
          </w:tcPr>
          <w:p>
            <w:pPr>
              <w:jc w:val="right"/>
              <w:ind w:right="553"/>
              <w:spacing w:after="0"/>
              <w:rPr>
                <w:sz w:val="20"/>
                <w:szCs w:val="20"/>
                <w:color w:val="auto"/>
              </w:rPr>
            </w:pPr>
            <w:r>
              <w:rPr>
                <w:rFonts w:ascii="Arial" w:cs="Arial" w:eastAsia="Arial" w:hAnsi="Arial"/>
                <w:sz w:val="16"/>
                <w:szCs w:val="16"/>
                <w:b w:val="1"/>
                <w:bCs w:val="1"/>
                <w:color w:val="auto"/>
              </w:rPr>
              <w:t>July 2, 2023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tcPr>
          <w:p>
            <w:pPr>
              <w:jc w:val="right"/>
              <w:ind w:right="552"/>
              <w:spacing w:after="0"/>
              <w:rPr>
                <w:sz w:val="20"/>
                <w:szCs w:val="20"/>
                <w:color w:val="auto"/>
              </w:rPr>
            </w:pPr>
            <w:r>
              <w:rPr>
                <w:rFonts w:ascii="Arial" w:cs="Arial" w:eastAsia="Arial" w:hAnsi="Arial"/>
                <w:sz w:val="16"/>
                <w:szCs w:val="16"/>
                <w:b w:val="1"/>
                <w:bCs w:val="1"/>
                <w:color w:val="auto"/>
              </w:rPr>
              <w:t>July 3, 2022</w:t>
            </w:r>
          </w:p>
        </w:tc>
      </w:tr>
      <w:tr>
        <w:trPr>
          <w:trHeight w:val="226"/>
        </w:trPr>
        <w:tc>
          <w:tcPr>
            <w:tcW w:w="3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20" w:type="dxa"/>
            <w:vAlign w:val="bottom"/>
            <w:tcBorders>
              <w:top w:val="single" w:sz="8" w:color="CCEEFF"/>
            </w:tcBorders>
            <w:shd w:val="clear" w:color="auto" w:fill="CCEEFF"/>
          </w:tcPr>
          <w:p>
            <w:pPr>
              <w:spacing w:after="0"/>
              <w:rPr>
                <w:sz w:val="19"/>
                <w:szCs w:val="19"/>
                <w:color w:val="auto"/>
              </w:rPr>
            </w:pPr>
          </w:p>
        </w:tc>
        <w:tc>
          <w:tcPr>
            <w:tcW w:w="3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Cost of sales or SM&amp;A (1)</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12,710</w:t>
            </w: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1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43"/>
        </w:trPr>
        <w:tc>
          <w:tcPr>
            <w:tcW w:w="3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ROU assets</w:t>
            </w:r>
          </w:p>
        </w:tc>
        <w:tc>
          <w:tcPr>
            <w:tcW w:w="120" w:type="dxa"/>
            <w:vAlign w:val="bottom"/>
            <w:shd w:val="clear" w:color="auto" w:fill="CCEEFF"/>
          </w:tcPr>
          <w:p>
            <w:pPr>
              <w:spacing w:after="0"/>
              <w:rPr>
                <w:sz w:val="21"/>
                <w:szCs w:val="21"/>
                <w:color w:val="auto"/>
              </w:rPr>
            </w:pPr>
          </w:p>
        </w:tc>
        <w:tc>
          <w:tcPr>
            <w:tcW w:w="3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 (1)</w:t>
            </w:r>
          </w:p>
        </w:tc>
        <w:tc>
          <w:tcPr>
            <w:tcW w:w="3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w:t>
            </w:r>
          </w:p>
        </w:tc>
      </w:tr>
      <w:tr>
        <w:trPr>
          <w:trHeight w:val="230"/>
        </w:trPr>
        <w:tc>
          <w:tcPr>
            <w:tcW w:w="3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on lease liabilities</w:t>
            </w:r>
          </w:p>
        </w:tc>
        <w:tc>
          <w:tcPr>
            <w:tcW w:w="120" w:type="dxa"/>
            <w:vAlign w:val="bottom"/>
            <w:tcBorders>
              <w:bottom w:val="single" w:sz="8" w:color="CCEEFF"/>
            </w:tcBorders>
          </w:tcPr>
          <w:p>
            <w:pPr>
              <w:spacing w:after="0"/>
              <w:rPr>
                <w:sz w:val="19"/>
                <w:szCs w:val="19"/>
                <w:color w:val="auto"/>
              </w:rPr>
            </w:pPr>
          </w:p>
        </w:tc>
        <w:tc>
          <w:tcPr>
            <w:tcW w:w="3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Interest expense, net</w:t>
            </w:r>
          </w:p>
        </w:tc>
        <w:tc>
          <w:tcPr>
            <w:tcW w:w="3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w:t>
            </w:r>
          </w:p>
        </w:tc>
      </w:tr>
      <w:tr>
        <w:trPr>
          <w:trHeight w:val="248"/>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lease cost (2)</w:t>
            </w:r>
          </w:p>
        </w:tc>
        <w:tc>
          <w:tcPr>
            <w:tcW w:w="12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15,514</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for the six months ended July 2, 2023 and July 3, 2022 were as follows: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3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3940" w:type="dxa"/>
            <w:vAlign w:val="bottom"/>
            <w:tcBorders>
              <w:bottom w:val="single" w:sz="8" w:color="auto"/>
            </w:tcBorders>
            <w:gridSpan w:val="2"/>
          </w:tcPr>
          <w:p>
            <w:pPr>
              <w:ind w:left="1320"/>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2320" w:type="dxa"/>
            <w:vAlign w:val="bottom"/>
          </w:tcPr>
          <w:p>
            <w:pPr>
              <w:spacing w:after="0"/>
              <w:rPr>
                <w:sz w:val="20"/>
                <w:szCs w:val="20"/>
                <w:color w:val="auto"/>
              </w:rPr>
            </w:pPr>
            <w:r>
              <w:rPr>
                <w:rFonts w:ascii="Arial" w:cs="Arial" w:eastAsia="Arial" w:hAnsi="Arial"/>
                <w:sz w:val="16"/>
                <w:szCs w:val="16"/>
                <w:b w:val="1"/>
                <w:bCs w:val="1"/>
                <w:color w:val="auto"/>
              </w:rPr>
              <w:t>Lease expense</w:t>
            </w:r>
          </w:p>
        </w:tc>
        <w:tc>
          <w:tcPr>
            <w:tcW w:w="4940" w:type="dxa"/>
            <w:vAlign w:val="bottom"/>
          </w:tcPr>
          <w:p>
            <w:pPr>
              <w:ind w:left="1320"/>
              <w:spacing w:after="0"/>
              <w:rPr>
                <w:sz w:val="20"/>
                <w:szCs w:val="20"/>
                <w:color w:val="auto"/>
              </w:rPr>
            </w:pPr>
            <w:r>
              <w:rPr>
                <w:rFonts w:ascii="Arial" w:cs="Arial" w:eastAsia="Arial" w:hAnsi="Arial"/>
                <w:sz w:val="16"/>
                <w:szCs w:val="16"/>
                <w:b w:val="1"/>
                <w:bCs w:val="1"/>
                <w:color w:val="auto"/>
              </w:rPr>
              <w:t>Classification</w:t>
            </w:r>
          </w:p>
        </w:tc>
        <w:tc>
          <w:tcPr>
            <w:tcW w:w="1960" w:type="dxa"/>
            <w:vAlign w:val="bottom"/>
          </w:tcPr>
          <w:p>
            <w:pPr>
              <w:ind w:left="540"/>
              <w:spacing w:after="0"/>
              <w:rPr>
                <w:sz w:val="20"/>
                <w:szCs w:val="20"/>
                <w:color w:val="auto"/>
              </w:rPr>
            </w:pPr>
            <w:r>
              <w:rPr>
                <w:rFonts w:ascii="Arial" w:cs="Arial" w:eastAsia="Arial" w:hAnsi="Arial"/>
                <w:sz w:val="16"/>
                <w:szCs w:val="16"/>
                <w:b w:val="1"/>
                <w:bCs w:val="1"/>
                <w:color w:val="auto"/>
              </w:rPr>
              <w:t>July 2, 2023</w:t>
            </w:r>
          </w:p>
        </w:tc>
        <w:tc>
          <w:tcPr>
            <w:tcW w:w="1980" w:type="dxa"/>
            <w:vAlign w:val="bottom"/>
          </w:tcPr>
          <w:p>
            <w:pPr>
              <w:ind w:left="620"/>
              <w:spacing w:after="0"/>
              <w:rPr>
                <w:sz w:val="20"/>
                <w:szCs w:val="20"/>
                <w:color w:val="auto"/>
              </w:rPr>
            </w:pPr>
            <w:r>
              <w:rPr>
                <w:rFonts w:ascii="Arial" w:cs="Arial" w:eastAsia="Arial" w:hAnsi="Arial"/>
                <w:sz w:val="16"/>
                <w:szCs w:val="16"/>
                <w:b w:val="1"/>
                <w:bCs w:val="1"/>
                <w:color w:val="auto"/>
              </w:rPr>
              <w:t>July 3,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3810</wp:posOffset>
            </wp:positionV>
            <wp:extent cx="12172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tbl>
      <w:tblPr>
        <w:tblLayout w:type="fixed"/>
        <w:tblInd w:w="0" w:type="dxa"/>
        <w:tblCellMar>
          <w:top w:w="0" w:type="dxa"/>
          <w:left w:w="0" w:type="dxa"/>
          <w:bottom w:w="0" w:type="dxa"/>
          <w:right w:w="0" w:type="dxa"/>
        </w:tblCellMar>
      </w:tblPr>
      <w:tr>
        <w:trPr>
          <w:trHeight w:val="230"/>
        </w:trPr>
        <w:tc>
          <w:tcPr>
            <w:tcW w:w="35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Operating lease cost</w:t>
            </w:r>
          </w:p>
        </w:tc>
        <w:tc>
          <w:tcPr>
            <w:tcW w:w="120" w:type="dxa"/>
            <w:vAlign w:val="bottom"/>
          </w:tcPr>
          <w:p>
            <w:pPr>
              <w:spacing w:after="0"/>
              <w:rPr>
                <w:sz w:val="20"/>
                <w:szCs w:val="20"/>
                <w:color w:val="auto"/>
              </w:rPr>
            </w:pPr>
          </w:p>
        </w:tc>
        <w:tc>
          <w:tcPr>
            <w:tcW w:w="35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Cost of sales or SM&amp;A (1)</w:t>
            </w:r>
          </w:p>
        </w:tc>
        <w:tc>
          <w:tcPr>
            <w:tcW w:w="140" w:type="dxa"/>
            <w:vAlign w:val="bottom"/>
          </w:tcPr>
          <w:p>
            <w:pPr>
              <w:spacing w:after="0"/>
              <w:rPr>
                <w:sz w:val="20"/>
                <w:szCs w:val="20"/>
                <w:color w:val="auto"/>
              </w:rPr>
            </w:pPr>
          </w:p>
        </w:tc>
        <w:tc>
          <w:tcPr>
            <w:tcW w:w="72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24,363</w:t>
            </w:r>
          </w:p>
        </w:tc>
      </w:tr>
      <w:tr>
        <w:trPr>
          <w:trHeight w:val="240"/>
        </w:trPr>
        <w:tc>
          <w:tcPr>
            <w:tcW w:w="352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1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0"/>
        </w:trPr>
        <w:tc>
          <w:tcPr>
            <w:tcW w:w="3520" w:type="dxa"/>
            <w:vAlign w:val="bottom"/>
          </w:tcPr>
          <w:p>
            <w:pPr>
              <w:ind w:left="140"/>
              <w:spacing w:after="0"/>
              <w:rPr>
                <w:sz w:val="20"/>
                <w:szCs w:val="20"/>
                <w:color w:val="auto"/>
              </w:rPr>
            </w:pPr>
            <w:r>
              <w:rPr>
                <w:rFonts w:ascii="Arial" w:cs="Arial" w:eastAsia="Arial" w:hAnsi="Arial"/>
                <w:sz w:val="18"/>
                <w:szCs w:val="18"/>
                <w:color w:val="auto"/>
              </w:rPr>
              <w:t>Amortization of ROU assets</w:t>
            </w:r>
          </w:p>
        </w:tc>
        <w:tc>
          <w:tcPr>
            <w:tcW w:w="120" w:type="dxa"/>
            <w:vAlign w:val="bottom"/>
          </w:tcPr>
          <w:p>
            <w:pPr>
              <w:spacing w:after="0"/>
              <w:rPr>
                <w:sz w:val="19"/>
                <w:szCs w:val="19"/>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Depreciation and amortization (1)</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3,696</w:t>
            </w:r>
          </w:p>
        </w:tc>
      </w:tr>
      <w:tr>
        <w:trPr>
          <w:trHeight w:val="244"/>
        </w:trPr>
        <w:tc>
          <w:tcPr>
            <w:tcW w:w="3520" w:type="dxa"/>
            <w:vAlign w:val="bottom"/>
          </w:tcPr>
          <w:p>
            <w:pPr>
              <w:ind w:left="140"/>
              <w:spacing w:after="0"/>
              <w:rPr>
                <w:sz w:val="20"/>
                <w:szCs w:val="20"/>
                <w:color w:val="auto"/>
              </w:rPr>
            </w:pPr>
            <w:r>
              <w:rPr>
                <w:rFonts w:ascii="Arial" w:cs="Arial" w:eastAsia="Arial" w:hAnsi="Arial"/>
                <w:sz w:val="18"/>
                <w:szCs w:val="18"/>
                <w:color w:val="auto"/>
              </w:rPr>
              <w:t>Interest on lease liabilities</w:t>
            </w:r>
          </w:p>
        </w:tc>
        <w:tc>
          <w:tcPr>
            <w:tcW w:w="120" w:type="dxa"/>
            <w:vAlign w:val="bottom"/>
          </w:tcPr>
          <w:p>
            <w:pPr>
              <w:spacing w:after="0"/>
              <w:rPr>
                <w:sz w:val="21"/>
                <w:szCs w:val="21"/>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w:t>
            </w:r>
          </w:p>
        </w:tc>
      </w:tr>
      <w:tr>
        <w:trPr>
          <w:trHeight w:val="223"/>
        </w:trPr>
        <w:tc>
          <w:tcPr>
            <w:tcW w:w="3520" w:type="dxa"/>
            <w:vAlign w:val="bottom"/>
          </w:tcPr>
          <w:p>
            <w:pPr>
              <w:ind w:left="20"/>
              <w:spacing w:after="0"/>
              <w:rPr>
                <w:sz w:val="20"/>
                <w:szCs w:val="20"/>
                <w:color w:val="auto"/>
              </w:rPr>
            </w:pPr>
            <w:r>
              <w:rPr>
                <w:rFonts w:ascii="Arial" w:cs="Arial" w:eastAsia="Arial" w:hAnsi="Arial"/>
                <w:sz w:val="18"/>
                <w:szCs w:val="18"/>
                <w:color w:val="auto"/>
              </w:rPr>
              <w:t>Net lease cost (2)</w:t>
            </w:r>
          </w:p>
        </w:tc>
        <w:tc>
          <w:tcPr>
            <w:tcW w:w="1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30,251</w:t>
            </w:r>
          </w:p>
        </w:tc>
      </w:tr>
      <w:tr>
        <w:trPr>
          <w:trHeight w:val="20"/>
        </w:trPr>
        <w:tc>
          <w:tcPr>
            <w:tcW w:w="3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-788035</wp:posOffset>
            </wp:positionV>
            <wp:extent cx="712343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2343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-487680</wp:posOffset>
            </wp:positionV>
            <wp:extent cx="712343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2343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712343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pacing w:after="0" w:line="195" w:lineRule="exact"/>
        <w:rPr>
          <w:sz w:val="20"/>
          <w:szCs w:val="20"/>
          <w:color w:val="auto"/>
        </w:rPr>
      </w:pPr>
    </w:p>
    <w:p>
      <w:pPr>
        <w:ind w:left="500" w:hanging="330"/>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Supply chain-related amounts were included in cost of sales.</w:t>
      </w:r>
    </w:p>
    <w:p>
      <w:pPr>
        <w:spacing w:after="0" w:line="63" w:lineRule="exact"/>
        <w:rPr>
          <w:rFonts w:ascii="Arial" w:cs="Arial" w:eastAsia="Arial" w:hAnsi="Arial"/>
          <w:sz w:val="18"/>
          <w:szCs w:val="18"/>
          <w:color w:val="auto"/>
        </w:rPr>
      </w:pPr>
    </w:p>
    <w:p>
      <w:pPr>
        <w:ind w:right="200" w:firstLine="170"/>
        <w:spacing w:after="0" w:line="305" w:lineRule="auto"/>
        <w:tabs>
          <w:tab w:leader="none" w:pos="486"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lease cost does not include short-term leases, variable lease costs or sublease income, all of which are immaterial. Information regarding our lease terms and discount rates were as follows:</w:t>
      </w:r>
    </w:p>
    <w:p>
      <w:pPr>
        <w:spacing w:after="0" w:line="20" w:lineRule="exact"/>
        <w:rPr>
          <w:sz w:val="20"/>
          <w:szCs w:val="20"/>
          <w:color w:val="auto"/>
        </w:rPr>
      </w:pPr>
      <w:r>
        <w:rPr>
          <w:sz w:val="20"/>
          <w:szCs w:val="20"/>
          <w:color w:val="auto"/>
        </w:rPr>
        <w:br w:type="column"/>
      </w:r>
    </w:p>
    <w:p>
      <w:pPr>
        <w:ind w:left="1340" w:hanging="1335"/>
        <w:spacing w:after="0"/>
        <w:tabs>
          <w:tab w:leader="none" w:pos="1340" w:val="left"/>
        </w:tabs>
        <w:numPr>
          <w:ilvl w:val="0"/>
          <w:numId w:val="8"/>
        </w:numPr>
        <w:rPr>
          <w:rFonts w:ascii="Arial" w:cs="Arial" w:eastAsia="Arial" w:hAnsi="Arial"/>
          <w:sz w:val="15"/>
          <w:szCs w:val="15"/>
          <w:color w:val="auto"/>
        </w:rPr>
      </w:pPr>
      <w:r>
        <w:rPr>
          <w:rFonts w:ascii="Arial" w:cs="Arial" w:eastAsia="Arial" w:hAnsi="Arial"/>
          <w:sz w:val="15"/>
          <w:szCs w:val="15"/>
          <w:color w:val="auto"/>
        </w:rPr>
        <w:t>25,497</w:t>
      </w:r>
    </w:p>
    <w:p>
      <w:pPr>
        <w:spacing w:after="0" w:line="300"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3,450</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2,053</w:t>
      </w:r>
    </w:p>
    <w:p>
      <w:pPr>
        <w:spacing w:after="0" w:line="49" w:lineRule="exact"/>
        <w:rPr>
          <w:sz w:val="20"/>
          <w:szCs w:val="20"/>
          <w:color w:val="auto"/>
        </w:rPr>
      </w:pPr>
    </w:p>
    <w:p>
      <w:pPr>
        <w:ind w:left="1340" w:hanging="1335"/>
        <w:spacing w:after="0"/>
        <w:tabs>
          <w:tab w:leader="none" w:pos="1340" w:val="left"/>
        </w:tabs>
        <w:numPr>
          <w:ilvl w:val="0"/>
          <w:numId w:val="9"/>
        </w:numPr>
        <w:rPr>
          <w:rFonts w:ascii="Arial" w:cs="Arial" w:eastAsia="Arial" w:hAnsi="Arial"/>
          <w:sz w:val="15"/>
          <w:szCs w:val="15"/>
          <w:color w:val="auto"/>
        </w:rPr>
      </w:pPr>
      <w:r>
        <w:rPr>
          <w:rFonts w:ascii="Arial" w:cs="Arial" w:eastAsia="Arial" w:hAnsi="Arial"/>
          <w:sz w:val="15"/>
          <w:szCs w:val="15"/>
          <w:color w:val="auto"/>
        </w:rPr>
        <w:t>31,000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62230</wp:posOffset>
            </wp:positionV>
            <wp:extent cx="12172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1124" w:lineRule="exact"/>
        <w:rPr>
          <w:sz w:val="20"/>
          <w:szCs w:val="20"/>
          <w:color w:val="auto"/>
        </w:rPr>
      </w:pPr>
    </w:p>
    <w:p>
      <w:pPr>
        <w:sectPr>
          <w:pgSz w:w="11900" w:h="16838" w:orient="portrait"/>
          <w:cols w:equalWidth="0" w:num="2">
            <w:col w:w="9180" w:space="140"/>
            <w:col w:w="19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3"/>
        </w:trPr>
        <w:tc>
          <w:tcPr>
            <w:tcW w:w="7080" w:type="dxa"/>
            <w:vAlign w:val="bottom"/>
          </w:tcPr>
          <w:p>
            <w:pPr>
              <w:spacing w:after="0"/>
              <w:rPr>
                <w:sz w:val="18"/>
                <w:szCs w:val="18"/>
                <w:color w:val="auto"/>
              </w:rPr>
            </w:pPr>
          </w:p>
        </w:tc>
        <w:tc>
          <w:tcPr>
            <w:tcW w:w="1500" w:type="dxa"/>
            <w:vAlign w:val="bottom"/>
            <w:tcBorders>
              <w:bottom w:val="single" w:sz="8" w:color="auto"/>
            </w:tcBorders>
          </w:tcPr>
          <w:p>
            <w:pPr>
              <w:ind w:left="600"/>
              <w:spacing w:after="0"/>
              <w:rPr>
                <w:sz w:val="20"/>
                <w:szCs w:val="20"/>
                <w:color w:val="auto"/>
              </w:rPr>
            </w:pPr>
            <w:r>
              <w:rPr>
                <w:rFonts w:ascii="Arial" w:cs="Arial" w:eastAsia="Arial" w:hAnsi="Arial"/>
                <w:sz w:val="16"/>
                <w:szCs w:val="16"/>
                <w:b w:val="1"/>
                <w:bCs w:val="1"/>
                <w:color w:val="auto"/>
                <w:w w:val="97"/>
              </w:rPr>
              <w:t>July 2, 2023</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December 31, 2022</w:t>
            </w:r>
          </w:p>
        </w:tc>
      </w:tr>
      <w:tr>
        <w:trPr>
          <w:trHeight w:val="226"/>
        </w:trPr>
        <w:tc>
          <w:tcPr>
            <w:tcW w:w="8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30"/>
        </w:trPr>
        <w:tc>
          <w:tcPr>
            <w:tcW w:w="8580" w:type="dxa"/>
            <w:vAlign w:val="bottom"/>
            <w:gridSpan w:val="2"/>
          </w:tcPr>
          <w:p>
            <w:pPr>
              <w:ind w:left="140"/>
              <w:spacing w:after="0"/>
              <w:rPr>
                <w:sz w:val="20"/>
                <w:szCs w:val="20"/>
                <w:color w:val="auto"/>
              </w:rPr>
            </w:pPr>
            <w:r>
              <w:rPr>
                <w:rFonts w:ascii="Arial" w:cs="Arial" w:eastAsia="Arial" w:hAnsi="Arial"/>
                <w:sz w:val="18"/>
                <w:szCs w:val="18"/>
                <w:color w:val="auto"/>
              </w:rPr>
              <w:t>Operating leases</w:t>
            </w:r>
          </w:p>
        </w:tc>
        <w:tc>
          <w:tcPr>
            <w:tcW w:w="520" w:type="dxa"/>
            <w:vAlign w:val="bottom"/>
          </w:tcPr>
          <w:p>
            <w:pPr>
              <w:jc w:val="right"/>
              <w:spacing w:after="0"/>
              <w:rPr>
                <w:sz w:val="20"/>
                <w:szCs w:val="20"/>
                <w:color w:val="auto"/>
              </w:rPr>
            </w:pPr>
            <w:r>
              <w:rPr>
                <w:rFonts w:ascii="Arial" w:cs="Arial" w:eastAsia="Arial" w:hAnsi="Arial"/>
                <w:sz w:val="18"/>
                <w:szCs w:val="18"/>
                <w:color w:val="auto"/>
              </w:rPr>
              <w:t>14.6</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15.0</w:t>
            </w:r>
          </w:p>
        </w:tc>
      </w:tr>
      <w:tr>
        <w:trPr>
          <w:trHeight w:val="243"/>
        </w:trPr>
        <w:tc>
          <w:tcPr>
            <w:tcW w:w="8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70"/>
        </w:trPr>
        <w:tc>
          <w:tcPr>
            <w:tcW w:w="70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30"/>
        </w:trPr>
        <w:tc>
          <w:tcPr>
            <w:tcW w:w="8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30"/>
        </w:trPr>
        <w:tc>
          <w:tcPr>
            <w:tcW w:w="8580" w:type="dxa"/>
            <w:vAlign w:val="bottom"/>
            <w:gridSpan w:val="2"/>
          </w:tcPr>
          <w:p>
            <w:pPr>
              <w:ind w:left="140"/>
              <w:spacing w:after="0"/>
              <w:rPr>
                <w:sz w:val="20"/>
                <w:szCs w:val="20"/>
                <w:color w:val="auto"/>
              </w:rPr>
            </w:pPr>
            <w:r>
              <w:rPr>
                <w:rFonts w:ascii="Arial" w:cs="Arial" w:eastAsia="Arial" w:hAnsi="Arial"/>
                <w:sz w:val="18"/>
                <w:szCs w:val="18"/>
                <w:color w:val="auto"/>
              </w:rPr>
              <w:t>Operating leases</w:t>
            </w:r>
          </w:p>
        </w:tc>
        <w:tc>
          <w:tcPr>
            <w:tcW w:w="520" w:type="dxa"/>
            <w:vAlign w:val="bottom"/>
          </w:tcPr>
          <w:p>
            <w:pPr>
              <w:jc w:val="right"/>
              <w:spacing w:after="0"/>
              <w:rPr>
                <w:sz w:val="20"/>
                <w:szCs w:val="20"/>
                <w:color w:val="auto"/>
              </w:rPr>
            </w:pPr>
            <w:r>
              <w:rPr>
                <w:rFonts w:ascii="Arial" w:cs="Arial" w:eastAsia="Arial" w:hAnsi="Arial"/>
                <w:sz w:val="18"/>
                <w:szCs w:val="18"/>
                <w:color w:val="auto"/>
              </w:rPr>
              <w:t>3.5 %</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3.2 %</w:t>
            </w:r>
          </w:p>
        </w:tc>
      </w:tr>
      <w:tr>
        <w:trPr>
          <w:trHeight w:val="243"/>
        </w:trPr>
        <w:tc>
          <w:tcPr>
            <w:tcW w:w="8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488950</wp:posOffset>
            </wp:positionV>
            <wp:extent cx="19685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Q2 2023 Form 10-Q |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Leases</w:t>
            </w:r>
          </w:p>
        </w:tc>
        <w:tc>
          <w:tcPr>
            <w:tcW w:w="120" w:type="dxa"/>
            <w:vAlign w:val="bottom"/>
          </w:tcPr>
          <w:p>
            <w:pPr>
              <w:spacing w:after="0"/>
              <w:rPr>
                <w:sz w:val="18"/>
                <w:szCs w:val="18"/>
                <w:color w:val="auto"/>
              </w:rPr>
            </w:pPr>
          </w:p>
        </w:tc>
        <w:tc>
          <w:tcPr>
            <w:tcW w:w="19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Classification</w:t>
            </w: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July 2, 2023</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b w:val="1"/>
                <w:bCs w:val="1"/>
                <w:color w:val="auto"/>
                <w:w w:val="95"/>
              </w:rPr>
              <w:t>December 31, 2022</w:t>
            </w:r>
          </w:p>
        </w:tc>
        <w:tc>
          <w:tcPr>
            <w:tcW w:w="0" w:type="dxa"/>
            <w:vAlign w:val="bottom"/>
          </w:tcPr>
          <w:p>
            <w:pPr>
              <w:spacing w:after="0"/>
              <w:rPr>
                <w:sz w:val="1"/>
                <w:szCs w:val="1"/>
                <w:color w:val="auto"/>
              </w:rPr>
            </w:pPr>
          </w:p>
        </w:tc>
      </w:tr>
      <w:tr>
        <w:trPr>
          <w:trHeight w:val="226"/>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140"/>
              <w:spacing w:after="0"/>
              <w:rPr>
                <w:sz w:val="20"/>
                <w:szCs w:val="20"/>
                <w:color w:val="auto"/>
              </w:rPr>
            </w:pPr>
            <w:r>
              <w:rPr>
                <w:rFonts w:ascii="Arial" w:cs="Arial" w:eastAsia="Arial" w:hAnsi="Arial"/>
                <w:sz w:val="18"/>
                <w:szCs w:val="18"/>
                <w:color w:val="auto"/>
              </w:rPr>
              <w:t>Operating lease ROU assets</w:t>
            </w:r>
          </w:p>
        </w:tc>
        <w:tc>
          <w:tcPr>
            <w:tcW w:w="120" w:type="dxa"/>
            <w:vAlign w:val="bottom"/>
          </w:tcPr>
          <w:p>
            <w:pPr>
              <w:spacing w:after="0"/>
              <w:rPr>
                <w:sz w:val="20"/>
                <w:szCs w:val="20"/>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w w:val="97"/>
              </w:rPr>
              <w:t>Other non-current assets</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580" w:type="dxa"/>
            <w:vAlign w:val="bottom"/>
            <w:gridSpan w:val="4"/>
          </w:tcPr>
          <w:p>
            <w:pPr>
              <w:jc w:val="right"/>
              <w:spacing w:after="0"/>
              <w:rPr>
                <w:sz w:val="20"/>
                <w:szCs w:val="20"/>
                <w:color w:val="auto"/>
              </w:rPr>
            </w:pPr>
            <w:r>
              <w:rPr>
                <w:rFonts w:ascii="Arial" w:cs="Arial" w:eastAsia="Arial" w:hAnsi="Arial"/>
                <w:sz w:val="18"/>
                <w:szCs w:val="18"/>
                <w:color w:val="auto"/>
              </w:rPr>
              <w:t>322,697</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326,472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3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340" w:type="dxa"/>
            <w:vAlign w:val="bottom"/>
            <w:gridSpan w:val="2"/>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140"/>
              <w:spacing w:after="0"/>
              <w:rPr>
                <w:sz w:val="20"/>
                <w:szCs w:val="20"/>
                <w:color w:val="auto"/>
              </w:rPr>
            </w:pPr>
            <w:r>
              <w:rPr>
                <w:rFonts w:ascii="Arial" w:cs="Arial" w:eastAsia="Arial" w:hAnsi="Arial"/>
                <w:sz w:val="18"/>
                <w:szCs w:val="18"/>
                <w:color w:val="auto"/>
              </w:rPr>
              <w:t>Finance lease ROU assets, at cost</w:t>
            </w:r>
          </w:p>
        </w:tc>
        <w:tc>
          <w:tcPr>
            <w:tcW w:w="120" w:type="dxa"/>
            <w:vAlign w:val="bottom"/>
          </w:tcPr>
          <w:p>
            <w:pPr>
              <w:spacing w:after="0"/>
              <w:rPr>
                <w:sz w:val="19"/>
                <w:szCs w:val="19"/>
                <w:color w:val="auto"/>
              </w:rPr>
            </w:pPr>
          </w:p>
        </w:tc>
        <w:tc>
          <w:tcPr>
            <w:tcW w:w="2720" w:type="dxa"/>
            <w:vAlign w:val="bottom"/>
            <w:gridSpan w:val="3"/>
          </w:tcPr>
          <w:p>
            <w:pPr>
              <w:ind w:left="20"/>
              <w:spacing w:after="0"/>
              <w:rPr>
                <w:sz w:val="20"/>
                <w:szCs w:val="20"/>
                <w:color w:val="auto"/>
              </w:rPr>
            </w:pPr>
            <w:r>
              <w:rPr>
                <w:rFonts w:ascii="Arial" w:cs="Arial" w:eastAsia="Arial" w:hAnsi="Arial"/>
                <w:sz w:val="18"/>
                <w:szCs w:val="18"/>
                <w:color w:val="auto"/>
                <w:w w:val="90"/>
              </w:rPr>
              <w:t>Property, plant and equipment, gross</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gridSpan w:val="4"/>
          </w:tcPr>
          <w:p>
            <w:pPr>
              <w:jc w:val="right"/>
              <w:spacing w:after="0"/>
              <w:rPr>
                <w:sz w:val="20"/>
                <w:szCs w:val="20"/>
                <w:color w:val="auto"/>
              </w:rPr>
            </w:pPr>
            <w:r>
              <w:rPr>
                <w:rFonts w:ascii="Arial" w:cs="Arial" w:eastAsia="Arial" w:hAnsi="Arial"/>
                <w:sz w:val="18"/>
                <w:szCs w:val="18"/>
                <w:color w:val="auto"/>
              </w:rPr>
              <w:t>86,377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86,703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Accumulated amortization</w:t>
            </w:r>
          </w:p>
        </w:tc>
        <w:tc>
          <w:tcPr>
            <w:tcW w:w="120" w:type="dxa"/>
            <w:vAlign w:val="bottom"/>
            <w:tcBorders>
              <w:bottom w:val="single" w:sz="8" w:color="CCEEFF"/>
            </w:tcBorders>
            <w:shd w:val="clear" w:color="auto" w:fill="CCEEFF"/>
          </w:tcPr>
          <w:p>
            <w:pPr>
              <w:spacing w:after="0"/>
              <w:rPr>
                <w:sz w:val="19"/>
                <w:szCs w:val="19"/>
                <w:color w:val="auto"/>
              </w:rPr>
            </w:pPr>
          </w:p>
        </w:tc>
        <w:tc>
          <w:tcPr>
            <w:tcW w:w="1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3"/>
              </w:rPr>
              <w:t>Accumulated depreciation</w:t>
            </w: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(17,023)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(14,543)</w:t>
            </w:r>
          </w:p>
        </w:tc>
        <w:tc>
          <w:tcPr>
            <w:tcW w:w="0" w:type="dxa"/>
            <w:vAlign w:val="bottom"/>
          </w:tcPr>
          <w:p>
            <w:pPr>
              <w:spacing w:after="0"/>
              <w:rPr>
                <w:sz w:val="1"/>
                <w:szCs w:val="1"/>
                <w:color w:val="auto"/>
              </w:rPr>
            </w:pPr>
          </w:p>
        </w:tc>
      </w:tr>
      <w:tr>
        <w:trPr>
          <w:trHeight w:val="230"/>
        </w:trPr>
        <w:tc>
          <w:tcPr>
            <w:tcW w:w="3440" w:type="dxa"/>
            <w:vAlign w:val="bottom"/>
          </w:tcPr>
          <w:p>
            <w:pPr>
              <w:ind w:left="140"/>
              <w:spacing w:after="0"/>
              <w:rPr>
                <w:sz w:val="20"/>
                <w:szCs w:val="20"/>
                <w:color w:val="auto"/>
              </w:rPr>
            </w:pPr>
            <w:r>
              <w:rPr>
                <w:rFonts w:ascii="Arial" w:cs="Arial" w:eastAsia="Arial" w:hAnsi="Arial"/>
                <w:sz w:val="18"/>
                <w:szCs w:val="18"/>
                <w:color w:val="auto"/>
              </w:rPr>
              <w:t>Finance lease ROU assets, net</w:t>
            </w:r>
          </w:p>
        </w:tc>
        <w:tc>
          <w:tcPr>
            <w:tcW w:w="120" w:type="dxa"/>
            <w:vAlign w:val="bottom"/>
          </w:tcPr>
          <w:p>
            <w:pPr>
              <w:spacing w:after="0"/>
              <w:rPr>
                <w:sz w:val="20"/>
                <w:szCs w:val="20"/>
                <w:color w:val="auto"/>
              </w:rPr>
            </w:pPr>
          </w:p>
        </w:tc>
        <w:tc>
          <w:tcPr>
            <w:tcW w:w="2720" w:type="dxa"/>
            <w:vAlign w:val="bottom"/>
            <w:gridSpan w:val="3"/>
          </w:tcPr>
          <w:p>
            <w:pPr>
              <w:ind w:left="20"/>
              <w:spacing w:after="0"/>
              <w:rPr>
                <w:sz w:val="20"/>
                <w:szCs w:val="20"/>
                <w:color w:val="auto"/>
              </w:rPr>
            </w:pPr>
            <w:r>
              <w:rPr>
                <w:rFonts w:ascii="Arial" w:cs="Arial" w:eastAsia="Arial" w:hAnsi="Arial"/>
                <w:sz w:val="18"/>
                <w:szCs w:val="18"/>
                <w:color w:val="auto"/>
                <w:w w:val="97"/>
              </w:rPr>
              <w:t>Property, plant and equipment, net</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gridSpan w:val="4"/>
          </w:tcPr>
          <w:p>
            <w:pPr>
              <w:jc w:val="right"/>
              <w:spacing w:after="0"/>
              <w:rPr>
                <w:sz w:val="20"/>
                <w:szCs w:val="20"/>
                <w:color w:val="auto"/>
              </w:rPr>
            </w:pPr>
            <w:r>
              <w:rPr>
                <w:rFonts w:ascii="Arial" w:cs="Arial" w:eastAsia="Arial" w:hAnsi="Arial"/>
                <w:sz w:val="18"/>
                <w:szCs w:val="18"/>
                <w:color w:val="auto"/>
              </w:rPr>
              <w:t>69,354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72,160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gridSpan w:val="2"/>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440" w:type="dxa"/>
            <w:vAlign w:val="bottom"/>
          </w:tcPr>
          <w:p>
            <w:pPr>
              <w:ind w:left="20"/>
              <w:spacing w:after="0"/>
              <w:rPr>
                <w:sz w:val="20"/>
                <w:szCs w:val="20"/>
                <w:color w:val="auto"/>
              </w:rPr>
            </w:pPr>
            <w:r>
              <w:rPr>
                <w:rFonts w:ascii="Arial" w:cs="Arial" w:eastAsia="Arial" w:hAnsi="Arial"/>
                <w:sz w:val="18"/>
                <w:szCs w:val="18"/>
                <w:color w:val="auto"/>
              </w:rPr>
              <w:t>Total leased assets</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580" w:type="dxa"/>
            <w:vAlign w:val="bottom"/>
            <w:gridSpan w:val="4"/>
          </w:tcPr>
          <w:p>
            <w:pPr>
              <w:jc w:val="right"/>
              <w:spacing w:after="0"/>
              <w:rPr>
                <w:sz w:val="20"/>
                <w:szCs w:val="20"/>
                <w:color w:val="auto"/>
              </w:rPr>
            </w:pPr>
            <w:r>
              <w:rPr>
                <w:rFonts w:ascii="Arial" w:cs="Arial" w:eastAsia="Arial" w:hAnsi="Arial"/>
                <w:sz w:val="18"/>
                <w:szCs w:val="18"/>
                <w:color w:val="auto"/>
              </w:rPr>
              <w:t>392,051</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398,632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4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440" w:type="dxa"/>
            <w:vAlign w:val="bottom"/>
          </w:tcPr>
          <w:p>
            <w:pPr>
              <w:ind w:left="220"/>
              <w:spacing w:after="0"/>
              <w:rPr>
                <w:sz w:val="20"/>
                <w:szCs w:val="20"/>
                <w:color w:val="auto"/>
              </w:rPr>
            </w:pPr>
            <w:r>
              <w:rPr>
                <w:rFonts w:ascii="Arial" w:cs="Arial" w:eastAsia="Arial" w:hAnsi="Arial"/>
                <w:sz w:val="18"/>
                <w:szCs w:val="18"/>
                <w:color w:val="auto"/>
              </w:rPr>
              <w:t>Operating</w:t>
            </w:r>
          </w:p>
        </w:tc>
        <w:tc>
          <w:tcPr>
            <w:tcW w:w="120" w:type="dxa"/>
            <w:vAlign w:val="bottom"/>
          </w:tcPr>
          <w:p>
            <w:pPr>
              <w:spacing w:after="0"/>
              <w:rPr>
                <w:sz w:val="19"/>
                <w:szCs w:val="19"/>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580" w:type="dxa"/>
            <w:vAlign w:val="bottom"/>
            <w:gridSpan w:val="4"/>
          </w:tcPr>
          <w:p>
            <w:pPr>
              <w:jc w:val="right"/>
              <w:spacing w:after="0"/>
              <w:rPr>
                <w:sz w:val="20"/>
                <w:szCs w:val="20"/>
                <w:color w:val="auto"/>
              </w:rPr>
            </w:pPr>
            <w:r>
              <w:rPr>
                <w:rFonts w:ascii="Arial" w:cs="Arial" w:eastAsia="Arial" w:hAnsi="Arial"/>
                <w:sz w:val="18"/>
                <w:szCs w:val="18"/>
                <w:color w:val="auto"/>
              </w:rPr>
              <w:t>33,867</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31,787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w:t>
            </w:r>
          </w:p>
        </w:tc>
        <w:tc>
          <w:tcPr>
            <w:tcW w:w="120" w:type="dxa"/>
            <w:vAlign w:val="bottom"/>
            <w:shd w:val="clear" w:color="auto" w:fill="CCEEFF"/>
          </w:tcPr>
          <w:p>
            <w:pPr>
              <w:spacing w:after="0"/>
              <w:rPr>
                <w:sz w:val="21"/>
                <w:szCs w:val="21"/>
                <w:color w:val="auto"/>
              </w:rPr>
            </w:pPr>
          </w:p>
        </w:tc>
        <w:tc>
          <w:tcPr>
            <w:tcW w:w="2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4,686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40" w:type="dxa"/>
            <w:vAlign w:val="bottom"/>
          </w:tcPr>
          <w:p>
            <w:pPr>
              <w:ind w:left="140"/>
              <w:spacing w:after="0"/>
              <w:rPr>
                <w:sz w:val="20"/>
                <w:szCs w:val="20"/>
                <w:color w:val="auto"/>
              </w:rPr>
            </w:pPr>
            <w:r>
              <w:rPr>
                <w:rFonts w:ascii="Arial" w:cs="Arial" w:eastAsia="Arial" w:hAnsi="Arial"/>
                <w:sz w:val="18"/>
                <w:szCs w:val="18"/>
                <w:color w:val="auto"/>
              </w:rPr>
              <w:t>Non-current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w:t>
            </w:r>
          </w:p>
        </w:tc>
        <w:tc>
          <w:tcPr>
            <w:tcW w:w="12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Other long-term liabilities</w:t>
            </w: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290,655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294,849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Finance</w:t>
            </w:r>
          </w:p>
        </w:tc>
        <w:tc>
          <w:tcPr>
            <w:tcW w:w="120" w:type="dxa"/>
            <w:vAlign w:val="bottom"/>
            <w:tcBorders>
              <w:bottom w:val="single" w:sz="8" w:color="CCEEFF"/>
            </w:tcBorders>
          </w:tcPr>
          <w:p>
            <w:pPr>
              <w:spacing w:after="0"/>
              <w:rPr>
                <w:sz w:val="21"/>
                <w:szCs w:val="21"/>
                <w:color w:val="auto"/>
              </w:rPr>
            </w:pPr>
          </w:p>
        </w:tc>
        <w:tc>
          <w:tcPr>
            <w:tcW w:w="1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Long-term debt</w:t>
            </w:r>
          </w:p>
        </w:tc>
        <w:tc>
          <w:tcPr>
            <w:tcW w:w="7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68,545</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69,194</w:t>
            </w:r>
          </w:p>
        </w:tc>
        <w:tc>
          <w:tcPr>
            <w:tcW w:w="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397,753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400,115</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color w:val="auto"/>
              </w:rPr>
              <w:t>The maturity of our lease liabilities as of July 2, 2023 were as follows:</w:t>
            </w: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5540" w:type="dxa"/>
            <w:vAlign w:val="bottom"/>
            <w:gridSpan w:val="4"/>
            <w:vMerge w:val="continue"/>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40" w:type="dxa"/>
            <w:vAlign w:val="bottom"/>
            <w:gridSpan w:val="2"/>
          </w:tcPr>
          <w:p>
            <w:pPr>
              <w:jc w:val="right"/>
              <w:ind w:right="490"/>
              <w:spacing w:after="0"/>
              <w:rPr>
                <w:sz w:val="20"/>
                <w:szCs w:val="20"/>
                <w:color w:val="auto"/>
              </w:rPr>
            </w:pPr>
            <w:r>
              <w:rPr>
                <w:rFonts w:ascii="Arial" w:cs="Arial" w:eastAsia="Arial" w:hAnsi="Arial"/>
                <w:sz w:val="16"/>
                <w:szCs w:val="16"/>
                <w:b w:val="1"/>
                <w:bCs w:val="1"/>
                <w:color w:val="auto"/>
              </w:rPr>
              <w:t>Operating leases</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00" w:type="dxa"/>
            <w:vAlign w:val="bottom"/>
            <w:gridSpan w:val="4"/>
          </w:tcPr>
          <w:p>
            <w:pPr>
              <w:jc w:val="right"/>
              <w:ind w:right="550"/>
              <w:spacing w:after="0"/>
              <w:rPr>
                <w:sz w:val="20"/>
                <w:szCs w:val="20"/>
                <w:color w:val="auto"/>
              </w:rPr>
            </w:pPr>
            <w:r>
              <w:rPr>
                <w:rFonts w:ascii="Arial" w:cs="Arial" w:eastAsia="Arial" w:hAnsi="Arial"/>
                <w:sz w:val="16"/>
                <w:szCs w:val="16"/>
                <w:b w:val="1"/>
                <w:bCs w:val="1"/>
                <w:color w:val="auto"/>
              </w:rPr>
              <w:t>Finance leases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2"/>
          </w:tcPr>
          <w:p>
            <w:pPr>
              <w:jc w:val="right"/>
              <w:ind w:right="10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6"/>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 (rest of year)</w:t>
            </w:r>
          </w:p>
        </w:tc>
        <w:tc>
          <w:tcPr>
            <w:tcW w:w="500" w:type="dxa"/>
            <w:vAlign w:val="bottom"/>
            <w:tcBorders>
              <w:top w:val="single" w:sz="8" w:color="CCEEFF"/>
            </w:tcBorders>
            <w:gridSpan w:val="2"/>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ind w:right="1395"/>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22,492</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4,487</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43,240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8,286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51,526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29,878</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6,237</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0"/>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25,627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4,056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29,683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268,001</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142,020</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410,021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lease payments</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414,899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169,151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584,050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90,377</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95,920</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lease liabilities</w:t>
            </w:r>
          </w:p>
        </w:tc>
        <w:tc>
          <w:tcPr>
            <w:tcW w:w="2100" w:type="dxa"/>
            <w:vAlign w:val="bottom"/>
            <w:gridSpan w:val="3"/>
            <w:shd w:val="clear" w:color="auto" w:fill="CCEEFF"/>
          </w:tcPr>
          <w:p>
            <w:pPr>
              <w:jc w:val="right"/>
              <w:ind w:right="139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324,522</w:t>
            </w:r>
          </w:p>
        </w:tc>
        <w:tc>
          <w:tcPr>
            <w:tcW w:w="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73,231</w:t>
            </w:r>
          </w:p>
        </w:tc>
        <w:tc>
          <w:tcPr>
            <w:tcW w:w="5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397,753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and other information related to leases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48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Six Months Ended</w:t>
            </w:r>
          </w:p>
        </w:tc>
        <w:tc>
          <w:tcPr>
            <w:tcW w:w="56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July 2, 2023</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July 3, 2022</w:t>
            </w:r>
          </w:p>
        </w:tc>
        <w:tc>
          <w:tcPr>
            <w:tcW w:w="560" w:type="dxa"/>
            <w:vAlign w:val="bottom"/>
            <w:tcBorders>
              <w:bottom w:val="single" w:sz="8" w:color="auto"/>
            </w:tcBorders>
          </w:tcPr>
          <w:p>
            <w:pPr>
              <w:spacing w:after="0"/>
              <w:rPr>
                <w:sz w:val="18"/>
                <w:szCs w:val="18"/>
                <w:color w:val="auto"/>
              </w:rPr>
            </w:pPr>
          </w:p>
        </w:tc>
      </w:tr>
      <w:tr>
        <w:trPr>
          <w:trHeight w:val="226"/>
        </w:trPr>
        <w:tc>
          <w:tcPr>
            <w:tcW w:w="20" w:type="dxa"/>
            <w:vAlign w:val="bottom"/>
            <w:shd w:val="clear" w:color="auto" w:fill="CCEEFF"/>
          </w:tcPr>
          <w:p>
            <w:pPr>
              <w:spacing w:after="0"/>
              <w:rPr>
                <w:sz w:val="19"/>
                <w:szCs w:val="19"/>
                <w:color w:val="auto"/>
              </w:rPr>
            </w:pPr>
          </w:p>
        </w:tc>
        <w:tc>
          <w:tcPr>
            <w:tcW w:w="8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w w:val="98"/>
              </w:rPr>
              <w:t>Operating cash flows from operating leases</w:t>
            </w:r>
          </w:p>
        </w:tc>
        <w:tc>
          <w:tcPr>
            <w:tcW w:w="5040" w:type="dxa"/>
            <w:vAlign w:val="bottom"/>
            <w:gridSpan w:val="2"/>
          </w:tcPr>
          <w:p>
            <w:pPr>
              <w:jc w:val="right"/>
              <w:ind w:right="1219"/>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3"/>
              </w:rPr>
              <w:t>22,702</w:t>
            </w:r>
          </w:p>
        </w:tc>
        <w:tc>
          <w:tcPr>
            <w:tcW w:w="1520" w:type="dxa"/>
            <w:vAlign w:val="bottom"/>
            <w:gridSpan w:val="2"/>
          </w:tcPr>
          <w:p>
            <w:pPr>
              <w:jc w:val="right"/>
              <w:ind w:right="1219"/>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3"/>
              </w:rPr>
              <w:t>23,783</w:t>
            </w:r>
          </w:p>
        </w:tc>
      </w:tr>
      <w:tr>
        <w:trPr>
          <w:trHeight w:val="236"/>
        </w:trPr>
        <w:tc>
          <w:tcPr>
            <w:tcW w:w="20" w:type="dxa"/>
            <w:vAlign w:val="bottom"/>
            <w:shd w:val="clear" w:color="auto" w:fill="CCEEFF"/>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Operating cash flows from finance leases</w:t>
            </w:r>
          </w:p>
        </w:tc>
        <w:tc>
          <w:tcPr>
            <w:tcW w:w="36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w:t>
            </w:r>
          </w:p>
        </w:tc>
      </w:tr>
      <w:tr>
        <w:trPr>
          <w:trHeight w:val="230"/>
        </w:trPr>
        <w:tc>
          <w:tcPr>
            <w:tcW w:w="20" w:type="dxa"/>
            <w:vAlign w:val="bottom"/>
          </w:tcPr>
          <w:p>
            <w:pPr>
              <w:spacing w:after="0"/>
              <w:rPr>
                <w:sz w:val="19"/>
                <w:szCs w:val="19"/>
                <w:color w:val="auto"/>
              </w:rPr>
            </w:pP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Financing cash flows from finance leases</w:t>
            </w:r>
          </w:p>
        </w:tc>
        <w:tc>
          <w:tcPr>
            <w:tcW w:w="36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2,349</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2,473</w:t>
            </w:r>
          </w:p>
        </w:tc>
      </w:tr>
      <w:tr>
        <w:trPr>
          <w:trHeight w:val="270"/>
        </w:trPr>
        <w:tc>
          <w:tcPr>
            <w:tcW w:w="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6020" w:type="dxa"/>
            <w:vAlign w:val="bottom"/>
            <w:gridSpan w:val="2"/>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8580" w:type="dxa"/>
            <w:vAlign w:val="bottom"/>
            <w:gridSpan w:val="4"/>
          </w:tcPr>
          <w:p>
            <w:pPr>
              <w:spacing w:after="0"/>
              <w:rPr>
                <w:sz w:val="20"/>
                <w:szCs w:val="20"/>
                <w:color w:val="auto"/>
              </w:rPr>
            </w:pPr>
            <w:r>
              <w:rPr>
                <w:rFonts w:ascii="Arial" w:cs="Arial" w:eastAsia="Arial" w:hAnsi="Arial"/>
                <w:sz w:val="18"/>
                <w:szCs w:val="18"/>
                <w:color w:val="auto"/>
              </w:rPr>
              <w:t>ROU assets obtained in exchange for lease liabilities:</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36"/>
        </w:trPr>
        <w:tc>
          <w:tcPr>
            <w:tcW w:w="20" w:type="dxa"/>
            <w:vAlign w:val="bottom"/>
            <w:shd w:val="clear" w:color="auto" w:fill="CCEEFF"/>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Operating leases</w:t>
            </w:r>
          </w:p>
        </w:tc>
        <w:tc>
          <w:tcPr>
            <w:tcW w:w="5040" w:type="dxa"/>
            <w:vAlign w:val="bottom"/>
            <w:gridSpan w:val="2"/>
            <w:shd w:val="clear" w:color="auto" w:fill="CCEEFF"/>
          </w:tcPr>
          <w:p>
            <w:pPr>
              <w:jc w:val="right"/>
              <w:ind w:right="121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14,500</w:t>
            </w:r>
          </w:p>
        </w:tc>
        <w:tc>
          <w:tcPr>
            <w:tcW w:w="1520" w:type="dxa"/>
            <w:vAlign w:val="bottom"/>
            <w:gridSpan w:val="2"/>
            <w:shd w:val="clear" w:color="auto" w:fill="CCEEFF"/>
          </w:tcPr>
          <w:p>
            <w:pPr>
              <w:jc w:val="right"/>
              <w:ind w:right="121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6,317</w:t>
            </w:r>
          </w:p>
        </w:tc>
      </w:tr>
      <w:tr>
        <w:trPr>
          <w:trHeight w:val="230"/>
        </w:trPr>
        <w:tc>
          <w:tcPr>
            <w:tcW w:w="20" w:type="dxa"/>
            <w:vAlign w:val="bottom"/>
          </w:tcPr>
          <w:p>
            <w:pPr>
              <w:spacing w:after="0"/>
              <w:rPr>
                <w:sz w:val="20"/>
                <w:szCs w:val="20"/>
                <w:color w:val="auto"/>
              </w:rPr>
            </w:pP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Finance leases</w:t>
            </w:r>
          </w:p>
        </w:tc>
        <w:tc>
          <w:tcPr>
            <w:tcW w:w="36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4,192</w:t>
            </w:r>
          </w:p>
        </w:tc>
      </w:tr>
      <w:tr>
        <w:trPr>
          <w:trHeight w:val="782"/>
        </w:trPr>
        <w:tc>
          <w:tcPr>
            <w:tcW w:w="2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5040" w:type="dxa"/>
            <w:vAlign w:val="bottom"/>
            <w:gridSpan w:val="2"/>
          </w:tcPr>
          <w:p>
            <w:pPr>
              <w:jc w:val="right"/>
              <w:ind w:right="1099"/>
              <w:spacing w:after="0"/>
              <w:rPr>
                <w:sz w:val="20"/>
                <w:szCs w:val="20"/>
                <w:color w:val="auto"/>
              </w:rPr>
            </w:pPr>
            <w:r>
              <w:rPr>
                <w:rFonts w:ascii="Arial" w:cs="Arial" w:eastAsia="Arial" w:hAnsi="Arial"/>
                <w:sz w:val="16"/>
                <w:szCs w:val="16"/>
                <w:color w:val="auto"/>
                <w:w w:val="97"/>
              </w:rPr>
              <w:t>The Hershey Company | Q2 2023 Form 10-Q | Page 20</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540"/>
        </w:trPr>
        <w:tc>
          <w:tcPr>
            <w:tcW w:w="20" w:type="dxa"/>
            <w:vAlign w:val="bottom"/>
            <w:tcBorders>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-521970</wp:posOffset>
            </wp:positionV>
            <wp:extent cx="19685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INVESTMENTS IN UNCONSOLIDATED AFFILIATES</w:t>
      </w:r>
    </w:p>
    <w:p>
      <w:pPr>
        <w:spacing w:after="0" w:line="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We invest in partnerships that make equity investments in projects eligible to receive federal historic and renewable energy tax credits. The tax credits, when realized, are recognized as a reduction of tax expense under the flow-through method, at which time the corresponding equity investment is written-down to reflect the remaining value of the future benefits to be realized. The equity investment write-down is reflected within other (income) expense, net in the Consolidated Statements of Income (see </w:t>
      </w:r>
      <w:r>
        <w:rPr>
          <w:rFonts w:ascii="Arial" w:cs="Arial" w:eastAsia="Arial" w:hAnsi="Arial"/>
          <w:sz w:val="18"/>
          <w:szCs w:val="18"/>
          <w:u w:val="single" w:color="auto"/>
          <w:color w:val="0000FF"/>
        </w:rPr>
        <w:t>Note 17</w:t>
      </w:r>
      <w:r>
        <w:rPr>
          <w:rFonts w:ascii="Arial" w:cs="Arial" w:eastAsia="Arial" w:hAnsi="Arial"/>
          <w:sz w:val="18"/>
          <w:szCs w:val="18"/>
          <w:color w:val="auto"/>
        </w:rPr>
        <w:t>).</w:t>
      </w:r>
    </w:p>
    <w:p>
      <w:pPr>
        <w:spacing w:after="0" w:line="21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Additionally, we acquire ownership interests in emerging snacking businesses and startup companies, which vary in method of accounting based on our percentage of ownership and ability to exercise significant influence over decisions relating to operating and financial affairs. These investments afford the Company the rights to distribute brands that the Company does not own to third-party customers primarily in North America. Net sales and expenses of our equity method investees are not consolidated into our financial statements; rather, our proportionate share of earnings or losses are recorded on a net basis within other (income) expense, net in the Consolidated Statements of Income.</w:t>
      </w:r>
    </w:p>
    <w:p>
      <w:pPr>
        <w:spacing w:after="0" w:line="203" w:lineRule="exact"/>
        <w:rPr>
          <w:sz w:val="20"/>
          <w:szCs w:val="20"/>
          <w:color w:val="auto"/>
        </w:rPr>
      </w:pPr>
    </w:p>
    <w:p>
      <w:pPr>
        <w:ind w:right="640"/>
        <w:spacing w:after="0" w:line="278" w:lineRule="auto"/>
        <w:rPr>
          <w:sz w:val="20"/>
          <w:szCs w:val="20"/>
          <w:color w:val="auto"/>
        </w:rPr>
      </w:pPr>
      <w:r>
        <w:rPr>
          <w:rFonts w:ascii="Arial" w:cs="Arial" w:eastAsia="Arial" w:hAnsi="Arial"/>
          <w:sz w:val="17"/>
          <w:szCs w:val="17"/>
          <w:color w:val="auto"/>
        </w:rPr>
        <w:t>Both equity and cost method investments are reported within other non-current assets in our Consolidated Balance Sheets. We regularly review our investments and adjust accordingly for capital contributions, dividends received and other-than-temporary impairments. Total investments in unconsolidated affiliates were $126,114 and $133,029 as of July 2, 2023 and December 31, 2022,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BUSINESS REALIGNMENT ACTIVITIES</w:t>
      </w:r>
    </w:p>
    <w:p>
      <w:pPr>
        <w:spacing w:after="0" w:line="175" w:lineRule="exact"/>
        <w:rPr>
          <w:sz w:val="20"/>
          <w:szCs w:val="20"/>
          <w:color w:val="auto"/>
        </w:rPr>
      </w:pPr>
    </w:p>
    <w:p>
      <w:pPr>
        <w:ind w:right="740"/>
        <w:spacing w:after="0" w:line="290" w:lineRule="auto"/>
        <w:rPr>
          <w:sz w:val="20"/>
          <w:szCs w:val="20"/>
          <w:color w:val="auto"/>
        </w:rPr>
      </w:pPr>
      <w:r>
        <w:rPr>
          <w:rFonts w:ascii="Arial" w:cs="Arial" w:eastAsia="Arial" w:hAnsi="Arial"/>
          <w:sz w:val="17"/>
          <w:szCs w:val="17"/>
          <w:color w:val="auto"/>
        </w:rPr>
        <w:t>We periodically undertake business realignment activities designed to increase our efficiency and focus our business in support of our key growth strategies. Costs associated with business realignment activities are classified in our Consolidated Statements of Income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July 2, 2023</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July 3, 2022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rPr>
              <w:t>July 2, 2023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July 3, 2022</w:t>
            </w:r>
          </w:p>
        </w:tc>
      </w:tr>
      <w:tr>
        <w:trPr>
          <w:trHeight w:val="22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Selling, marketing and administrative expense</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1,904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2,392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1,702</w:t>
            </w:r>
          </w:p>
        </w:tc>
      </w:tr>
      <w:tr>
        <w:trPr>
          <w:trHeight w:val="23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realignment (benefits) costs</w:t>
            </w:r>
          </w:p>
        </w:tc>
        <w:tc>
          <w:tcPr>
            <w:tcW w:w="2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4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Costs associated with business realignment activities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w:t>
            </w:r>
          </w:p>
        </w:tc>
      </w:tr>
      <w:tr>
        <w:trPr>
          <w:trHeight w:val="20"/>
        </w:trPr>
        <w:tc>
          <w:tcPr>
            <w:tcW w:w="5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Costs recorded by program during the three months ended July 2, 2023 and July 3, 2022 related to these activities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652"/>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July 2, 2023</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July 3, 2022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rPr>
              <w:t>July 2, 2023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July 3, 2022</w:t>
            </w:r>
          </w:p>
        </w:tc>
      </w:tr>
      <w:tr>
        <w:trPr>
          <w:trHeight w:val="22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Optimization Program:</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Severance and employee benefit costs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(370)</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441</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285</w:t>
            </w:r>
          </w:p>
        </w:tc>
      </w:tr>
      <w:tr>
        <w:trPr>
          <w:trHeight w:val="229"/>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program costs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w:t>
            </w:r>
          </w:p>
        </w:tc>
      </w:tr>
      <w:tr>
        <w:trPr>
          <w:trHeight w:val="21"/>
        </w:trPr>
        <w:tc>
          <w:tcPr>
            <w:tcW w:w="5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Amounts classified as liabilities qualifying as exit and disposal costs primarily represent employee-related and certain third-party service provider charges, however, such amounts at July 2, 2023 are not significant.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2020 International Optimization Program</w:t>
      </w:r>
    </w:p>
    <w:p>
      <w:pPr>
        <w:spacing w:after="0" w:line="171"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color w:val="auto"/>
        </w:rPr>
        <w:t>In the fourth quarter of 2020, we commenced a program (“International Optimization Program”) to streamline resources and investments in select international markets, including the optimization of our China operating model that will improve our operational efficiency and provide for a strong, sustainable and simplified base going forward.</w:t>
      </w:r>
    </w:p>
    <w:p>
      <w:pPr>
        <w:spacing w:after="0" w:line="13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International Optimization Program was originally expected to total pre-tax costs of $50,000 to $75,000, with cash costs in the range of $40,000 to $65,000, primarily related to workforce reductions of approximately 350 positions outside of the United States, costs to consolidate and relocate production, and third-party costs incurred to execute these activities. The costs and related benefits of the International Optimization Program relate to the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324485</wp:posOffset>
            </wp:positionV>
            <wp:extent cx="19685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Q2 2023 Form 10-Q |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segment. However, segment operating results do not include these business realignment expenses because we evaluate segment performance excluding such costs. This program was completed as of the second quarter of 2023.</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For the six months ended July 2, 2023 and July 3, 2022, we recognized total costs associated with the International Optimization Program of $3,866 and</w:t>
      </w:r>
    </w:p>
    <w:p>
      <w:pPr>
        <w:spacing w:after="0" w:line="46"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$1,980, respectively. These charges predominantly included third-party charges in support of our initiative to transform our China operating model, as well as severance and employee benefit costs. Since inception, we have incurred pre-tax charges to execute the program totaling $54,225.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7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majority of our taxable income is generated in the United States and taxed at the United States statutory rate of 21%. The effective tax rates for the six months ended July 2, 2023 and July 3, 2022 were 17.1% and 21.4%, respectively. Relative to the statutory rate, the 2023 effective tax rate was primarily impacted by investment tax credits and employee share-based payments partially offset by state taxes and tax reserves.</w:t>
      </w:r>
    </w:p>
    <w:p>
      <w:pPr>
        <w:spacing w:after="0" w:line="9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Company and its subsidiaries file tax returns in the United States, including various state and local returns, and in other foreign jurisdictions. We are routinely audited by taxing authorities in our filing jurisdictions, and a number of these disputes are currently underway, including multi-year controversies at various stages of review, negotiation and litigation in Mexico, China, Canada and the United States. The outcome of tax audits cannot be predicted with certainty, including the timing of resolution or potential settlements. If any issues addressed in our tax audits are resolved in a manner not consistent with management’s expectations, we could be required to adjust our provision for income taxes in the period such resolution occurs. Based on our current assessments, we believe adequate provision has been made for all income tax uncertainties. We reasonably expect reductions in the liability for unrecognized tax benefits of approximately $23,588 within the next 12 months because of the expiration of statutes of limitations and settlements of tax audits.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Inflation Reduction Act</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August 16, 2022, the Inflation Reduction Act (“IRA”) was signed into law. The IRA enacted a 15% corporate minimum tax on certain corporations and an excise tax on share repurchases after December 31, 2022, and created and extended certain energy-related tax credits and incentives. We currently do not expect the tax-related provisions of the IRA to have a material impact on our consolidated financial statements, including our annual effective tax rate, or on our liquidity. We will continue to monitor and assess the impact the IRA may have on our business and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263525</wp:posOffset>
            </wp:positionV>
            <wp:extent cx="19685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Q2 2023 Form 10-Q |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PENSION AND OTHER POST-RETIREMENT BENEFIT PLANS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Periodic Benefit Cost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the three months ended July 2, 2023 and July 3, 2022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ind w:left="800"/>
              <w:spacing w:after="0"/>
              <w:rPr>
                <w:sz w:val="20"/>
                <w:szCs w:val="20"/>
                <w:color w:val="auto"/>
              </w:rPr>
            </w:pPr>
            <w:r>
              <w:rPr>
                <w:rFonts w:ascii="Arial" w:cs="Arial" w:eastAsia="Arial" w:hAnsi="Arial"/>
                <w:sz w:val="16"/>
                <w:szCs w:val="16"/>
                <w:b w:val="1"/>
                <w:bCs w:val="1"/>
                <w:color w:val="auto"/>
              </w:rPr>
              <w:t>Pension Benefits</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991"/>
              <w:spacing w:after="0"/>
              <w:rPr>
                <w:sz w:val="20"/>
                <w:szCs w:val="20"/>
                <w:color w:val="auto"/>
              </w:rPr>
            </w:pPr>
            <w:r>
              <w:rPr>
                <w:rFonts w:ascii="Arial" w:cs="Arial" w:eastAsia="Arial" w:hAnsi="Arial"/>
                <w:sz w:val="16"/>
                <w:szCs w:val="16"/>
                <w:b w:val="1"/>
                <w:bCs w:val="1"/>
                <w:color w:val="auto"/>
              </w:rPr>
              <w:t>Other Benefits</w:t>
            </w:r>
          </w:p>
        </w:tc>
      </w:tr>
      <w:tr>
        <w:trPr>
          <w:trHeight w:val="210"/>
        </w:trPr>
        <w:tc>
          <w:tcPr>
            <w:tcW w:w="47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751"/>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751"/>
              <w:spacing w:after="0"/>
              <w:rPr>
                <w:sz w:val="20"/>
                <w:szCs w:val="20"/>
                <w:color w:val="auto"/>
              </w:rPr>
            </w:pPr>
            <w:r>
              <w:rPr>
                <w:rFonts w:ascii="Arial" w:cs="Arial" w:eastAsia="Arial" w:hAnsi="Arial"/>
                <w:sz w:val="16"/>
                <w:szCs w:val="16"/>
                <w:b w:val="1"/>
                <w:bCs w:val="1"/>
                <w:color w:val="auto"/>
              </w:rPr>
              <w:t>Three Months Ended</w:t>
            </w:r>
          </w:p>
        </w:tc>
      </w:tr>
      <w:tr>
        <w:trPr>
          <w:trHeight w:val="209"/>
        </w:trPr>
        <w:tc>
          <w:tcPr>
            <w:tcW w:w="47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July 2, 2023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July 3, 2022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July 2, 2023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July 3, 2022</w:t>
            </w:r>
          </w:p>
        </w:tc>
      </w:tr>
      <w:tr>
        <w:trPr>
          <w:trHeight w:val="22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3,769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10,288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6,263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2,097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1,158</w:t>
            </w:r>
          </w:p>
        </w:tc>
      </w:tr>
      <w:tr>
        <w:trPr>
          <w:trHeight w:val="24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Amortization of prior service credit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net loss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Settlement loss</w:t>
            </w: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4,389</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7,760</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periodic benefit cost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We made contributions of $3,029 and $5,212 to the pension plans and other benefits plans, respectively, during the second quarter of 2023. In the second quarter of 2022, we made contributions of $289 and $5,584 to our pension plans and other benefit plans, respectively. The contributions in 2023 and 2022 also included benefit payments from our non-qualified pension plans and post-retirement benefit plans.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the six months ended July 2, 2023 and July 3, 2022 were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ind w:left="800"/>
              <w:spacing w:after="0"/>
              <w:rPr>
                <w:sz w:val="20"/>
                <w:szCs w:val="20"/>
                <w:color w:val="auto"/>
              </w:rPr>
            </w:pPr>
            <w:r>
              <w:rPr>
                <w:rFonts w:ascii="Arial" w:cs="Arial" w:eastAsia="Arial" w:hAnsi="Arial"/>
                <w:sz w:val="16"/>
                <w:szCs w:val="16"/>
                <w:b w:val="1"/>
                <w:bCs w:val="1"/>
                <w:color w:val="auto"/>
              </w:rPr>
              <w:t>Pension Benefits</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991"/>
              <w:spacing w:after="0"/>
              <w:rPr>
                <w:sz w:val="20"/>
                <w:szCs w:val="20"/>
                <w:color w:val="auto"/>
              </w:rPr>
            </w:pPr>
            <w:r>
              <w:rPr>
                <w:rFonts w:ascii="Arial" w:cs="Arial" w:eastAsia="Arial" w:hAnsi="Arial"/>
                <w:sz w:val="16"/>
                <w:szCs w:val="16"/>
                <w:b w:val="1"/>
                <w:bCs w:val="1"/>
                <w:color w:val="auto"/>
              </w:rPr>
              <w:t>Other Benefits</w:t>
            </w:r>
          </w:p>
        </w:tc>
      </w:tr>
      <w:tr>
        <w:trPr>
          <w:trHeight w:val="210"/>
        </w:trPr>
        <w:tc>
          <w:tcPr>
            <w:tcW w:w="47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851"/>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851"/>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47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July 2, 2023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July 3, 2022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July 2, 2023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July 3, 2022</w:t>
            </w:r>
          </w:p>
        </w:tc>
      </w:tr>
      <w:tr>
        <w:trPr>
          <w:trHeight w:val="22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7,522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158</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20,560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11,628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2,313</w:t>
            </w:r>
          </w:p>
        </w:tc>
      </w:tr>
      <w:tr>
        <w:trPr>
          <w:trHeight w:val="24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Amortization of prior service credit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net loss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Settlement loss</w:t>
            </w: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4,389</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10,376</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periodic benefit cost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made contributions of $3,862 and $10,911 to the pension plans and other benefits plans, respectively, during the first six months of 2023. In the first six months of 2022, we made contributions of $3,756 and $10,575 to our pension plans and other benefit plans, respectively. The contributions in 2023 and 2022 also included benefit payments from our non-qualified pension plans and post-retirement benefit plans.</w:t>
      </w:r>
    </w:p>
    <w:p>
      <w:pPr>
        <w:spacing w:after="0" w:line="1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The non-service cost components of net periodic benefit cost relating to pension and other post-retirement benefit plans is reflected within other (income) expense, net in the Consolidated Statements of Income (see </w:t>
      </w:r>
      <w:r>
        <w:rPr>
          <w:rFonts w:ascii="Arial" w:cs="Arial" w:eastAsia="Arial" w:hAnsi="Arial"/>
          <w:sz w:val="18"/>
          <w:szCs w:val="18"/>
          <w:u w:val="single" w:color="auto"/>
          <w:color w:val="0000FF"/>
        </w:rPr>
        <w:t>Note 17</w:t>
      </w:r>
      <w:r>
        <w:rPr>
          <w:rFonts w:ascii="Arial" w:cs="Arial" w:eastAsia="Arial" w:hAnsi="Arial"/>
          <w:sz w:val="18"/>
          <w:szCs w:val="18"/>
          <w:color w:val="auto"/>
        </w:rPr>
        <w:t>).</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first six months of 2023, we recognized pension settlement charges in our hourly retirement plan due to lump sum withdrawals by employees retiring or leaving the Company. The non-cash settlement charges, which represent the acceleration of a portion of the respective plan’s accumulated unrecognized actuarial loss, were triggered when the cumulative lump sum distributions exceeded the plan’s anticipated annual service and interest costs. In connection with the second quarter 2023 settlements, the related plan assets and liabilities were remeasured using a discount rate as of the remeasurement date that was 8 basis points lower than the rate as of December 31, 2022 and an expected rate of return on plan assets of 6.3%, which was consistent with the rate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268605</wp:posOffset>
            </wp:positionV>
            <wp:extent cx="19685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Q2 2023 Form 10-Q |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COMPENSATION PLANS</w:t>
      </w:r>
    </w:p>
    <w:p>
      <w:pPr>
        <w:spacing w:after="0" w:line="17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Share-based grants for compensation and incentive purposes are made pursuant to the Equity and Incentive Compensation Plan (“EICP”). The EICP provides for grants of one or more of the following stock-based compensation awards to employees, non-employee directors and certain service providers upon whom the successful conduct of our business is dependent:</w:t>
      </w:r>
    </w:p>
    <w:p>
      <w:pPr>
        <w:spacing w:after="0" w:line="13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Non-qualified stock options (“stock options”);</w:t>
      </w:r>
    </w:p>
    <w:p>
      <w:pPr>
        <w:spacing w:after="0" w:line="2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Performance stock units (“PSUs”) and performance stock;</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Stock appreciation rights;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Restricted stock units (“RSUs”) and restricted stock; and</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Other stock-based awards.</w:t>
      </w:r>
    </w:p>
    <w:p>
      <w:pPr>
        <w:spacing w:after="0" w:line="14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EICP also provides for the deferral of stock-based compensation awards by participants if approved by the Compensation and Human Capital Committee of our Board and if in accordance with an applicable deferred compensation plan of the Company. Currently, the Compensation and Human Capital Committee has authorized the deferral of PSU and RSU awards by certain eligible employees under the Company’s Deferred Compensation Plan. Our Board has authorized our non-employee directors to defer any portion of their cash retainer, committee chair fees and RSUs awarded that they elect to convert into deferred stock units under our Directors’ Compensation Plan.</w:t>
      </w:r>
    </w:p>
    <w:p>
      <w:pPr>
        <w:spacing w:after="0" w:line="134"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At the time stock options are exercised or PSUs and RSUs become payable, Common Stock is issued from our accumulated treasury shares. Dividend equivalents are credited on RSUs on the same date and at the same rate as dividends paid on our Common Stock. Dividend equivalents are charged to retained earnings and included in accrued liabilities until paid.</w:t>
      </w:r>
    </w:p>
    <w:p>
      <w:pPr>
        <w:spacing w:after="0" w:line="130"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Awards to employees eligible for retirement prior to the award becoming fully vested are amortized to expense over the period through the date that the employee first becomes eligible to retire and is no longer required to provide service to earn the award. In addition, historical data is used to estimate forfeiture rates and record share-based compensation expense only for those awards that are expected to vest.</w:t>
      </w:r>
    </w:p>
    <w:p>
      <w:pPr>
        <w:spacing w:after="0" w:line="111"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For the periods presented, compensation expense for all types of stock-based compensation programs and the related income tax benefit recognized were as follows:</w:t>
      </w:r>
    </w:p>
    <w:tbl>
      <w:tblPr>
        <w:tblLayout w:type="fixed"/>
        <w:tblInd w:w="0" w:type="dxa"/>
        <w:tblCellMar>
          <w:top w:w="0" w:type="dxa"/>
          <w:left w:w="0" w:type="dxa"/>
          <w:bottom w:w="0" w:type="dxa"/>
          <w:right w:w="0" w:type="dxa"/>
        </w:tblCellMar>
      </w:tblPr>
      <w:tr>
        <w:trPr>
          <w:trHeight w:val="213"/>
        </w:trPr>
        <w:tc>
          <w:tcPr>
            <w:tcW w:w="3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4"/>
          </w:tcPr>
          <w:p>
            <w:pPr>
              <w:jc w:val="right"/>
              <w:ind w:right="1153"/>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4"/>
          </w:tcPr>
          <w:p>
            <w:pPr>
              <w:jc w:val="right"/>
              <w:ind w:right="1253"/>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3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July 2, 2023</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July 3, 2022</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July 2, 2023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July 3, 2022</w:t>
            </w:r>
          </w:p>
        </w:tc>
      </w:tr>
      <w:tr>
        <w:trPr>
          <w:trHeight w:val="239"/>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Pre-tax compensation expense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16,848</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17,224</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35,840</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32,561</w:t>
            </w: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Related income tax benefit</w:t>
            </w:r>
          </w:p>
        </w:tc>
        <w:tc>
          <w:tcPr>
            <w:tcW w:w="3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1,978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3,684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6,308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6,935</w:t>
            </w:r>
          </w:p>
        </w:tc>
      </w:tr>
    </w:tbl>
    <w:p>
      <w:pPr>
        <w:spacing w:after="0" w:line="241" w:lineRule="exact"/>
        <w:rPr>
          <w:sz w:val="20"/>
          <w:szCs w:val="20"/>
          <w:color w:val="auto"/>
        </w:rPr>
      </w:pPr>
    </w:p>
    <w:p>
      <w:pPr>
        <w:ind w:right="580"/>
        <w:spacing w:after="0" w:line="263" w:lineRule="auto"/>
        <w:rPr>
          <w:sz w:val="20"/>
          <w:szCs w:val="20"/>
          <w:color w:val="auto"/>
        </w:rPr>
      </w:pPr>
      <w:r>
        <w:rPr>
          <w:rFonts w:ascii="Arial" w:cs="Arial" w:eastAsia="Arial" w:hAnsi="Arial"/>
          <w:sz w:val="18"/>
          <w:szCs w:val="18"/>
          <w:color w:val="auto"/>
        </w:rPr>
        <w:t>Compensation expenses for stock compensation plans are primarily included in SM&amp;A expense. As of July 2, 2023, total stock-based compensation expense related to non-vested awards not yet recognized was $115,592 and the weighted-average period over which this amount is expected to be recognized was approximately 2.0 years.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75"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The exercise price of each stock option awarded under the EICP equals the closing price of our Common Stock on the New York Stock Exchange on the date of grant. Each stock option has a maximum term of 10 years. Grants of stock options provide for pro-rated vesting, typically over a four-year period. Expense for stock options is based on grant date fair value and recognized on a straight-line method over the vesting period, net of estimated forfeitures.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497840</wp:posOffset>
            </wp:positionV>
            <wp:extent cx="19685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Q2 2023 Form 10-Q |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gridSpan w:val="3"/>
          </w:tcPr>
          <w:p>
            <w:pPr>
              <w:spacing w:after="0"/>
              <w:rPr>
                <w:sz w:val="20"/>
                <w:szCs w:val="20"/>
                <w:color w:val="auto"/>
              </w:rPr>
            </w:pPr>
            <w:r>
              <w:rPr>
                <w:rFonts w:ascii="Arial" w:cs="Arial" w:eastAsia="Arial" w:hAnsi="Arial"/>
                <w:sz w:val="18"/>
                <w:szCs w:val="18"/>
                <w:color w:val="auto"/>
                <w:w w:val="96"/>
              </w:rPr>
              <w:t>A summary of activity relating to grants of stock options for the period ended July 2, 2023 is as follows:</w:t>
            </w:r>
          </w:p>
        </w:tc>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4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8"/>
              </w:rPr>
              <w:t>Weighted-Average</w:t>
            </w: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9"/>
              </w:rPr>
              <w:t>Weighted-Average</w:t>
            </w:r>
          </w:p>
        </w:tc>
        <w:tc>
          <w:tcPr>
            <w:tcW w:w="176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w w:val="99"/>
              </w:rPr>
              <w:t>Aggregate Intrinsic</w:t>
            </w:r>
          </w:p>
        </w:tc>
        <w:tc>
          <w:tcPr>
            <w:tcW w:w="0" w:type="dxa"/>
            <w:vAlign w:val="bottom"/>
          </w:tcPr>
          <w:p>
            <w:pPr>
              <w:spacing w:after="0"/>
              <w:rPr>
                <w:sz w:val="1"/>
                <w:szCs w:val="1"/>
                <w:color w:val="auto"/>
              </w:rPr>
            </w:pPr>
          </w:p>
        </w:tc>
      </w:tr>
      <w:tr>
        <w:trPr>
          <w:trHeight w:val="184"/>
        </w:trPr>
        <w:tc>
          <w:tcPr>
            <w:tcW w:w="44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78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w w:val="88"/>
              </w:rPr>
              <w:t>Exercise Price (per</w:t>
            </w:r>
          </w:p>
        </w:tc>
        <w:tc>
          <w:tcPr>
            <w:tcW w:w="158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w w:val="91"/>
              </w:rPr>
              <w:t>Remaining</w:t>
            </w:r>
          </w:p>
        </w:tc>
        <w:tc>
          <w:tcPr>
            <w:tcW w:w="1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Stock Options</w:t>
            </w:r>
          </w:p>
        </w:tc>
        <w:tc>
          <w:tcPr>
            <w:tcW w:w="16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Shares</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share)</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Contractual Term</w:t>
            </w: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beginning of year</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976,634</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$104.36</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 years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color w:val="auto"/>
              </w:rPr>
              <w:t>Granted</w:t>
            </w:r>
          </w:p>
        </w:tc>
        <w:tc>
          <w:tcPr>
            <w:tcW w:w="1680" w:type="dxa"/>
            <w:vAlign w:val="bottom"/>
          </w:tcPr>
          <w:p>
            <w:pPr>
              <w:jc w:val="right"/>
              <w:spacing w:after="0"/>
              <w:rPr>
                <w:sz w:val="20"/>
                <w:szCs w:val="20"/>
                <w:color w:val="auto"/>
              </w:rPr>
            </w:pPr>
            <w:r>
              <w:rPr>
                <w:rFonts w:ascii="Arial" w:cs="Arial" w:eastAsia="Arial" w:hAnsi="Arial"/>
                <w:sz w:val="18"/>
                <w:szCs w:val="18"/>
                <w:color w:val="auto"/>
              </w:rPr>
              <w:t>5,215</w:t>
            </w:r>
          </w:p>
        </w:tc>
        <w:tc>
          <w:tcPr>
            <w:tcW w:w="1780" w:type="dxa"/>
            <w:vAlign w:val="bottom"/>
          </w:tcPr>
          <w:p>
            <w:pPr>
              <w:jc w:val="right"/>
              <w:spacing w:after="0"/>
              <w:rPr>
                <w:sz w:val="20"/>
                <w:szCs w:val="20"/>
                <w:color w:val="auto"/>
              </w:rPr>
            </w:pPr>
            <w:r>
              <w:rPr>
                <w:rFonts w:ascii="Arial" w:cs="Arial" w:eastAsia="Arial" w:hAnsi="Arial"/>
                <w:sz w:val="18"/>
                <w:szCs w:val="18"/>
                <w:color w:val="auto"/>
              </w:rPr>
              <w:t>$240.90</w:t>
            </w:r>
          </w:p>
        </w:tc>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(216,977)</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$102.93</w:t>
            </w:r>
          </w:p>
        </w:tc>
        <w:tc>
          <w:tcPr>
            <w:tcW w:w="15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color w:val="auto"/>
              </w:rPr>
              <w:t>Outstanding as of July 2, 2023</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764,872</w:t>
            </w:r>
          </w:p>
        </w:tc>
        <w:tc>
          <w:tcPr>
            <w:tcW w:w="1780" w:type="dxa"/>
            <w:vAlign w:val="bottom"/>
          </w:tcPr>
          <w:p>
            <w:pPr>
              <w:jc w:val="right"/>
              <w:spacing w:after="0"/>
              <w:rPr>
                <w:sz w:val="20"/>
                <w:szCs w:val="20"/>
                <w:color w:val="auto"/>
              </w:rPr>
            </w:pPr>
            <w:r>
              <w:rPr>
                <w:rFonts w:ascii="Arial" w:cs="Arial" w:eastAsia="Arial" w:hAnsi="Arial"/>
                <w:sz w:val="18"/>
                <w:szCs w:val="18"/>
                <w:color w:val="auto"/>
              </w:rPr>
              <w:t>$105.69</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3.7 years</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110,146</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exercisable as of July 2, 2023</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738,817</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$103.28</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3.6 years</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108,179</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both"/>
        <w:ind w:right="80"/>
        <w:spacing w:after="0" w:line="308" w:lineRule="auto"/>
        <w:rPr>
          <w:sz w:val="20"/>
          <w:szCs w:val="20"/>
          <w:color w:val="auto"/>
        </w:rPr>
      </w:pPr>
      <w:r>
        <w:rPr>
          <w:rFonts w:ascii="Arial" w:cs="Arial" w:eastAsia="Arial" w:hAnsi="Arial"/>
          <w:sz w:val="16"/>
          <w:szCs w:val="16"/>
          <w:color w:val="auto"/>
        </w:rPr>
        <w:t>The weighted-average fair value of options granted was $57.65 and $37.28 per share for the periods ended July 2, 2023 and July 3, 2022, respectively. The fair value was estimated on the date of grant using a Black-Scholes option-pricing model and the following weighted-average assumptions:</w:t>
      </w:r>
    </w:p>
    <w:p>
      <w:pPr>
        <w:spacing w:after="0" w:line="1" w:lineRule="exact"/>
        <w:rPr>
          <w:sz w:val="20"/>
          <w:szCs w:val="20"/>
          <w:color w:val="auto"/>
        </w:rPr>
      </w:pPr>
    </w:p>
    <w:p>
      <w:pPr>
        <w:ind w:left="828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00" w:type="dxa"/>
            <w:vAlign w:val="bottom"/>
            <w:tcBorders>
              <w:bottom w:val="single" w:sz="8" w:color="CCEEFF"/>
            </w:tcBorders>
          </w:tcPr>
          <w:p>
            <w:pPr>
              <w:spacing w:after="0"/>
              <w:rPr>
                <w:sz w:val="18"/>
                <w:szCs w:val="18"/>
                <w:color w:val="auto"/>
              </w:rPr>
            </w:pPr>
          </w:p>
        </w:tc>
        <w:tc>
          <w:tcPr>
            <w:tcW w:w="164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6"/>
                <w:szCs w:val="16"/>
                <w:b w:val="1"/>
                <w:bCs w:val="1"/>
                <w:color w:val="auto"/>
              </w:rPr>
              <w:t>July 2, 2023</w:t>
            </w:r>
          </w:p>
        </w:tc>
        <w:tc>
          <w:tcPr>
            <w:tcW w:w="6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260" w:type="dxa"/>
            <w:vAlign w:val="bottom"/>
            <w:tcBorders>
              <w:top w:val="single" w:sz="8" w:color="auto"/>
              <w:bottom w:val="single" w:sz="8" w:color="auto"/>
            </w:tcBorders>
          </w:tcPr>
          <w:p>
            <w:pPr>
              <w:jc w:val="right"/>
              <w:ind w:right="635"/>
              <w:spacing w:after="0"/>
              <w:rPr>
                <w:sz w:val="20"/>
                <w:szCs w:val="20"/>
                <w:color w:val="auto"/>
              </w:rPr>
            </w:pPr>
            <w:r>
              <w:rPr>
                <w:rFonts w:ascii="Arial" w:cs="Arial" w:eastAsia="Arial" w:hAnsi="Arial"/>
                <w:sz w:val="16"/>
                <w:szCs w:val="16"/>
                <w:b w:val="1"/>
                <w:bCs w:val="1"/>
                <w:color w:val="auto"/>
              </w:rPr>
              <w:t>July 3, 2022</w:t>
            </w:r>
          </w:p>
        </w:tc>
      </w:tr>
      <w:tr>
        <w:trPr>
          <w:trHeight w:val="22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yields</w:t>
            </w:r>
          </w:p>
        </w:tc>
        <w:tc>
          <w:tcPr>
            <w:tcW w:w="16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2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30"/>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620" w:type="dxa"/>
            <w:vAlign w:val="bottom"/>
          </w:tcPr>
          <w:p>
            <w:pPr>
              <w:jc w:val="right"/>
              <w:spacing w:after="0"/>
              <w:rPr>
                <w:sz w:val="20"/>
                <w:szCs w:val="20"/>
                <w:color w:val="auto"/>
              </w:rPr>
            </w:pPr>
            <w:r>
              <w:rPr>
                <w:rFonts w:ascii="Arial" w:cs="Arial" w:eastAsia="Arial" w:hAnsi="Arial"/>
                <w:sz w:val="18"/>
                <w:szCs w:val="18"/>
                <w:color w:val="auto"/>
              </w:rPr>
              <w:t>20.9 %</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21.1 %</w:t>
            </w:r>
          </w:p>
        </w:tc>
      </w:tr>
      <w:tr>
        <w:trPr>
          <w:trHeight w:val="243"/>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Risk-free interest rates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30"/>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Expected term in years</w:t>
            </w:r>
          </w:p>
        </w:tc>
        <w:tc>
          <w:tcPr>
            <w:tcW w:w="620" w:type="dxa"/>
            <w:vAlign w:val="bottom"/>
          </w:tcPr>
          <w:p>
            <w:pPr>
              <w:jc w:val="right"/>
              <w:spacing w:after="0"/>
              <w:rPr>
                <w:sz w:val="20"/>
                <w:szCs w:val="20"/>
                <w:color w:val="auto"/>
              </w:rPr>
            </w:pPr>
            <w:r>
              <w:rPr>
                <w:rFonts w:ascii="Arial" w:cs="Arial" w:eastAsia="Arial" w:hAnsi="Arial"/>
                <w:sz w:val="18"/>
                <w:szCs w:val="18"/>
                <w:color w:val="auto"/>
              </w:rPr>
              <w:t>6.3</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6.3</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total intrinsic value of options exercised was $31,581 and $24,870 for the periods ended July 2, 2023 and July 3, 2022,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Stock Units and Restricted Stock Units</w:t>
      </w:r>
    </w:p>
    <w:p>
      <w:pPr>
        <w:spacing w:after="0" w:line="17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Under the EICP, we grant PSUs to select executives and other key employees. Vesting is contingent upon the achievement of certain performance objectives. We grant PSUs over three-year performance cycles. If we meet targets for financial measures at the end of the applicable three-year performance cycle, we award a resulting number of shares of our Common Stock to the participants. The number of shares may be increased to the maximum or reduced to the minimum threshold based on the results of these performance metrics in accordance with the terms established at the time of the award.</w:t>
      </w:r>
    </w:p>
    <w:p>
      <w:pPr>
        <w:spacing w:after="0" w:line="13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PSUs granted, the target award is a combination of a market-based total shareholder return and performance-based components. For market-based condition components, market volatility and other factors are taken into consideration in determining the grant date fair value and the related compensation expense is recognized regardless of whether the market condition is satisfied, provided that the requisite service has been provided. For performance-based condition components, we estimate the probability that the performance conditions will be achieved each quarter and adjust compensation expenses accordingly. The performance scores of PSU grants during the six months ended July 2, 2023 and July 3, 2022 can range from 0% to 250% of the targeted amounts.</w:t>
      </w:r>
    </w:p>
    <w:p>
      <w:pPr>
        <w:spacing w:after="0" w:line="13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recognize the compensation expenses associated with PSUs ratably over the three-year term. Compensation expenses are based on the grant date fair value because the grants can only be settled in shares of our Common Stock. The grant date fair value of PSUs is determined based on the Monte Carlo simulation model for the market-based total shareholder return component and the closing market price of the Company’s Common Stock on the date of grant for performance-based components.</w:t>
      </w:r>
    </w:p>
    <w:p>
      <w:pPr>
        <w:spacing w:after="0" w:line="13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During the six months ended July 2, 2023 and July 3, 2022, we awarded RSUs to certain executive officers and other key employees under the EICP. We also awarded RSUs to non-employee directors.</w:t>
      </w:r>
    </w:p>
    <w:p>
      <w:pPr>
        <w:spacing w:after="0" w:line="11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recognize the compensation expenses associated with employee RSUs over a specified award vesting period based on the grant date fair value of our Common Stock. We recognize expense for employee RSUs based on the straight-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262890</wp:posOffset>
            </wp:positionV>
            <wp:extent cx="19685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Q2 2023 Form 10-Q | 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line method. The compensation expenses associated with non-employee director RSUs is recognized ratably over the vesting period, net of estimated forfeitures.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relating to grants of PSUs and RSUs for the period ended July 2, 2023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Performance Stock Units and Restricted Stock Units</w:t>
            </w:r>
          </w:p>
        </w:tc>
        <w:tc>
          <w:tcPr>
            <w:tcW w:w="120" w:type="dxa"/>
            <w:vAlign w:val="bottom"/>
          </w:tcPr>
          <w:p>
            <w:pPr>
              <w:spacing w:after="0"/>
              <w:rPr>
                <w:sz w:val="16"/>
                <w:szCs w:val="16"/>
                <w:color w:val="auto"/>
              </w:rPr>
            </w:pPr>
          </w:p>
        </w:tc>
        <w:tc>
          <w:tcPr>
            <w:tcW w:w="1640" w:type="dxa"/>
            <w:vAlign w:val="bottom"/>
            <w:vMerge w:val="restart"/>
          </w:tcPr>
          <w:p>
            <w:pPr>
              <w:jc w:val="right"/>
              <w:ind w:right="175"/>
              <w:spacing w:after="0"/>
              <w:rPr>
                <w:sz w:val="20"/>
                <w:szCs w:val="20"/>
                <w:color w:val="auto"/>
              </w:rPr>
            </w:pPr>
            <w:r>
              <w:rPr>
                <w:rFonts w:ascii="Arial" w:cs="Arial" w:eastAsia="Arial" w:hAnsi="Arial"/>
                <w:sz w:val="16"/>
                <w:szCs w:val="16"/>
                <w:b w:val="1"/>
                <w:bCs w:val="1"/>
                <w:color w:val="auto"/>
              </w:rPr>
              <w:t>Number of units</w:t>
            </w:r>
          </w:p>
        </w:tc>
        <w:tc>
          <w:tcPr>
            <w:tcW w:w="120" w:type="dxa"/>
            <w:vAlign w:val="bottom"/>
          </w:tcPr>
          <w:p>
            <w:pPr>
              <w:spacing w:after="0"/>
              <w:rPr>
                <w:sz w:val="16"/>
                <w:szCs w:val="16"/>
                <w:color w:val="auto"/>
              </w:rPr>
            </w:pPr>
          </w:p>
        </w:tc>
        <w:tc>
          <w:tcPr>
            <w:tcW w:w="3520" w:type="dxa"/>
            <w:vAlign w:val="bottom"/>
          </w:tcPr>
          <w:p>
            <w:pPr>
              <w:jc w:val="right"/>
              <w:ind w:right="199"/>
              <w:spacing w:after="0"/>
              <w:rPr>
                <w:sz w:val="20"/>
                <w:szCs w:val="20"/>
                <w:color w:val="auto"/>
              </w:rPr>
            </w:pPr>
            <w:r>
              <w:rPr>
                <w:rFonts w:ascii="Arial" w:cs="Arial" w:eastAsia="Arial" w:hAnsi="Arial"/>
                <w:sz w:val="16"/>
                <w:szCs w:val="16"/>
                <w:b w:val="1"/>
                <w:bCs w:val="1"/>
                <w:color w:val="auto"/>
              </w:rPr>
              <w:t>Weighted-average grant date fair value for</w:t>
            </w:r>
          </w:p>
        </w:tc>
        <w:tc>
          <w:tcPr>
            <w:tcW w:w="0" w:type="dxa"/>
            <w:vAlign w:val="bottom"/>
          </w:tcPr>
          <w:p>
            <w:pPr>
              <w:spacing w:after="0"/>
              <w:rPr>
                <w:sz w:val="1"/>
                <w:szCs w:val="1"/>
                <w:color w:val="auto"/>
              </w:rPr>
            </w:pPr>
          </w:p>
        </w:tc>
      </w:tr>
      <w:tr>
        <w:trPr>
          <w:trHeight w:val="213"/>
        </w:trPr>
        <w:tc>
          <w:tcPr>
            <w:tcW w:w="57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equity awards (per unit)</w:t>
            </w:r>
          </w:p>
        </w:tc>
        <w:tc>
          <w:tcPr>
            <w:tcW w:w="0" w:type="dxa"/>
            <w:vAlign w:val="bottom"/>
          </w:tcPr>
          <w:p>
            <w:pPr>
              <w:spacing w:after="0"/>
              <w:rPr>
                <w:sz w:val="1"/>
                <w:szCs w:val="1"/>
                <w:color w:val="auto"/>
              </w:rPr>
            </w:pPr>
          </w:p>
        </w:tc>
      </w:tr>
      <w:tr>
        <w:trPr>
          <w:trHeight w:val="22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beginning of year</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1,141,679</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$181.91</w:t>
            </w:r>
          </w:p>
        </w:tc>
        <w:tc>
          <w:tcPr>
            <w:tcW w:w="0" w:type="dxa"/>
            <w:vAlign w:val="bottom"/>
          </w:tcPr>
          <w:p>
            <w:pPr>
              <w:spacing w:after="0"/>
              <w:rPr>
                <w:sz w:val="1"/>
                <w:szCs w:val="1"/>
                <w:color w:val="auto"/>
              </w:rPr>
            </w:pPr>
          </w:p>
        </w:tc>
      </w:tr>
      <w:tr>
        <w:trPr>
          <w:trHeight w:val="237"/>
        </w:trPr>
        <w:tc>
          <w:tcPr>
            <w:tcW w:w="5740" w:type="dxa"/>
            <w:vAlign w:val="bottom"/>
          </w:tcPr>
          <w:p>
            <w:pPr>
              <w:ind w:left="20"/>
              <w:spacing w:after="0"/>
              <w:rPr>
                <w:sz w:val="20"/>
                <w:szCs w:val="20"/>
                <w:color w:val="auto"/>
              </w:rPr>
            </w:pPr>
            <w:r>
              <w:rPr>
                <w:rFonts w:ascii="Arial" w:cs="Arial" w:eastAsia="Arial" w:hAnsi="Arial"/>
                <w:sz w:val="18"/>
                <w:szCs w:val="18"/>
                <w:color w:val="auto"/>
              </w:rPr>
              <w:t>Granted</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286,363</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$249.97</w:t>
            </w:r>
          </w:p>
        </w:tc>
        <w:tc>
          <w:tcPr>
            <w:tcW w:w="0" w:type="dxa"/>
            <w:vAlign w:val="bottom"/>
          </w:tcPr>
          <w:p>
            <w:pPr>
              <w:spacing w:after="0"/>
              <w:rPr>
                <w:sz w:val="1"/>
                <w:szCs w:val="1"/>
                <w:color w:val="auto"/>
              </w:rPr>
            </w:pPr>
          </w:p>
        </w:tc>
      </w:tr>
      <w:tr>
        <w:trPr>
          <w:trHeight w:val="23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assumption change (1)</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90,139</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$303.24</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Vested</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(418,071)</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$172.11</w:t>
            </w:r>
          </w:p>
        </w:tc>
        <w:tc>
          <w:tcPr>
            <w:tcW w:w="0" w:type="dxa"/>
            <w:vAlign w:val="bottom"/>
          </w:tcPr>
          <w:p>
            <w:pPr>
              <w:spacing w:after="0"/>
              <w:rPr>
                <w:sz w:val="1"/>
                <w:szCs w:val="1"/>
                <w:color w:val="auto"/>
              </w:rPr>
            </w:pPr>
          </w:p>
        </w:tc>
      </w:tr>
      <w:tr>
        <w:trPr>
          <w:trHeight w:val="24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(15,070)</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$203.38</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color w:val="auto"/>
              </w:rPr>
              <w:t>Outstanding as of July 2, 2023</w:t>
            </w:r>
          </w:p>
        </w:tc>
        <w:tc>
          <w:tcPr>
            <w:tcW w:w="120" w:type="dxa"/>
            <w:vAlign w:val="bottom"/>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1,085,040</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$213.43</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(1)  Reflects the net number of PSUs above and below target levels based on the performance metrics.</w:t>
      </w:r>
    </w:p>
    <w:p>
      <w:pPr>
        <w:spacing w:after="0" w:line="17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following table sets forth information about the fair value of the PSUs and RSUs granted for potential future distribution to employees and non-employee directors. In addition, the table provides assumptions used to determine the fair value of the market-based total shareholder return component using the Monte Carlo simulation model on the date of grant.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80" w:type="dxa"/>
            <w:vAlign w:val="bottom"/>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Six Months Ended</w:t>
            </w:r>
          </w:p>
        </w:tc>
        <w:tc>
          <w:tcPr>
            <w:tcW w:w="1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July 2, 2023</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672"/>
              <w:spacing w:after="0"/>
              <w:rPr>
                <w:sz w:val="20"/>
                <w:szCs w:val="20"/>
                <w:color w:val="auto"/>
              </w:rPr>
            </w:pPr>
            <w:r>
              <w:rPr>
                <w:rFonts w:ascii="Arial" w:cs="Arial" w:eastAsia="Arial" w:hAnsi="Arial"/>
                <w:sz w:val="16"/>
                <w:szCs w:val="16"/>
                <w:b w:val="1"/>
                <w:bCs w:val="1"/>
                <w:color w:val="auto"/>
              </w:rPr>
              <w:t>July 3, 2022</w:t>
            </w:r>
          </w:p>
        </w:tc>
        <w:tc>
          <w:tcPr>
            <w:tcW w:w="0" w:type="dxa"/>
            <w:vAlign w:val="bottom"/>
          </w:tcPr>
          <w:p>
            <w:pPr>
              <w:spacing w:after="0"/>
              <w:rPr>
                <w:sz w:val="1"/>
                <w:szCs w:val="1"/>
                <w:color w:val="auto"/>
              </w:rPr>
            </w:pPr>
          </w:p>
        </w:tc>
      </w:tr>
      <w:tr>
        <w:trPr>
          <w:trHeight w:val="23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Units granted</w:t>
            </w:r>
          </w:p>
        </w:tc>
        <w:tc>
          <w:tcPr>
            <w:tcW w:w="16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286,363</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294,729</w:t>
            </w:r>
          </w:p>
        </w:tc>
        <w:tc>
          <w:tcPr>
            <w:tcW w:w="0" w:type="dxa"/>
            <w:vAlign w:val="bottom"/>
          </w:tcPr>
          <w:p>
            <w:pPr>
              <w:spacing w:after="0"/>
              <w:rPr>
                <w:sz w:val="1"/>
                <w:szCs w:val="1"/>
                <w:color w:val="auto"/>
              </w:rPr>
            </w:pP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Weighted-average fair value at date of grant</w:t>
            </w:r>
          </w:p>
        </w:tc>
        <w:tc>
          <w:tcPr>
            <w:tcW w:w="1640" w:type="dxa"/>
            <w:vAlign w:val="bottom"/>
            <w:vMerge w:val="restart"/>
          </w:tcPr>
          <w:p>
            <w:pPr>
              <w:jc w:val="right"/>
              <w:ind w:right="1453"/>
              <w:spacing w:after="0"/>
              <w:rPr>
                <w:sz w:val="20"/>
                <w:szCs w:val="20"/>
                <w:color w:val="auto"/>
              </w:rPr>
            </w:pPr>
            <w:r>
              <w:rPr>
                <w:rFonts w:ascii="Arial" w:cs="Arial" w:eastAsia="Arial" w:hAnsi="Arial"/>
                <w:sz w:val="18"/>
                <w:szCs w:val="18"/>
                <w:color w:val="auto"/>
                <w:w w:val="79"/>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249.97</w:t>
            </w:r>
          </w:p>
        </w:tc>
        <w:tc>
          <w:tcPr>
            <w:tcW w:w="800" w:type="dxa"/>
            <w:vAlign w:val="bottom"/>
            <w:gridSpan w:val="2"/>
            <w:vMerge w:val="restart"/>
          </w:tcPr>
          <w:p>
            <w:pPr>
              <w:jc w:val="right"/>
              <w:ind w:right="580"/>
              <w:spacing w:after="0"/>
              <w:rPr>
                <w:sz w:val="20"/>
                <w:szCs w:val="20"/>
                <w:color w:val="auto"/>
              </w:rPr>
            </w:pPr>
            <w:r>
              <w:rPr>
                <w:rFonts w:ascii="Arial" w:cs="Arial" w:eastAsia="Arial" w:hAnsi="Arial"/>
                <w:sz w:val="18"/>
                <w:szCs w:val="18"/>
                <w:color w:val="auto"/>
              </w:rPr>
              <w:t>$</w:t>
            </w:r>
          </w:p>
        </w:tc>
        <w:tc>
          <w:tcPr>
            <w:tcW w:w="1680" w:type="dxa"/>
            <w:vAlign w:val="bottom"/>
            <w:vMerge w:val="restart"/>
          </w:tcPr>
          <w:p>
            <w:pPr>
              <w:jc w:val="right"/>
              <w:spacing w:after="0"/>
              <w:rPr>
                <w:sz w:val="20"/>
                <w:szCs w:val="20"/>
                <w:color w:val="auto"/>
              </w:rPr>
            </w:pPr>
            <w:r>
              <w:rPr>
                <w:rFonts w:ascii="Arial" w:cs="Arial" w:eastAsia="Arial" w:hAnsi="Arial"/>
                <w:sz w:val="18"/>
                <w:szCs w:val="18"/>
                <w:color w:val="auto"/>
              </w:rPr>
              <w:t>210.80</w:t>
            </w:r>
          </w:p>
        </w:tc>
        <w:tc>
          <w:tcPr>
            <w:tcW w:w="0" w:type="dxa"/>
            <w:vAlign w:val="bottom"/>
          </w:tcPr>
          <w:p>
            <w:pPr>
              <w:spacing w:after="0"/>
              <w:rPr>
                <w:sz w:val="1"/>
                <w:szCs w:val="1"/>
                <w:color w:val="auto"/>
              </w:rPr>
            </w:pPr>
          </w:p>
        </w:tc>
      </w:tr>
      <w:tr>
        <w:trPr>
          <w:trHeight w:val="87"/>
        </w:trPr>
        <w:tc>
          <w:tcPr>
            <w:tcW w:w="638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Monte Carlo simulation assumptions:</w:t>
            </w:r>
          </w:p>
        </w:tc>
        <w:tc>
          <w:tcPr>
            <w:tcW w:w="16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80" w:type="dxa"/>
            <w:vAlign w:val="bottom"/>
          </w:tcPr>
          <w:p>
            <w:pPr>
              <w:ind w:left="360"/>
              <w:spacing w:after="0"/>
              <w:rPr>
                <w:sz w:val="20"/>
                <w:szCs w:val="20"/>
                <w:color w:val="auto"/>
              </w:rPr>
            </w:pPr>
            <w:r>
              <w:rPr>
                <w:rFonts w:ascii="Arial" w:cs="Arial" w:eastAsia="Arial" w:hAnsi="Arial"/>
                <w:sz w:val="18"/>
                <w:szCs w:val="18"/>
                <w:color w:val="auto"/>
              </w:rPr>
              <w:t>Estimated values</w:t>
            </w:r>
          </w:p>
        </w:tc>
        <w:tc>
          <w:tcPr>
            <w:tcW w:w="1640" w:type="dxa"/>
            <w:vAlign w:val="bottom"/>
          </w:tcPr>
          <w:p>
            <w:pPr>
              <w:jc w:val="right"/>
              <w:ind w:right="1453"/>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118.90</w:t>
            </w:r>
          </w:p>
        </w:tc>
        <w:tc>
          <w:tcPr>
            <w:tcW w:w="8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100.41</w:t>
            </w:r>
          </w:p>
        </w:tc>
        <w:tc>
          <w:tcPr>
            <w:tcW w:w="0" w:type="dxa"/>
            <w:vAlign w:val="bottom"/>
          </w:tcPr>
          <w:p>
            <w:pPr>
              <w:spacing w:after="0"/>
              <w:rPr>
                <w:sz w:val="1"/>
                <w:szCs w:val="1"/>
                <w:color w:val="auto"/>
              </w:rPr>
            </w:pPr>
          </w:p>
        </w:tc>
      </w:tr>
      <w:tr>
        <w:trPr>
          <w:trHeight w:val="243"/>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 yields</w:t>
            </w:r>
          </w:p>
        </w:tc>
        <w:tc>
          <w:tcPr>
            <w:tcW w:w="16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30"/>
        </w:trPr>
        <w:tc>
          <w:tcPr>
            <w:tcW w:w="6380" w:type="dxa"/>
            <w:vAlign w:val="bottom"/>
          </w:tcPr>
          <w:p>
            <w:pPr>
              <w:ind w:left="360"/>
              <w:spacing w:after="0"/>
              <w:rPr>
                <w:sz w:val="20"/>
                <w:szCs w:val="20"/>
                <w:color w:val="auto"/>
              </w:rPr>
            </w:pPr>
            <w:r>
              <w:rPr>
                <w:rFonts w:ascii="Arial" w:cs="Arial" w:eastAsia="Arial" w:hAnsi="Arial"/>
                <w:sz w:val="18"/>
                <w:szCs w:val="18"/>
                <w:color w:val="auto"/>
              </w:rPr>
              <w:t>Expected volatility</w:t>
            </w:r>
          </w:p>
        </w:tc>
        <w:tc>
          <w:tcPr>
            <w:tcW w:w="16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19.2 %</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25.3 %</w:t>
            </w: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shares vested totaled $100,915 and $100,292 for the periods ended July 2, 2023 and July 3, 2022, respectively.</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Deferred PSUs, deferred RSUs and deferred stock units representing directors’ fees totaled 275,043 units as of July 2, 2023. Each unit is equivalent to one share of the Company’s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571500</wp:posOffset>
            </wp:positionV>
            <wp:extent cx="19685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Q2 2023 Form 10-Q | 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81" w:lineRule="exact"/>
        <w:rPr>
          <w:sz w:val="20"/>
          <w:szCs w:val="20"/>
          <w:color w:val="auto"/>
        </w:rPr>
      </w:pPr>
    </w:p>
    <w:p>
      <w:pPr>
        <w:ind w:right="360"/>
        <w:spacing w:after="0" w:line="270" w:lineRule="auto"/>
        <w:rPr>
          <w:sz w:val="20"/>
          <w:szCs w:val="20"/>
          <w:color w:val="auto"/>
        </w:rPr>
      </w:pPr>
      <w:r>
        <w:rPr>
          <w:rFonts w:ascii="Arial" w:cs="Arial" w:eastAsia="Arial" w:hAnsi="Arial"/>
          <w:sz w:val="17"/>
          <w:szCs w:val="17"/>
          <w:color w:val="auto"/>
        </w:rPr>
        <w:t>The Company reports its operations through three reportable segments: (i) North America Confectionery, (ii) North America Salty Snacks and (iii) International. This organizational structure aligns with how our Chief Operating Decision Maker (“CODM”) manages our business, including resource allocation and performance assessment, and further aligns with our product categories and the key markets we serve.</w:t>
      </w:r>
    </w:p>
    <w:p>
      <w:pPr>
        <w:spacing w:after="0" w:line="106" w:lineRule="exact"/>
        <w:rPr>
          <w:sz w:val="20"/>
          <w:szCs w:val="20"/>
          <w:color w:val="auto"/>
        </w:rPr>
      </w:pPr>
    </w:p>
    <w:p>
      <w:pPr>
        <w:ind w:left="660" w:right="100" w:hanging="328"/>
        <w:spacing w:after="0" w:line="280" w:lineRule="auto"/>
        <w:tabs>
          <w:tab w:leader="none" w:pos="660" w:val="left"/>
        </w:tabs>
        <w:numPr>
          <w:ilvl w:val="0"/>
          <w:numId w:val="1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North America Confectionery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segment is responsible for our traditional chocolate and non-chocolate confectionery market position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United States and Canada. This includes our business in chocolate and non-chocolate confectionery, gum and refreshment products, protein bars, spreads, snack bites and mixes, as well as pantry and food service lines. This segment also includes our retail operations, including Hershey’s Chocolate World stores in Hershey, Pennsylvania; New York, New York; Las Vegas, Nevada; Niagara Falls (Ontario) and Singapore, as well as operations associated with licensing the use of certain of the Company’s trademarks and products to third parties around the world.</w:t>
      </w:r>
    </w:p>
    <w:p>
      <w:pPr>
        <w:spacing w:after="0" w:line="114" w:lineRule="exact"/>
        <w:rPr>
          <w:rFonts w:ascii="Arial" w:cs="Arial" w:eastAsia="Arial" w:hAnsi="Arial"/>
          <w:sz w:val="16"/>
          <w:szCs w:val="16"/>
          <w:b w:val="1"/>
          <w:bCs w:val="1"/>
          <w:i w:val="1"/>
          <w:iCs w:val="1"/>
          <w:color w:val="auto"/>
        </w:rPr>
      </w:pPr>
    </w:p>
    <w:p>
      <w:pPr>
        <w:ind w:left="660" w:right="600" w:hanging="328"/>
        <w:spacing w:after="0" w:line="282" w:lineRule="auto"/>
        <w:tabs>
          <w:tab w:leader="none" w:pos="6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North America Salty Snacks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segment is responsible for our salty snacking products in the United States. This includes ready-to-eat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popcorn, baked and trans fat free snacks, pretzels and other snacks.</w:t>
      </w:r>
    </w:p>
    <w:p>
      <w:pPr>
        <w:spacing w:after="0" w:line="107" w:lineRule="exact"/>
        <w:rPr>
          <w:rFonts w:ascii="Arial" w:cs="Arial" w:eastAsia="Arial" w:hAnsi="Arial"/>
          <w:sz w:val="18"/>
          <w:szCs w:val="18"/>
          <w:b w:val="1"/>
          <w:bCs w:val="1"/>
          <w:i w:val="1"/>
          <w:iCs w:val="1"/>
          <w:color w:val="auto"/>
        </w:rPr>
      </w:pPr>
    </w:p>
    <w:p>
      <w:pPr>
        <w:ind w:left="660" w:right="160" w:hanging="328"/>
        <w:spacing w:after="0" w:line="261" w:lineRule="auto"/>
        <w:tabs>
          <w:tab w:leader="none" w:pos="6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International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International is a combination of all other operating segments that are not individually material, including those geographic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regions where we operate outside of North America. We currently have operations and manufacture product in Mexico, Brazil, India and Malaysia, primarily for consumers in these regions, and also distribute and sell confectionery products in export markets of Asia, Latin America, Middle East, Europe, Africa and other regions.</w:t>
      </w:r>
    </w:p>
    <w:p>
      <w:pPr>
        <w:spacing w:after="0" w:line="13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managed centrally at the corporate level and are excluded from the measure of segment income reviewed by the CODM as well as the measure of segment performance used for incentive compensation purposes.</w:t>
      </w:r>
    </w:p>
    <w:p>
      <w:pPr>
        <w:spacing w:after="0" w:line="12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As discussed in </w:t>
      </w:r>
      <w:r>
        <w:rPr>
          <w:rFonts w:ascii="Arial" w:cs="Arial" w:eastAsia="Arial" w:hAnsi="Arial"/>
          <w:sz w:val="18"/>
          <w:szCs w:val="18"/>
          <w:u w:val="single" w:color="auto"/>
          <w:color w:val="0000FF"/>
        </w:rPr>
        <w:t>Note 5</w:t>
      </w:r>
      <w:r>
        <w:rPr>
          <w:rFonts w:ascii="Arial" w:cs="Arial" w:eastAsia="Arial" w:hAnsi="Arial"/>
          <w:sz w:val="18"/>
          <w:szCs w:val="18"/>
          <w:color w:val="auto"/>
        </w:rPr>
        <w:t>, derivatives used to manage commodity price risk are not designated for hedge accounting treatment. These derivatives are recognized at fair market value with the resulting realized and unrealized (gains) losses recognized in unallocated derivative (gains) losses outside of the reporting segment results until the related inventory is sold, at which time the related gains and losses are reallocated to segment income. This enables us to align the derivative gains and losses with the underlying economic exposure being hedged and thereby eliminate the mark-to-market volatility within our reported segment income.</w:t>
      </w:r>
    </w:p>
    <w:p>
      <w:pPr>
        <w:spacing w:after="0" w:line="13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Certain manufacturing, warehousing, distribution and other activities supporting our global operations are integrated to maximize efficiency and productivity. As a result, assets and capital expenditures are not managed on a segment basis and are not included in the information reported to the CODM for the purpose of evaluating performance or allocating resources. We disclose depreciation and amortization that is generated by segment-specific assets, since these amounts are included within the measure of segment income reported to the CODM.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264795</wp:posOffset>
            </wp:positionV>
            <wp:extent cx="19685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Q2 2023 Form 10-Q |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sales and earnings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751"/>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83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1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July 2, 2023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July 3, 2022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July 2, 2023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July 3, 2022</w:t>
            </w:r>
          </w:p>
        </w:tc>
        <w:tc>
          <w:tcPr>
            <w:tcW w:w="0" w:type="dxa"/>
            <w:vAlign w:val="bottom"/>
          </w:tcPr>
          <w:p>
            <w:pPr>
              <w:spacing w:after="0"/>
              <w:rPr>
                <w:sz w:val="1"/>
                <w:szCs w:val="1"/>
                <w:color w:val="auto"/>
              </w:rPr>
            </w:pPr>
          </w:p>
        </w:tc>
      </w:tr>
      <w:tr>
        <w:trPr>
          <w:trHeight w:val="226"/>
        </w:trPr>
        <w:tc>
          <w:tcPr>
            <w:tcW w:w="490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gridSpan w:val="7"/>
          </w:tcPr>
          <w:p>
            <w:pPr>
              <w:ind w:left="180"/>
              <w:spacing w:after="0"/>
              <w:rPr>
                <w:sz w:val="20"/>
                <w:szCs w:val="20"/>
                <w:color w:val="auto"/>
              </w:rPr>
            </w:pPr>
            <w:r>
              <w:rPr>
                <w:rFonts w:ascii="Arial" w:cs="Arial" w:eastAsia="Arial" w:hAnsi="Arial"/>
                <w:sz w:val="18"/>
                <w:szCs w:val="18"/>
                <w:color w:val="auto"/>
              </w:rPr>
              <w:t>North America Confectionery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1,993,079</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1,909,101</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4,445,244</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4,126,145</w:t>
            </w:r>
          </w:p>
        </w:tc>
        <w:tc>
          <w:tcPr>
            <w:tcW w:w="0" w:type="dxa"/>
            <w:vAlign w:val="bottom"/>
          </w:tcPr>
          <w:p>
            <w:pPr>
              <w:spacing w:after="0"/>
              <w:rPr>
                <w:sz w:val="1"/>
                <w:szCs w:val="1"/>
                <w:color w:val="auto"/>
              </w:rPr>
            </w:pPr>
          </w:p>
        </w:tc>
      </w:tr>
      <w:tr>
        <w:trPr>
          <w:trHeight w:val="229"/>
        </w:trPr>
        <w:tc>
          <w:tcPr>
            <w:tcW w:w="490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rPr>
              <w:t>North America Salty Snacks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542,350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482,419</w:t>
            </w:r>
          </w:p>
        </w:tc>
        <w:tc>
          <w:tcPr>
            <w:tcW w:w="0" w:type="dxa"/>
            <w:vAlign w:val="bottom"/>
          </w:tcPr>
          <w:p>
            <w:pPr>
              <w:spacing w:after="0"/>
              <w:rPr>
                <w:sz w:val="1"/>
                <w:szCs w:val="1"/>
                <w:color w:val="auto"/>
              </w:rPr>
            </w:pPr>
          </w:p>
        </w:tc>
      </w:tr>
      <w:tr>
        <w:trPr>
          <w:trHeight w:val="243"/>
        </w:trPr>
        <w:tc>
          <w:tcPr>
            <w:tcW w:w="4900" w:type="dxa"/>
            <w:vAlign w:val="bottom"/>
            <w:tcBorders>
              <w:bottom w:val="single" w:sz="8" w:color="CCEEFF"/>
            </w:tcBorders>
            <w:gridSpan w:val="7"/>
          </w:tcPr>
          <w:p>
            <w:pPr>
              <w:ind w:left="18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224,836</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207,184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490,300</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430,239</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2,490,280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2,372,582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5,477,894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5,038,803</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rPr>
              <w:t>Segment income: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00" w:type="dxa"/>
            <w:vAlign w:val="bottom"/>
            <w:gridSpan w:val="7"/>
          </w:tcPr>
          <w:p>
            <w:pPr>
              <w:ind w:left="180"/>
              <w:spacing w:after="0"/>
              <w:rPr>
                <w:sz w:val="20"/>
                <w:szCs w:val="20"/>
                <w:color w:val="auto"/>
              </w:rPr>
            </w:pPr>
            <w:r>
              <w:rPr>
                <w:rFonts w:ascii="Arial" w:cs="Arial" w:eastAsia="Arial" w:hAnsi="Arial"/>
                <w:sz w:val="18"/>
                <w:szCs w:val="18"/>
                <w:color w:val="auto"/>
              </w:rPr>
              <w:t>North America Confectionery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657,178</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618,864</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1,544,928</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1,400,749</w:t>
            </w:r>
          </w:p>
        </w:tc>
        <w:tc>
          <w:tcPr>
            <w:tcW w:w="0" w:type="dxa"/>
            <w:vAlign w:val="bottom"/>
          </w:tcPr>
          <w:p>
            <w:pPr>
              <w:spacing w:after="0"/>
              <w:rPr>
                <w:sz w:val="1"/>
                <w:szCs w:val="1"/>
                <w:color w:val="auto"/>
              </w:rPr>
            </w:pPr>
          </w:p>
        </w:tc>
      </w:tr>
      <w:tr>
        <w:trPr>
          <w:trHeight w:val="236"/>
        </w:trPr>
        <w:tc>
          <w:tcPr>
            <w:tcW w:w="490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rPr>
              <w:t>North America Salty Snacks</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90,545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58,734</w:t>
            </w:r>
          </w:p>
        </w:tc>
        <w:tc>
          <w:tcPr>
            <w:tcW w:w="0" w:type="dxa"/>
            <w:vAlign w:val="bottom"/>
          </w:tcPr>
          <w:p>
            <w:pPr>
              <w:spacing w:after="0"/>
              <w:rPr>
                <w:sz w:val="1"/>
                <w:szCs w:val="1"/>
                <w:color w:val="auto"/>
              </w:rPr>
            </w:pPr>
          </w:p>
        </w:tc>
      </w:tr>
      <w:tr>
        <w:trPr>
          <w:trHeight w:val="230"/>
        </w:trPr>
        <w:tc>
          <w:tcPr>
            <w:tcW w:w="4900" w:type="dxa"/>
            <w:vAlign w:val="bottom"/>
            <w:gridSpan w:val="7"/>
          </w:tcPr>
          <w:p>
            <w:pPr>
              <w:ind w:left="18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41,101</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30,700</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96,150</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72,679</w:t>
            </w:r>
          </w:p>
        </w:tc>
        <w:tc>
          <w:tcPr>
            <w:tcW w:w="0" w:type="dxa"/>
            <w:vAlign w:val="bottom"/>
          </w:tcPr>
          <w:p>
            <w:pPr>
              <w:spacing w:after="0"/>
              <w:rPr>
                <w:sz w:val="1"/>
                <w:szCs w:val="1"/>
                <w:color w:val="auto"/>
              </w:rPr>
            </w:pPr>
          </w:p>
        </w:tc>
      </w:tr>
      <w:tr>
        <w:trPr>
          <w:trHeight w:val="236"/>
        </w:trPr>
        <w:tc>
          <w:tcPr>
            <w:tcW w:w="490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rPr>
              <w:t>Total segment income</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742,032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686,997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1,731,623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1,532,162</w:t>
            </w:r>
          </w:p>
        </w:tc>
        <w:tc>
          <w:tcPr>
            <w:tcW w:w="0" w:type="dxa"/>
            <w:vAlign w:val="bottom"/>
          </w:tcPr>
          <w:p>
            <w:pPr>
              <w:spacing w:after="0"/>
              <w:rPr>
                <w:sz w:val="1"/>
                <w:szCs w:val="1"/>
                <w:color w:val="auto"/>
              </w:rPr>
            </w:pPr>
          </w:p>
        </w:tc>
      </w:tr>
      <w:tr>
        <w:trPr>
          <w:trHeight w:val="230"/>
        </w:trPr>
        <w:tc>
          <w:tcPr>
            <w:tcW w:w="4900" w:type="dxa"/>
            <w:vAlign w:val="bottom"/>
            <w:gridSpan w:val="7"/>
          </w:tcPr>
          <w:p>
            <w:pPr>
              <w:ind w:left="20"/>
              <w:spacing w:after="0"/>
              <w:rPr>
                <w:sz w:val="20"/>
                <w:szCs w:val="20"/>
                <w:color w:val="auto"/>
              </w:rPr>
            </w:pPr>
            <w:r>
              <w:rPr>
                <w:rFonts w:ascii="Arial" w:cs="Arial" w:eastAsia="Arial" w:hAnsi="Arial"/>
                <w:sz w:val="18"/>
                <w:szCs w:val="18"/>
                <w:color w:val="auto"/>
              </w:rPr>
              <w:t>Unallocated corporate expense (1)</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186,630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188,929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363,704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339,202</w:t>
            </w:r>
          </w:p>
        </w:tc>
        <w:tc>
          <w:tcPr>
            <w:tcW w:w="0" w:type="dxa"/>
            <w:vAlign w:val="bottom"/>
          </w:tcPr>
          <w:p>
            <w:pPr>
              <w:spacing w:after="0"/>
              <w:rPr>
                <w:sz w:val="1"/>
                <w:szCs w:val="1"/>
                <w:color w:val="auto"/>
              </w:rPr>
            </w:pPr>
          </w:p>
        </w:tc>
      </w:tr>
      <w:tr>
        <w:trPr>
          <w:trHeight w:val="175"/>
        </w:trPr>
        <w:tc>
          <w:tcPr>
            <w:tcW w:w="4900" w:type="dxa"/>
            <w:vAlign w:val="bottom"/>
            <w:gridSpan w:val="7"/>
            <w:shd w:val="clear" w:color="auto" w:fill="CCEEFF"/>
          </w:tcPr>
          <w:p>
            <w:pPr>
              <w:ind w:left="20"/>
              <w:spacing w:after="0" w:line="176" w:lineRule="exact"/>
              <w:rPr>
                <w:sz w:val="20"/>
                <w:szCs w:val="20"/>
                <w:color w:val="auto"/>
              </w:rPr>
            </w:pPr>
            <w:r>
              <w:rPr>
                <w:rFonts w:ascii="Arial" w:cs="Arial" w:eastAsia="Arial" w:hAnsi="Arial"/>
                <w:sz w:val="18"/>
                <w:szCs w:val="18"/>
                <w:color w:val="auto"/>
              </w:rPr>
              <w:t>Unallocated mark-to-market losses (gains) on commodity</w:t>
            </w:r>
          </w:p>
        </w:tc>
        <w:tc>
          <w:tcPr>
            <w:tcW w:w="2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(6,780)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40,838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13,459</w:t>
            </w:r>
          </w:p>
        </w:tc>
        <w:tc>
          <w:tcPr>
            <w:tcW w:w="0" w:type="dxa"/>
            <w:vAlign w:val="bottom"/>
          </w:tcPr>
          <w:p>
            <w:pPr>
              <w:spacing w:after="0"/>
              <w:rPr>
                <w:sz w:val="1"/>
                <w:szCs w:val="1"/>
                <w:color w:val="auto"/>
              </w:rPr>
            </w:pPr>
          </w:p>
        </w:tc>
      </w:tr>
      <w:tr>
        <w:trPr>
          <w:trHeight w:val="243"/>
        </w:trPr>
        <w:tc>
          <w:tcPr>
            <w:tcW w:w="490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rPr>
              <w:t>derivatives</w:t>
            </w:r>
          </w:p>
        </w:tc>
        <w:tc>
          <w:tcPr>
            <w:tcW w:w="22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900" w:type="dxa"/>
            <w:vAlign w:val="bottom"/>
            <w:gridSpan w:val="7"/>
          </w:tcPr>
          <w:p>
            <w:pPr>
              <w:ind w:left="20"/>
              <w:spacing w:after="0" w:line="189" w:lineRule="exact"/>
              <w:rPr>
                <w:sz w:val="20"/>
                <w:szCs w:val="20"/>
                <w:color w:val="auto"/>
              </w:rPr>
            </w:pPr>
            <w:r>
              <w:rPr>
                <w:rFonts w:ascii="Arial" w:cs="Arial" w:eastAsia="Arial" w:hAnsi="Arial"/>
                <w:sz w:val="18"/>
                <w:szCs w:val="18"/>
                <w:color w:val="auto"/>
                <w:w w:val="92"/>
              </w:rPr>
              <w:t xml:space="preserve">Costs associated with business realignment activities (see </w:t>
            </w:r>
            <w:r>
              <w:rPr>
                <w:rFonts w:ascii="Arial" w:cs="Arial" w:eastAsia="Arial" w:hAnsi="Arial"/>
                <w:sz w:val="18"/>
                <w:szCs w:val="18"/>
                <w:color w:val="0000FF"/>
                <w:w w:val="92"/>
              </w:rPr>
              <w:t>Note 9</w:t>
            </w:r>
            <w:r>
              <w:rPr>
                <w:rFonts w:ascii="Arial" w:cs="Arial" w:eastAsia="Arial" w:hAnsi="Arial"/>
                <w:sz w:val="18"/>
                <w:szCs w:val="18"/>
                <w:color w:val="auto"/>
                <w:w w:val="92"/>
              </w:rPr>
              <w:t>)</w:t>
            </w:r>
          </w:p>
        </w:tc>
        <w:tc>
          <w:tcPr>
            <w:tcW w:w="22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8"/>
                <w:szCs w:val="18"/>
                <w:color w:val="auto"/>
              </w:rPr>
              <w:t>1,517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8"/>
                <w:szCs w:val="18"/>
                <w:color w:val="auto"/>
              </w:rPr>
              <w:t>699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8"/>
                <w:szCs w:val="18"/>
                <w:color w:val="auto"/>
              </w:rPr>
              <w:t>3,866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8"/>
                <w:szCs w:val="18"/>
                <w:color w:val="auto"/>
              </w:rPr>
              <w:t>1,980</w:t>
            </w:r>
          </w:p>
        </w:tc>
        <w:tc>
          <w:tcPr>
            <w:tcW w:w="0" w:type="dxa"/>
            <w:vAlign w:val="bottom"/>
          </w:tcPr>
          <w:p>
            <w:pPr>
              <w:spacing w:after="0"/>
              <w:rPr>
                <w:sz w:val="1"/>
                <w:szCs w:val="1"/>
                <w:color w:val="auto"/>
              </w:rPr>
            </w:pPr>
          </w:p>
        </w:tc>
      </w:tr>
      <w:tr>
        <w:trPr>
          <w:trHeight w:val="20"/>
        </w:trPr>
        <w:tc>
          <w:tcPr>
            <w:tcW w:w="18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0000FF"/>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90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560,665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456,531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1,360,589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1,177,521</w:t>
            </w:r>
          </w:p>
        </w:tc>
        <w:tc>
          <w:tcPr>
            <w:tcW w:w="0" w:type="dxa"/>
            <w:vAlign w:val="bottom"/>
          </w:tcPr>
          <w:p>
            <w:pPr>
              <w:spacing w:after="0"/>
              <w:rPr>
                <w:sz w:val="1"/>
                <w:szCs w:val="1"/>
                <w:color w:val="auto"/>
              </w:rPr>
            </w:pPr>
          </w:p>
        </w:tc>
      </w:tr>
      <w:tr>
        <w:trPr>
          <w:trHeight w:val="189"/>
        </w:trPr>
        <w:tc>
          <w:tcPr>
            <w:tcW w:w="4900" w:type="dxa"/>
            <w:vAlign w:val="bottom"/>
            <w:gridSpan w:val="7"/>
          </w:tcPr>
          <w:p>
            <w:pPr>
              <w:ind w:left="20"/>
              <w:spacing w:after="0" w:line="189" w:lineRule="exact"/>
              <w:rPr>
                <w:sz w:val="20"/>
                <w:szCs w:val="20"/>
                <w:color w:val="auto"/>
              </w:rPr>
            </w:pPr>
            <w:r>
              <w:rPr>
                <w:rFonts w:ascii="Arial" w:cs="Arial" w:eastAsia="Arial" w:hAnsi="Arial"/>
                <w:sz w:val="18"/>
                <w:szCs w:val="18"/>
                <w:color w:val="auto"/>
              </w:rPr>
              <w:t xml:space="preserve">Interest expense, net (see </w:t>
            </w:r>
            <w:r>
              <w:rPr>
                <w:rFonts w:ascii="Arial" w:cs="Arial" w:eastAsia="Arial" w:hAnsi="Arial"/>
                <w:sz w:val="18"/>
                <w:szCs w:val="18"/>
                <w:color w:val="0000FF"/>
              </w:rPr>
              <w:t>Note 4</w:t>
            </w: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8"/>
                <w:szCs w:val="18"/>
                <w:color w:val="auto"/>
              </w:rPr>
              <w:t>36,661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8"/>
                <w:szCs w:val="18"/>
                <w:color w:val="auto"/>
              </w:rPr>
              <w:t>33,413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8"/>
                <w:szCs w:val="18"/>
                <w:color w:val="auto"/>
              </w:rPr>
              <w:t>74,346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8"/>
                <w:szCs w:val="18"/>
                <w:color w:val="auto"/>
              </w:rPr>
              <w:t>66,592</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900" w:type="dxa"/>
            <w:vAlign w:val="bottom"/>
            <w:gridSpan w:val="7"/>
            <w:shd w:val="clear" w:color="auto" w:fill="CCEEFF"/>
          </w:tcPr>
          <w:p>
            <w:pPr>
              <w:ind w:left="20"/>
              <w:spacing w:after="0" w:line="202" w:lineRule="exact"/>
              <w:rPr>
                <w:sz w:val="20"/>
                <w:szCs w:val="20"/>
                <w:color w:val="auto"/>
              </w:rPr>
            </w:pPr>
            <w:r>
              <w:rPr>
                <w:rFonts w:ascii="Arial" w:cs="Arial" w:eastAsia="Arial" w:hAnsi="Arial"/>
                <w:sz w:val="18"/>
                <w:szCs w:val="18"/>
                <w:color w:val="auto"/>
              </w:rPr>
              <w:t xml:space="preserve">Other (income) expense, net (see </w:t>
            </w:r>
            <w:r>
              <w:rPr>
                <w:rFonts w:ascii="Arial" w:cs="Arial" w:eastAsia="Arial" w:hAnsi="Arial"/>
                <w:sz w:val="18"/>
                <w:szCs w:val="18"/>
                <w:color w:val="0000FF"/>
              </w:rPr>
              <w:t>Note 17</w:t>
            </w: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84,484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19,658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87,467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30,065</w:t>
            </w:r>
          </w:p>
        </w:tc>
        <w:tc>
          <w:tcPr>
            <w:tcW w:w="0" w:type="dxa"/>
            <w:vAlign w:val="bottom"/>
          </w:tcPr>
          <w:p>
            <w:pPr>
              <w:spacing w:after="0"/>
              <w:rPr>
                <w:sz w:val="1"/>
                <w:szCs w:val="1"/>
                <w:color w:val="auto"/>
              </w:rPr>
            </w:pPr>
          </w:p>
        </w:tc>
      </w:tr>
      <w:tr>
        <w:trPr>
          <w:trHeight w:val="223"/>
        </w:trPr>
        <w:tc>
          <w:tcPr>
            <w:tcW w:w="2440" w:type="dxa"/>
            <w:vAlign w:val="bottom"/>
            <w:tcBorders>
              <w:top w:val="single" w:sz="8" w:color="CCEEFF"/>
            </w:tcBorders>
            <w:gridSpan w:val="3"/>
          </w:tcPr>
          <w:p>
            <w:pPr>
              <w:ind w:left="20"/>
              <w:spacing w:after="0"/>
              <w:rPr>
                <w:sz w:val="20"/>
                <w:szCs w:val="20"/>
                <w:color w:val="auto"/>
              </w:rPr>
            </w:pPr>
            <w:r>
              <w:rPr>
                <w:rFonts w:ascii="Arial" w:cs="Arial" w:eastAsia="Arial" w:hAnsi="Arial"/>
                <w:sz w:val="18"/>
                <w:szCs w:val="18"/>
                <w:color w:val="auto"/>
              </w:rPr>
              <w:t>Income before income taxes</w:t>
            </w:r>
          </w:p>
        </w:tc>
        <w:tc>
          <w:tcPr>
            <w:tcW w:w="580" w:type="dxa"/>
            <w:vAlign w:val="bottom"/>
            <w:tcBorders>
              <w:top w:val="single" w:sz="8" w:color="0000FF"/>
            </w:tcBorders>
          </w:tcPr>
          <w:p>
            <w:pPr>
              <w:spacing w:after="0"/>
              <w:rPr>
                <w:sz w:val="19"/>
                <w:szCs w:val="19"/>
                <w:color w:val="auto"/>
              </w:rPr>
            </w:pPr>
          </w:p>
        </w:tc>
        <w:tc>
          <w:tcPr>
            <w:tcW w:w="1880" w:type="dxa"/>
            <w:vAlign w:val="bottom"/>
            <w:tcBorders>
              <w:top w:val="single" w:sz="8" w:color="CCEEFF"/>
            </w:tcBorders>
            <w:gridSpan w:val="3"/>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439,520</w:t>
            </w: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403,460</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1,198,776</w:t>
            </w: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1,080,864</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40" w:right="160" w:hanging="332"/>
        <w:spacing w:after="0" w:line="259"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acquisition-related costs, and (e) other gains or losses that are not integral to segment performance.</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Activity within the unallocated mark-to-market adjustment for commodity derivatives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ind w:left="68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rPr>
              <w:t>July 2, 2023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July 3, 2022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rPr>
              <w:t>July 2, 2023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July 3, 2022</w:t>
            </w:r>
          </w:p>
        </w:tc>
        <w:tc>
          <w:tcPr>
            <w:tcW w:w="0" w:type="dxa"/>
            <w:vAlign w:val="bottom"/>
          </w:tcPr>
          <w:p>
            <w:pPr>
              <w:spacing w:after="0"/>
              <w:rPr>
                <w:sz w:val="1"/>
                <w:szCs w:val="1"/>
                <w:color w:val="auto"/>
              </w:rPr>
            </w:pPr>
          </w:p>
        </w:tc>
      </w:tr>
      <w:tr>
        <w:trPr>
          <w:trHeight w:val="171"/>
        </w:trPr>
        <w:tc>
          <w:tcPr>
            <w:tcW w:w="4900" w:type="dxa"/>
            <w:vAlign w:val="bottom"/>
            <w:shd w:val="clear" w:color="auto" w:fill="CCEEFF"/>
          </w:tcPr>
          <w:p>
            <w:pPr>
              <w:ind w:left="20"/>
              <w:spacing w:after="0" w:line="171" w:lineRule="exact"/>
              <w:rPr>
                <w:sz w:val="20"/>
                <w:szCs w:val="20"/>
                <w:color w:val="auto"/>
              </w:rPr>
            </w:pPr>
            <w:r>
              <w:rPr>
                <w:rFonts w:ascii="Arial" w:cs="Arial" w:eastAsia="Arial" w:hAnsi="Arial"/>
                <w:sz w:val="18"/>
                <w:szCs w:val="18"/>
                <w:color w:val="auto"/>
              </w:rPr>
              <w:t>Net losses (gains) on mark-to-market valuation of commodity</w:t>
            </w: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positions recognized in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6,437</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8,754</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17,051</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center"/>
              <w:ind w:left="532"/>
              <w:spacing w:after="0"/>
              <w:rPr>
                <w:sz w:val="20"/>
                <w:szCs w:val="20"/>
                <w:color w:val="auto"/>
              </w:rPr>
            </w:pPr>
            <w:r>
              <w:rPr>
                <w:rFonts w:ascii="Arial" w:cs="Arial" w:eastAsia="Arial" w:hAnsi="Arial"/>
                <w:sz w:val="18"/>
                <w:szCs w:val="18"/>
                <w:color w:val="auto"/>
                <w:w w:val="92"/>
              </w:rPr>
              <w:t>(42,071)</w:t>
            </w:r>
          </w:p>
        </w:tc>
        <w:tc>
          <w:tcPr>
            <w:tcW w:w="0" w:type="dxa"/>
            <w:vAlign w:val="bottom"/>
          </w:tcPr>
          <w:p>
            <w:pPr>
              <w:spacing w:after="0"/>
              <w:rPr>
                <w:sz w:val="1"/>
                <w:szCs w:val="1"/>
                <w:color w:val="auto"/>
              </w:rPr>
            </w:pPr>
          </w:p>
        </w:tc>
      </w:tr>
      <w:tr>
        <w:trPr>
          <w:trHeight w:val="175"/>
        </w:trPr>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4"/>
              </w:rPr>
              <w:t>Net (losses) gains on commodity derivative positions reclassified</w:t>
            </w:r>
          </w:p>
        </w:tc>
        <w:tc>
          <w:tcPr>
            <w:tcW w:w="22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(13,217)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32,084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(13,587)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vMerge w:val="restart"/>
          </w:tcPr>
          <w:p>
            <w:pPr>
              <w:jc w:val="center"/>
              <w:ind w:left="552"/>
              <w:spacing w:after="0"/>
              <w:rPr>
                <w:sz w:val="20"/>
                <w:szCs w:val="20"/>
                <w:color w:val="auto"/>
              </w:rPr>
            </w:pPr>
            <w:r>
              <w:rPr>
                <w:rFonts w:ascii="Arial" w:cs="Arial" w:eastAsia="Arial" w:hAnsi="Arial"/>
                <w:sz w:val="18"/>
                <w:szCs w:val="18"/>
                <w:color w:val="auto"/>
                <w:w w:val="87"/>
              </w:rPr>
              <w:t>55,530</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from unallocated to segment income</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90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Net (gains) losses on mark-to-market valuation of commodity</w:t>
            </w: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9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derivative positions recognized in unallocated derivative (gains)</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(6,780)</w:t>
            </w: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40,838</w:t>
            </w: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3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vMerge w:val="restart"/>
            <w:shd w:val="clear" w:color="auto" w:fill="CCEEFF"/>
          </w:tcPr>
          <w:p>
            <w:pPr>
              <w:jc w:val="center"/>
              <w:ind w:left="552"/>
              <w:spacing w:after="0"/>
              <w:rPr>
                <w:sz w:val="20"/>
                <w:szCs w:val="20"/>
                <w:color w:val="auto"/>
              </w:rPr>
            </w:pPr>
            <w:r>
              <w:rPr>
                <w:rFonts w:ascii="Arial" w:cs="Arial" w:eastAsia="Arial" w:hAnsi="Arial"/>
                <w:sz w:val="18"/>
                <w:szCs w:val="18"/>
                <w:color w:val="auto"/>
                <w:w w:val="87"/>
              </w:rPr>
              <w:t>13,459</w:t>
            </w:r>
          </w:p>
        </w:tc>
        <w:tc>
          <w:tcPr>
            <w:tcW w:w="0" w:type="dxa"/>
            <w:vAlign w:val="bottom"/>
          </w:tcPr>
          <w:p>
            <w:pPr>
              <w:spacing w:after="0"/>
              <w:rPr>
                <w:sz w:val="1"/>
                <w:szCs w:val="1"/>
                <w:color w:val="auto"/>
              </w:rPr>
            </w:pPr>
          </w:p>
        </w:tc>
      </w:tr>
      <w:tr>
        <w:trPr>
          <w:trHeight w:val="236"/>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w:t>
            </w:r>
          </w:p>
        </w:tc>
        <w:tc>
          <w:tcPr>
            <w:tcW w:w="220" w:type="dxa"/>
            <w:vAlign w:val="bottom"/>
            <w:vMerge w:val="continue"/>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As of July 2, 2023, the cumulative amount of mark-to-market gains on commodity derivatives that have been recognized in our consolidated cost of sales and not yet allocated to reportable segments was $5,267. Based on our forecasts of the timing of the recognition of the underlying hedged items, we expect to reclassify net pre-tax gains on commodity derivatives of $14,465 to segment operating results in the next twelve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465455</wp:posOffset>
            </wp:positionV>
            <wp:extent cx="19685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Q2 2023 Form 10-Q |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included within segment income presented above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832"/>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49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July 2, 2023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July 3, 2022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July 2, 2023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July 3, 2022</w:t>
            </w:r>
          </w:p>
        </w:tc>
      </w:tr>
      <w:tr>
        <w:trPr>
          <w:trHeight w:val="226"/>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 Confectionery</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113,347</w:t>
            </w: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North America Salty Snacks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18,263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16,983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35,843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33,662</w:t>
            </w:r>
          </w:p>
        </w:tc>
      </w:tr>
      <w:tr>
        <w:trPr>
          <w:trHeight w:val="24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11,581</w:t>
            </w:r>
          </w:p>
        </w:tc>
      </w:tr>
      <w:tr>
        <w:trPr>
          <w:trHeight w:val="230"/>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35,583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26,292</w:t>
            </w: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184,882</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our net sales disaggregated by geographical region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5"/>
          </w:tcPr>
          <w:p>
            <w:pPr>
              <w:jc w:val="right"/>
              <w:ind w:right="690"/>
              <w:spacing w:after="0"/>
              <w:rPr>
                <w:sz w:val="20"/>
                <w:szCs w:val="20"/>
                <w:color w:val="auto"/>
              </w:rPr>
            </w:pPr>
            <w:r>
              <w:rPr>
                <w:rFonts w:ascii="Arial" w:cs="Arial" w:eastAsia="Arial" w:hAnsi="Arial"/>
                <w:sz w:val="16"/>
                <w:szCs w:val="16"/>
                <w:b w:val="1"/>
                <w:bCs w:val="1"/>
                <w:color w:val="auto"/>
              </w:rPr>
              <w:t>Three Months Ended</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6"/>
          </w:tcPr>
          <w:p>
            <w:pPr>
              <w:jc w:val="right"/>
              <w:ind w:right="83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4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rPr>
              <w:t>July 2, 2023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6"/>
                <w:szCs w:val="16"/>
                <w:b w:val="1"/>
                <w:bCs w:val="1"/>
                <w:color w:val="auto"/>
              </w:rPr>
              <w:t>July 3, 2022</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6"/>
                <w:szCs w:val="16"/>
                <w:b w:val="1"/>
                <w:bCs w:val="1"/>
                <w:color w:val="auto"/>
              </w:rPr>
              <w:t>July 2, 2023</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July 3, 2022</w:t>
            </w:r>
          </w:p>
        </w:tc>
        <w:tc>
          <w:tcPr>
            <w:tcW w:w="0" w:type="dxa"/>
            <w:vAlign w:val="bottom"/>
          </w:tcPr>
          <w:p>
            <w:pPr>
              <w:spacing w:after="0"/>
              <w:rPr>
                <w:sz w:val="1"/>
                <w:szCs w:val="1"/>
                <w:color w:val="auto"/>
              </w:rPr>
            </w:pPr>
          </w:p>
        </w:tc>
      </w:tr>
      <w:tr>
        <w:trPr>
          <w:trHeight w:val="226"/>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2,158,439</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2,060,047</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4,776,362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4,400,693</w:t>
            </w:r>
          </w:p>
        </w:tc>
        <w:tc>
          <w:tcPr>
            <w:tcW w:w="0" w:type="dxa"/>
            <w:vAlign w:val="bottom"/>
          </w:tcPr>
          <w:p>
            <w:pPr>
              <w:spacing w:after="0"/>
              <w:rPr>
                <w:sz w:val="1"/>
                <w:szCs w:val="1"/>
                <w:color w:val="auto"/>
              </w:rPr>
            </w:pPr>
          </w:p>
        </w:tc>
      </w:tr>
      <w:tr>
        <w:trPr>
          <w:trHeight w:val="243"/>
        </w:trPr>
        <w:tc>
          <w:tcPr>
            <w:tcW w:w="4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All other countries</w:t>
            </w:r>
          </w:p>
        </w:tc>
        <w:tc>
          <w:tcPr>
            <w:tcW w:w="2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331,841</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312,535</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701,532</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638,110</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2,490,280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2,372,582</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5,477,894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5,038,803</w:t>
            </w:r>
          </w:p>
        </w:tc>
        <w:tc>
          <w:tcPr>
            <w:tcW w:w="0" w:type="dxa"/>
            <w:vAlign w:val="bottom"/>
          </w:tcPr>
          <w:p>
            <w:pPr>
              <w:spacing w:after="0"/>
              <w:rPr>
                <w:sz w:val="1"/>
                <w:szCs w:val="1"/>
                <w:color w:val="auto"/>
              </w:rPr>
            </w:pPr>
          </w:p>
        </w:tc>
      </w:tr>
      <w:tr>
        <w:trPr>
          <w:trHeight w:val="21"/>
        </w:trPr>
        <w:tc>
          <w:tcPr>
            <w:tcW w:w="4900" w:type="dxa"/>
            <w:vAlign w:val="bottom"/>
            <w:vMerge w:val="restart"/>
          </w:tcPr>
          <w:p>
            <w:pPr>
              <w:spacing w:after="0"/>
              <w:rPr>
                <w:sz w:val="20"/>
                <w:szCs w:val="20"/>
                <w:color w:val="auto"/>
              </w:rPr>
            </w:pPr>
            <w:r>
              <w:rPr>
                <w:rFonts w:ascii="Arial" w:cs="Arial" w:eastAsia="Arial" w:hAnsi="Arial"/>
                <w:sz w:val="18"/>
                <w:szCs w:val="18"/>
                <w:b w:val="1"/>
                <w:bCs w:val="1"/>
                <w:color w:val="auto"/>
              </w:rPr>
              <w:t>14. TREASURY STOCK ACTIVITY</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49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900" w:type="dxa"/>
            <w:vAlign w:val="bottom"/>
          </w:tcPr>
          <w:p>
            <w:pPr>
              <w:spacing w:after="0"/>
              <w:rPr>
                <w:sz w:val="20"/>
                <w:szCs w:val="20"/>
                <w:color w:val="auto"/>
              </w:rPr>
            </w:pPr>
            <w:r>
              <w:rPr>
                <w:rFonts w:ascii="Arial" w:cs="Arial" w:eastAsia="Arial" w:hAnsi="Arial"/>
                <w:sz w:val="18"/>
                <w:szCs w:val="18"/>
                <w:color w:val="auto"/>
              </w:rPr>
              <w:t>A summary of our treasury stock activity is as follows: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80" w:type="dxa"/>
            <w:vAlign w:val="bottom"/>
            <w:gridSpan w:val="9"/>
          </w:tcPr>
          <w:p>
            <w:pPr>
              <w:jc w:val="right"/>
              <w:ind w:right="771"/>
              <w:spacing w:after="0"/>
              <w:rPr>
                <w:sz w:val="20"/>
                <w:szCs w:val="20"/>
                <w:color w:val="auto"/>
              </w:rPr>
            </w:pPr>
            <w:r>
              <w:rPr>
                <w:rFonts w:ascii="Arial" w:cs="Arial" w:eastAsia="Arial" w:hAnsi="Arial"/>
                <w:sz w:val="18"/>
                <w:szCs w:val="18"/>
                <w:b w:val="1"/>
                <w:bCs w:val="1"/>
                <w:color w:val="auto"/>
                <w:w w:val="91"/>
              </w:rPr>
              <w:t>Six Months Ended July 2, 2023</w:t>
            </w:r>
          </w:p>
        </w:tc>
        <w:tc>
          <w:tcPr>
            <w:tcW w:w="0" w:type="dxa"/>
            <w:vAlign w:val="bottom"/>
          </w:tcPr>
          <w:p>
            <w:pPr>
              <w:spacing w:after="0"/>
              <w:rPr>
                <w:sz w:val="1"/>
                <w:szCs w:val="1"/>
                <w:color w:val="auto"/>
              </w:rPr>
            </w:pPr>
          </w:p>
        </w:tc>
      </w:tr>
      <w:tr>
        <w:trPr>
          <w:trHeight w:val="243"/>
        </w:trPr>
        <w:tc>
          <w:tcPr>
            <w:tcW w:w="4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0" w:type="dxa"/>
            <w:vAlign w:val="bottom"/>
            <w:tcBorders>
              <w:bottom w:val="single" w:sz="8" w:color="auto"/>
            </w:tcBorders>
            <w:gridSpan w:val="5"/>
          </w:tcPr>
          <w:p>
            <w:pPr>
              <w:jc w:val="right"/>
              <w:ind w:right="652"/>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b w:val="1"/>
                <w:bCs w:val="1"/>
                <w:color w:val="auto"/>
                <w:w w:val="98"/>
              </w:rPr>
              <w:t>Dollars</w:t>
            </w:r>
          </w:p>
        </w:tc>
        <w:tc>
          <w:tcPr>
            <w:tcW w:w="0" w:type="dxa"/>
            <w:vAlign w:val="bottom"/>
          </w:tcPr>
          <w:p>
            <w:pPr>
              <w:spacing w:after="0"/>
              <w:rPr>
                <w:sz w:val="1"/>
                <w:szCs w:val="1"/>
                <w:color w:val="auto"/>
              </w:rPr>
            </w:pPr>
          </w:p>
        </w:tc>
      </w:tr>
      <w:tr>
        <w:trPr>
          <w:trHeight w:val="207"/>
        </w:trPr>
        <w:tc>
          <w:tcPr>
            <w:tcW w:w="4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right"/>
              <w:ind w:right="471"/>
              <w:spacing w:after="0"/>
              <w:rPr>
                <w:sz w:val="20"/>
                <w:szCs w:val="20"/>
                <w:color w:val="auto"/>
              </w:rPr>
            </w:pPr>
            <w:r>
              <w:rPr>
                <w:rFonts w:ascii="Arial" w:cs="Arial" w:eastAsia="Arial" w:hAnsi="Arial"/>
                <w:sz w:val="16"/>
                <w:szCs w:val="16"/>
                <w:b w:val="1"/>
                <w:bCs w:val="1"/>
                <w:color w:val="auto"/>
                <w:w w:val="92"/>
              </w:rPr>
              <w:t>In thousands</w:t>
            </w:r>
          </w:p>
        </w:tc>
        <w:tc>
          <w:tcPr>
            <w:tcW w:w="0" w:type="dxa"/>
            <w:vAlign w:val="bottom"/>
          </w:tcPr>
          <w:p>
            <w:pPr>
              <w:spacing w:after="0"/>
              <w:rPr>
                <w:sz w:val="1"/>
                <w:szCs w:val="1"/>
                <w:color w:val="auto"/>
              </w:rPr>
            </w:pPr>
          </w:p>
        </w:tc>
      </w:tr>
      <w:tr>
        <w:trPr>
          <w:trHeight w:val="232"/>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Milton Hershey School Trust repurchase</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1,000,000</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239,910</w:t>
            </w:r>
          </w:p>
        </w:tc>
        <w:tc>
          <w:tcPr>
            <w:tcW w:w="0" w:type="dxa"/>
            <w:vAlign w:val="bottom"/>
          </w:tcPr>
          <w:p>
            <w:pPr>
              <w:spacing w:after="0"/>
              <w:rPr>
                <w:sz w:val="1"/>
                <w:szCs w:val="1"/>
                <w:color w:val="auto"/>
              </w:rPr>
            </w:pPr>
          </w:p>
        </w:tc>
      </w:tr>
      <w:tr>
        <w:trPr>
          <w:trHeight w:val="243"/>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Shares issued for stock options and incentive compensation</w:t>
            </w:r>
          </w:p>
        </w:tc>
        <w:tc>
          <w:tcPr>
            <w:tcW w:w="22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(484,327)</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(20,153)</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share repurchases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515,673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219,757</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Excise tax associated with net share repurchases (1)</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2,198</w:t>
            </w:r>
          </w:p>
        </w:tc>
        <w:tc>
          <w:tcPr>
            <w:tcW w:w="0" w:type="dxa"/>
            <w:vAlign w:val="bottom"/>
          </w:tcPr>
          <w:p>
            <w:pPr>
              <w:spacing w:after="0"/>
              <w:rPr>
                <w:sz w:val="1"/>
                <w:szCs w:val="1"/>
                <w:color w:val="auto"/>
              </w:rPr>
            </w:pPr>
          </w:p>
        </w:tc>
      </w:tr>
      <w:tr>
        <w:trPr>
          <w:trHeight w:val="257"/>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515,673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221,955</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right="560" w:hanging="330"/>
        <w:spacing w:after="0" w:line="277"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corresponding liability for excise tax associated with net share repurchases is classified on our Consolidated Balance Sheets within accrued liabilities.</w:t>
      </w:r>
    </w:p>
    <w:p>
      <w:pPr>
        <w:spacing w:after="0" w:line="11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February 2023, the Company entered into a Stock Purchase Agreement with Hershey Trust Company, as trustee for the Milton Hershey School Trust (the “School Trust”), pursuant to which the Company purchased 1,000,000 shares of the Company’s Common Stock from the School Trust at a price equal to $239.91 per share, for a total purchase price of $239,910.</w:t>
      </w:r>
    </w:p>
    <w:p>
      <w:pPr>
        <w:spacing w:after="0" w:line="13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July 2018, our Board of Directors approved a $500 million share repurchase authorization to repurchase shares of our Common Stock. In May 2021, our Board of Directors approved an additional $500 million share repurchase authorization. As a result of the February 2023 Stock Purchase Agreement with Hershey Trust Company, as trustee for the School Trust, the July 2018 share repurchase authorization was completed and as of July 2, 2023, approximately $370 million remains available for repurchases under our May 2021 share repurchase authorization. We are authorized to purchase our outstanding shares in open market and privately negotiated transactions. The program has no expiration date and acquired shares of Common Stock will be held as treasury shares. Purchases under approved share repurchase authorizations are in addition to our practice of buying back shares sufficient to offset those issued under incentive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595630</wp:posOffset>
            </wp:positionV>
            <wp:extent cx="19685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Q2 2023 Form 10-Q |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center"/>
        <w:ind w:right="-7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CONTINGENCIES</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is subject to certain legal proceedings and claims arising out of the ordinary course of our business, which cover a wide range of matters including trade regulation, product liability, advertising, contracts, environmental issues, patent and trademark matters, labor and employment matters, human and workplace rights matters and tax. While it is not feasible to predict or determine the outcome of such proceedings and claims with certainty, in our opinion these matters, both individually and in the aggregate, are not expected to have a material effect on our financial condition, results of operations or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488315</wp:posOffset>
            </wp:positionV>
            <wp:extent cx="19685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Q2 2023 Form 10-Q | 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EARNINGS PER SHARE</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compute basic earnings per share for Common Stock and Class B common stock using the two-class method. The Class B common stock is convertible into Common Stock on a share-for-share basis at any time. In May 2023, 2,500,000 shares of Class B Common Stock were converted to Common Stock by Hershey Trust Company, as trustee for the School Trust. The computation of diluted earnings per share for Common Stock assumes the conversion of Class B common stock using the if-converted method, while the diluted earnings per share of Class B common stock does not assume the conversion of those shares.</w:t>
      </w:r>
    </w:p>
    <w:p>
      <w:pPr>
        <w:spacing w:after="0" w:line="170" w:lineRule="exact"/>
        <w:rPr>
          <w:sz w:val="20"/>
          <w:szCs w:val="20"/>
          <w:color w:val="auto"/>
        </w:rPr>
      </w:pPr>
    </w:p>
    <w:p>
      <w:pPr>
        <w:ind w:left="79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3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2040" w:type="dxa"/>
            <w:vAlign w:val="bottom"/>
            <w:tcBorders>
              <w:top w:val="single" w:sz="8" w:color="auto"/>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July 2, 2023</w:t>
            </w: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2040" w:type="dxa"/>
            <w:vAlign w:val="bottom"/>
            <w:tcBorders>
              <w:top w:val="single" w:sz="8" w:color="auto"/>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July 3, 2022</w:t>
            </w:r>
          </w:p>
        </w:tc>
        <w:tc>
          <w:tcPr>
            <w:tcW w:w="0" w:type="dxa"/>
            <w:vAlign w:val="bottom"/>
          </w:tcPr>
          <w:p>
            <w:pPr>
              <w:spacing w:after="0"/>
              <w:rPr>
                <w:sz w:val="1"/>
                <w:szCs w:val="1"/>
                <w:color w:val="auto"/>
              </w:rPr>
            </w:pPr>
          </w:p>
        </w:tc>
      </w:tr>
      <w:tr>
        <w:trPr>
          <w:trHeight w:val="156"/>
        </w:trPr>
        <w:tc>
          <w:tcPr>
            <w:tcW w:w="6360" w:type="dxa"/>
            <w:vAlign w:val="bottom"/>
          </w:tcPr>
          <w:p>
            <w:pPr>
              <w:spacing w:after="0"/>
              <w:rPr>
                <w:sz w:val="13"/>
                <w:szCs w:val="13"/>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0"/>
              </w:rPr>
              <w:t>Common Stock</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ind w:right="219"/>
              <w:spacing w:after="0" w:line="155" w:lineRule="exact"/>
              <w:rPr>
                <w:sz w:val="20"/>
                <w:szCs w:val="20"/>
                <w:color w:val="auto"/>
              </w:rPr>
            </w:pPr>
            <w:r>
              <w:rPr>
                <w:rFonts w:ascii="Arial" w:cs="Arial" w:eastAsia="Arial" w:hAnsi="Arial"/>
                <w:sz w:val="16"/>
                <w:szCs w:val="16"/>
                <w:b w:val="1"/>
                <w:bCs w:val="1"/>
                <w:color w:val="auto"/>
              </w:rPr>
              <w:t>Class B</w:t>
            </w:r>
          </w:p>
        </w:tc>
        <w:tc>
          <w:tcPr>
            <w:tcW w:w="120" w:type="dxa"/>
            <w:vAlign w:val="bottom"/>
          </w:tcPr>
          <w:p>
            <w:pPr>
              <w:spacing w:after="0"/>
              <w:rPr>
                <w:sz w:val="13"/>
                <w:szCs w:val="13"/>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1"/>
              </w:rPr>
              <w:t>Common Stock</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ind w:right="219"/>
              <w:spacing w:after="0" w:line="155" w:lineRule="exact"/>
              <w:rPr>
                <w:sz w:val="20"/>
                <w:szCs w:val="20"/>
                <w:color w:val="auto"/>
              </w:rPr>
            </w:pPr>
            <w:r>
              <w:rPr>
                <w:rFonts w:ascii="Arial" w:cs="Arial" w:eastAsia="Arial" w:hAnsi="Arial"/>
                <w:sz w:val="16"/>
                <w:szCs w:val="16"/>
                <w:b w:val="1"/>
                <w:bCs w:val="1"/>
                <w:color w:val="auto"/>
              </w:rPr>
              <w:t>Class B</w:t>
            </w:r>
          </w:p>
        </w:tc>
        <w:tc>
          <w:tcPr>
            <w:tcW w:w="0" w:type="dxa"/>
            <w:vAlign w:val="bottom"/>
          </w:tcPr>
          <w:p>
            <w:pPr>
              <w:spacing w:after="0"/>
              <w:rPr>
                <w:sz w:val="1"/>
                <w:szCs w:val="1"/>
                <w:color w:val="auto"/>
              </w:rPr>
            </w:pPr>
          </w:p>
        </w:tc>
      </w:tr>
      <w:tr>
        <w:trPr>
          <w:trHeight w:val="213"/>
        </w:trPr>
        <w:tc>
          <w:tcPr>
            <w:tcW w:w="636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1"/>
              </w:rPr>
              <w:t>Common Stock</w:t>
            </w: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w w:val="90"/>
              </w:rPr>
              <w:t>Common Stock</w:t>
            </w:r>
          </w:p>
        </w:tc>
        <w:tc>
          <w:tcPr>
            <w:tcW w:w="0" w:type="dxa"/>
            <w:vAlign w:val="bottom"/>
          </w:tcPr>
          <w:p>
            <w:pPr>
              <w:spacing w:after="0"/>
              <w:rPr>
                <w:sz w:val="1"/>
                <w:szCs w:val="1"/>
                <w:color w:val="auto"/>
              </w:rPr>
            </w:pPr>
          </w:p>
        </w:tc>
      </w:tr>
      <w:tr>
        <w:trPr>
          <w:trHeight w:val="19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earnings per share:</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Numerator:</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Allocation of distributed earnings (cash dividends paid)</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152,389</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53,801</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131,077</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48,823</w:t>
            </w:r>
          </w:p>
        </w:tc>
        <w:tc>
          <w:tcPr>
            <w:tcW w:w="0" w:type="dxa"/>
            <w:vAlign w:val="bottom"/>
          </w:tcPr>
          <w:p>
            <w:pPr>
              <w:spacing w:after="0"/>
              <w:rPr>
                <w:sz w:val="1"/>
                <w:szCs w:val="1"/>
                <w:color w:val="auto"/>
              </w:rPr>
            </w:pPr>
          </w:p>
        </w:tc>
      </w:tr>
      <w:tr>
        <w:trPr>
          <w:trHeight w:val="216"/>
        </w:trPr>
        <w:tc>
          <w:tcPr>
            <w:tcW w:w="6360" w:type="dxa"/>
            <w:vAlign w:val="bottom"/>
          </w:tcPr>
          <w:p>
            <w:pPr>
              <w:ind w:left="220"/>
              <w:spacing w:after="0"/>
              <w:rPr>
                <w:sz w:val="20"/>
                <w:szCs w:val="20"/>
                <w:color w:val="auto"/>
              </w:rPr>
            </w:pPr>
            <w:r>
              <w:rPr>
                <w:rFonts w:ascii="Arial" w:cs="Arial" w:eastAsia="Arial" w:hAnsi="Arial"/>
                <w:sz w:val="16"/>
                <w:szCs w:val="16"/>
                <w:color w:val="auto"/>
              </w:rPr>
              <w:t>Allocation of undistributed earnings</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150,090</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50,703</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99,227</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36,429</w:t>
            </w:r>
          </w:p>
        </w:tc>
        <w:tc>
          <w:tcPr>
            <w:tcW w:w="0" w:type="dxa"/>
            <w:vAlign w:val="bottom"/>
          </w:tcPr>
          <w:p>
            <w:pPr>
              <w:spacing w:after="0"/>
              <w:rPr>
                <w:sz w:val="1"/>
                <w:szCs w:val="1"/>
                <w:color w:val="auto"/>
              </w:rPr>
            </w:pPr>
          </w:p>
        </w:tc>
      </w:tr>
      <w:tr>
        <w:trPr>
          <w:trHeight w:val="209"/>
        </w:trPr>
        <w:tc>
          <w:tcPr>
            <w:tcW w:w="6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earnings—basic</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302,479</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104,504</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230,304</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85,252</w:t>
            </w:r>
          </w:p>
        </w:tc>
        <w:tc>
          <w:tcPr>
            <w:tcW w:w="0" w:type="dxa"/>
            <w:vAlign w:val="bottom"/>
          </w:tcPr>
          <w:p>
            <w:pPr>
              <w:spacing w:after="0"/>
              <w:rPr>
                <w:sz w:val="1"/>
                <w:szCs w:val="1"/>
                <w:color w:val="auto"/>
              </w:rPr>
            </w:pPr>
          </w:p>
        </w:tc>
      </w:tr>
      <w:tr>
        <w:trPr>
          <w:trHeight w:val="148"/>
        </w:trPr>
        <w:tc>
          <w:tcPr>
            <w:tcW w:w="6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Denominator (shares in thousands):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220"/>
              <w:spacing w:after="0"/>
              <w:rPr>
                <w:sz w:val="20"/>
                <w:szCs w:val="20"/>
                <w:color w:val="auto"/>
              </w:rPr>
            </w:pPr>
            <w:r>
              <w:rPr>
                <w:rFonts w:ascii="Arial" w:cs="Arial" w:eastAsia="Arial" w:hAnsi="Arial"/>
                <w:sz w:val="16"/>
                <w:szCs w:val="16"/>
                <w:color w:val="auto"/>
              </w:rPr>
              <w:t>Total weighted-average shares—basic</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149,244</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55,447</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146,362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59,114</w:t>
            </w:r>
          </w:p>
        </w:tc>
        <w:tc>
          <w:tcPr>
            <w:tcW w:w="0" w:type="dxa"/>
            <w:vAlign w:val="bottom"/>
          </w:tcPr>
          <w:p>
            <w:pPr>
              <w:spacing w:after="0"/>
              <w:rPr>
                <w:sz w:val="1"/>
                <w:szCs w:val="1"/>
                <w:color w:val="auto"/>
              </w:rPr>
            </w:pPr>
          </w:p>
        </w:tc>
      </w:tr>
      <w:tr>
        <w:trPr>
          <w:trHeight w:val="128"/>
        </w:trPr>
        <w:tc>
          <w:tcPr>
            <w:tcW w:w="63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6"/>
                <w:szCs w:val="16"/>
                <w:color w:val="auto"/>
              </w:rPr>
              <w:t>Earnings Per Share—basic</w:t>
            </w: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2.03</w:t>
            </w:r>
          </w:p>
        </w:tc>
        <w:tc>
          <w:tcPr>
            <w:tcW w:w="3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1.88</w:t>
            </w:r>
          </w:p>
        </w:tc>
        <w:tc>
          <w:tcPr>
            <w:tcW w:w="4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1.57</w:t>
            </w:r>
          </w:p>
        </w:tc>
        <w:tc>
          <w:tcPr>
            <w:tcW w:w="3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63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Numerator:</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220"/>
              <w:spacing w:after="0"/>
              <w:rPr>
                <w:sz w:val="20"/>
                <w:szCs w:val="20"/>
                <w:color w:val="auto"/>
              </w:rPr>
            </w:pPr>
            <w:r>
              <w:rPr>
                <w:rFonts w:ascii="Arial" w:cs="Arial" w:eastAsia="Arial" w:hAnsi="Arial"/>
                <w:sz w:val="16"/>
                <w:szCs w:val="16"/>
                <w:color w:val="auto"/>
              </w:rPr>
              <w:t>Allocation of total earnings used in basic computation</w:t>
            </w: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302,479</w:t>
            </w:r>
          </w:p>
        </w:tc>
        <w:tc>
          <w:tcPr>
            <w:tcW w:w="3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104,504</w:t>
            </w:r>
          </w:p>
        </w:tc>
        <w:tc>
          <w:tcPr>
            <w:tcW w:w="4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230,304</w:t>
            </w:r>
          </w:p>
        </w:tc>
        <w:tc>
          <w:tcPr>
            <w:tcW w:w="3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85,252</w:t>
            </w:r>
          </w:p>
        </w:tc>
        <w:tc>
          <w:tcPr>
            <w:tcW w:w="0" w:type="dxa"/>
            <w:vAlign w:val="bottom"/>
          </w:tcPr>
          <w:p>
            <w:pPr>
              <w:spacing w:after="0"/>
              <w:rPr>
                <w:sz w:val="1"/>
                <w:szCs w:val="1"/>
                <w:color w:val="auto"/>
              </w:rPr>
            </w:pPr>
          </w:p>
        </w:tc>
      </w:tr>
      <w:tr>
        <w:trPr>
          <w:trHeight w:val="169"/>
        </w:trPr>
        <w:tc>
          <w:tcPr>
            <w:tcW w:w="636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rPr>
              <w:t>Reallocation of total earnings as a result of conversion of Class B common stock to</w:t>
            </w:r>
          </w:p>
        </w:tc>
        <w:tc>
          <w:tcPr>
            <w:tcW w:w="3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104,504</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85,252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Common stock</w:t>
            </w:r>
          </w:p>
        </w:tc>
        <w:tc>
          <w:tcPr>
            <w:tcW w:w="3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Reallocation of undistributed earnings</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13"/>
        </w:trPr>
        <w:tc>
          <w:tcPr>
            <w:tcW w:w="6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earnings—diluted</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406,983</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104,291</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315,556</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85,063</w:t>
            </w:r>
          </w:p>
        </w:tc>
        <w:tc>
          <w:tcPr>
            <w:tcW w:w="0" w:type="dxa"/>
            <w:vAlign w:val="bottom"/>
          </w:tcPr>
          <w:p>
            <w:pPr>
              <w:spacing w:after="0"/>
              <w:rPr>
                <w:sz w:val="1"/>
                <w:szCs w:val="1"/>
                <w:color w:val="auto"/>
              </w:rPr>
            </w:pPr>
          </w:p>
        </w:tc>
      </w:tr>
      <w:tr>
        <w:trPr>
          <w:trHeight w:val="148"/>
        </w:trPr>
        <w:tc>
          <w:tcPr>
            <w:tcW w:w="6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Denominator (shares in thousands):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220"/>
              <w:spacing w:after="0"/>
              <w:rPr>
                <w:sz w:val="20"/>
                <w:szCs w:val="20"/>
                <w:color w:val="auto"/>
              </w:rPr>
            </w:pPr>
            <w:r>
              <w:rPr>
                <w:rFonts w:ascii="Arial" w:cs="Arial" w:eastAsia="Arial" w:hAnsi="Arial"/>
                <w:sz w:val="16"/>
                <w:szCs w:val="16"/>
                <w:color w:val="auto"/>
              </w:rPr>
              <w:t>Number of shares used in basic computation</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149,244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55,447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146,362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59,114</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Weighted-average effect of dilutive securities:</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360"/>
              <w:spacing w:after="0"/>
              <w:rPr>
                <w:sz w:val="20"/>
                <w:szCs w:val="20"/>
                <w:color w:val="auto"/>
              </w:rPr>
            </w:pPr>
            <w:r>
              <w:rPr>
                <w:rFonts w:ascii="Arial" w:cs="Arial" w:eastAsia="Arial" w:hAnsi="Arial"/>
                <w:sz w:val="16"/>
                <w:szCs w:val="16"/>
                <w:color w:val="auto"/>
              </w:rPr>
              <w:t>Conversion of Class B common stock to Common shares outstanding</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55,447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59,114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Employee stock options</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Performance and restricted stock units</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weighted-average shares—diluted</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205,533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55,447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206,449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59,114</w:t>
            </w:r>
          </w:p>
        </w:tc>
        <w:tc>
          <w:tcPr>
            <w:tcW w:w="0" w:type="dxa"/>
            <w:vAlign w:val="bottom"/>
          </w:tcPr>
          <w:p>
            <w:pPr>
              <w:spacing w:after="0"/>
              <w:rPr>
                <w:sz w:val="1"/>
                <w:szCs w:val="1"/>
                <w:color w:val="auto"/>
              </w:rPr>
            </w:pPr>
          </w:p>
        </w:tc>
      </w:tr>
      <w:tr>
        <w:trPr>
          <w:trHeight w:val="135"/>
        </w:trPr>
        <w:tc>
          <w:tcPr>
            <w:tcW w:w="636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Share—diluted</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earnings per share calculations for the three months ended July 2, 2023 and July 3, 2022 excluded 12 and 4 stock options (in thousands), respectively, that would have been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331470</wp:posOffset>
            </wp:positionV>
            <wp:extent cx="19685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Q2 2023 Form 10-Q |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jc w:val="center"/>
        <w:ind w:right="-5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Six Months Ended</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July 2, 2023</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July 3, 2022</w:t>
            </w:r>
          </w:p>
        </w:tc>
        <w:tc>
          <w:tcPr>
            <w:tcW w:w="0" w:type="dxa"/>
            <w:vAlign w:val="bottom"/>
          </w:tcPr>
          <w:p>
            <w:pPr>
              <w:spacing w:after="0"/>
              <w:rPr>
                <w:sz w:val="1"/>
                <w:szCs w:val="1"/>
                <w:color w:val="auto"/>
              </w:rPr>
            </w:pPr>
          </w:p>
        </w:tc>
      </w:tr>
      <w:tr>
        <w:trPr>
          <w:trHeight w:val="158"/>
        </w:trPr>
        <w:tc>
          <w:tcPr>
            <w:tcW w:w="6360" w:type="dxa"/>
            <w:vAlign w:val="bottom"/>
          </w:tcPr>
          <w:p>
            <w:pPr>
              <w:spacing w:after="0"/>
              <w:rPr>
                <w:sz w:val="13"/>
                <w:szCs w:val="13"/>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0"/>
              </w:rPr>
              <w:t>Common Stock</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ind w:right="219"/>
              <w:spacing w:after="0" w:line="158" w:lineRule="exact"/>
              <w:rPr>
                <w:sz w:val="20"/>
                <w:szCs w:val="20"/>
                <w:color w:val="auto"/>
              </w:rPr>
            </w:pPr>
            <w:r>
              <w:rPr>
                <w:rFonts w:ascii="Arial" w:cs="Arial" w:eastAsia="Arial" w:hAnsi="Arial"/>
                <w:sz w:val="16"/>
                <w:szCs w:val="16"/>
                <w:b w:val="1"/>
                <w:bCs w:val="1"/>
                <w:color w:val="auto"/>
              </w:rPr>
              <w:t>Class B</w:t>
            </w:r>
          </w:p>
        </w:tc>
        <w:tc>
          <w:tcPr>
            <w:tcW w:w="120" w:type="dxa"/>
            <w:vAlign w:val="bottom"/>
          </w:tcPr>
          <w:p>
            <w:pPr>
              <w:spacing w:after="0"/>
              <w:rPr>
                <w:sz w:val="13"/>
                <w:szCs w:val="13"/>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1"/>
              </w:rPr>
              <w:t>Common Stock</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ind w:right="219"/>
              <w:spacing w:after="0" w:line="158" w:lineRule="exact"/>
              <w:rPr>
                <w:sz w:val="20"/>
                <w:szCs w:val="20"/>
                <w:color w:val="auto"/>
              </w:rPr>
            </w:pPr>
            <w:r>
              <w:rPr>
                <w:rFonts w:ascii="Arial" w:cs="Arial" w:eastAsia="Arial" w:hAnsi="Arial"/>
                <w:sz w:val="16"/>
                <w:szCs w:val="16"/>
                <w:b w:val="1"/>
                <w:bCs w:val="1"/>
                <w:color w:val="auto"/>
              </w:rPr>
              <w:t>Class B</w:t>
            </w:r>
          </w:p>
        </w:tc>
        <w:tc>
          <w:tcPr>
            <w:tcW w:w="0" w:type="dxa"/>
            <w:vAlign w:val="bottom"/>
          </w:tcPr>
          <w:p>
            <w:pPr>
              <w:spacing w:after="0"/>
              <w:rPr>
                <w:sz w:val="1"/>
                <w:szCs w:val="1"/>
                <w:color w:val="auto"/>
              </w:rPr>
            </w:pPr>
          </w:p>
        </w:tc>
      </w:tr>
      <w:tr>
        <w:trPr>
          <w:trHeight w:val="213"/>
        </w:trPr>
        <w:tc>
          <w:tcPr>
            <w:tcW w:w="6360" w:type="dxa"/>
            <w:vAlign w:val="bottom"/>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1"/>
              </w:rPr>
              <w:t>Common Stock</w:t>
            </w:r>
          </w:p>
        </w:tc>
        <w:tc>
          <w:tcPr>
            <w:tcW w:w="120" w:type="dxa"/>
            <w:vAlign w:val="bottom"/>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w w:val="90"/>
              </w:rPr>
              <w:t>Common Stock</w:t>
            </w: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earnings per share:</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Numerator:</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Allocation of distributed earnings (cash dividends paid)</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305,944</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107,602</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263,337</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97,647</w:t>
            </w:r>
          </w:p>
        </w:tc>
        <w:tc>
          <w:tcPr>
            <w:tcW w:w="0" w:type="dxa"/>
            <w:vAlign w:val="bottom"/>
          </w:tcPr>
          <w:p>
            <w:pPr>
              <w:spacing w:after="0"/>
              <w:rPr>
                <w:sz w:val="1"/>
                <w:szCs w:val="1"/>
                <w:color w:val="auto"/>
              </w:rPr>
            </w:pPr>
          </w:p>
        </w:tc>
      </w:tr>
      <w:tr>
        <w:trPr>
          <w:trHeight w:val="213"/>
        </w:trPr>
        <w:tc>
          <w:tcPr>
            <w:tcW w:w="63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Allocation of undistributed earnings</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432,943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147,679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356,240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131,810</w:t>
            </w:r>
          </w:p>
        </w:tc>
        <w:tc>
          <w:tcPr>
            <w:tcW w:w="0" w:type="dxa"/>
            <w:vAlign w:val="bottom"/>
          </w:tcPr>
          <w:p>
            <w:pPr>
              <w:spacing w:after="0"/>
              <w:rPr>
                <w:sz w:val="1"/>
                <w:szCs w:val="1"/>
                <w:color w:val="auto"/>
              </w:rPr>
            </w:pPr>
          </w:p>
        </w:tc>
      </w:tr>
      <w:tr>
        <w:trPr>
          <w:trHeight w:val="213"/>
        </w:trPr>
        <w:tc>
          <w:tcPr>
            <w:tcW w:w="6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earnings—basic</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738,887</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255,281</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619,577</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229,457</w:t>
            </w:r>
          </w:p>
        </w:tc>
        <w:tc>
          <w:tcPr>
            <w:tcW w:w="0" w:type="dxa"/>
            <w:vAlign w:val="bottom"/>
          </w:tcPr>
          <w:p>
            <w:pPr>
              <w:spacing w:after="0"/>
              <w:rPr>
                <w:sz w:val="1"/>
                <w:szCs w:val="1"/>
                <w:color w:val="auto"/>
              </w:rPr>
            </w:pPr>
          </w:p>
        </w:tc>
      </w:tr>
      <w:tr>
        <w:trPr>
          <w:trHeight w:val="135"/>
        </w:trPr>
        <w:tc>
          <w:tcPr>
            <w:tcW w:w="6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Denominator (shares in thousands):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220"/>
              <w:spacing w:after="0"/>
              <w:rPr>
                <w:sz w:val="20"/>
                <w:szCs w:val="20"/>
                <w:color w:val="auto"/>
              </w:rPr>
            </w:pPr>
            <w:r>
              <w:rPr>
                <w:rFonts w:ascii="Arial" w:cs="Arial" w:eastAsia="Arial" w:hAnsi="Arial"/>
                <w:sz w:val="16"/>
                <w:szCs w:val="16"/>
                <w:color w:val="auto"/>
              </w:rPr>
              <w:t>Total weighted-average shares—basic</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148,914</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55,864</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146,248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59,530</w:t>
            </w:r>
          </w:p>
        </w:tc>
        <w:tc>
          <w:tcPr>
            <w:tcW w:w="0" w:type="dxa"/>
            <w:vAlign w:val="bottom"/>
          </w:tcPr>
          <w:p>
            <w:pPr>
              <w:spacing w:after="0"/>
              <w:rPr>
                <w:sz w:val="1"/>
                <w:szCs w:val="1"/>
                <w:color w:val="auto"/>
              </w:rPr>
            </w:pPr>
          </w:p>
        </w:tc>
      </w:tr>
      <w:tr>
        <w:trPr>
          <w:trHeight w:val="128"/>
        </w:trPr>
        <w:tc>
          <w:tcPr>
            <w:tcW w:w="63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6"/>
                <w:szCs w:val="16"/>
                <w:color w:val="auto"/>
              </w:rPr>
              <w:t>Earnings Per Share—basic</w:t>
            </w: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4.96</w:t>
            </w:r>
          </w:p>
        </w:tc>
        <w:tc>
          <w:tcPr>
            <w:tcW w:w="3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4.57</w:t>
            </w:r>
          </w:p>
        </w:tc>
        <w:tc>
          <w:tcPr>
            <w:tcW w:w="4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4.24</w:t>
            </w:r>
          </w:p>
        </w:tc>
        <w:tc>
          <w:tcPr>
            <w:tcW w:w="3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3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Numerator:</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220"/>
              <w:spacing w:after="0"/>
              <w:rPr>
                <w:sz w:val="20"/>
                <w:szCs w:val="20"/>
                <w:color w:val="auto"/>
              </w:rPr>
            </w:pPr>
            <w:r>
              <w:rPr>
                <w:rFonts w:ascii="Arial" w:cs="Arial" w:eastAsia="Arial" w:hAnsi="Arial"/>
                <w:sz w:val="16"/>
                <w:szCs w:val="16"/>
                <w:color w:val="auto"/>
              </w:rPr>
              <w:t>Allocation of total earnings used in basic computation</w:t>
            </w: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738,887</w:t>
            </w:r>
          </w:p>
        </w:tc>
        <w:tc>
          <w:tcPr>
            <w:tcW w:w="3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255,281</w:t>
            </w:r>
          </w:p>
        </w:tc>
        <w:tc>
          <w:tcPr>
            <w:tcW w:w="4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619,577</w:t>
            </w:r>
          </w:p>
        </w:tc>
        <w:tc>
          <w:tcPr>
            <w:tcW w:w="3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229,457</w:t>
            </w:r>
          </w:p>
        </w:tc>
        <w:tc>
          <w:tcPr>
            <w:tcW w:w="0" w:type="dxa"/>
            <w:vAlign w:val="bottom"/>
          </w:tcPr>
          <w:p>
            <w:pPr>
              <w:spacing w:after="0"/>
              <w:rPr>
                <w:sz w:val="1"/>
                <w:szCs w:val="1"/>
                <w:color w:val="auto"/>
              </w:rPr>
            </w:pPr>
          </w:p>
        </w:tc>
      </w:tr>
      <w:tr>
        <w:trPr>
          <w:trHeight w:val="169"/>
        </w:trPr>
        <w:tc>
          <w:tcPr>
            <w:tcW w:w="636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rPr>
              <w:t>Reallocation of total earnings as a result of conversion of Class B common stock to</w:t>
            </w:r>
          </w:p>
        </w:tc>
        <w:tc>
          <w:tcPr>
            <w:tcW w:w="3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255,281</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229,457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Common stock</w:t>
            </w:r>
          </w:p>
        </w:tc>
        <w:tc>
          <w:tcPr>
            <w:tcW w:w="3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Reallocation of undistributed earnings</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(722)</w:t>
            </w:r>
          </w:p>
        </w:tc>
        <w:tc>
          <w:tcPr>
            <w:tcW w:w="0" w:type="dxa"/>
            <w:vAlign w:val="bottom"/>
          </w:tcPr>
          <w:p>
            <w:pPr>
              <w:spacing w:after="0"/>
              <w:rPr>
                <w:sz w:val="1"/>
                <w:szCs w:val="1"/>
                <w:color w:val="auto"/>
              </w:rPr>
            </w:pPr>
          </w:p>
        </w:tc>
      </w:tr>
      <w:tr>
        <w:trPr>
          <w:trHeight w:val="213"/>
        </w:trPr>
        <w:tc>
          <w:tcPr>
            <w:tcW w:w="6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earnings—diluted</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994,168</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254,612</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849,034</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228,735</w:t>
            </w:r>
          </w:p>
        </w:tc>
        <w:tc>
          <w:tcPr>
            <w:tcW w:w="0" w:type="dxa"/>
            <w:vAlign w:val="bottom"/>
          </w:tcPr>
          <w:p>
            <w:pPr>
              <w:spacing w:after="0"/>
              <w:rPr>
                <w:sz w:val="1"/>
                <w:szCs w:val="1"/>
                <w:color w:val="auto"/>
              </w:rPr>
            </w:pPr>
          </w:p>
        </w:tc>
      </w:tr>
      <w:tr>
        <w:trPr>
          <w:trHeight w:val="148"/>
        </w:trPr>
        <w:tc>
          <w:tcPr>
            <w:tcW w:w="6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Denominator (shares in thousands):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220"/>
              <w:spacing w:after="0"/>
              <w:rPr>
                <w:sz w:val="20"/>
                <w:szCs w:val="20"/>
                <w:color w:val="auto"/>
              </w:rPr>
            </w:pPr>
            <w:r>
              <w:rPr>
                <w:rFonts w:ascii="Arial" w:cs="Arial" w:eastAsia="Arial" w:hAnsi="Arial"/>
                <w:sz w:val="16"/>
                <w:szCs w:val="16"/>
                <w:color w:val="auto"/>
              </w:rPr>
              <w:t>Number of shares used in basic computation</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148,914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55,864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146,248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59,530</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Weighted-average effect of dilutive securities:</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360"/>
              <w:spacing w:after="0"/>
              <w:rPr>
                <w:sz w:val="20"/>
                <w:szCs w:val="20"/>
                <w:color w:val="auto"/>
              </w:rPr>
            </w:pPr>
            <w:r>
              <w:rPr>
                <w:rFonts w:ascii="Arial" w:cs="Arial" w:eastAsia="Arial" w:hAnsi="Arial"/>
                <w:sz w:val="16"/>
                <w:szCs w:val="16"/>
                <w:color w:val="auto"/>
              </w:rPr>
              <w:t>Conversion of Class B common stock to Common shares outstanding</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55,864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59,530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Employee stock options</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Performance and restricted stock units</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weighted-average shares—diluted</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205,687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55,864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206,861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59,530</w:t>
            </w:r>
          </w:p>
        </w:tc>
        <w:tc>
          <w:tcPr>
            <w:tcW w:w="0" w:type="dxa"/>
            <w:vAlign w:val="bottom"/>
          </w:tcPr>
          <w:p>
            <w:pPr>
              <w:spacing w:after="0"/>
              <w:rPr>
                <w:sz w:val="1"/>
                <w:szCs w:val="1"/>
                <w:color w:val="auto"/>
              </w:rPr>
            </w:pPr>
          </w:p>
        </w:tc>
      </w:tr>
      <w:tr>
        <w:trPr>
          <w:trHeight w:val="135"/>
        </w:trPr>
        <w:tc>
          <w:tcPr>
            <w:tcW w:w="6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Share—diluted</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earnings per share calculations for the six months ended July 2, 2023 and July 3, 2022 excluded 12 and 4 stock options (in thousands), respectively, that would have been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262890</wp:posOffset>
            </wp:positionV>
            <wp:extent cx="19685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Q2 2023 Form 10-Q | 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OTHER (INCOME) EXPENSE, NET</w:t>
      </w:r>
    </w:p>
    <w:p>
      <w:pPr>
        <w:spacing w:after="0" w:line="256" w:lineRule="exact"/>
        <w:rPr>
          <w:sz w:val="20"/>
          <w:szCs w:val="20"/>
          <w:color w:val="auto"/>
        </w:rPr>
      </w:pPr>
    </w:p>
    <w:p>
      <w:pPr>
        <w:ind w:right="660"/>
        <w:spacing w:after="0" w:line="274" w:lineRule="auto"/>
        <w:rPr>
          <w:sz w:val="20"/>
          <w:szCs w:val="20"/>
          <w:color w:val="auto"/>
        </w:rPr>
      </w:pPr>
      <w:r>
        <w:rPr>
          <w:rFonts w:ascii="Arial" w:cs="Arial" w:eastAsia="Arial" w:hAnsi="Arial"/>
          <w:sz w:val="18"/>
          <w:szCs w:val="18"/>
          <w:color w:val="auto"/>
        </w:rPr>
        <w:t>Other (income) expense, net reports certain gains and losses associated with activities not directly related to our core operations. A summary of the components of other (income) expense, net is as follows:</w:t>
      </w:r>
    </w:p>
    <w:tbl>
      <w:tblPr>
        <w:tblLayout w:type="fixed"/>
        <w:tblInd w:w="0" w:type="dxa"/>
        <w:tblCellMar>
          <w:top w:w="0" w:type="dxa"/>
          <w:left w:w="0" w:type="dxa"/>
          <w:bottom w:w="0" w:type="dxa"/>
          <w:right w:w="0" w:type="dxa"/>
        </w:tblCellMar>
      </w:tblPr>
      <w:tr>
        <w:trPr>
          <w:trHeight w:val="213"/>
        </w:trPr>
        <w:tc>
          <w:tcPr>
            <w:tcW w:w="3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gridSpan w:val="4"/>
          </w:tcPr>
          <w:p>
            <w:pPr>
              <w:jc w:val="right"/>
              <w:ind w:right="772"/>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gridSpan w:val="4"/>
          </w:tcPr>
          <w:p>
            <w:pPr>
              <w:ind w:left="72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3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July 2, 2023</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July 3, 2022</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6"/>
                <w:szCs w:val="16"/>
                <w:b w:val="1"/>
                <w:bCs w:val="1"/>
                <w:color w:val="auto"/>
              </w:rPr>
              <w:t>July 2, 2023</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July 3, 2022</w:t>
            </w:r>
          </w:p>
        </w:tc>
        <w:tc>
          <w:tcPr>
            <w:tcW w:w="0" w:type="dxa"/>
            <w:vAlign w:val="bottom"/>
          </w:tcPr>
          <w:p>
            <w:pPr>
              <w:spacing w:after="0"/>
              <w:rPr>
                <w:sz w:val="1"/>
                <w:szCs w:val="1"/>
                <w:color w:val="auto"/>
              </w:rPr>
            </w:pPr>
          </w:p>
        </w:tc>
      </w:tr>
      <w:tr>
        <w:trPr>
          <w:trHeight w:val="172"/>
        </w:trPr>
        <w:tc>
          <w:tcPr>
            <w:tcW w:w="4760" w:type="dxa"/>
            <w:vAlign w:val="bottom"/>
            <w:gridSpan w:val="5"/>
            <w:shd w:val="clear" w:color="auto" w:fill="CCEEFF"/>
          </w:tcPr>
          <w:p>
            <w:pPr>
              <w:ind w:left="20"/>
              <w:spacing w:after="0" w:line="172" w:lineRule="exact"/>
              <w:rPr>
                <w:sz w:val="20"/>
                <w:szCs w:val="20"/>
                <w:color w:val="auto"/>
              </w:rPr>
            </w:pPr>
            <w:r>
              <w:rPr>
                <w:rFonts w:ascii="Arial" w:cs="Arial" w:eastAsia="Arial" w:hAnsi="Arial"/>
                <w:sz w:val="18"/>
                <w:szCs w:val="18"/>
                <w:color w:val="auto"/>
                <w:w w:val="95"/>
              </w:rPr>
              <w:t>Write-down of equity investments in partnerships qualifying for</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77,360</w:t>
            </w:r>
          </w:p>
        </w:tc>
        <w:tc>
          <w:tcPr>
            <w:tcW w:w="3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14,848</w:t>
            </w: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vMerge w:val="restart"/>
            <w:shd w:val="clear" w:color="auto" w:fill="CCEEFF"/>
          </w:tcPr>
          <w:p>
            <w:pPr>
              <w:ind w:left="740"/>
              <w:spacing w:after="0"/>
              <w:rPr>
                <w:sz w:val="20"/>
                <w:szCs w:val="20"/>
                <w:color w:val="auto"/>
              </w:rPr>
            </w:pPr>
            <w:r>
              <w:rPr>
                <w:rFonts w:ascii="Arial" w:cs="Arial" w:eastAsia="Arial" w:hAnsi="Arial"/>
                <w:sz w:val="18"/>
                <w:szCs w:val="18"/>
                <w:color w:val="auto"/>
              </w:rPr>
              <w:t>77,360</w:t>
            </w: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27,440</w:t>
            </w:r>
          </w:p>
        </w:tc>
        <w:tc>
          <w:tcPr>
            <w:tcW w:w="0" w:type="dxa"/>
            <w:vAlign w:val="bottom"/>
          </w:tcPr>
          <w:p>
            <w:pPr>
              <w:spacing w:after="0"/>
              <w:rPr>
                <w:sz w:val="1"/>
                <w:szCs w:val="1"/>
                <w:color w:val="auto"/>
              </w:rPr>
            </w:pPr>
          </w:p>
        </w:tc>
      </w:tr>
      <w:tr>
        <w:trPr>
          <w:trHeight w:val="189"/>
        </w:trPr>
        <w:tc>
          <w:tcPr>
            <w:tcW w:w="4760" w:type="dxa"/>
            <w:vAlign w:val="bottom"/>
            <w:gridSpan w:val="5"/>
            <w:shd w:val="clear" w:color="auto" w:fill="CCEEFF"/>
          </w:tcPr>
          <w:p>
            <w:pPr>
              <w:ind w:left="20"/>
              <w:spacing w:after="0" w:line="189" w:lineRule="exact"/>
              <w:rPr>
                <w:sz w:val="20"/>
                <w:szCs w:val="20"/>
                <w:color w:val="auto"/>
              </w:rPr>
            </w:pPr>
            <w:r>
              <w:rPr>
                <w:rFonts w:ascii="Arial" w:cs="Arial" w:eastAsia="Arial" w:hAnsi="Arial"/>
                <w:sz w:val="18"/>
                <w:szCs w:val="18"/>
                <w:color w:val="auto"/>
              </w:rPr>
              <w:t xml:space="preserve">historic and renewable energy tax credits (see </w:t>
            </w:r>
            <w:r>
              <w:rPr>
                <w:rFonts w:ascii="Arial" w:cs="Arial" w:eastAsia="Arial" w:hAnsi="Arial"/>
                <w:sz w:val="18"/>
                <w:szCs w:val="18"/>
                <w:color w:val="0000FF"/>
              </w:rPr>
              <w:t>Note 8</w:t>
            </w:r>
            <w:r>
              <w:rPr>
                <w:rFonts w:ascii="Arial" w:cs="Arial" w:eastAsia="Arial" w:hAnsi="Arial"/>
                <w:sz w:val="18"/>
                <w:szCs w:val="18"/>
                <w:color w:val="auto"/>
              </w:rPr>
              <w:t>)</w:t>
            </w:r>
          </w:p>
        </w:tc>
        <w:tc>
          <w:tcPr>
            <w:tcW w:w="220" w:type="dxa"/>
            <w:vAlign w:val="bottom"/>
            <w:vMerge w:val="continue"/>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760" w:type="dxa"/>
            <w:vAlign w:val="bottom"/>
            <w:gridSpan w:val="5"/>
          </w:tcPr>
          <w:p>
            <w:pPr>
              <w:ind w:left="20"/>
              <w:spacing w:after="0" w:line="189" w:lineRule="exact"/>
              <w:rPr>
                <w:sz w:val="20"/>
                <w:szCs w:val="20"/>
                <w:color w:val="auto"/>
              </w:rPr>
            </w:pPr>
            <w:r>
              <w:rPr>
                <w:rFonts w:ascii="Arial" w:cs="Arial" w:eastAsia="Arial" w:hAnsi="Arial"/>
                <w:sz w:val="18"/>
                <w:szCs w:val="18"/>
                <w:color w:val="auto"/>
                <w:w w:val="91"/>
              </w:rPr>
              <w:t>Non-service cost components of net periodic benefit cost relating</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760" w:type="dxa"/>
            <w:vAlign w:val="bottom"/>
            <w:gridSpan w:val="5"/>
          </w:tcPr>
          <w:p>
            <w:pPr>
              <w:ind w:left="20"/>
              <w:spacing w:after="0" w:line="190" w:lineRule="exact"/>
              <w:rPr>
                <w:sz w:val="20"/>
                <w:szCs w:val="20"/>
                <w:color w:val="auto"/>
              </w:rPr>
            </w:pPr>
            <w:r>
              <w:rPr>
                <w:rFonts w:ascii="Arial" w:cs="Arial" w:eastAsia="Arial" w:hAnsi="Arial"/>
                <w:sz w:val="18"/>
                <w:szCs w:val="18"/>
                <w:color w:val="auto"/>
                <w:w w:val="92"/>
              </w:rPr>
              <w:t xml:space="preserve">to pension and other post-retirement benefit plans (see </w:t>
            </w:r>
            <w:r>
              <w:rPr>
                <w:rFonts w:ascii="Arial" w:cs="Arial" w:eastAsia="Arial" w:hAnsi="Arial"/>
                <w:sz w:val="18"/>
                <w:szCs w:val="18"/>
                <w:color w:val="0000FF"/>
                <w:w w:val="92"/>
              </w:rPr>
              <w:t>Note 11</w:t>
            </w:r>
            <w:r>
              <w:rPr>
                <w:rFonts w:ascii="Arial" w:cs="Arial" w:eastAsia="Arial" w:hAnsi="Arial"/>
                <w:sz w:val="18"/>
                <w:szCs w:val="18"/>
                <w:color w:val="auto"/>
                <w:w w:val="92"/>
              </w:rPr>
              <w:t>)</w:t>
            </w:r>
          </w:p>
        </w:tc>
        <w:tc>
          <w:tcPr>
            <w:tcW w:w="220" w:type="dxa"/>
            <w:vAlign w:val="bottom"/>
          </w:tcPr>
          <w:p>
            <w:pPr>
              <w:spacing w:after="0"/>
              <w:rPr>
                <w:sz w:val="16"/>
                <w:szCs w:val="16"/>
                <w:color w:val="auto"/>
              </w:rPr>
            </w:pPr>
          </w:p>
        </w:tc>
        <w:tc>
          <w:tcPr>
            <w:tcW w:w="1300" w:type="dxa"/>
            <w:vAlign w:val="bottom"/>
          </w:tcPr>
          <w:p>
            <w:pPr>
              <w:jc w:val="right"/>
              <w:spacing w:after="0" w:line="190" w:lineRule="exact"/>
              <w:rPr>
                <w:sz w:val="20"/>
                <w:szCs w:val="20"/>
                <w:color w:val="auto"/>
              </w:rPr>
            </w:pPr>
            <w:r>
              <w:rPr>
                <w:rFonts w:ascii="Arial" w:cs="Arial" w:eastAsia="Arial" w:hAnsi="Arial"/>
                <w:sz w:val="18"/>
                <w:szCs w:val="18"/>
                <w:color w:val="auto"/>
              </w:rPr>
              <w:t>7,661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spacing w:after="0" w:line="190" w:lineRule="exact"/>
              <w:rPr>
                <w:sz w:val="20"/>
                <w:szCs w:val="20"/>
                <w:color w:val="auto"/>
              </w:rPr>
            </w:pPr>
            <w:r>
              <w:rPr>
                <w:rFonts w:ascii="Arial" w:cs="Arial" w:eastAsia="Arial" w:hAnsi="Arial"/>
                <w:sz w:val="18"/>
                <w:szCs w:val="18"/>
                <w:color w:val="auto"/>
              </w:rPr>
              <w:t>4,749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ind w:left="740"/>
              <w:spacing w:after="0" w:line="190" w:lineRule="exact"/>
              <w:rPr>
                <w:sz w:val="20"/>
                <w:szCs w:val="20"/>
                <w:color w:val="auto"/>
              </w:rPr>
            </w:pPr>
            <w:r>
              <w:rPr>
                <w:rFonts w:ascii="Arial" w:cs="Arial" w:eastAsia="Arial" w:hAnsi="Arial"/>
                <w:sz w:val="18"/>
                <w:szCs w:val="18"/>
                <w:color w:val="auto"/>
              </w:rPr>
              <w:t>10,872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spacing w:after="0" w:line="190" w:lineRule="exact"/>
              <w:rPr>
                <w:sz w:val="20"/>
                <w:szCs w:val="20"/>
                <w:color w:val="auto"/>
              </w:rPr>
            </w:pPr>
            <w:r>
              <w:rPr>
                <w:rFonts w:ascii="Arial" w:cs="Arial" w:eastAsia="Arial" w:hAnsi="Arial"/>
                <w:sz w:val="18"/>
                <w:szCs w:val="18"/>
                <w:color w:val="auto"/>
              </w:rPr>
              <w:t>2,567</w:t>
            </w: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7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95"/>
              </w:rPr>
              <w:t>(765)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7"/>
        </w:trPr>
        <w:tc>
          <w:tcPr>
            <w:tcW w:w="4760" w:type="dxa"/>
            <w:vAlign w:val="bottom"/>
            <w:gridSpan w:val="5"/>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84,484</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19,658</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tcPr>
          <w:p>
            <w:pPr>
              <w:ind w:left="740"/>
              <w:spacing w:after="0"/>
              <w:rPr>
                <w:sz w:val="20"/>
                <w:szCs w:val="20"/>
                <w:color w:val="auto"/>
              </w:rPr>
            </w:pPr>
            <w:r>
              <w:rPr>
                <w:rFonts w:ascii="Arial" w:cs="Arial" w:eastAsia="Arial" w:hAnsi="Arial"/>
                <w:sz w:val="18"/>
                <w:szCs w:val="18"/>
                <w:color w:val="auto"/>
              </w:rPr>
              <w:t>87,467</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30,065</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RELATED PARTY TRANSACTIONS</w:t>
      </w:r>
    </w:p>
    <w:p>
      <w:pPr>
        <w:spacing w:after="0" w:line="17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Hershey Trust Company, as trustee for the trust established by Milton S. and Catherine S. Hershey that has as its sole beneficiary for the School Trust, maintains voting control over The Hershey Company.</w:t>
      </w:r>
    </w:p>
    <w:p>
      <w:pPr>
        <w:spacing w:after="0" w:line="11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any given year, we may engage in certain transactions with Hershey Trust Company, Milton Hershey School, the Milton Hershey School Trust and companies owned by and/or affiliated with any of the foregoing. Most transactions with these related parties are immaterial and do not require disclosure, but certain transactions are more significant in nature and have been deemed material for disclosure.</w:t>
      </w:r>
    </w:p>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summary of material related party transactions with Hershey Trust Company and/or its affiliates for the six months ended July 2, 2023 and July 3, 2022 is as follows: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Purchase Agreement</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In February 2023 and February 2022, the Company entered into Stock Purchase Agreements with Hershey Trust Company, as trustee for the School Trust, pursuant to which the Company purchased shares of its Common Stock from the School Trust (see </w:t>
      </w:r>
      <w:r>
        <w:rPr>
          <w:rFonts w:ascii="Arial" w:cs="Arial" w:eastAsia="Arial" w:hAnsi="Arial"/>
          <w:sz w:val="18"/>
          <w:szCs w:val="18"/>
          <w:u w:val="single" w:color="auto"/>
          <w:color w:val="0000FF"/>
        </w:rPr>
        <w:t>Note 14</w:t>
      </w:r>
      <w:r>
        <w:rPr>
          <w:rFonts w:ascii="Arial" w:cs="Arial" w:eastAsia="Arial" w:hAnsi="Arial"/>
          <w:sz w:val="18"/>
          <w:szCs w:val="18"/>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 and Donation of Property, Plant and Equipment</w:t>
      </w:r>
    </w:p>
    <w:p>
      <w:pPr>
        <w:spacing w:after="0" w:line="252"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In May 2022, the Company entered into a Purchase and Sale Agreement (the “Purchase Agreement”) with Hershey Trust Company, as trustee for the School Trust, pursuant to which the Company agreed to sell certain real and personal property consisting of approximately six acres of land located in Hershey, Pennsylvania, together with portions of a building located on the land. Additionally, in June 2022, the Company entered into a Donation Agreement with Hershey Trust Company, as trustee for The M.S. Hershey Foundation, pursuant to which the Company agreed to donate a portion of the building concurrently with the closing of the Purchase Agreement. The sale and donation transactions closed in June 2022. Total proceeds from the sale were approximately $6,300 (net of transaction and closing costs), resulting in a loss of $13,568, which was recorded in the SM&amp;A expense caption within the Consolidated Statements of Income. The fair values of the disposed assets were supported by a proposed sales price submitted by a third-party buyer received prior to executing the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267970</wp:posOffset>
            </wp:positionV>
            <wp:extent cx="19685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Q2 2023 Form 10-Q | 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r>
              <w:rPr>
                <w:rFonts w:ascii="Arial" w:cs="Arial" w:eastAsia="Arial" w:hAnsi="Arial"/>
                <w:sz w:val="18"/>
                <w:szCs w:val="18"/>
                <w:b w:val="1"/>
                <w:bCs w:val="1"/>
                <w:color w:val="auto"/>
              </w:rPr>
              <w:t>19. SUPPLEMENTAL BALANCE SHEET INFORMATION</w:t>
            </w:r>
          </w:p>
        </w:tc>
        <w:tc>
          <w:tcPr>
            <w:tcW w:w="4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10"/>
        </w:trPr>
        <w:tc>
          <w:tcPr>
            <w:tcW w:w="8880" w:type="dxa"/>
            <w:vAlign w:val="bottom"/>
            <w:gridSpan w:val="3"/>
          </w:tcPr>
          <w:p>
            <w:pPr>
              <w:spacing w:after="0"/>
              <w:rPr>
                <w:sz w:val="20"/>
                <w:szCs w:val="20"/>
                <w:color w:val="auto"/>
              </w:rPr>
            </w:pPr>
            <w:r>
              <w:rPr>
                <w:rFonts w:ascii="Arial" w:cs="Arial" w:eastAsia="Arial" w:hAnsi="Arial"/>
                <w:sz w:val="18"/>
                <w:szCs w:val="18"/>
                <w:color w:val="auto"/>
              </w:rPr>
              <w:t>The components of certain asset accounts included within our Consolidated Balance Sheets are as follows: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57"/>
        </w:trPr>
        <w:tc>
          <w:tcPr>
            <w:tcW w:w="66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July 2, 2023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7"/>
              </w:rPr>
              <w:t>December 31, 2022</w:t>
            </w:r>
          </w:p>
        </w:tc>
      </w:tr>
      <w:tr>
        <w:trPr>
          <w:trHeight w:val="223"/>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Inventories:</w:t>
            </w:r>
          </w:p>
        </w:tc>
        <w:tc>
          <w:tcPr>
            <w:tcW w:w="4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29"/>
        </w:trPr>
        <w:tc>
          <w:tcPr>
            <w:tcW w:w="6620" w:type="dxa"/>
            <w:vAlign w:val="bottom"/>
          </w:tcPr>
          <w:p>
            <w:pPr>
              <w:ind w:left="140"/>
              <w:spacing w:after="0"/>
              <w:rPr>
                <w:sz w:val="20"/>
                <w:szCs w:val="20"/>
                <w:color w:val="auto"/>
              </w:rPr>
            </w:pPr>
            <w:r>
              <w:rPr>
                <w:rFonts w:ascii="Arial" w:cs="Arial" w:eastAsia="Arial" w:hAnsi="Arial"/>
                <w:sz w:val="18"/>
                <w:szCs w:val="18"/>
                <w:color w:val="auto"/>
              </w:rPr>
              <w:t>Raw materials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461,428</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372,612</w:t>
            </w:r>
          </w:p>
        </w:tc>
      </w:tr>
      <w:tr>
        <w:trPr>
          <w:trHeight w:val="229"/>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Goods in process</w:t>
            </w:r>
          </w:p>
        </w:tc>
        <w:tc>
          <w:tcPr>
            <w:tcW w:w="4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137,298</w:t>
            </w:r>
          </w:p>
        </w:tc>
      </w:tr>
      <w:tr>
        <w:trPr>
          <w:trHeight w:val="243"/>
        </w:trPr>
        <w:tc>
          <w:tcPr>
            <w:tcW w:w="6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Finished goods</w:t>
            </w:r>
          </w:p>
        </w:tc>
        <w:tc>
          <w:tcPr>
            <w:tcW w:w="4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1,012,112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855,217</w:t>
            </w:r>
          </w:p>
        </w:tc>
      </w:tr>
      <w:tr>
        <w:trPr>
          <w:trHeight w:val="223"/>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 at First In First Out</w:t>
            </w:r>
          </w:p>
        </w:tc>
        <w:tc>
          <w:tcPr>
            <w:tcW w:w="4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1,661,076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1,365,127</w:t>
            </w:r>
          </w:p>
        </w:tc>
      </w:tr>
      <w:tr>
        <w:trPr>
          <w:trHeight w:val="229"/>
        </w:trPr>
        <w:tc>
          <w:tcPr>
            <w:tcW w:w="6620" w:type="dxa"/>
            <w:vAlign w:val="bottom"/>
          </w:tcPr>
          <w:p>
            <w:pPr>
              <w:ind w:left="140"/>
              <w:spacing w:after="0"/>
              <w:rPr>
                <w:sz w:val="20"/>
                <w:szCs w:val="20"/>
                <w:color w:val="auto"/>
              </w:rPr>
            </w:pPr>
            <w:r>
              <w:rPr>
                <w:rFonts w:ascii="Arial" w:cs="Arial" w:eastAsia="Arial" w:hAnsi="Arial"/>
                <w:sz w:val="18"/>
                <w:szCs w:val="18"/>
                <w:color w:val="auto"/>
              </w:rPr>
              <w:t>Adjustment to Last In First Out</w:t>
            </w:r>
          </w:p>
        </w:tc>
        <w:tc>
          <w:tcPr>
            <w:tcW w:w="4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(275,652)</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(192,008)</w:t>
            </w:r>
          </w:p>
        </w:tc>
      </w:tr>
      <w:tr>
        <w:trPr>
          <w:trHeight w:val="257"/>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inventories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1,385,424</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1,173,119</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r>
      <w:tr>
        <w:trPr>
          <w:trHeight w:val="82"/>
        </w:trPr>
        <w:tc>
          <w:tcPr>
            <w:tcW w:w="66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0" w:type="dxa"/>
            <w:vAlign w:val="bottom"/>
          </w:tcPr>
          <w:p>
            <w:pPr>
              <w:spacing w:after="0"/>
              <w:rPr>
                <w:sz w:val="7"/>
                <w:szCs w:val="7"/>
                <w:color w:val="auto"/>
              </w:rPr>
            </w:pPr>
          </w:p>
        </w:tc>
      </w:tr>
      <w:tr>
        <w:trPr>
          <w:trHeight w:val="243"/>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Prepaid expenses and other:</w:t>
            </w:r>
          </w:p>
        </w:tc>
        <w:tc>
          <w:tcPr>
            <w:tcW w:w="40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r>
      <w:tr>
        <w:trPr>
          <w:trHeight w:val="229"/>
        </w:trPr>
        <w:tc>
          <w:tcPr>
            <w:tcW w:w="6620" w:type="dxa"/>
            <w:vAlign w:val="bottom"/>
          </w:tcPr>
          <w:p>
            <w:pPr>
              <w:ind w:left="140"/>
              <w:spacing w:after="0"/>
              <w:rPr>
                <w:sz w:val="20"/>
                <w:szCs w:val="20"/>
                <w:color w:val="auto"/>
              </w:rPr>
            </w:pPr>
            <w:r>
              <w:rPr>
                <w:rFonts w:ascii="Arial" w:cs="Arial" w:eastAsia="Arial" w:hAnsi="Arial"/>
                <w:sz w:val="18"/>
                <w:szCs w:val="18"/>
                <w:color w:val="auto"/>
              </w:rPr>
              <w:t>Prepaid expenses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169,948</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143,888</w:t>
            </w:r>
          </w:p>
        </w:tc>
      </w:tr>
      <w:tr>
        <w:trPr>
          <w:trHeight w:val="230"/>
        </w:trPr>
        <w:tc>
          <w:tcPr>
            <w:tcW w:w="6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current assets</w:t>
            </w:r>
          </w:p>
        </w:tc>
        <w:tc>
          <w:tcPr>
            <w:tcW w:w="4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115,103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128,307</w:t>
            </w: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color w:val="auto"/>
              </w:rPr>
              <w:t>Total prepaid expenses and other</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285,051</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272,195</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66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000" w:type="dxa"/>
            <w:vAlign w:val="bottom"/>
            <w:shd w:val="clear" w:color="auto" w:fill="CCEEFF"/>
          </w:tcPr>
          <w:p>
            <w:pPr>
              <w:spacing w:after="0"/>
              <w:rPr>
                <w:sz w:val="8"/>
                <w:szCs w:val="8"/>
                <w:color w:val="auto"/>
              </w:rPr>
            </w:pPr>
          </w:p>
        </w:tc>
      </w:tr>
      <w:tr>
        <w:trPr>
          <w:trHeight w:val="239"/>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Property, plant and equipment:</w:t>
            </w:r>
          </w:p>
        </w:tc>
        <w:tc>
          <w:tcPr>
            <w:tcW w:w="4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34"/>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Land</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160,089</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155,963</w:t>
            </w:r>
          </w:p>
        </w:tc>
      </w:tr>
      <w:tr>
        <w:trPr>
          <w:trHeight w:val="229"/>
        </w:trPr>
        <w:tc>
          <w:tcPr>
            <w:tcW w:w="6620" w:type="dxa"/>
            <w:vAlign w:val="bottom"/>
          </w:tcPr>
          <w:p>
            <w:pPr>
              <w:ind w:left="140"/>
              <w:spacing w:after="0"/>
              <w:rPr>
                <w:sz w:val="20"/>
                <w:szCs w:val="20"/>
                <w:color w:val="auto"/>
              </w:rPr>
            </w:pPr>
            <w:r>
              <w:rPr>
                <w:rFonts w:ascii="Arial" w:cs="Arial" w:eastAsia="Arial" w:hAnsi="Arial"/>
                <w:sz w:val="18"/>
                <w:szCs w:val="18"/>
                <w:color w:val="auto"/>
              </w:rPr>
              <w:t>Buildings</w:t>
            </w:r>
          </w:p>
        </w:tc>
        <w:tc>
          <w:tcPr>
            <w:tcW w:w="4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1,565,474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1,545,053</w:t>
            </w:r>
          </w:p>
        </w:tc>
      </w:tr>
      <w:tr>
        <w:trPr>
          <w:trHeight w:val="243"/>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Machinery and equipment</w:t>
            </w:r>
          </w:p>
        </w:tc>
        <w:tc>
          <w:tcPr>
            <w:tcW w:w="40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3,767,778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3,592,251</w:t>
            </w:r>
          </w:p>
        </w:tc>
      </w:tr>
      <w:tr>
        <w:trPr>
          <w:trHeight w:val="229"/>
        </w:trPr>
        <w:tc>
          <w:tcPr>
            <w:tcW w:w="6620" w:type="dxa"/>
            <w:vAlign w:val="bottom"/>
          </w:tcPr>
          <w:p>
            <w:pPr>
              <w:ind w:left="140"/>
              <w:spacing w:after="0"/>
              <w:rPr>
                <w:sz w:val="20"/>
                <w:szCs w:val="20"/>
                <w:color w:val="auto"/>
              </w:rPr>
            </w:pPr>
            <w:r>
              <w:rPr>
                <w:rFonts w:ascii="Arial" w:cs="Arial" w:eastAsia="Arial" w:hAnsi="Arial"/>
                <w:sz w:val="18"/>
                <w:szCs w:val="18"/>
                <w:color w:val="auto"/>
              </w:rPr>
              <w:t>Construction in progress</w:t>
            </w:r>
          </w:p>
        </w:tc>
        <w:tc>
          <w:tcPr>
            <w:tcW w:w="4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538,265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416,220</w:t>
            </w:r>
          </w:p>
        </w:tc>
      </w:tr>
      <w:tr>
        <w:trPr>
          <w:trHeight w:val="223"/>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plant and equipment, gross</w:t>
            </w:r>
          </w:p>
        </w:tc>
        <w:tc>
          <w:tcPr>
            <w:tcW w:w="4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6,031,606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5,709,487</w:t>
            </w:r>
          </w:p>
        </w:tc>
      </w:tr>
      <w:tr>
        <w:trPr>
          <w:trHeight w:val="243"/>
        </w:trPr>
        <w:tc>
          <w:tcPr>
            <w:tcW w:w="6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depreciation</w:t>
            </w:r>
          </w:p>
        </w:tc>
        <w:tc>
          <w:tcPr>
            <w:tcW w:w="4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(3,016,730)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(2,939,785)</w:t>
            </w: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3,014,876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2,769,702</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6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0" w:type="dxa"/>
            <w:vAlign w:val="bottom"/>
          </w:tcPr>
          <w:p>
            <w:pPr>
              <w:spacing w:after="0"/>
              <w:rPr>
                <w:sz w:val="8"/>
                <w:szCs w:val="8"/>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assets:</w:t>
            </w:r>
          </w:p>
        </w:tc>
        <w:tc>
          <w:tcPr>
            <w:tcW w:w="4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30"/>
        </w:trPr>
        <w:tc>
          <w:tcPr>
            <w:tcW w:w="6620" w:type="dxa"/>
            <w:vAlign w:val="bottom"/>
          </w:tcPr>
          <w:p>
            <w:pPr>
              <w:ind w:left="140"/>
              <w:spacing w:after="0"/>
              <w:rPr>
                <w:sz w:val="20"/>
                <w:szCs w:val="20"/>
                <w:color w:val="auto"/>
              </w:rPr>
            </w:pPr>
            <w:r>
              <w:rPr>
                <w:rFonts w:ascii="Arial" w:cs="Arial" w:eastAsia="Arial" w:hAnsi="Arial"/>
                <w:sz w:val="18"/>
                <w:szCs w:val="18"/>
                <w:color w:val="auto"/>
              </w:rPr>
              <w:t>Pension</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54,737</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53,495</w:t>
            </w:r>
          </w:p>
        </w:tc>
      </w:tr>
      <w:tr>
        <w:trPr>
          <w:trHeight w:val="243"/>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Capitalized software, net</w:t>
            </w:r>
          </w:p>
        </w:tc>
        <w:tc>
          <w:tcPr>
            <w:tcW w:w="400" w:type="dxa"/>
            <w:vAlign w:val="bottom"/>
            <w:shd w:val="clear" w:color="auto" w:fill="CCEEFF"/>
          </w:tcPr>
          <w:p>
            <w:pPr>
              <w:spacing w:after="0"/>
              <w:rPr>
                <w:sz w:val="21"/>
                <w:szCs w:val="21"/>
                <w:color w:val="auto"/>
              </w:rPr>
            </w:pP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338,499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320,034</w:t>
            </w:r>
          </w:p>
        </w:tc>
      </w:tr>
      <w:tr>
        <w:trPr>
          <w:trHeight w:val="230"/>
        </w:trPr>
        <w:tc>
          <w:tcPr>
            <w:tcW w:w="6620" w:type="dxa"/>
            <w:vAlign w:val="bottom"/>
          </w:tcPr>
          <w:p>
            <w:pPr>
              <w:ind w:left="140"/>
              <w:spacing w:after="0"/>
              <w:rPr>
                <w:sz w:val="20"/>
                <w:szCs w:val="20"/>
                <w:color w:val="auto"/>
              </w:rPr>
            </w:pPr>
            <w:r>
              <w:rPr>
                <w:rFonts w:ascii="Arial" w:cs="Arial" w:eastAsia="Arial" w:hAnsi="Arial"/>
                <w:sz w:val="18"/>
                <w:szCs w:val="18"/>
                <w:color w:val="auto"/>
              </w:rPr>
              <w:t>Operating lease ROU assets</w:t>
            </w:r>
          </w:p>
        </w:tc>
        <w:tc>
          <w:tcPr>
            <w:tcW w:w="4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322,697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326,472</w:t>
            </w:r>
          </w:p>
        </w:tc>
      </w:tr>
      <w:tr>
        <w:trPr>
          <w:trHeight w:val="229"/>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 in unconsolidated affiliates</w:t>
            </w:r>
          </w:p>
        </w:tc>
        <w:tc>
          <w:tcPr>
            <w:tcW w:w="4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133,029</w:t>
            </w:r>
          </w:p>
        </w:tc>
      </w:tr>
      <w:tr>
        <w:trPr>
          <w:trHeight w:val="243"/>
        </w:trPr>
        <w:tc>
          <w:tcPr>
            <w:tcW w:w="6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non-current assets</w:t>
            </w:r>
          </w:p>
        </w:tc>
        <w:tc>
          <w:tcPr>
            <w:tcW w:w="4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119,694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111,959</w:t>
            </w: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non-current assets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961,741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944,989</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411480</wp:posOffset>
            </wp:positionV>
            <wp:extent cx="19685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Q2 2023 Form 10-Q | 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certain liability and stockholders’ equity accounts included within our Consolidated Balance Sheets are as follows:</w:t>
      </w:r>
    </w:p>
    <w:p>
      <w:pPr>
        <w:spacing w:after="0" w:line="32" w:lineRule="exact"/>
        <w:rPr>
          <w:sz w:val="20"/>
          <w:szCs w:val="20"/>
          <w:color w:val="auto"/>
        </w:rPr>
      </w:pPr>
    </w:p>
    <w:p>
      <w:pPr>
        <w:jc w:val="right"/>
        <w:ind w:right="400"/>
        <w:spacing w:after="0"/>
        <w:tabs>
          <w:tab w:leader="none" w:pos="1440" w:val="left"/>
        </w:tabs>
        <w:rPr>
          <w:sz w:val="20"/>
          <w:szCs w:val="20"/>
          <w:color w:val="auto"/>
        </w:rPr>
      </w:pPr>
      <w:r>
        <w:rPr>
          <w:rFonts w:ascii="Arial" w:cs="Arial" w:eastAsia="Arial" w:hAnsi="Arial"/>
          <w:sz w:val="18"/>
          <w:szCs w:val="18"/>
          <w:b w:val="1"/>
          <w:bCs w:val="1"/>
          <w:color w:val="auto"/>
        </w:rPr>
        <w:t>July 2, 2023</w:t>
      </w:r>
      <w:r>
        <w:rPr>
          <w:sz w:val="20"/>
          <w:szCs w:val="20"/>
          <w:color w:val="auto"/>
        </w:rPr>
        <w:tab/>
      </w:r>
      <w:r>
        <w:rPr>
          <w:rFonts w:ascii="Arial" w:cs="Arial" w:eastAsia="Arial" w:hAnsi="Arial"/>
          <w:sz w:val="16"/>
          <w:szCs w:val="16"/>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payable: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Accounts payable—trade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Supplier finance program obligations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accounts payable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liabilities: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Payroll, compensation and benefits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Advertising, promotion and product allowances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Operating lease liabilities</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Total accrued liabilities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long-term liabilities:</w:t>
      </w:r>
    </w:p>
    <w:p>
      <w:pPr>
        <w:spacing w:after="0" w:line="4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Post-retirement benefits liabilities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Pension benefits liabilities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Operating lease liabilities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Total other long-term liabilities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Foreign currency translation adjustments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Pension and post-retirement benefit plans, net of tax</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 flow hedges, net of tax</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Total accumulated other comprehensive loss</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663,853</w:t>
            </w:r>
          </w:p>
        </w:tc>
        <w:tc>
          <w:tcPr>
            <w:tcW w:w="92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636,472</w:t>
            </w:r>
          </w:p>
        </w:tc>
      </w:tr>
      <w:tr>
        <w:trPr>
          <w:trHeight w:val="230"/>
        </w:trPr>
        <w:tc>
          <w:tcPr>
            <w:tcW w:w="8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147,125</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105,293</w:t>
            </w:r>
          </w:p>
        </w:tc>
      </w:tr>
      <w:tr>
        <w:trPr>
          <w:trHeight w:val="237"/>
        </w:trPr>
        <w:tc>
          <w:tcPr>
            <w:tcW w:w="8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203,080</w:t>
            </w: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228,793</w:t>
            </w:r>
          </w:p>
        </w:tc>
      </w:tr>
      <w:tr>
        <w:trPr>
          <w:trHeight w:val="230"/>
        </w:trPr>
        <w:tc>
          <w:tcPr>
            <w:tcW w:w="8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1,014,058</w:t>
            </w:r>
          </w:p>
        </w:tc>
        <w:tc>
          <w:tcPr>
            <w:tcW w:w="920" w:type="dxa"/>
            <w:vAlign w:val="bottom"/>
            <w:tcBorders>
              <w:bottom w:val="single" w:sz="8" w:color="auto"/>
            </w:tcBorders>
            <w:gridSpan w:val="2"/>
          </w:tcPr>
          <w:p>
            <w:pPr>
              <w:jc w:val="right"/>
              <w:ind w:right="6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970,558</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573"/>
        </w:trPr>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203,337</w:t>
            </w:r>
          </w:p>
        </w:tc>
        <w:tc>
          <w:tcPr>
            <w:tcW w:w="92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293,865</w:t>
            </w:r>
          </w:p>
        </w:tc>
      </w:tr>
      <w:tr>
        <w:trPr>
          <w:trHeight w:val="230"/>
        </w:trPr>
        <w:tc>
          <w:tcPr>
            <w:tcW w:w="8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346,580</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337,024</w:t>
            </w:r>
          </w:p>
        </w:tc>
      </w:tr>
      <w:tr>
        <w:trPr>
          <w:trHeight w:val="242"/>
        </w:trPr>
        <w:tc>
          <w:tcPr>
            <w:tcW w:w="8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33,867</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31,787</w:t>
            </w:r>
          </w:p>
        </w:tc>
      </w:tr>
      <w:tr>
        <w:trPr>
          <w:trHeight w:val="230"/>
        </w:trPr>
        <w:tc>
          <w:tcPr>
            <w:tcW w:w="8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244,423</w:t>
            </w:r>
          </w:p>
        </w:tc>
        <w:tc>
          <w:tcPr>
            <w:tcW w:w="1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169,842</w:t>
            </w:r>
          </w:p>
        </w:tc>
      </w:tr>
      <w:tr>
        <w:trPr>
          <w:trHeight w:val="230"/>
        </w:trPr>
        <w:tc>
          <w:tcPr>
            <w:tcW w:w="8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828,207</w:t>
            </w:r>
          </w:p>
        </w:tc>
        <w:tc>
          <w:tcPr>
            <w:tcW w:w="100" w:type="dxa"/>
            <w:vAlign w:val="bottom"/>
          </w:tcPr>
          <w:p>
            <w:pPr>
              <w:spacing w:after="0"/>
              <w:rPr>
                <w:sz w:val="20"/>
                <w:szCs w:val="20"/>
                <w:color w:val="auto"/>
              </w:rPr>
            </w:pPr>
          </w:p>
        </w:tc>
        <w:tc>
          <w:tcPr>
            <w:tcW w:w="8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832,518</w:t>
            </w:r>
          </w:p>
        </w:tc>
      </w:tr>
      <w:tr>
        <w:trPr>
          <w:trHeight w:val="27"/>
        </w:trPr>
        <w:tc>
          <w:tcPr>
            <w:tcW w:w="8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573"/>
        </w:trPr>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140,327</w:t>
            </w:r>
          </w:p>
        </w:tc>
        <w:tc>
          <w:tcPr>
            <w:tcW w:w="92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147,174</w:t>
            </w:r>
          </w:p>
        </w:tc>
      </w:tr>
      <w:tr>
        <w:trPr>
          <w:trHeight w:val="229"/>
        </w:trPr>
        <w:tc>
          <w:tcPr>
            <w:tcW w:w="8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27,283</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27,696</w:t>
            </w:r>
          </w:p>
        </w:tc>
      </w:tr>
      <w:tr>
        <w:trPr>
          <w:trHeight w:val="230"/>
        </w:trPr>
        <w:tc>
          <w:tcPr>
            <w:tcW w:w="8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290,655</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294,849</w:t>
            </w:r>
          </w:p>
        </w:tc>
      </w:tr>
      <w:tr>
        <w:trPr>
          <w:trHeight w:val="243"/>
        </w:trPr>
        <w:tc>
          <w:tcPr>
            <w:tcW w:w="8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256,267</w:t>
            </w:r>
          </w:p>
        </w:tc>
        <w:tc>
          <w:tcPr>
            <w:tcW w:w="10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250,023</w:t>
            </w:r>
          </w:p>
        </w:tc>
      </w:tr>
      <w:tr>
        <w:trPr>
          <w:trHeight w:val="223"/>
        </w:trPr>
        <w:tc>
          <w:tcPr>
            <w:tcW w:w="8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714,532</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719,742</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574"/>
        </w:trPr>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(89,029)</w:t>
            </w:r>
          </w:p>
        </w:tc>
        <w:tc>
          <w:tcPr>
            <w:tcW w:w="92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(110,364)</w:t>
            </w:r>
          </w:p>
        </w:tc>
      </w:tr>
      <w:tr>
        <w:trPr>
          <w:trHeight w:val="242"/>
        </w:trPr>
        <w:tc>
          <w:tcPr>
            <w:tcW w:w="8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(109,233)</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(118,254)</w:t>
            </w:r>
          </w:p>
        </w:tc>
      </w:tr>
      <w:tr>
        <w:trPr>
          <w:trHeight w:val="230"/>
        </w:trPr>
        <w:tc>
          <w:tcPr>
            <w:tcW w:w="8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(22,779)</w:t>
            </w:r>
          </w:p>
        </w:tc>
        <w:tc>
          <w:tcPr>
            <w:tcW w:w="1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(23,715)</w:t>
            </w:r>
          </w:p>
        </w:tc>
      </w:tr>
      <w:tr>
        <w:trPr>
          <w:trHeight w:val="230"/>
        </w:trPr>
        <w:tc>
          <w:tcPr>
            <w:tcW w:w="8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(221,041)</w:t>
            </w:r>
          </w:p>
        </w:tc>
        <w:tc>
          <w:tcPr>
            <w:tcW w:w="100" w:type="dxa"/>
            <w:vAlign w:val="bottom"/>
          </w:tcPr>
          <w:p>
            <w:pPr>
              <w:spacing w:after="0"/>
              <w:rPr>
                <w:sz w:val="20"/>
                <w:szCs w:val="20"/>
                <w:color w:val="auto"/>
              </w:rPr>
            </w:pPr>
          </w:p>
        </w:tc>
        <w:tc>
          <w:tcPr>
            <w:tcW w:w="8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(252,333)</w:t>
            </w:r>
          </w:p>
        </w:tc>
      </w:tr>
      <w:tr>
        <w:trPr>
          <w:trHeight w:val="27"/>
        </w:trPr>
        <w:tc>
          <w:tcPr>
            <w:tcW w:w="8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-3368040</wp:posOffset>
            </wp:positionV>
            <wp:extent cx="7132320"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-3068320</wp:posOffset>
            </wp:positionV>
            <wp:extent cx="71323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-2802890</wp:posOffset>
            </wp:positionV>
            <wp:extent cx="7132320"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-2510790</wp:posOffset>
            </wp:positionV>
            <wp:extent cx="713232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-2211070</wp:posOffset>
            </wp:positionV>
            <wp:extent cx="713232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-1885315</wp:posOffset>
            </wp:positionV>
            <wp:extent cx="7132320" cy="857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-1645285</wp:posOffset>
            </wp:positionV>
            <wp:extent cx="7132320"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-1353820</wp:posOffset>
            </wp:positionV>
            <wp:extent cx="7132320"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-1045210</wp:posOffset>
            </wp:positionV>
            <wp:extent cx="7132320" cy="1631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-788035</wp:posOffset>
            </wp:positionV>
            <wp:extent cx="7132320"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-487680</wp:posOffset>
            </wp:positionV>
            <wp:extent cx="7132320" cy="145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-187960</wp:posOffset>
            </wp:positionV>
            <wp:extent cx="713232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2727960</wp:posOffset>
            </wp:positionH>
            <wp:positionV relativeFrom="paragraph">
              <wp:posOffset>548640</wp:posOffset>
            </wp:positionV>
            <wp:extent cx="19685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80" w:space="720"/>
            <w:col w:w="4620"/>
          </w:cols>
          <w:pgMar w:left="34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tabs>
          <w:tab w:leader="none" w:pos="380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Q2 2023 Form 10-Q | 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330835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type w:val="continuous"/>
        </w:sectPr>
      </w:pPr>
    </w:p>
    <w:bookmarkStart w:id="36" w:name="page37"/>
    <w:bookmarkEnd w:id="36"/>
    <w:p>
      <w:pPr>
        <w:spacing w:after="0" w:line="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This Management’s Discussion and Analysis (“MD&amp;A”) is intended to provide an understanding of Hershey’s financial condition, results of operations and cash flows by focusing on changes in certain key measures from year to year. The MD&amp;A should be read in conjunction with our Unaudited Consolidated Financial Statements and accompanying notes. This discussion contains a number of forward-looking statements, all of which are based on current expectations. Actual results may differ materially. Refer to the Safe Harbor Statement below as well as the Risk Factors and other information contained in our 2022 Annual Report on Form 10-K for information concerning the key risks to achieving future performance goals.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MD&amp;A is organized in the following sections:</w:t>
      </w:r>
    </w:p>
    <w:p>
      <w:pPr>
        <w:spacing w:after="0" w:line="63" w:lineRule="exact"/>
        <w:rPr>
          <w:sz w:val="20"/>
          <w:szCs w:val="20"/>
          <w:color w:val="auto"/>
        </w:rPr>
      </w:pPr>
    </w:p>
    <w:p>
      <w:pPr>
        <w:ind w:left="920" w:hanging="588"/>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0000FF"/>
        </w:rPr>
        <w:t>Overview</w:t>
      </w:r>
    </w:p>
    <w:p>
      <w:pPr>
        <w:spacing w:after="0" w:line="63" w:lineRule="exact"/>
        <w:rPr>
          <w:rFonts w:ascii="Arial" w:cs="Arial" w:eastAsia="Arial" w:hAnsi="Arial"/>
          <w:sz w:val="18"/>
          <w:szCs w:val="18"/>
          <w:color w:val="auto"/>
        </w:rPr>
      </w:pPr>
    </w:p>
    <w:p>
      <w:pPr>
        <w:ind w:left="920" w:hanging="588"/>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0000FF"/>
        </w:rPr>
        <w:t>Trends Affecting Our Business</w:t>
      </w:r>
    </w:p>
    <w:p>
      <w:pPr>
        <w:spacing w:after="0" w:line="63" w:lineRule="exact"/>
        <w:rPr>
          <w:rFonts w:ascii="Arial" w:cs="Arial" w:eastAsia="Arial" w:hAnsi="Arial"/>
          <w:sz w:val="18"/>
          <w:szCs w:val="18"/>
          <w:color w:val="auto"/>
        </w:rPr>
      </w:pPr>
    </w:p>
    <w:p>
      <w:pPr>
        <w:ind w:left="920" w:hanging="588"/>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0000FF"/>
        </w:rPr>
        <w:t>Consolidated Results of Operations</w:t>
      </w:r>
    </w:p>
    <w:p>
      <w:pPr>
        <w:spacing w:after="0" w:line="63" w:lineRule="exact"/>
        <w:rPr>
          <w:rFonts w:ascii="Arial" w:cs="Arial" w:eastAsia="Arial" w:hAnsi="Arial"/>
          <w:sz w:val="18"/>
          <w:szCs w:val="18"/>
          <w:color w:val="auto"/>
        </w:rPr>
      </w:pPr>
    </w:p>
    <w:p>
      <w:pPr>
        <w:ind w:left="920" w:hanging="588"/>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0000FF"/>
        </w:rPr>
        <w:t>Segment Results</w:t>
      </w:r>
    </w:p>
    <w:p>
      <w:pPr>
        <w:spacing w:after="0" w:line="63" w:lineRule="exact"/>
        <w:rPr>
          <w:rFonts w:ascii="Arial" w:cs="Arial" w:eastAsia="Arial" w:hAnsi="Arial"/>
          <w:sz w:val="18"/>
          <w:szCs w:val="18"/>
          <w:color w:val="auto"/>
        </w:rPr>
      </w:pPr>
    </w:p>
    <w:p>
      <w:pPr>
        <w:ind w:left="920" w:hanging="588"/>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0000FF"/>
        </w:rPr>
        <w:t>Liquidity and Capital Resources</w:t>
      </w:r>
    </w:p>
    <w:p>
      <w:pPr>
        <w:spacing w:after="0" w:line="63" w:lineRule="exact"/>
        <w:rPr>
          <w:rFonts w:ascii="Arial" w:cs="Arial" w:eastAsia="Arial" w:hAnsi="Arial"/>
          <w:sz w:val="18"/>
          <w:szCs w:val="18"/>
          <w:color w:val="auto"/>
        </w:rPr>
      </w:pPr>
    </w:p>
    <w:p>
      <w:pPr>
        <w:ind w:left="920" w:hanging="588"/>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0000FF"/>
        </w:rPr>
        <w:t>Safe Harbor Statement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Hershey is a global confectionery leader known for making more moments of goodness through chocolate, sweets, mints and other great tasting snacks. We are the largest producer of quality chocolate in North America, a leading snack maker in the United States (“U.S.”) and a global leader in chocolate and non-chocolate confectionery. We market, sell and distribute our products under more than 100 brand names in approximately 80 countries worldwide.</w:t>
      </w:r>
    </w:p>
    <w:p>
      <w:pPr>
        <w:spacing w:after="0" w:line="9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Our principal product offerings include chocolate and non-chocolate confectionery products; gum and mint refreshment products and protein bars; pantry items, such as baking ingredients, toppings and beverages; and snack items such as spreads, bars, and snack bites and mixes, popcorn and pretzels.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Acquisitions</w:t>
      </w:r>
    </w:p>
    <w:p>
      <w:pPr>
        <w:spacing w:after="0" w:line="158"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 xml:space="preserve">On May 31, 2023, we completed the acquisition of certain assets that provide additional manufacturing capacity from Weaver Popcorn Manufacturing, Inc. (“Weaver”), a leader in the production and co-packing of microwave popcorn and ready-to-eat popcorn, and former co-manufacturer of the Company’s </w:t>
      </w:r>
      <w:r>
        <w:rPr>
          <w:rFonts w:ascii="Arial" w:cs="Arial" w:eastAsia="Arial" w:hAnsi="Arial"/>
          <w:sz w:val="18"/>
          <w:szCs w:val="18"/>
          <w:i w:val="1"/>
          <w:iCs w:val="1"/>
          <w:color w:val="auto"/>
        </w:rPr>
        <w:t xml:space="preserve">SkinnyPop </w:t>
      </w:r>
      <w:r>
        <w:rPr>
          <w:rFonts w:ascii="Arial" w:cs="Arial" w:eastAsia="Arial" w:hAnsi="Arial"/>
          <w:sz w:val="18"/>
          <w:szCs w:val="18"/>
          <w:color w:val="auto"/>
        </w:rPr>
        <w:t>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278765</wp:posOffset>
            </wp:positionV>
            <wp:extent cx="19685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Q2 2023 Form 10-Q | 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7" w:name="page38"/>
    <w:bookmarkEnd w:id="37"/>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AFFECTING OUR BUSINESS</w:t>
      </w:r>
    </w:p>
    <w:p>
      <w:pPr>
        <w:spacing w:after="0" w:line="1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Demand for consumer goods has remained strong during the first six months of 2023, with inflation slowing and continued positive consumer demand identified for our products; however, negative macroeconomic conditions and future outlook, including fears of a pending recession, have negatively impacted consumer behaviors. As a result, net sales and net income increased during the six months ended July 2, 2023; however, this was primarily driven by price realization and minimal volume increases, as consumers are buying less during the first six months of 2023, compared to the same period in 2022. Additionally, we continued to experience corresponding incremental costs and gross margin pressures during the six months ended July 2, 2023 (see </w:t>
      </w:r>
      <w:r>
        <w:rPr>
          <w:rFonts w:ascii="Arial" w:cs="Arial" w:eastAsia="Arial" w:hAnsi="Arial"/>
          <w:sz w:val="18"/>
          <w:szCs w:val="18"/>
          <w:u w:val="single" w:color="auto"/>
          <w:color w:val="0000FF"/>
        </w:rPr>
        <w:t>Results of Operations</w:t>
      </w:r>
      <w:r>
        <w:rPr>
          <w:rFonts w:ascii="Arial" w:cs="Arial" w:eastAsia="Arial" w:hAnsi="Arial"/>
          <w:sz w:val="18"/>
          <w:szCs w:val="18"/>
          <w:color w:val="0000FF"/>
        </w:rPr>
        <w:t xml:space="preserve"> </w:t>
      </w:r>
      <w:r>
        <w:rPr>
          <w:rFonts w:ascii="Arial" w:cs="Arial" w:eastAsia="Arial" w:hAnsi="Arial"/>
          <w:sz w:val="18"/>
          <w:szCs w:val="18"/>
          <w:color w:val="000000"/>
        </w:rPr>
        <w:t>included in this MD&amp;A).</w:t>
      </w:r>
    </w:p>
    <w:p>
      <w:pPr>
        <w:spacing w:after="0" w:line="21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Furthermore, certain geopolitical events, specifically the conflict between Russia and Ukraine, have increased global economic and political uncertainty. For the six months ended July 2, 2023, this conflict did not have a material impact on our commodity prices or supply availability. However, we are continuing to monitor for any significant escalation or expansion of economic or supply chain disruptions or broader inflationary costs, which may result in material adverse effects on our results of operations.</w:t>
      </w: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As of July 2, 2023, we believe we have sufficient liquidity to satisfy our key strategic initiatives and other material cash requirements in both the short-term and in the long-term; however, we continue to evaluate and take action, as necessary, to preserve adequate liquidity and ensure that our business can operate effectively during the current economic environment. We continue to monitor our discretionary spending across the organization (see </w:t>
      </w:r>
      <w:r>
        <w:rPr>
          <w:rFonts w:ascii="Arial" w:cs="Arial" w:eastAsia="Arial" w:hAnsi="Arial"/>
          <w:sz w:val="18"/>
          <w:szCs w:val="18"/>
          <w:u w:val="single" w:color="auto"/>
          <w:color w:val="0000FF"/>
        </w:rPr>
        <w:t>Liquidity and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Capital Resources</w:t>
      </w:r>
      <w:r>
        <w:rPr>
          <w:rFonts w:ascii="Arial" w:cs="Arial" w:eastAsia="Arial" w:hAnsi="Arial"/>
          <w:sz w:val="18"/>
          <w:szCs w:val="18"/>
          <w:color w:val="0000FF"/>
        </w:rPr>
        <w:t xml:space="preserve"> </w:t>
      </w:r>
      <w:r>
        <w:rPr>
          <w:rFonts w:ascii="Arial" w:cs="Arial" w:eastAsia="Arial" w:hAnsi="Arial"/>
          <w:sz w:val="18"/>
          <w:szCs w:val="18"/>
          <w:color w:val="000000"/>
        </w:rPr>
        <w:t>included in this MD&amp;A).</w:t>
      </w:r>
    </w:p>
    <w:p>
      <w:pPr>
        <w:spacing w:after="0" w:line="21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Based on the length and severity of fluctuating levels of inflation, the likelihood of a potential recession, changes in consumer shopping and consumption behavior, and the conflict between Russia and Ukraine, we may experience increasing supply chain costs, higher inflation and other impacts to our business. We will continue to evaluate the nature and extent of these potential and evolving impacts on our business, consolidated results of operations, segment results, 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419100</wp:posOffset>
            </wp:positionV>
            <wp:extent cx="19685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Q2 2023 Form 10-Q | 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8" w:name="page39"/>
    <w:bookmarkEnd w:id="38"/>
    <w:p>
      <w:pPr>
        <w:ind w:left="40"/>
        <w:spacing w:after="0"/>
        <w:rPr>
          <w:sz w:val="20"/>
          <w:szCs w:val="20"/>
          <w:color w:val="auto"/>
        </w:rPr>
      </w:pPr>
      <w:r>
        <w:rPr>
          <w:rFonts w:ascii="Arial" w:cs="Arial" w:eastAsia="Arial" w:hAnsi="Arial"/>
          <w:sz w:val="18"/>
          <w:szCs w:val="18"/>
          <w:b w:val="1"/>
          <w:bCs w:val="1"/>
          <w:color w:val="auto"/>
        </w:rPr>
        <w:t>CONSOLIDATED RESULTS OF OPERATIONS</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7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3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3"/>
              </w:rPr>
              <w:t>July 2, 2023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5"/>
              </w:rPr>
              <w:t>July 3, 2022</w:t>
            </w:r>
          </w:p>
        </w:tc>
        <w:tc>
          <w:tcPr>
            <w:tcW w:w="100" w:type="dxa"/>
            <w:vAlign w:val="bottom"/>
          </w:tcPr>
          <w:p>
            <w:pPr>
              <w:spacing w:after="0"/>
              <w:rPr>
                <w:sz w:val="14"/>
                <w:szCs w:val="14"/>
                <w:color w:val="auto"/>
              </w:rPr>
            </w:pPr>
          </w:p>
        </w:tc>
        <w:tc>
          <w:tcPr>
            <w:tcW w:w="1220" w:type="dxa"/>
            <w:vAlign w:val="bottom"/>
            <w:gridSpan w:val="2"/>
          </w:tcPr>
          <w:p>
            <w:pPr>
              <w:ind w:left="280"/>
              <w:spacing w:after="0" w:line="161" w:lineRule="exact"/>
              <w:rPr>
                <w:sz w:val="20"/>
                <w:szCs w:val="20"/>
                <w:color w:val="auto"/>
              </w:rPr>
            </w:pPr>
            <w:r>
              <w:rPr>
                <w:rFonts w:ascii="Arial" w:cs="Arial" w:eastAsia="Arial" w:hAnsi="Arial"/>
                <w:sz w:val="16"/>
                <w:szCs w:val="16"/>
                <w:b w:val="1"/>
                <w:bCs w:val="1"/>
                <w:color w:val="auto"/>
              </w:rPr>
              <w:t>Percent</w:t>
            </w:r>
          </w:p>
        </w:tc>
        <w:tc>
          <w:tcPr>
            <w:tcW w:w="140" w:type="dxa"/>
            <w:vAlign w:val="bottom"/>
          </w:tcPr>
          <w:p>
            <w:pPr>
              <w:spacing w:after="0"/>
              <w:rPr>
                <w:sz w:val="14"/>
                <w:szCs w:val="14"/>
                <w:color w:val="auto"/>
              </w:rPr>
            </w:pPr>
          </w:p>
        </w:tc>
        <w:tc>
          <w:tcPr>
            <w:tcW w:w="10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3"/>
              </w:rPr>
              <w:t>July 2, 2023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3"/>
              </w:rPr>
              <w:t>July 3, 2022</w:t>
            </w:r>
          </w:p>
        </w:tc>
        <w:tc>
          <w:tcPr>
            <w:tcW w:w="120" w:type="dxa"/>
            <w:vAlign w:val="bottom"/>
          </w:tcPr>
          <w:p>
            <w:pPr>
              <w:spacing w:after="0"/>
              <w:rPr>
                <w:sz w:val="14"/>
                <w:szCs w:val="14"/>
                <w:color w:val="auto"/>
              </w:rPr>
            </w:pPr>
          </w:p>
        </w:tc>
        <w:tc>
          <w:tcPr>
            <w:tcW w:w="1100" w:type="dxa"/>
            <w:vAlign w:val="bottom"/>
          </w:tcPr>
          <w:p>
            <w:pPr>
              <w:jc w:val="right"/>
              <w:ind w:right="199"/>
              <w:spacing w:after="0" w:line="161" w:lineRule="exact"/>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213"/>
        </w:trPr>
        <w:tc>
          <w:tcPr>
            <w:tcW w:w="37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In millions of dollars except per share amounts</w:t>
            </w: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280"/>
              <w:spacing w:after="0"/>
              <w:rPr>
                <w:sz w:val="20"/>
                <w:szCs w:val="20"/>
                <w:color w:val="auto"/>
              </w:rPr>
            </w:pPr>
            <w:r>
              <w:rPr>
                <w:rFonts w:ascii="Arial" w:cs="Arial" w:eastAsia="Arial" w:hAnsi="Arial"/>
                <w:sz w:val="16"/>
                <w:szCs w:val="16"/>
                <w:b w:val="1"/>
                <w:bCs w:val="1"/>
                <w:color w:val="auto"/>
              </w:rPr>
              <w:t>Change</w:t>
            </w: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60"/>
        </w:trPr>
        <w:tc>
          <w:tcPr>
            <w:tcW w:w="3760" w:type="dxa"/>
            <w:vAlign w:val="bottom"/>
            <w:vMerge w:val="continue"/>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2,490.3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2,372.6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5,477.9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5,038.8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8.7 %</w:t>
            </w:r>
          </w:p>
        </w:tc>
        <w:tc>
          <w:tcPr>
            <w:tcW w:w="0" w:type="dxa"/>
            <w:vAlign w:val="bottom"/>
          </w:tcPr>
          <w:p>
            <w:pPr>
              <w:spacing w:after="0"/>
              <w:rPr>
                <w:sz w:val="1"/>
                <w:szCs w:val="1"/>
                <w:color w:val="auto"/>
              </w:rPr>
            </w:pPr>
          </w:p>
        </w:tc>
      </w:tr>
      <w:tr>
        <w:trPr>
          <w:trHeight w:val="213"/>
        </w:trPr>
        <w:tc>
          <w:tcPr>
            <w:tcW w:w="376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Cost of sales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1,358.2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1,372.6</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2,963.5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2,793.3</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6.1 %</w:t>
            </w:r>
          </w:p>
        </w:tc>
        <w:tc>
          <w:tcPr>
            <w:tcW w:w="0" w:type="dxa"/>
            <w:vAlign w:val="bottom"/>
          </w:tcPr>
          <w:p>
            <w:pPr>
              <w:spacing w:after="0"/>
              <w:rPr>
                <w:sz w:val="1"/>
                <w:szCs w:val="1"/>
                <w:color w:val="auto"/>
              </w:rPr>
            </w:pPr>
          </w:p>
        </w:tc>
      </w:tr>
      <w:tr>
        <w:trPr>
          <w:trHeight w:val="212"/>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1,132.1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1,000.0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13.2 %</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2,514.4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2,245.5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12.0 %</w:t>
            </w:r>
          </w:p>
        </w:tc>
        <w:tc>
          <w:tcPr>
            <w:tcW w:w="0" w:type="dxa"/>
            <w:vAlign w:val="bottom"/>
          </w:tcPr>
          <w:p>
            <w:pPr>
              <w:spacing w:after="0"/>
              <w:rPr>
                <w:sz w:val="1"/>
                <w:szCs w:val="1"/>
                <w:color w:val="auto"/>
              </w:rPr>
            </w:pPr>
          </w:p>
        </w:tc>
      </w:tr>
      <w:tr>
        <w:trPr>
          <w:trHeight w:val="207"/>
        </w:trPr>
        <w:tc>
          <w:tcPr>
            <w:tcW w:w="3760" w:type="dxa"/>
            <w:vAlign w:val="bottom"/>
          </w:tcPr>
          <w:p>
            <w:pPr>
              <w:ind w:left="180"/>
              <w:spacing w:after="0"/>
              <w:rPr>
                <w:sz w:val="20"/>
                <w:szCs w:val="20"/>
                <w:color w:val="auto"/>
              </w:rPr>
            </w:pPr>
            <w:r>
              <w:rPr>
                <w:rFonts w:ascii="Arial" w:cs="Arial" w:eastAsia="Arial" w:hAnsi="Arial"/>
                <w:sz w:val="16"/>
                <w:szCs w:val="16"/>
                <w:i w:val="1"/>
                <w:iCs w:val="1"/>
                <w:color w:val="auto"/>
              </w:rPr>
              <w:t>Gross margin</w:t>
            </w:r>
          </w:p>
        </w:tc>
        <w:tc>
          <w:tcPr>
            <w:tcW w:w="140" w:type="dxa"/>
            <w:vAlign w:val="bottom"/>
          </w:tcPr>
          <w:p>
            <w:pPr>
              <w:spacing w:after="0"/>
              <w:rPr>
                <w:sz w:val="17"/>
                <w:szCs w:val="17"/>
                <w:color w:val="auto"/>
              </w:rPr>
            </w:pPr>
          </w:p>
        </w:tc>
        <w:tc>
          <w:tcPr>
            <w:tcW w:w="1040" w:type="dxa"/>
            <w:vAlign w:val="bottom"/>
          </w:tcPr>
          <w:p>
            <w:pPr>
              <w:jc w:val="center"/>
              <w:ind w:left="459"/>
              <w:spacing w:after="0"/>
              <w:rPr>
                <w:sz w:val="20"/>
                <w:szCs w:val="20"/>
                <w:color w:val="auto"/>
              </w:rPr>
            </w:pPr>
            <w:r>
              <w:rPr>
                <w:rFonts w:ascii="Arial" w:cs="Arial" w:eastAsia="Arial" w:hAnsi="Arial"/>
                <w:sz w:val="16"/>
                <w:szCs w:val="16"/>
                <w:i w:val="1"/>
                <w:iCs w:val="1"/>
                <w:color w:val="auto"/>
                <w:w w:val="92"/>
              </w:rPr>
              <w:t>45.5 %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left="459"/>
              <w:spacing w:after="0"/>
              <w:rPr>
                <w:sz w:val="20"/>
                <w:szCs w:val="20"/>
                <w:color w:val="auto"/>
              </w:rPr>
            </w:pPr>
            <w:r>
              <w:rPr>
                <w:rFonts w:ascii="Arial" w:cs="Arial" w:eastAsia="Arial" w:hAnsi="Arial"/>
                <w:sz w:val="16"/>
                <w:szCs w:val="16"/>
                <w:i w:val="1"/>
                <w:iCs w:val="1"/>
                <w:color w:val="auto"/>
                <w:w w:val="96"/>
              </w:rPr>
              <w:t>42.1 %</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left="479"/>
              <w:spacing w:after="0"/>
              <w:rPr>
                <w:sz w:val="20"/>
                <w:szCs w:val="20"/>
                <w:color w:val="auto"/>
              </w:rPr>
            </w:pPr>
            <w:r>
              <w:rPr>
                <w:rFonts w:ascii="Arial" w:cs="Arial" w:eastAsia="Arial" w:hAnsi="Arial"/>
                <w:sz w:val="16"/>
                <w:szCs w:val="16"/>
                <w:i w:val="1"/>
                <w:iCs w:val="1"/>
                <w:color w:val="auto"/>
                <w:w w:val="92"/>
              </w:rPr>
              <w:t>45.9 %</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left="459"/>
              <w:spacing w:after="0"/>
              <w:rPr>
                <w:sz w:val="20"/>
                <w:szCs w:val="20"/>
                <w:color w:val="auto"/>
              </w:rPr>
            </w:pPr>
            <w:r>
              <w:rPr>
                <w:rFonts w:ascii="Arial" w:cs="Arial" w:eastAsia="Arial" w:hAnsi="Arial"/>
                <w:sz w:val="16"/>
                <w:szCs w:val="16"/>
                <w:i w:val="1"/>
                <w:iCs w:val="1"/>
                <w:color w:val="auto"/>
                <w:w w:val="92"/>
              </w:rPr>
              <w:t>44.6 %</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760" w:type="dxa"/>
            <w:vAlign w:val="bottom"/>
            <w:shd w:val="clear" w:color="auto" w:fill="CCEEFF"/>
          </w:tcPr>
          <w:p>
            <w:pPr>
              <w:ind w:left="60"/>
              <w:spacing w:after="0" w:line="169" w:lineRule="exact"/>
              <w:rPr>
                <w:sz w:val="20"/>
                <w:szCs w:val="20"/>
                <w:color w:val="auto"/>
              </w:rPr>
            </w:pPr>
            <w:r>
              <w:rPr>
                <w:rFonts w:ascii="Arial" w:cs="Arial" w:eastAsia="Arial" w:hAnsi="Arial"/>
                <w:sz w:val="16"/>
                <w:szCs w:val="16"/>
                <w:color w:val="auto"/>
              </w:rPr>
              <w:t>Selling, marketing &amp; administrative (“SM&amp;A”)</w:t>
            </w: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571.8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543.5</w:t>
            </w:r>
          </w:p>
        </w:tc>
        <w:tc>
          <w:tcPr>
            <w:tcW w:w="1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5.2 %</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1,153.4</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1,067.7</w:t>
            </w:r>
          </w:p>
        </w:tc>
        <w:tc>
          <w:tcPr>
            <w:tcW w:w="12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8.0 %</w:t>
            </w:r>
          </w:p>
        </w:tc>
        <w:tc>
          <w:tcPr>
            <w:tcW w:w="0" w:type="dxa"/>
            <w:vAlign w:val="bottom"/>
          </w:tcPr>
          <w:p>
            <w:pPr>
              <w:spacing w:after="0"/>
              <w:rPr>
                <w:sz w:val="1"/>
                <w:szCs w:val="1"/>
                <w:color w:val="auto"/>
              </w:rPr>
            </w:pPr>
          </w:p>
        </w:tc>
      </w:tr>
      <w:tr>
        <w:trPr>
          <w:trHeight w:val="199"/>
        </w:trPr>
        <w:tc>
          <w:tcPr>
            <w:tcW w:w="3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expenses</w:t>
            </w: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1200" w:type="dxa"/>
            <w:vAlign w:val="bottom"/>
            <w:tcBorders>
              <w:bottom w:val="single" w:sz="8" w:color="CCEEFF"/>
            </w:tcBorders>
            <w:gridSpan w:val="2"/>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1220" w:type="dxa"/>
            <w:vAlign w:val="bottom"/>
            <w:tcBorders>
              <w:bottom w:val="single" w:sz="8" w:color="CCEEFF"/>
            </w:tcBorders>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60" w:type="dxa"/>
            <w:vAlign w:val="bottom"/>
          </w:tcPr>
          <w:p>
            <w:pPr>
              <w:ind w:left="180"/>
              <w:spacing w:after="0"/>
              <w:rPr>
                <w:sz w:val="20"/>
                <w:szCs w:val="20"/>
                <w:color w:val="auto"/>
              </w:rPr>
            </w:pPr>
            <w:r>
              <w:rPr>
                <w:rFonts w:ascii="Arial" w:cs="Arial" w:eastAsia="Arial" w:hAnsi="Arial"/>
                <w:sz w:val="16"/>
                <w:szCs w:val="16"/>
                <w:i w:val="1"/>
                <w:iCs w:val="1"/>
                <w:color w:val="auto"/>
              </w:rPr>
              <w:t>SM&amp;A expense as a percent of net sales</w:t>
            </w:r>
          </w:p>
        </w:tc>
        <w:tc>
          <w:tcPr>
            <w:tcW w:w="140" w:type="dxa"/>
            <w:vAlign w:val="bottom"/>
          </w:tcPr>
          <w:p>
            <w:pPr>
              <w:spacing w:after="0"/>
              <w:rPr>
                <w:sz w:val="17"/>
                <w:szCs w:val="17"/>
                <w:color w:val="auto"/>
              </w:rPr>
            </w:pPr>
          </w:p>
        </w:tc>
        <w:tc>
          <w:tcPr>
            <w:tcW w:w="1040" w:type="dxa"/>
            <w:vAlign w:val="bottom"/>
          </w:tcPr>
          <w:p>
            <w:pPr>
              <w:jc w:val="center"/>
              <w:ind w:left="459"/>
              <w:spacing w:after="0"/>
              <w:rPr>
                <w:sz w:val="20"/>
                <w:szCs w:val="20"/>
                <w:color w:val="auto"/>
              </w:rPr>
            </w:pPr>
            <w:r>
              <w:rPr>
                <w:rFonts w:ascii="Arial" w:cs="Arial" w:eastAsia="Arial" w:hAnsi="Arial"/>
                <w:sz w:val="16"/>
                <w:szCs w:val="16"/>
                <w:i w:val="1"/>
                <w:iCs w:val="1"/>
                <w:color w:val="auto"/>
                <w:w w:val="92"/>
              </w:rPr>
              <w:t>23.0 %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left="459"/>
              <w:spacing w:after="0"/>
              <w:rPr>
                <w:sz w:val="20"/>
                <w:szCs w:val="20"/>
                <w:color w:val="auto"/>
              </w:rPr>
            </w:pPr>
            <w:r>
              <w:rPr>
                <w:rFonts w:ascii="Arial" w:cs="Arial" w:eastAsia="Arial" w:hAnsi="Arial"/>
                <w:sz w:val="16"/>
                <w:szCs w:val="16"/>
                <w:i w:val="1"/>
                <w:iCs w:val="1"/>
                <w:color w:val="auto"/>
                <w:w w:val="96"/>
              </w:rPr>
              <w:t>22.9 %</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left="479"/>
              <w:spacing w:after="0"/>
              <w:rPr>
                <w:sz w:val="20"/>
                <w:szCs w:val="20"/>
                <w:color w:val="auto"/>
              </w:rPr>
            </w:pPr>
            <w:r>
              <w:rPr>
                <w:rFonts w:ascii="Arial" w:cs="Arial" w:eastAsia="Arial" w:hAnsi="Arial"/>
                <w:sz w:val="16"/>
                <w:szCs w:val="16"/>
                <w:i w:val="1"/>
                <w:iCs w:val="1"/>
                <w:color w:val="auto"/>
                <w:w w:val="92"/>
              </w:rPr>
              <w:t>21.1 %</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left="459"/>
              <w:spacing w:after="0"/>
              <w:rPr>
                <w:sz w:val="20"/>
                <w:szCs w:val="20"/>
                <w:color w:val="auto"/>
              </w:rPr>
            </w:pPr>
            <w:r>
              <w:rPr>
                <w:rFonts w:ascii="Arial" w:cs="Arial" w:eastAsia="Arial" w:hAnsi="Arial"/>
                <w:sz w:val="16"/>
                <w:szCs w:val="16"/>
                <w:i w:val="1"/>
                <w:iCs w:val="1"/>
                <w:color w:val="auto"/>
                <w:w w:val="92"/>
              </w:rPr>
              <w:t>21.2 %</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Business realignment activities</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6"/>
                <w:szCs w:val="16"/>
                <w:color w:val="auto"/>
              </w:rPr>
              <w:t>NM</w:t>
            </w: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0.4</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60.9 %</w:t>
            </w:r>
          </w:p>
        </w:tc>
        <w:tc>
          <w:tcPr>
            <w:tcW w:w="0" w:type="dxa"/>
            <w:vAlign w:val="bottom"/>
          </w:tcPr>
          <w:p>
            <w:pPr>
              <w:spacing w:after="0"/>
              <w:rPr>
                <w:sz w:val="1"/>
                <w:szCs w:val="1"/>
                <w:color w:val="auto"/>
              </w:rPr>
            </w:pPr>
          </w:p>
        </w:tc>
      </w:tr>
      <w:tr>
        <w:trPr>
          <w:trHeight w:val="207"/>
        </w:trPr>
        <w:tc>
          <w:tcPr>
            <w:tcW w:w="376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14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560.6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456.5</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22.8 %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1,360.6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1,177.5</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15.5 %</w:t>
            </w:r>
          </w:p>
        </w:tc>
        <w:tc>
          <w:tcPr>
            <w:tcW w:w="0" w:type="dxa"/>
            <w:vAlign w:val="bottom"/>
          </w:tcPr>
          <w:p>
            <w:pPr>
              <w:spacing w:after="0"/>
              <w:rPr>
                <w:sz w:val="1"/>
                <w:szCs w:val="1"/>
                <w:color w:val="auto"/>
              </w:rPr>
            </w:pPr>
          </w:p>
        </w:tc>
      </w:tr>
      <w:tr>
        <w:trPr>
          <w:trHeight w:val="219"/>
        </w:trPr>
        <w:tc>
          <w:tcPr>
            <w:tcW w:w="376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Operating profit margin</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459"/>
              <w:spacing w:after="0"/>
              <w:rPr>
                <w:sz w:val="20"/>
                <w:szCs w:val="20"/>
                <w:color w:val="auto"/>
              </w:rPr>
            </w:pPr>
            <w:r>
              <w:rPr>
                <w:rFonts w:ascii="Arial" w:cs="Arial" w:eastAsia="Arial" w:hAnsi="Arial"/>
                <w:sz w:val="16"/>
                <w:szCs w:val="16"/>
                <w:i w:val="1"/>
                <w:iCs w:val="1"/>
                <w:color w:val="auto"/>
                <w:w w:val="92"/>
              </w:rPr>
              <w:t>22.5 %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459"/>
              <w:spacing w:after="0"/>
              <w:rPr>
                <w:sz w:val="20"/>
                <w:szCs w:val="20"/>
                <w:color w:val="auto"/>
              </w:rPr>
            </w:pPr>
            <w:r>
              <w:rPr>
                <w:rFonts w:ascii="Arial" w:cs="Arial" w:eastAsia="Arial" w:hAnsi="Arial"/>
                <w:sz w:val="16"/>
                <w:szCs w:val="16"/>
                <w:i w:val="1"/>
                <w:iCs w:val="1"/>
                <w:color w:val="auto"/>
                <w:w w:val="96"/>
              </w:rPr>
              <w:t>19.2 %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479"/>
              <w:spacing w:after="0"/>
              <w:rPr>
                <w:sz w:val="20"/>
                <w:szCs w:val="20"/>
                <w:color w:val="auto"/>
              </w:rPr>
            </w:pPr>
            <w:r>
              <w:rPr>
                <w:rFonts w:ascii="Arial" w:cs="Arial" w:eastAsia="Arial" w:hAnsi="Arial"/>
                <w:sz w:val="16"/>
                <w:szCs w:val="16"/>
                <w:i w:val="1"/>
                <w:iCs w:val="1"/>
                <w:color w:val="auto"/>
                <w:w w:val="92"/>
              </w:rPr>
              <w:t>24.8 %</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459"/>
              <w:spacing w:after="0"/>
              <w:rPr>
                <w:sz w:val="20"/>
                <w:szCs w:val="20"/>
                <w:color w:val="auto"/>
              </w:rPr>
            </w:pPr>
            <w:r>
              <w:rPr>
                <w:rFonts w:ascii="Arial" w:cs="Arial" w:eastAsia="Arial" w:hAnsi="Arial"/>
                <w:sz w:val="16"/>
                <w:szCs w:val="16"/>
                <w:i w:val="1"/>
                <w:iCs w:val="1"/>
                <w:color w:val="auto"/>
                <w:w w:val="92"/>
              </w:rPr>
              <w:t>23.4 %</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6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4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33.4</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9.7 %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66.6</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11.6 %</w:t>
            </w:r>
          </w:p>
        </w:tc>
        <w:tc>
          <w:tcPr>
            <w:tcW w:w="0" w:type="dxa"/>
            <w:vAlign w:val="bottom"/>
          </w:tcPr>
          <w:p>
            <w:pPr>
              <w:spacing w:after="0"/>
              <w:rPr>
                <w:sz w:val="1"/>
                <w:szCs w:val="1"/>
                <w:color w:val="auto"/>
              </w:rPr>
            </w:pPr>
          </w:p>
        </w:tc>
      </w:tr>
      <w:tr>
        <w:trPr>
          <w:trHeight w:val="219"/>
        </w:trPr>
        <w:tc>
          <w:tcPr>
            <w:tcW w:w="3760" w:type="dxa"/>
            <w:vAlign w:val="bottom"/>
            <w:shd w:val="clear" w:color="auto" w:fill="CCEEFF"/>
          </w:tcPr>
          <w:p>
            <w:pPr>
              <w:ind w:left="60"/>
              <w:spacing w:after="0"/>
              <w:rPr>
                <w:sz w:val="20"/>
                <w:szCs w:val="20"/>
                <w:color w:val="auto"/>
              </w:rPr>
            </w:pPr>
            <w:r>
              <w:rPr>
                <w:rFonts w:ascii="Arial" w:cs="Arial" w:eastAsia="Arial" w:hAnsi="Arial"/>
                <w:sz w:val="16"/>
                <w:szCs w:val="16"/>
                <w:color w:val="auto"/>
              </w:rPr>
              <w:t>Other (income) expense, net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329.8 %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87.5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190.9 %</w:t>
            </w:r>
          </w:p>
        </w:tc>
        <w:tc>
          <w:tcPr>
            <w:tcW w:w="0" w:type="dxa"/>
            <w:vAlign w:val="bottom"/>
          </w:tcPr>
          <w:p>
            <w:pPr>
              <w:spacing w:after="0"/>
              <w:rPr>
                <w:sz w:val="1"/>
                <w:szCs w:val="1"/>
                <w:color w:val="auto"/>
              </w:rPr>
            </w:pPr>
          </w:p>
        </w:tc>
      </w:tr>
      <w:tr>
        <w:trPr>
          <w:trHeight w:val="216"/>
        </w:trPr>
        <w:tc>
          <w:tcPr>
            <w:tcW w:w="376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87.9</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(63.0)%</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204.6</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231.8</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09"/>
        </w:trPr>
        <w:tc>
          <w:tcPr>
            <w:tcW w:w="376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Effective income tax rate</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i w:val="1"/>
                <w:iCs w:val="1"/>
                <w:color w:val="auto"/>
              </w:rPr>
              <w:t>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i w:val="1"/>
                <w:iCs w:val="1"/>
                <w:color w:val="auto"/>
              </w:rPr>
              <w:t>21.8%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i w:val="1"/>
                <w:iCs w:val="1"/>
                <w:color w:val="auto"/>
              </w:rPr>
              <w:t>17.1%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i w:val="1"/>
                <w:iCs w:val="1"/>
                <w:color w:val="auto"/>
              </w:rPr>
              <w:t>21.4%</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60"/>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406.9</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315.5</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29.0 %</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994.2</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849.0</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17.1 %</w:t>
            </w:r>
          </w:p>
        </w:tc>
        <w:tc>
          <w:tcPr>
            <w:tcW w:w="0" w:type="dxa"/>
            <w:vAlign w:val="bottom"/>
          </w:tcPr>
          <w:p>
            <w:pPr>
              <w:spacing w:after="0"/>
              <w:rPr>
                <w:sz w:val="1"/>
                <w:szCs w:val="1"/>
                <w:color w:val="auto"/>
              </w:rPr>
            </w:pP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6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Net income per share—diluted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center"/>
              <w:ind w:left="479"/>
              <w:spacing w:after="0"/>
              <w:rPr>
                <w:sz w:val="20"/>
                <w:szCs w:val="20"/>
                <w:color w:val="auto"/>
              </w:rPr>
            </w:pPr>
            <w:r>
              <w:rPr>
                <w:rFonts w:ascii="Arial" w:cs="Arial" w:eastAsia="Arial" w:hAnsi="Arial"/>
                <w:sz w:val="16"/>
                <w:szCs w:val="16"/>
                <w:color w:val="auto"/>
                <w:w w:val="89"/>
              </w:rPr>
              <w:t>1.98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center"/>
              <w:ind w:left="479"/>
              <w:spacing w:after="0"/>
              <w:rPr>
                <w:sz w:val="20"/>
                <w:szCs w:val="20"/>
                <w:color w:val="auto"/>
              </w:rPr>
            </w:pPr>
            <w:r>
              <w:rPr>
                <w:rFonts w:ascii="Arial" w:cs="Arial" w:eastAsia="Arial" w:hAnsi="Arial"/>
                <w:sz w:val="16"/>
                <w:szCs w:val="16"/>
                <w:color w:val="auto"/>
                <w:w w:val="96"/>
              </w:rPr>
              <w:t>1.53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29.4 %</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center"/>
              <w:ind w:left="499"/>
              <w:spacing w:after="0"/>
              <w:rPr>
                <w:sz w:val="20"/>
                <w:szCs w:val="20"/>
                <w:color w:val="auto"/>
              </w:rPr>
            </w:pPr>
            <w:r>
              <w:rPr>
                <w:rFonts w:ascii="Arial" w:cs="Arial" w:eastAsia="Arial" w:hAnsi="Arial"/>
                <w:sz w:val="16"/>
                <w:szCs w:val="16"/>
                <w:color w:val="auto"/>
                <w:w w:val="89"/>
              </w:rPr>
              <w:t>4.83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center"/>
              <w:ind w:left="479"/>
              <w:spacing w:after="0"/>
              <w:rPr>
                <w:sz w:val="20"/>
                <w:szCs w:val="20"/>
                <w:color w:val="auto"/>
              </w:rPr>
            </w:pPr>
            <w:r>
              <w:rPr>
                <w:rFonts w:ascii="Arial" w:cs="Arial" w:eastAsia="Arial" w:hAnsi="Arial"/>
                <w:sz w:val="16"/>
                <w:szCs w:val="16"/>
                <w:color w:val="auto"/>
                <w:w w:val="89"/>
              </w:rPr>
              <w:t>4.10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17.8 %</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NOTE: Percentage changes may not compute directly as shown due to rounding of amounts presented above.</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NM = not meaningful</w:t>
      </w:r>
    </w:p>
    <w:p>
      <w:pPr>
        <w:spacing w:after="0" w:line="355"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Results of Operations - Second Quarter 2023 vs. Second Quarter 2022</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Sales</w:t>
      </w:r>
    </w:p>
    <w:p>
      <w:pPr>
        <w:spacing w:after="0" w:line="108" w:lineRule="exact"/>
        <w:rPr>
          <w:sz w:val="20"/>
          <w:szCs w:val="20"/>
          <w:color w:val="auto"/>
        </w:rPr>
      </w:pPr>
    </w:p>
    <w:p>
      <w:pPr>
        <w:ind w:left="40" w:right="100"/>
        <w:spacing w:after="0" w:line="311" w:lineRule="auto"/>
        <w:rPr>
          <w:sz w:val="20"/>
          <w:szCs w:val="20"/>
          <w:color w:val="auto"/>
        </w:rPr>
      </w:pPr>
      <w:r>
        <w:rPr>
          <w:rFonts w:ascii="Arial" w:cs="Arial" w:eastAsia="Arial" w:hAnsi="Arial"/>
          <w:sz w:val="16"/>
          <w:szCs w:val="16"/>
          <w:color w:val="auto"/>
        </w:rPr>
        <w:t>Net sales increased 5.0% in the second quarter of 2023 compared to the same period of 2022, reflecting a favorable price realization of 7.7% primarily due to higher list prices, primarily within our North America Confectionery and North America Salty Snacks segments. This increase was offset by a volume decrease of 2.7% driven primarily by declines in everyday core U.S. confection brands. There was no impact from foreign currency exchange rates.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U.S. Marketplace Metrics</w:t>
      </w:r>
    </w:p>
    <w:p>
      <w:pPr>
        <w:spacing w:after="0" w:line="171" w:lineRule="exact"/>
        <w:rPr>
          <w:sz w:val="20"/>
          <w:szCs w:val="20"/>
          <w:color w:val="auto"/>
        </w:rPr>
      </w:pPr>
    </w:p>
    <w:p>
      <w:pPr>
        <w:ind w:left="40" w:right="140"/>
        <w:spacing w:after="0" w:line="263" w:lineRule="auto"/>
        <w:rPr>
          <w:sz w:val="20"/>
          <w:szCs w:val="20"/>
          <w:color w:val="auto"/>
        </w:rPr>
      </w:pPr>
      <w:r>
        <w:rPr>
          <w:rFonts w:ascii="Arial" w:cs="Arial" w:eastAsia="Arial" w:hAnsi="Arial"/>
          <w:sz w:val="18"/>
          <w:szCs w:val="18"/>
          <w:color w:val="auto"/>
        </w:rPr>
        <w:t>For the second quarter of 2023, our total U.S. retail takeaway increased 2.2% in the expanded multi-outlet combined plus convenience store channels (IRI MULO + C-Stores), which includes candy, mint, gum, salty snacks and grocery items. Our U.S. candy, mint and gum (“CMG”) consumer takeaway increased 1.3% and experienced a CMG market share decline of 83 basis points.</w:t>
      </w:r>
    </w:p>
    <w:p>
      <w:pPr>
        <w:spacing w:after="0" w:line="130" w:lineRule="exact"/>
        <w:rPr>
          <w:sz w:val="20"/>
          <w:szCs w:val="20"/>
          <w:color w:val="auto"/>
        </w:rPr>
      </w:pPr>
    </w:p>
    <w:p>
      <w:pPr>
        <w:ind w:left="40" w:right="160"/>
        <w:spacing w:after="0" w:line="257" w:lineRule="auto"/>
        <w:rPr>
          <w:sz w:val="20"/>
          <w:szCs w:val="20"/>
          <w:color w:val="auto"/>
        </w:rPr>
      </w:pPr>
      <w:r>
        <w:rPr>
          <w:rFonts w:ascii="Arial" w:cs="Arial" w:eastAsia="Arial" w:hAnsi="Arial"/>
          <w:sz w:val="18"/>
          <w:szCs w:val="18"/>
          <w:color w:val="auto"/>
        </w:rPr>
        <w:t>The CMG consumer takeaway and market share information reflects measured channels of distribution accounting for approximately 90% of our U.S. confectionery retail business. These channels of distribution primarily include food, drug, mass merchandisers, and convenience store channels, plus Wal-Mart Stores, Inc., partial dollar, club and military channels. These metrics are based on measured market scanned purchases as reported by Information Resources, Incorporated (“IRI”), the Company’s market insights and analytics provider, and provide a means to assess our retail takeaway and market position relative to the overall category.</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Cost of Sales and Gross Margin</w:t>
      </w:r>
    </w:p>
    <w:p>
      <w:pPr>
        <w:spacing w:after="0" w:line="94" w:lineRule="exact"/>
        <w:rPr>
          <w:sz w:val="20"/>
          <w:szCs w:val="20"/>
          <w:color w:val="auto"/>
        </w:rPr>
      </w:pPr>
    </w:p>
    <w:p>
      <w:pPr>
        <w:jc w:val="both"/>
        <w:ind w:left="40" w:right="140"/>
        <w:spacing w:after="0" w:line="286" w:lineRule="auto"/>
        <w:rPr>
          <w:sz w:val="20"/>
          <w:szCs w:val="20"/>
          <w:color w:val="auto"/>
        </w:rPr>
      </w:pPr>
      <w:r>
        <w:rPr>
          <w:rFonts w:ascii="Arial" w:cs="Arial" w:eastAsia="Arial" w:hAnsi="Arial"/>
          <w:sz w:val="17"/>
          <w:szCs w:val="17"/>
          <w:color w:val="auto"/>
        </w:rPr>
        <w:t>Cost of sales decreased 1.0% in the second quarter of 2023 compared to the same period of 2022. The decrease was driven by an incremental $2.3 million of favorable mark-to-market activity on our commodity derivative instruments intended to economically hedge future years’ commodity purchases, price realization and favorable supply chain productivity. These decreases were partially offset by higher logistics and labor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6957060</wp:posOffset>
            </wp:positionH>
            <wp:positionV relativeFrom="paragraph">
              <wp:posOffset>259715</wp:posOffset>
            </wp:positionV>
            <wp:extent cx="19685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60"/>
        <w:spacing w:after="0"/>
        <w:tabs>
          <w:tab w:leader="none" w:pos="386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Q2 2023 Form 10-Q | 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330835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280" w:top="1255" w:right="339" w:bottom="1440" w:gutter="0" w:footer="0" w:header="0"/>
        </w:sectPr>
      </w:pPr>
    </w:p>
    <w:bookmarkStart w:id="39" w:name="page40"/>
    <w:bookmarkEnd w:id="39"/>
    <w:p>
      <w:pPr>
        <w:spacing w:after="0" w:line="263" w:lineRule="auto"/>
        <w:rPr>
          <w:sz w:val="20"/>
          <w:szCs w:val="20"/>
          <w:color w:val="auto"/>
        </w:rPr>
      </w:pPr>
      <w:r>
        <w:rPr>
          <w:rFonts w:ascii="Arial" w:cs="Arial" w:eastAsia="Arial" w:hAnsi="Arial"/>
          <w:sz w:val="18"/>
          <w:szCs w:val="18"/>
          <w:color w:val="auto"/>
        </w:rPr>
        <w:t>Gross margin increased by 340 basis points in the second quarter of 2023 compared to the same period of 2022. The increase was driven by favorable year-over-year mark-to-market impact from commodity derivative instruments, favorable price realization and favorable product mix. These increases were offset by higher logistics and labor costs.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SM&amp;A Expenses</w:t>
      </w:r>
    </w:p>
    <w:p>
      <w:pPr>
        <w:spacing w:after="0" w:line="108"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SM&amp;A expenses increased $28.3 million, or 5.2%, in the second quarter of 2023 compared to the same period of 2022. Total advertising and related consumer marketing expenses increased 14.9% driven by increases across reportable segments. SM&amp;A expenses, excluding advertising and related consumer marketing, increased approximately 1.3% in the second quarter of 2023 driven by higher compensation costs and investments in capabilities and technology.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Realignment Activities</w:t>
      </w:r>
    </w:p>
    <w:p>
      <w:pPr>
        <w:spacing w:after="0" w:line="10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We periodically undertake business realignment activities designed to increase our efficiency and focus our business in support of our key growth strategies. In the second quarter of 2023, we recorded $0.3 million business realignment benefits related to the International Optimization Program. There were no business realignment costs in the second quarter of 2022 related to the International Optimization Program. This program is focused on optimizing our China operating model to improve our operational efficiency and provide for a strong, sustainable and simplified base going forward. Costs associated with business realignment activities are classified in our Consolidated Statements of Income as described in </w:t>
      </w:r>
      <w:r>
        <w:rPr>
          <w:rFonts w:ascii="Arial" w:cs="Arial" w:eastAsia="Arial" w:hAnsi="Arial"/>
          <w:sz w:val="18"/>
          <w:szCs w:val="18"/>
          <w:u w:val="single" w:color="auto"/>
          <w:color w:val="0000FF"/>
        </w:rPr>
        <w:t>Note 9</w:t>
      </w:r>
      <w:r>
        <w:rPr>
          <w:rFonts w:ascii="Arial" w:cs="Arial" w:eastAsia="Arial" w:hAnsi="Arial"/>
          <w:sz w:val="18"/>
          <w:szCs w:val="18"/>
          <w:color w:val="auto"/>
        </w:rPr>
        <w:t xml:space="preserve"> to the Unaudited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 and Operating Profit Margin</w:t>
      </w:r>
    </w:p>
    <w:p>
      <w:pPr>
        <w:spacing w:after="0" w:line="9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Operating profit was $560.7 million in the second quarter of 2023 compared to $456.5 million in the same period of 2022 predominantly due to higher gross profit, partially offset by higher SM&amp;A expenses, as noted above. Operating profit margin increased to 22.5% in 2023 from 19.2% in 2022 driven by the same factors noted above that resulted in higher gross margin for the period.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0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Net interest expense was $3.3 million higher in the second quarter of 2023 compared to the same period of 2022. The increase was primarily due to higher rates on short-term debt balances in 2023 versus 2022, specifically related to outstanding commercial paper borrowings. The increase was partially offset by higher interest income.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0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Other (income) expense, net was $84.5 million in the second quarter of 2023 versus net expense of $19.7 million in the second quarter of 2022. The increase in net expense was primarily due to higher write-downs on equity investments qualifying for tax credits in 2023 versus the second quarter of 2022 and higher non-service cost components of net periodic benefit cost relating to pension and other post-retirement benefit plans.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and Effective Tax Rate</w:t>
      </w:r>
    </w:p>
    <w:p>
      <w:pPr>
        <w:spacing w:after="0" w:line="94"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The effective income tax rate was 7.4% for the second quarter of 2023 compared with 21.8% for the second quarter of 2022. Relative to the 21% statutory rate, the 2023 effective tax rate was impacted by investment tax credits and employee share-based payments partially offset by state taxes and tax reserves. Relative to the 21% statutory rate, the 2022 effective tax rate was impacted by state taxes, partially offset by investment tax credits and the benefit of employee share-based payments.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The Hershey Company and Earnings Per Share-diluted</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income increased $91.4 million, or 29.0%, while EPS-diluted increased $0.45, or 29.4%, in the second quarter of 2023 compared to the same period of 2022. The increase in both net income and EPS-diluted was driven primarily by higher gross profit and lower income taxes, partially offset by higher SM&amp;A expenses and higher other income and expenses. Our 2023 EPS-diluted also benefited from lower weighted-average shares outstanding as a result of share repurchases pursuant to our Board-approved repurchase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273050</wp:posOffset>
            </wp:positionV>
            <wp:extent cx="19685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Q2 2023 Form 10-Q | 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40" w:name="page41"/>
    <w:bookmarkEnd w:id="40"/>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First Six Months 2023 vs. First Six Months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sales increased 8.7% in the first six months of 2023 compared to the same period of 2022, reflecting a favorable price realization of 8.6% primarily due to higher list prices across our reportable segments and a volume increase of 0.2% driven by increases in everyday core brands within the North America Salty Snacks and International segments, partially offset by a decrease in everyday core U.S. brands. These increases were offset by an unfavorable impact from foreign currency exchange rates of 0.1%.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 and Gross Margin</w:t>
      </w:r>
    </w:p>
    <w:p>
      <w:pPr>
        <w:spacing w:after="0" w:line="10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Cost of sales increased 6.1% in the first six months of 2023 compared to the same period of 2022. The increase was driven by an incremental $59.1 million of unfavorable mark-to-market activity on our commodity derivative instruments intended to economically hedge future years’ commodity purchases, higher sales volume and higher supply chain costs, including higher logistics and labor costs. The increase was partially offset by favorable price realization and supply chain productivity.</w:t>
      </w:r>
    </w:p>
    <w:p>
      <w:pPr>
        <w:spacing w:after="0" w:line="6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Gross margin increased by 130 basis points in the first six months of 2023 compared to the same period of 2022. The increases were driven by favorable price realization and volume increases. The increase was partially offset by unfavorable year-over-year mark-to-market impact from commodity derivative instruments, higher supply chain inflation costs, including higher logistics and labor costs and unfavorable product mix.</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SM&amp;A Expenses</w:t>
      </w:r>
    </w:p>
    <w:p>
      <w:pPr>
        <w:spacing w:after="0" w:line="9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SM&amp;A expenses increased $85.7 million, or 8.0%, in the first six months of 2023 compared to the same period of 2022. Total advertising and related consumer marketing expenses increased 11.6% driven by increased investment in core brands and sponsorships in the North America Confectionery segment.. SM&amp;A expenses, excluding advertising and related consumer marketing, increased approximately 6.4% in the first six months of 2023 driven by an increase in compensation costs, investments in capabilities and technology and broad-based marketplace inflation.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Realignment Activities</w:t>
      </w:r>
    </w:p>
    <w:p>
      <w:pPr>
        <w:spacing w:after="0" w:line="10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During the first six months of 2023, we recorded business realignment costs of $0.4 million versus $0.3 million in the first six months of 2022 related to the International Optimization Program. Costs associated with business realignment activities are classified in our Consolidated Statements of Income as described in </w:t>
      </w:r>
      <w:r>
        <w:rPr>
          <w:rFonts w:ascii="Arial" w:cs="Arial" w:eastAsia="Arial" w:hAnsi="Arial"/>
          <w:sz w:val="18"/>
          <w:szCs w:val="18"/>
          <w:u w:val="single" w:color="auto"/>
          <w:color w:val="0000FF"/>
        </w:rPr>
        <w:t>Note 9</w:t>
      </w:r>
      <w:r>
        <w:rPr>
          <w:rFonts w:ascii="Arial" w:cs="Arial" w:eastAsia="Arial" w:hAnsi="Arial"/>
          <w:sz w:val="18"/>
          <w:szCs w:val="18"/>
          <w:color w:val="auto"/>
        </w:rPr>
        <w:t xml:space="preserve"> to the Unaudited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 and Operating Profit Margin</w:t>
      </w:r>
    </w:p>
    <w:p>
      <w:pPr>
        <w:spacing w:after="0" w:line="108"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Operating profit increased 15.5% in the first six months of 2023 compared to the same period of 2022 predominantly due to higher gross profit, partially offset by higher SM&amp;A expenses, as noted above. Operating profit margin was 24.8% in 2023 and 23.4% in 2022 driven by the same factors noted above that resulted in higher gross margin for the period.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9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Net interest expense was $7.8 million higher in the first six months of 2023 compared to the same period of 2022. The increase was primarily due to higher rates on short-term debt balances in 2023 versus 2022, specifically related to outstanding commercial paper borrowings. The increase was partially offset by higher interest income in 2023 compared to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271145</wp:posOffset>
            </wp:positionV>
            <wp:extent cx="19685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Q2 2023 Form 10-Q | 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Other (Income) Expense, Net</w:t>
      </w:r>
    </w:p>
    <w:p>
      <w:pPr>
        <w:spacing w:after="0" w:line="1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(income) expense, net was $87.5 million in the first six months of 2023 versus expense of $30.1 million in the first six months of 2022. The increase in net expense was primarily due to higher write-downs on equity investments qualifying for tax credits in 2023 versus the first quarter of 2022 and higher non-service cost components of net periodic benefit cost relating to pension and other post-retirement benefit plans.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and Effective Tax Rate</w:t>
      </w:r>
    </w:p>
    <w:p>
      <w:pPr>
        <w:spacing w:after="0" w:line="9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effective income tax rate was 17.1% for the first six months of 2023 compared with 21.4% for the first six months of 2022. Relative to the 21% statutory rate, the 2023 effective tax rate was impacted by investment tax credits and employee share-based payments partially offset by state taxes and tax reserves. Relative to the 21% statutory rate, the 2022 effective tax rate was impacted by state taxes, tax reserves and unfavorable foreign rate differential, partially offset by investment tax credits and the benefit of employee share-based payments.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The Hershey Company and Earnings Per Share-diluted</w:t>
      </w:r>
    </w:p>
    <w:p>
      <w:pPr>
        <w:spacing w:after="0" w:line="10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income increased $145.1 million, or 17.1%, while EPS-diluted increased $0.73, or 17.8%, in the first six months of 2023 compared to the same period of 2022. The increase in both net income and EPS-diluted was driven primarily by higher gross profit and lower income taxes, partially offset by higher SM&amp;A expenses and higher other income and expenses. Our 2023 EPS-diluted also benefited from lower weighted-average shares outstanding as a result of share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273050</wp:posOffset>
            </wp:positionV>
            <wp:extent cx="19685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Q2 2023 Form 10-Q | 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sectPr>
      </w:pPr>
    </w:p>
    <w:bookmarkStart w:id="42" w:name="page43"/>
    <w:bookmarkEnd w:id="42"/>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94"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The summary that follows provides a discussion of the results of operations of our three reportable segments: North America Confectionery, North America Salty Snacks and International. 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largely managed centrally at the corporate level and are excluded from the measure of segment income reviewed by the Chief Operating Decision Maker and used for resource allocation and internal management reporting and performance evaluation. Segment income and segment income margin, which are presented in the segment discussion that follows, are non-GAAP measures and do not purport to be alternatives to operating income as a measure of operating performance. We believe that these measures are useful to investors and other users of our financial information in evaluating ongoing operating profitability as well as in evaluating operating performance in relation to our competitors, as they exclude the activities that are not directly attributable to our ongoing segment operations.</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including a reconciliation to our consolidated results,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75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5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of dollars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July 2, 2023</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July 3, 2022</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July 2, 2023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July 3, 2022</w:t>
            </w:r>
          </w:p>
        </w:tc>
        <w:tc>
          <w:tcPr>
            <w:tcW w:w="0" w:type="dxa"/>
            <w:vAlign w:val="bottom"/>
          </w:tcPr>
          <w:p>
            <w:pPr>
              <w:spacing w:after="0"/>
              <w:rPr>
                <w:sz w:val="1"/>
                <w:szCs w:val="1"/>
                <w:color w:val="auto"/>
              </w:rPr>
            </w:pPr>
          </w:p>
        </w:tc>
      </w:tr>
      <w:tr>
        <w:trPr>
          <w:trHeight w:val="160"/>
        </w:trPr>
        <w:tc>
          <w:tcPr>
            <w:tcW w:w="51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5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20"/>
              <w:spacing w:after="0"/>
              <w:rPr>
                <w:sz w:val="20"/>
                <w:szCs w:val="20"/>
                <w:color w:val="auto"/>
              </w:rPr>
            </w:pPr>
            <w:r>
              <w:rPr>
                <w:rFonts w:ascii="Arial" w:cs="Arial" w:eastAsia="Arial" w:hAnsi="Arial"/>
                <w:sz w:val="18"/>
                <w:szCs w:val="18"/>
                <w:color w:val="auto"/>
              </w:rPr>
              <w:t>North America Confectionery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1,993.1</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1,909.1</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4,445.2</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4,126.2</w:t>
            </w:r>
          </w:p>
        </w:tc>
        <w:tc>
          <w:tcPr>
            <w:tcW w:w="0" w:type="dxa"/>
            <w:vAlign w:val="bottom"/>
          </w:tcPr>
          <w:p>
            <w:pPr>
              <w:spacing w:after="0"/>
              <w:rPr>
                <w:sz w:val="1"/>
                <w:szCs w:val="1"/>
                <w:color w:val="auto"/>
              </w:rPr>
            </w:pPr>
          </w:p>
        </w:tc>
      </w:tr>
      <w:tr>
        <w:trPr>
          <w:trHeight w:val="243"/>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North America Salty Snacks</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482.4</w:t>
            </w:r>
          </w:p>
        </w:tc>
        <w:tc>
          <w:tcPr>
            <w:tcW w:w="0" w:type="dxa"/>
            <w:vAlign w:val="bottom"/>
          </w:tcPr>
          <w:p>
            <w:pPr>
              <w:spacing w:after="0"/>
              <w:rPr>
                <w:sz w:val="1"/>
                <w:szCs w:val="1"/>
                <w:color w:val="auto"/>
              </w:rPr>
            </w:pPr>
          </w:p>
        </w:tc>
      </w:tr>
      <w:tr>
        <w:trPr>
          <w:trHeight w:val="229"/>
        </w:trPr>
        <w:tc>
          <w:tcPr>
            <w:tcW w:w="5180" w:type="dxa"/>
            <w:vAlign w:val="bottom"/>
          </w:tcPr>
          <w:p>
            <w:pPr>
              <w:ind w:left="220"/>
              <w:spacing w:after="0"/>
              <w:rPr>
                <w:sz w:val="20"/>
                <w:szCs w:val="20"/>
                <w:color w:val="auto"/>
              </w:rPr>
            </w:pPr>
            <w:r>
              <w:rPr>
                <w:rFonts w:ascii="Arial" w:cs="Arial" w:eastAsia="Arial" w:hAnsi="Arial"/>
                <w:sz w:val="18"/>
                <w:szCs w:val="18"/>
                <w:color w:val="auto"/>
              </w:rPr>
              <w:t>International</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224.8</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207.2</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430.2</w:t>
            </w:r>
          </w:p>
        </w:tc>
        <w:tc>
          <w:tcPr>
            <w:tcW w:w="0" w:type="dxa"/>
            <w:vAlign w:val="bottom"/>
          </w:tcPr>
          <w:p>
            <w:pPr>
              <w:spacing w:after="0"/>
              <w:rPr>
                <w:sz w:val="1"/>
                <w:szCs w:val="1"/>
                <w:color w:val="auto"/>
              </w:rPr>
            </w:pPr>
          </w:p>
        </w:tc>
      </w:tr>
      <w:tr>
        <w:trPr>
          <w:trHeight w:val="24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2,490.3</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2,372.6</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5,477.9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5,038.8</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Income:</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20"/>
              <w:spacing w:after="0"/>
              <w:rPr>
                <w:sz w:val="20"/>
                <w:szCs w:val="20"/>
                <w:color w:val="auto"/>
              </w:rPr>
            </w:pPr>
            <w:r>
              <w:rPr>
                <w:rFonts w:ascii="Arial" w:cs="Arial" w:eastAsia="Arial" w:hAnsi="Arial"/>
                <w:sz w:val="18"/>
                <w:szCs w:val="18"/>
                <w:color w:val="auto"/>
              </w:rPr>
              <w:t>North America Confectionery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657.1</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618.9</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1,544.9</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1,400.7</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North America Salty Snacks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43"/>
        </w:trPr>
        <w:tc>
          <w:tcPr>
            <w:tcW w:w="5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International</w:t>
            </w: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1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segment income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1,532.1</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Unallocated corporate expense (1)</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186.6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339.1</w:t>
            </w:r>
          </w:p>
        </w:tc>
        <w:tc>
          <w:tcPr>
            <w:tcW w:w="0" w:type="dxa"/>
            <w:vAlign w:val="bottom"/>
          </w:tcPr>
          <w:p>
            <w:pPr>
              <w:spacing w:after="0"/>
              <w:rPr>
                <w:sz w:val="1"/>
                <w:szCs w:val="1"/>
                <w:color w:val="auto"/>
              </w:rPr>
            </w:pPr>
          </w:p>
        </w:tc>
      </w:tr>
      <w:tr>
        <w:trPr>
          <w:trHeight w:val="188"/>
        </w:trPr>
        <w:tc>
          <w:tcPr>
            <w:tcW w:w="51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4"/>
              </w:rPr>
              <w:t>Unallocated mark-to-market losses (gains) on commodity derivatives</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Costs associated with business realignment activities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560.7</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1,177.5</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36"/>
        </w:trPr>
        <w:tc>
          <w:tcPr>
            <w:tcW w:w="51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439.5</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403.5</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1,198.8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1,080.8</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40" w:right="260" w:hanging="332"/>
        <w:spacing w:after="0" w:line="295" w:lineRule="auto"/>
        <w:tabs>
          <w:tab w:leader="none" w:pos="3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acquisition-related costs and (e) other gains or losses that are not integral to segment performance.</w:t>
      </w:r>
    </w:p>
    <w:p>
      <w:pPr>
        <w:spacing w:after="0" w:line="38" w:lineRule="exact"/>
        <w:rPr>
          <w:rFonts w:ascii="Arial" w:cs="Arial" w:eastAsia="Arial" w:hAnsi="Arial"/>
          <w:sz w:val="15"/>
          <w:szCs w:val="15"/>
          <w:color w:val="auto"/>
        </w:rPr>
      </w:pPr>
    </w:p>
    <w:p>
      <w:pPr>
        <w:ind w:left="340" w:right="280" w:hanging="332"/>
        <w:spacing w:after="0" w:line="275"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Net losses (gains) on mark-to-market valuation of commodity derivative positions recognized in unallocated derivative losses (gains). See </w:t>
      </w:r>
      <w:r>
        <w:rPr>
          <w:rFonts w:ascii="Arial" w:cs="Arial" w:eastAsia="Arial" w:hAnsi="Arial"/>
          <w:sz w:val="16"/>
          <w:szCs w:val="16"/>
          <w:u w:val="single" w:color="auto"/>
          <w:color w:val="0000FF"/>
        </w:rPr>
        <w:t>Note 13</w:t>
      </w:r>
      <w:r>
        <w:rPr>
          <w:rFonts w:ascii="Arial" w:cs="Arial" w:eastAsia="Arial" w:hAnsi="Arial"/>
          <w:sz w:val="16"/>
          <w:szCs w:val="16"/>
          <w:color w:val="auto"/>
        </w:rPr>
        <w:t xml:space="preserve"> to the Unaudited Consolidated Financial Statements.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 Confectionery</w:t>
      </w:r>
    </w:p>
    <w:p>
      <w:pPr>
        <w:spacing w:after="0" w:line="9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North America Confectionery segment is responsible for our chocolate and non-chocolate confectionery market position in the United States and Canada. This includes developing and growing our business in chocolate and non-chocolate confectionery, gum and refreshment products, protein bars, spreads, snack bites and mixes, as well as pantry and food service lines. While a less significant component, this segment also includes our retail operations, including Hershey’s Chocolate World stores in Hershey, Pennsylvania; New York, New York; Las Vegas, Nevada; Niagara Falls (Ontario) and Singapore, as well as operations associated with licensing the use of certain trademarks and products to third parties around the world. North America Confectionery results, which accounted for 80.0% and 80.5% of our net sales for the three months ended July 2, 2023 and July 3, 2022, respectively,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772"/>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of dollars</w:t>
            </w:r>
          </w:p>
        </w:tc>
        <w:tc>
          <w:tcPr>
            <w:tcW w:w="200" w:type="dxa"/>
            <w:vAlign w:val="bottom"/>
          </w:tcPr>
          <w:p>
            <w:pPr>
              <w:spacing w:after="0"/>
              <w:rPr>
                <w:sz w:val="18"/>
                <w:szCs w:val="18"/>
                <w:color w:val="auto"/>
              </w:rPr>
            </w:pPr>
          </w:p>
        </w:tc>
        <w:tc>
          <w:tcPr>
            <w:tcW w:w="1240" w:type="dxa"/>
            <w:vAlign w:val="bottom"/>
          </w:tcPr>
          <w:p>
            <w:pPr>
              <w:jc w:val="right"/>
              <w:ind w:right="234"/>
              <w:spacing w:after="0"/>
              <w:rPr>
                <w:sz w:val="20"/>
                <w:szCs w:val="20"/>
                <w:color w:val="auto"/>
              </w:rPr>
            </w:pPr>
            <w:r>
              <w:rPr>
                <w:rFonts w:ascii="Arial" w:cs="Arial" w:eastAsia="Arial" w:hAnsi="Arial"/>
                <w:sz w:val="16"/>
                <w:szCs w:val="16"/>
                <w:b w:val="1"/>
                <w:bCs w:val="1"/>
                <w:color w:val="auto"/>
              </w:rPr>
              <w:t>July 2, 2023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232"/>
              <w:spacing w:after="0"/>
              <w:rPr>
                <w:sz w:val="20"/>
                <w:szCs w:val="20"/>
                <w:color w:val="auto"/>
              </w:rPr>
            </w:pPr>
            <w:r>
              <w:rPr>
                <w:rFonts w:ascii="Arial" w:cs="Arial" w:eastAsia="Arial" w:hAnsi="Arial"/>
                <w:sz w:val="16"/>
                <w:szCs w:val="16"/>
                <w:b w:val="1"/>
                <w:bCs w:val="1"/>
                <w:color w:val="auto"/>
              </w:rPr>
              <w:t>July 3, 2022</w:t>
            </w:r>
          </w:p>
        </w:tc>
        <w:tc>
          <w:tcPr>
            <w:tcW w:w="100" w:type="dxa"/>
            <w:vAlign w:val="bottom"/>
          </w:tcPr>
          <w:p>
            <w:pPr>
              <w:spacing w:after="0"/>
              <w:rPr>
                <w:sz w:val="18"/>
                <w:szCs w:val="18"/>
                <w:color w:val="auto"/>
              </w:rPr>
            </w:pPr>
          </w:p>
        </w:tc>
        <w:tc>
          <w:tcPr>
            <w:tcW w:w="1660" w:type="dxa"/>
            <w:vAlign w:val="bottom"/>
            <w:gridSpan w:val="2"/>
          </w:tcPr>
          <w:p>
            <w:pPr>
              <w:ind w:left="220"/>
              <w:spacing w:after="0"/>
              <w:rPr>
                <w:sz w:val="20"/>
                <w:szCs w:val="20"/>
                <w:color w:val="auto"/>
              </w:rPr>
            </w:pPr>
            <w:r>
              <w:rPr>
                <w:rFonts w:ascii="Arial" w:cs="Arial" w:eastAsia="Arial" w:hAnsi="Arial"/>
                <w:sz w:val="16"/>
                <w:szCs w:val="16"/>
                <w:b w:val="1"/>
                <w:bCs w:val="1"/>
                <w:color w:val="auto"/>
              </w:rPr>
              <w:t>Percent Change</w:t>
            </w:r>
          </w:p>
        </w:tc>
        <w:tc>
          <w:tcPr>
            <w:tcW w:w="200" w:type="dxa"/>
            <w:vAlign w:val="bottom"/>
          </w:tcPr>
          <w:p>
            <w:pPr>
              <w:spacing w:after="0"/>
              <w:rPr>
                <w:sz w:val="18"/>
                <w:szCs w:val="18"/>
                <w:color w:val="auto"/>
              </w:rPr>
            </w:pPr>
          </w:p>
        </w:tc>
        <w:tc>
          <w:tcPr>
            <w:tcW w:w="1240" w:type="dxa"/>
            <w:vAlign w:val="bottom"/>
          </w:tcPr>
          <w:p>
            <w:pPr>
              <w:jc w:val="right"/>
              <w:ind w:right="234"/>
              <w:spacing w:after="0"/>
              <w:rPr>
                <w:sz w:val="20"/>
                <w:szCs w:val="20"/>
                <w:color w:val="auto"/>
              </w:rPr>
            </w:pPr>
            <w:r>
              <w:rPr>
                <w:rFonts w:ascii="Arial" w:cs="Arial" w:eastAsia="Arial" w:hAnsi="Arial"/>
                <w:sz w:val="16"/>
                <w:szCs w:val="16"/>
                <w:b w:val="1"/>
                <w:bCs w:val="1"/>
                <w:color w:val="auto"/>
              </w:rPr>
              <w:t>July 2, 2023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232"/>
              <w:spacing w:after="0"/>
              <w:rPr>
                <w:sz w:val="20"/>
                <w:szCs w:val="20"/>
                <w:color w:val="auto"/>
              </w:rPr>
            </w:pPr>
            <w:r>
              <w:rPr>
                <w:rFonts w:ascii="Arial" w:cs="Arial" w:eastAsia="Arial" w:hAnsi="Arial"/>
                <w:sz w:val="16"/>
                <w:szCs w:val="16"/>
                <w:b w:val="1"/>
                <w:bCs w:val="1"/>
                <w:color w:val="auto"/>
              </w:rPr>
              <w:t>July 3, 2022</w:t>
            </w:r>
          </w:p>
        </w:tc>
        <w:tc>
          <w:tcPr>
            <w:tcW w:w="120" w:type="dxa"/>
            <w:vAlign w:val="bottom"/>
          </w:tcPr>
          <w:p>
            <w:pPr>
              <w:spacing w:after="0"/>
              <w:rPr>
                <w:sz w:val="18"/>
                <w:szCs w:val="18"/>
                <w:color w:val="auto"/>
              </w:rPr>
            </w:pPr>
          </w:p>
        </w:tc>
        <w:tc>
          <w:tcPr>
            <w:tcW w:w="1520" w:type="dxa"/>
            <w:vAlign w:val="bottom"/>
          </w:tcPr>
          <w:p>
            <w:pPr>
              <w:jc w:val="right"/>
              <w:ind w:right="139"/>
              <w:spacing w:after="0"/>
              <w:rPr>
                <w:sz w:val="20"/>
                <w:szCs w:val="20"/>
                <w:color w:val="auto"/>
              </w:rPr>
            </w:pPr>
            <w:r>
              <w:rPr>
                <w:rFonts w:ascii="Arial" w:cs="Arial" w:eastAsia="Arial" w:hAnsi="Arial"/>
                <w:sz w:val="16"/>
                <w:szCs w:val="16"/>
                <w:b w:val="1"/>
                <w:bCs w:val="1"/>
                <w:color w:val="auto"/>
              </w:rPr>
              <w:t>Percent Change</w:t>
            </w:r>
          </w:p>
        </w:tc>
        <w:tc>
          <w:tcPr>
            <w:tcW w:w="0" w:type="dxa"/>
            <w:vAlign w:val="bottom"/>
          </w:tcPr>
          <w:p>
            <w:pPr>
              <w:spacing w:after="0"/>
              <w:rPr>
                <w:sz w:val="1"/>
                <w:szCs w:val="1"/>
                <w:color w:val="auto"/>
              </w:rPr>
            </w:pPr>
          </w:p>
        </w:tc>
      </w:tr>
      <w:tr>
        <w:trPr>
          <w:trHeight w:val="160"/>
        </w:trPr>
        <w:tc>
          <w:tcPr>
            <w:tcW w:w="1840" w:type="dxa"/>
            <w:vAlign w:val="bottom"/>
            <w:vMerge w:val="continue"/>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1,993.1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1,909.1</w:t>
            </w:r>
          </w:p>
        </w:tc>
        <w:tc>
          <w:tcPr>
            <w:tcW w:w="1960" w:type="dxa"/>
            <w:vAlign w:val="bottom"/>
            <w:gridSpan w:val="4"/>
            <w:shd w:val="clear" w:color="auto" w:fill="CCEEFF"/>
          </w:tcPr>
          <w:p>
            <w:pPr>
              <w:ind w:left="1200"/>
              <w:spacing w:after="0"/>
              <w:rPr>
                <w:sz w:val="20"/>
                <w:szCs w:val="20"/>
                <w:color w:val="auto"/>
              </w:rPr>
            </w:pPr>
            <w:r>
              <w:rPr>
                <w:rFonts w:ascii="Arial" w:cs="Arial" w:eastAsia="Arial" w:hAnsi="Arial"/>
                <w:sz w:val="18"/>
                <w:szCs w:val="18"/>
                <w:color w:val="auto"/>
              </w:rPr>
              <w:t>4.4 %  $</w:t>
            </w: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4,445.2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4,126.2</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37"/>
        </w:trPr>
        <w:tc>
          <w:tcPr>
            <w:tcW w:w="184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00" w:type="dxa"/>
            <w:vAlign w:val="bottom"/>
          </w:tcPr>
          <w:p>
            <w:pPr>
              <w:spacing w:after="0"/>
              <w:rPr>
                <w:sz w:val="20"/>
                <w:szCs w:val="20"/>
                <w:color w:val="auto"/>
              </w:rPr>
            </w:pPr>
          </w:p>
        </w:tc>
        <w:tc>
          <w:tcPr>
            <w:tcW w:w="1240" w:type="dxa"/>
            <w:vAlign w:val="bottom"/>
          </w:tcPr>
          <w:p>
            <w:pPr>
              <w:jc w:val="right"/>
              <w:ind w:right="134"/>
              <w:spacing w:after="0"/>
              <w:rPr>
                <w:sz w:val="20"/>
                <w:szCs w:val="20"/>
                <w:color w:val="auto"/>
              </w:rPr>
            </w:pPr>
            <w:r>
              <w:rPr>
                <w:rFonts w:ascii="Arial" w:cs="Arial" w:eastAsia="Arial" w:hAnsi="Arial"/>
                <w:sz w:val="18"/>
                <w:szCs w:val="18"/>
                <w:color w:val="auto"/>
              </w:rPr>
              <w:t>657.1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618.9</w:t>
            </w: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w w:val="91"/>
              </w:rPr>
              <w:t>6.2 %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34"/>
              <w:spacing w:after="0"/>
              <w:rPr>
                <w:sz w:val="20"/>
                <w:szCs w:val="20"/>
                <w:color w:val="auto"/>
              </w:rPr>
            </w:pPr>
            <w:r>
              <w:rPr>
                <w:rFonts w:ascii="Arial" w:cs="Arial" w:eastAsia="Arial" w:hAnsi="Arial"/>
                <w:sz w:val="18"/>
                <w:szCs w:val="18"/>
                <w:color w:val="auto"/>
              </w:rPr>
              <w:t>1,544.9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1,400.7</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10.3 %</w:t>
            </w:r>
          </w:p>
        </w:tc>
        <w:tc>
          <w:tcPr>
            <w:tcW w:w="0" w:type="dxa"/>
            <w:vAlign w:val="bottom"/>
          </w:tcPr>
          <w:p>
            <w:pPr>
              <w:spacing w:after="0"/>
              <w:rPr>
                <w:sz w:val="1"/>
                <w:szCs w:val="1"/>
                <w:color w:val="auto"/>
              </w:rPr>
            </w:pPr>
          </w:p>
        </w:tc>
      </w:tr>
      <w:tr>
        <w:trPr>
          <w:trHeight w:val="236"/>
        </w:trPr>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33.0 %</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32.4 %</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34.8 %</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33.9 %</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Second Quarter 2023 vs. Second Quarter 2022</w:t>
      </w:r>
    </w:p>
    <w:p>
      <w:pPr>
        <w:spacing w:after="0" w:line="14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Net sales of our North America Confectionery segment increased $84.0 million, or 4.4%, in the second quarter of 2023 compared to the same period of 2022, reflecting a favorable price realization of 8.4% primarily due to list price increases on certain products across our portfolio. This increase was partially offset by a volume decrease of 3.6% due to a decrease in everyday core U.S. confection brands, and an unfavorable impact from foreign currency exchange rates of 0.4%.</w:t>
      </w:r>
    </w:p>
    <w:p>
      <w:pPr>
        <w:sectPr>
          <w:pgSz w:w="11900" w:h="16838" w:orient="portrait"/>
          <w:cols w:equalWidth="0" w:num="1">
            <w:col w:w="11240"/>
          </w:cols>
          <w:pgMar w:left="320" w:top="1440" w:right="339" w:bottom="0" w:gutter="0" w:footer="0" w:header="0"/>
        </w:sectPr>
      </w:pPr>
    </w:p>
    <w:bookmarkStart w:id="43" w:name="page44"/>
    <w:bookmarkEnd w:id="43"/>
    <w:p>
      <w:pPr>
        <w:ind w:right="220"/>
        <w:spacing w:after="0" w:line="263" w:lineRule="auto"/>
        <w:rPr>
          <w:sz w:val="20"/>
          <w:szCs w:val="20"/>
          <w:color w:val="auto"/>
        </w:rPr>
      </w:pPr>
      <w:r>
        <w:rPr>
          <w:rFonts w:ascii="Arial" w:cs="Arial" w:eastAsia="Arial" w:hAnsi="Arial"/>
          <w:sz w:val="18"/>
          <w:szCs w:val="18"/>
          <w:color w:val="auto"/>
        </w:rPr>
        <w:t>Our North America Confectionery segment also includes licensing and owned retail. This includes our Hershey’s Chocolate World stores in the United States (3 locations), Niagara Falls (Ontario) and Singapore. Our net sales for licensing and owned retail increased approximately 3.7% during the second quarter of 2023 compared to the same period of 2022.</w:t>
      </w:r>
    </w:p>
    <w:p>
      <w:pPr>
        <w:spacing w:after="0" w:line="11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Our North America Confectionery segment income increased $38.2 million, or 6.2%, in the second quarter of 2023 compared to the same period of 2022, primarily due to favorable price realization, partially offset by volume declines, higher supply chain inflation costs, including higher logistics and labor costs, as well as unfavorable product mix.</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First Six Months 2023 vs. First Six Months 2022</w:t>
      </w:r>
    </w:p>
    <w:p>
      <w:pPr>
        <w:spacing w:after="0" w:line="16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Net sales of our North America Confectionery segment increased $319.0 million or 7.7% in the first six months of 2023 compared to the same period of 2022, reflecting a favorable price realization of 8.9% due to list price increases on certain products across our portfolio. The increase was offset by a volume decrease of 0.8% primarily driven by a decrease in everyday core U.S. confection brands, and an unfavorable impact from foreign currency exchange rates of 0.4%.</w:t>
      </w:r>
    </w:p>
    <w:p>
      <w:pPr>
        <w:spacing w:after="0" w:line="11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Our North America Confectionery segment also includes licensing and owned retail. This includes our Hershey’s Chocolate World stores in the United States (3 locations), Niagara Falls (Ontario) and Singapore. Our net sales for licensing and owned retail increased approximately 23.2% during the first six months of 2023 compared to the same period of 2022.</w:t>
      </w:r>
    </w:p>
    <w:p>
      <w:pPr>
        <w:spacing w:after="0" w:line="10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Our North America Confectionery segment income increased $144.2 million or 10.3% in the first six months of 2023 compared to the same period of 2022, primarily due to favorable price realization, partially offset by volume declines, higher supply chain inflation costs, including higher logistics and labor costs, as well as unfavorable product mix.</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 Salty Snacks</w:t>
      </w:r>
    </w:p>
    <w:p>
      <w:pPr>
        <w:spacing w:after="0" w:line="162" w:lineRule="exact"/>
        <w:rPr>
          <w:sz w:val="20"/>
          <w:szCs w:val="20"/>
          <w:color w:val="auto"/>
        </w:rPr>
      </w:pPr>
    </w:p>
    <w:p>
      <w:pPr>
        <w:jc w:val="both"/>
        <w:ind w:right="40"/>
        <w:spacing w:after="0" w:line="248" w:lineRule="auto"/>
        <w:rPr>
          <w:sz w:val="20"/>
          <w:szCs w:val="20"/>
          <w:color w:val="auto"/>
        </w:rPr>
      </w:pPr>
      <w:r>
        <w:rPr>
          <w:rFonts w:ascii="Arial" w:cs="Arial" w:eastAsia="Arial" w:hAnsi="Arial"/>
          <w:sz w:val="18"/>
          <w:szCs w:val="18"/>
          <w:color w:val="auto"/>
        </w:rPr>
        <w:t>The North America Salty Snacks segment is responsible for our grocery and snacks market positions, including our salty snacking products. North America Salty Snacks results, which accounted for 10.9% and 10.8% of our net sales for the three months ended July 2, 2023 and July 3, 2022, respectively,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652"/>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6"/>
                <w:szCs w:val="16"/>
                <w:b w:val="1"/>
                <w:bCs w:val="1"/>
                <w:color w:val="auto"/>
              </w:rPr>
              <w:t>Six Months Ended</w:t>
            </w: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of dollars</w:t>
            </w:r>
          </w:p>
        </w:tc>
        <w:tc>
          <w:tcPr>
            <w:tcW w:w="220" w:type="dxa"/>
            <w:vAlign w:val="bottom"/>
          </w:tcPr>
          <w:p>
            <w:pPr>
              <w:spacing w:after="0"/>
              <w:rPr>
                <w:sz w:val="18"/>
                <w:szCs w:val="18"/>
                <w:color w:val="auto"/>
              </w:rPr>
            </w:pPr>
          </w:p>
        </w:tc>
        <w:tc>
          <w:tcPr>
            <w:tcW w:w="1220" w:type="dxa"/>
            <w:vAlign w:val="bottom"/>
          </w:tcPr>
          <w:p>
            <w:pPr>
              <w:jc w:val="right"/>
              <w:ind w:right="214"/>
              <w:spacing w:after="0"/>
              <w:rPr>
                <w:sz w:val="20"/>
                <w:szCs w:val="20"/>
                <w:color w:val="auto"/>
              </w:rPr>
            </w:pPr>
            <w:r>
              <w:rPr>
                <w:rFonts w:ascii="Arial" w:cs="Arial" w:eastAsia="Arial" w:hAnsi="Arial"/>
                <w:sz w:val="16"/>
                <w:szCs w:val="16"/>
                <w:b w:val="1"/>
                <w:bCs w:val="1"/>
                <w:color w:val="auto"/>
              </w:rPr>
              <w:t>July 2, 2023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212"/>
              <w:spacing w:after="0"/>
              <w:rPr>
                <w:sz w:val="20"/>
                <w:szCs w:val="20"/>
                <w:color w:val="auto"/>
              </w:rPr>
            </w:pPr>
            <w:r>
              <w:rPr>
                <w:rFonts w:ascii="Arial" w:cs="Arial" w:eastAsia="Arial" w:hAnsi="Arial"/>
                <w:sz w:val="16"/>
                <w:szCs w:val="16"/>
                <w:b w:val="1"/>
                <w:bCs w:val="1"/>
                <w:color w:val="auto"/>
              </w:rPr>
              <w:t>July 3, 2022</w:t>
            </w:r>
          </w:p>
        </w:tc>
        <w:tc>
          <w:tcPr>
            <w:tcW w:w="120" w:type="dxa"/>
            <w:vAlign w:val="bottom"/>
          </w:tcPr>
          <w:p>
            <w:pPr>
              <w:spacing w:after="0"/>
              <w:rPr>
                <w:sz w:val="18"/>
                <w:szCs w:val="18"/>
                <w:color w:val="auto"/>
              </w:rPr>
            </w:pPr>
          </w:p>
        </w:tc>
        <w:tc>
          <w:tcPr>
            <w:tcW w:w="1640" w:type="dxa"/>
            <w:vAlign w:val="bottom"/>
            <w:gridSpan w:val="2"/>
          </w:tcPr>
          <w:p>
            <w:pPr>
              <w:ind w:left="220"/>
              <w:spacing w:after="0"/>
              <w:rPr>
                <w:sz w:val="20"/>
                <w:szCs w:val="20"/>
                <w:color w:val="auto"/>
              </w:rPr>
            </w:pPr>
            <w:r>
              <w:rPr>
                <w:rFonts w:ascii="Arial" w:cs="Arial" w:eastAsia="Arial" w:hAnsi="Arial"/>
                <w:sz w:val="16"/>
                <w:szCs w:val="16"/>
                <w:b w:val="1"/>
                <w:bCs w:val="1"/>
                <w:color w:val="auto"/>
              </w:rPr>
              <w:t>Percent Change</w:t>
            </w:r>
          </w:p>
        </w:tc>
        <w:tc>
          <w:tcPr>
            <w:tcW w:w="220" w:type="dxa"/>
            <w:vAlign w:val="bottom"/>
          </w:tcPr>
          <w:p>
            <w:pPr>
              <w:spacing w:after="0"/>
              <w:rPr>
                <w:sz w:val="18"/>
                <w:szCs w:val="18"/>
                <w:color w:val="auto"/>
              </w:rPr>
            </w:pPr>
          </w:p>
        </w:tc>
        <w:tc>
          <w:tcPr>
            <w:tcW w:w="1220" w:type="dxa"/>
            <w:vAlign w:val="bottom"/>
          </w:tcPr>
          <w:p>
            <w:pPr>
              <w:jc w:val="right"/>
              <w:ind w:right="214"/>
              <w:spacing w:after="0"/>
              <w:rPr>
                <w:sz w:val="20"/>
                <w:szCs w:val="20"/>
                <w:color w:val="auto"/>
              </w:rPr>
            </w:pPr>
            <w:r>
              <w:rPr>
                <w:rFonts w:ascii="Arial" w:cs="Arial" w:eastAsia="Arial" w:hAnsi="Arial"/>
                <w:sz w:val="16"/>
                <w:szCs w:val="16"/>
                <w:b w:val="1"/>
                <w:bCs w:val="1"/>
                <w:color w:val="auto"/>
              </w:rPr>
              <w:t>July 2, 2023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212"/>
              <w:spacing w:after="0"/>
              <w:rPr>
                <w:sz w:val="20"/>
                <w:szCs w:val="20"/>
                <w:color w:val="auto"/>
              </w:rPr>
            </w:pPr>
            <w:r>
              <w:rPr>
                <w:rFonts w:ascii="Arial" w:cs="Arial" w:eastAsia="Arial" w:hAnsi="Arial"/>
                <w:sz w:val="16"/>
                <w:szCs w:val="16"/>
                <w:b w:val="1"/>
                <w:bCs w:val="1"/>
                <w:color w:val="auto"/>
              </w:rPr>
              <w:t>July 3, 2022</w:t>
            </w:r>
          </w:p>
        </w:tc>
        <w:tc>
          <w:tcPr>
            <w:tcW w:w="80" w:type="dxa"/>
            <w:vAlign w:val="bottom"/>
          </w:tcPr>
          <w:p>
            <w:pPr>
              <w:spacing w:after="0"/>
              <w:rPr>
                <w:sz w:val="18"/>
                <w:szCs w:val="18"/>
                <w:color w:val="auto"/>
              </w:rPr>
            </w:pPr>
          </w:p>
        </w:tc>
        <w:tc>
          <w:tcPr>
            <w:tcW w:w="1560" w:type="dxa"/>
            <w:vAlign w:val="bottom"/>
          </w:tcPr>
          <w:p>
            <w:pPr>
              <w:jc w:val="right"/>
              <w:ind w:right="139"/>
              <w:spacing w:after="0"/>
              <w:rPr>
                <w:sz w:val="20"/>
                <w:szCs w:val="20"/>
                <w:color w:val="auto"/>
              </w:rPr>
            </w:pPr>
            <w:r>
              <w:rPr>
                <w:rFonts w:ascii="Arial" w:cs="Arial" w:eastAsia="Arial" w:hAnsi="Arial"/>
                <w:sz w:val="16"/>
                <w:szCs w:val="16"/>
                <w:b w:val="1"/>
                <w:bCs w:val="1"/>
                <w:color w:val="auto"/>
              </w:rPr>
              <w:t>Percent Change</w:t>
            </w:r>
          </w:p>
        </w:tc>
        <w:tc>
          <w:tcPr>
            <w:tcW w:w="0" w:type="dxa"/>
            <w:vAlign w:val="bottom"/>
          </w:tcPr>
          <w:p>
            <w:pPr>
              <w:spacing w:after="0"/>
              <w:rPr>
                <w:sz w:val="1"/>
                <w:szCs w:val="1"/>
                <w:color w:val="auto"/>
              </w:rPr>
            </w:pPr>
          </w:p>
        </w:tc>
      </w:tr>
      <w:tr>
        <w:trPr>
          <w:trHeight w:val="160"/>
        </w:trPr>
        <w:tc>
          <w:tcPr>
            <w:tcW w:w="1880" w:type="dxa"/>
            <w:vAlign w:val="bottom"/>
            <w:vMerge w:val="continue"/>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272.4</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256.3</w:t>
            </w:r>
          </w:p>
        </w:tc>
        <w:tc>
          <w:tcPr>
            <w:tcW w:w="19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6.3 %  $</w:t>
            </w: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542.4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482.4</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12.4 %</w:t>
            </w:r>
          </w:p>
        </w:tc>
        <w:tc>
          <w:tcPr>
            <w:tcW w:w="0" w:type="dxa"/>
            <w:vAlign w:val="bottom"/>
          </w:tcPr>
          <w:p>
            <w:pPr>
              <w:spacing w:after="0"/>
              <w:rPr>
                <w:sz w:val="1"/>
                <w:szCs w:val="1"/>
                <w:color w:val="auto"/>
              </w:rPr>
            </w:pPr>
          </w:p>
        </w:tc>
      </w:tr>
      <w:tr>
        <w:trPr>
          <w:trHeight w:val="237"/>
        </w:trPr>
        <w:tc>
          <w:tcPr>
            <w:tcW w:w="188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20" w:type="dxa"/>
            <w:vAlign w:val="bottom"/>
          </w:tcPr>
          <w:p>
            <w:pPr>
              <w:spacing w:after="0"/>
              <w:rPr>
                <w:sz w:val="20"/>
                <w:szCs w:val="20"/>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37.4</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17.1 %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58.7</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54.2 %</w:t>
            </w:r>
          </w:p>
        </w:tc>
        <w:tc>
          <w:tcPr>
            <w:tcW w:w="0" w:type="dxa"/>
            <w:vAlign w:val="bottom"/>
          </w:tcPr>
          <w:p>
            <w:pPr>
              <w:spacing w:after="0"/>
              <w:rPr>
                <w:sz w:val="1"/>
                <w:szCs w:val="1"/>
                <w:color w:val="auto"/>
              </w:rPr>
            </w:pPr>
          </w:p>
        </w:tc>
      </w:tr>
      <w:tr>
        <w:trPr>
          <w:trHeight w:val="236"/>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16.1 %</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14.6 %</w:t>
            </w: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16.7 %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12.2 %</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Second Quarter 2023 vs. Second Quarter 2022</w:t>
      </w:r>
    </w:p>
    <w:p>
      <w:pPr>
        <w:spacing w:after="0" w:line="135"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 xml:space="preserve">Net sales of our North America Salty Snacks segment increased $16.1 million, or 6.3%, in the second quarter of 2023 compared to the same period of 2022. This increase reflects a favorable price realization of 6.6%, due to list price increases on certain products across our portfolio, primarily </w:t>
      </w:r>
      <w:r>
        <w:rPr>
          <w:rFonts w:ascii="Arial" w:cs="Arial" w:eastAsia="Arial" w:hAnsi="Arial"/>
          <w:sz w:val="18"/>
          <w:szCs w:val="18"/>
          <w:i w:val="1"/>
          <w:iCs w:val="1"/>
          <w:color w:val="auto"/>
        </w:rPr>
        <w:t>SkinnyPop</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Dot’s Homestyle Pretzels </w:t>
      </w:r>
      <w:r>
        <w:rPr>
          <w:rFonts w:ascii="Arial" w:cs="Arial" w:eastAsia="Arial" w:hAnsi="Arial"/>
          <w:sz w:val="18"/>
          <w:szCs w:val="18"/>
          <w:color w:val="auto"/>
        </w:rPr>
        <w:t>snacks, partially offset by a volume decrease of 0.3%.</w:t>
      </w:r>
    </w:p>
    <w:p>
      <w:pPr>
        <w:spacing w:after="0" w:line="114"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Our North America Salty Snacks segment income increased $6.4 million, or 17.1%, in the second quarter of 2023 compared to the same period of 2022, primarily due to favorable price realization, volume increases on certain products, and favorable product mix, partially offset by increased advertising and related consumer marketing costs.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First Six Months 2023 vs. First Six Months 2022</w:t>
      </w:r>
    </w:p>
    <w:p>
      <w:pPr>
        <w:spacing w:after="0" w:line="148"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 xml:space="preserve">Net sales of our North America Salty Snacks segment increased $60 million, or 12.4%, in the first six months of 2023 compared to the same period of 2022, reflecting a favorable price realization of 8.6%, due to list price increases on certain products across our portfolio, and a volume increase of 3.8% primarily related to </w:t>
      </w:r>
      <w:r>
        <w:rPr>
          <w:rFonts w:ascii="Arial" w:cs="Arial" w:eastAsia="Arial" w:hAnsi="Arial"/>
          <w:sz w:val="18"/>
          <w:szCs w:val="18"/>
          <w:i w:val="1"/>
          <w:iCs w:val="1"/>
          <w:color w:val="auto"/>
        </w:rPr>
        <w:t>SkinnyPop</w:t>
      </w:r>
      <w:r>
        <w:rPr>
          <w:rFonts w:ascii="Arial" w:cs="Arial" w:eastAsia="Arial" w:hAnsi="Arial"/>
          <w:sz w:val="18"/>
          <w:szCs w:val="18"/>
          <w:color w:val="auto"/>
        </w:rPr>
        <w:t xml:space="preserve"> and </w:t>
      </w:r>
      <w:r>
        <w:rPr>
          <w:rFonts w:ascii="Arial" w:cs="Arial" w:eastAsia="Arial" w:hAnsi="Arial"/>
          <w:sz w:val="18"/>
          <w:szCs w:val="18"/>
          <w:i w:val="1"/>
          <w:iCs w:val="1"/>
          <w:color w:val="auto"/>
        </w:rPr>
        <w:t>Dot’s Homestyle Pretzels</w:t>
      </w:r>
      <w:r>
        <w:rPr>
          <w:rFonts w:ascii="Arial" w:cs="Arial" w:eastAsia="Arial" w:hAnsi="Arial"/>
          <w:sz w:val="18"/>
          <w:szCs w:val="18"/>
          <w:color w:val="auto"/>
        </w:rPr>
        <w:t xml:space="preserve"> snacks.</w:t>
      </w:r>
    </w:p>
    <w:p>
      <w:pPr>
        <w:spacing w:after="0" w:line="122"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Our North America Salty Snacks segment income increased $31.8 million, or 54.2%, in the first six months of 2023 compared to the same period of 2022, due to favorable price realization, volume increases and favorable product mix, partially offset by increased advertising and related consumer marketing costs.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w:t>
      </w:r>
    </w:p>
    <w:p>
      <w:pPr>
        <w:spacing w:after="0" w:line="1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International segment includes all other countries where we currently manufacture, import, market, sell or distribute chocolate and non-chocolate confectionery and other products. We currently, have operations and manufacture product in Mexico, Brazil, India and Malaysia, primarily for consumers in these regions, and also distribute and sell confectionery products in export markets of Latin America, as well as Europe, Asia, the Middle East and Africa (“AMEA”) and other regions. International results, which accounted for 9.0% and 8.7% of our net sales for the three months ended July 2, 2023 and July 3, 2022, respectively, were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772"/>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of dollars</w:t>
            </w:r>
          </w:p>
        </w:tc>
        <w:tc>
          <w:tcPr>
            <w:tcW w:w="200" w:type="dxa"/>
            <w:vAlign w:val="bottom"/>
          </w:tcPr>
          <w:p>
            <w:pPr>
              <w:spacing w:after="0"/>
              <w:rPr>
                <w:sz w:val="18"/>
                <w:szCs w:val="18"/>
                <w:color w:val="auto"/>
              </w:rPr>
            </w:pPr>
          </w:p>
        </w:tc>
        <w:tc>
          <w:tcPr>
            <w:tcW w:w="1220" w:type="dxa"/>
            <w:vAlign w:val="bottom"/>
          </w:tcPr>
          <w:p>
            <w:pPr>
              <w:jc w:val="right"/>
              <w:ind w:right="214"/>
              <w:spacing w:after="0"/>
              <w:rPr>
                <w:sz w:val="20"/>
                <w:szCs w:val="20"/>
                <w:color w:val="auto"/>
              </w:rPr>
            </w:pPr>
            <w:r>
              <w:rPr>
                <w:rFonts w:ascii="Arial" w:cs="Arial" w:eastAsia="Arial" w:hAnsi="Arial"/>
                <w:sz w:val="16"/>
                <w:szCs w:val="16"/>
                <w:b w:val="1"/>
                <w:bCs w:val="1"/>
                <w:color w:val="auto"/>
              </w:rPr>
              <w:t>July 2, 2023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232"/>
              <w:spacing w:after="0"/>
              <w:rPr>
                <w:sz w:val="20"/>
                <w:szCs w:val="20"/>
                <w:color w:val="auto"/>
              </w:rPr>
            </w:pPr>
            <w:r>
              <w:rPr>
                <w:rFonts w:ascii="Arial" w:cs="Arial" w:eastAsia="Arial" w:hAnsi="Arial"/>
                <w:sz w:val="16"/>
                <w:szCs w:val="16"/>
                <w:b w:val="1"/>
                <w:bCs w:val="1"/>
                <w:color w:val="auto"/>
              </w:rPr>
              <w:t>July 3, 2022</w:t>
            </w:r>
          </w:p>
        </w:tc>
        <w:tc>
          <w:tcPr>
            <w:tcW w:w="100" w:type="dxa"/>
            <w:vAlign w:val="bottom"/>
          </w:tcPr>
          <w:p>
            <w:pPr>
              <w:spacing w:after="0"/>
              <w:rPr>
                <w:sz w:val="18"/>
                <w:szCs w:val="18"/>
                <w:color w:val="auto"/>
              </w:rPr>
            </w:pPr>
          </w:p>
        </w:tc>
        <w:tc>
          <w:tcPr>
            <w:tcW w:w="1660" w:type="dxa"/>
            <w:vAlign w:val="bottom"/>
            <w:gridSpan w:val="2"/>
          </w:tcPr>
          <w:p>
            <w:pPr>
              <w:ind w:left="220"/>
              <w:spacing w:after="0"/>
              <w:rPr>
                <w:sz w:val="20"/>
                <w:szCs w:val="20"/>
                <w:color w:val="auto"/>
              </w:rPr>
            </w:pPr>
            <w:r>
              <w:rPr>
                <w:rFonts w:ascii="Arial" w:cs="Arial" w:eastAsia="Arial" w:hAnsi="Arial"/>
                <w:sz w:val="16"/>
                <w:szCs w:val="16"/>
                <w:b w:val="1"/>
                <w:bCs w:val="1"/>
                <w:color w:val="auto"/>
              </w:rPr>
              <w:t>Percent Change</w:t>
            </w:r>
          </w:p>
        </w:tc>
        <w:tc>
          <w:tcPr>
            <w:tcW w:w="220" w:type="dxa"/>
            <w:vAlign w:val="bottom"/>
          </w:tcPr>
          <w:p>
            <w:pPr>
              <w:spacing w:after="0"/>
              <w:rPr>
                <w:sz w:val="18"/>
                <w:szCs w:val="18"/>
                <w:color w:val="auto"/>
              </w:rPr>
            </w:pPr>
          </w:p>
        </w:tc>
        <w:tc>
          <w:tcPr>
            <w:tcW w:w="1220" w:type="dxa"/>
            <w:vAlign w:val="bottom"/>
          </w:tcPr>
          <w:p>
            <w:pPr>
              <w:jc w:val="right"/>
              <w:ind w:right="214"/>
              <w:spacing w:after="0"/>
              <w:rPr>
                <w:sz w:val="20"/>
                <w:szCs w:val="20"/>
                <w:color w:val="auto"/>
              </w:rPr>
            </w:pPr>
            <w:r>
              <w:rPr>
                <w:rFonts w:ascii="Arial" w:cs="Arial" w:eastAsia="Arial" w:hAnsi="Arial"/>
                <w:sz w:val="16"/>
                <w:szCs w:val="16"/>
                <w:b w:val="1"/>
                <w:bCs w:val="1"/>
                <w:color w:val="auto"/>
              </w:rPr>
              <w:t>July 2, 2023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232"/>
              <w:spacing w:after="0"/>
              <w:rPr>
                <w:sz w:val="20"/>
                <w:szCs w:val="20"/>
                <w:color w:val="auto"/>
              </w:rPr>
            </w:pPr>
            <w:r>
              <w:rPr>
                <w:rFonts w:ascii="Arial" w:cs="Arial" w:eastAsia="Arial" w:hAnsi="Arial"/>
                <w:sz w:val="16"/>
                <w:szCs w:val="16"/>
                <w:b w:val="1"/>
                <w:bCs w:val="1"/>
                <w:color w:val="auto"/>
              </w:rPr>
              <w:t>July 3, 2022</w:t>
            </w:r>
          </w:p>
        </w:tc>
        <w:tc>
          <w:tcPr>
            <w:tcW w:w="120" w:type="dxa"/>
            <w:vAlign w:val="bottom"/>
          </w:tcPr>
          <w:p>
            <w:pPr>
              <w:spacing w:after="0"/>
              <w:rPr>
                <w:sz w:val="18"/>
                <w:szCs w:val="18"/>
                <w:color w:val="auto"/>
              </w:rPr>
            </w:pPr>
          </w:p>
        </w:tc>
        <w:tc>
          <w:tcPr>
            <w:tcW w:w="1540" w:type="dxa"/>
            <w:vAlign w:val="bottom"/>
          </w:tcPr>
          <w:p>
            <w:pPr>
              <w:jc w:val="right"/>
              <w:ind w:right="139"/>
              <w:spacing w:after="0"/>
              <w:rPr>
                <w:sz w:val="20"/>
                <w:szCs w:val="20"/>
                <w:color w:val="auto"/>
              </w:rPr>
            </w:pPr>
            <w:r>
              <w:rPr>
                <w:rFonts w:ascii="Arial" w:cs="Arial" w:eastAsia="Arial" w:hAnsi="Arial"/>
                <w:sz w:val="16"/>
                <w:szCs w:val="16"/>
                <w:b w:val="1"/>
                <w:bCs w:val="1"/>
                <w:color w:val="auto"/>
              </w:rPr>
              <w:t>Percent Change</w:t>
            </w:r>
          </w:p>
        </w:tc>
        <w:tc>
          <w:tcPr>
            <w:tcW w:w="0" w:type="dxa"/>
            <w:vAlign w:val="bottom"/>
          </w:tcPr>
          <w:p>
            <w:pPr>
              <w:spacing w:after="0"/>
              <w:rPr>
                <w:sz w:val="1"/>
                <w:szCs w:val="1"/>
                <w:color w:val="auto"/>
              </w:rPr>
            </w:pPr>
          </w:p>
        </w:tc>
      </w:tr>
      <w:tr>
        <w:trPr>
          <w:trHeight w:val="160"/>
        </w:trPr>
        <w:tc>
          <w:tcPr>
            <w:tcW w:w="1840" w:type="dxa"/>
            <w:vAlign w:val="bottom"/>
            <w:vMerge w:val="continue"/>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224.8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207.2</w:t>
            </w:r>
          </w:p>
        </w:tc>
        <w:tc>
          <w:tcPr>
            <w:tcW w:w="19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8.5 %  $</w:t>
            </w: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490.3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430.2</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14.0 %</w:t>
            </w:r>
          </w:p>
        </w:tc>
        <w:tc>
          <w:tcPr>
            <w:tcW w:w="0" w:type="dxa"/>
            <w:vAlign w:val="bottom"/>
          </w:tcPr>
          <w:p>
            <w:pPr>
              <w:spacing w:after="0"/>
              <w:rPr>
                <w:sz w:val="1"/>
                <w:szCs w:val="1"/>
                <w:color w:val="auto"/>
              </w:rPr>
            </w:pPr>
          </w:p>
        </w:tc>
      </w:tr>
      <w:tr>
        <w:trPr>
          <w:trHeight w:val="229"/>
        </w:trPr>
        <w:tc>
          <w:tcPr>
            <w:tcW w:w="184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00" w:type="dxa"/>
            <w:vAlign w:val="bottom"/>
          </w:tcPr>
          <w:p>
            <w:pPr>
              <w:spacing w:after="0"/>
              <w:rPr>
                <w:sz w:val="19"/>
                <w:szCs w:val="19"/>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30.7</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34.0 %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96.2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72.7</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32.3 %</w:t>
            </w:r>
          </w:p>
        </w:tc>
        <w:tc>
          <w:tcPr>
            <w:tcW w:w="0" w:type="dxa"/>
            <w:vAlign w:val="bottom"/>
          </w:tcPr>
          <w:p>
            <w:pPr>
              <w:spacing w:after="0"/>
              <w:rPr>
                <w:sz w:val="1"/>
                <w:szCs w:val="1"/>
                <w:color w:val="auto"/>
              </w:rPr>
            </w:pPr>
          </w:p>
        </w:tc>
      </w:tr>
      <w:tr>
        <w:trPr>
          <w:trHeight w:val="243"/>
        </w:trPr>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18.3 %</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14.8 %</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19.6 %</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16.9 %</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Second Quarter 2023 vs. Second Quarter 2022</w:t>
      </w:r>
    </w:p>
    <w:p>
      <w:pPr>
        <w:spacing w:after="0" w:line="16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Net sales of our International segment increased $17.6 million, or 8.5%, in the second quarter of 2023 compared to the same period of 2022, reflecting a favorable price realization of 3.4%, a volume increase of 2.8%, primarily attributable to solid marketplace growth across the segment, and a favorable impact from foreign currency exchange rates of 2.3%, primarily driven by Mexico. The net sales increase was primarily driven by Mexico and Brazil &amp; Latin America (“LATAM”), where net sales increased by 22.6% and 12.7%, respectively.</w:t>
      </w:r>
    </w:p>
    <w:p>
      <w:pPr>
        <w:spacing w:after="0" w:line="11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International segment generated income of $41.1 million in the second quarter of 2023 compared to $30.7 million in the second quarter of 2022, driven primarily by favorable price realization, volume increases and favorable product mix, partially offset by supply chain costs.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First Six Months 2023 vs. First Six Months 2022</w:t>
      </w:r>
    </w:p>
    <w:p>
      <w:pPr>
        <w:sectPr>
          <w:pgSz w:w="11900" w:h="16838" w:orient="portrait"/>
          <w:cols w:equalWidth="0" w:num="1">
            <w:col w:w="11240"/>
          </w:cols>
          <w:pgMar w:left="320" w:top="125" w:right="339" w:bottom="0" w:gutter="0" w:footer="0" w:header="0"/>
        </w:sectPr>
      </w:pPr>
    </w:p>
    <w:bookmarkStart w:id="44" w:name="page45"/>
    <w:bookmarkEnd w:id="44"/>
    <w:p>
      <w:pPr>
        <w:ind w:right="120"/>
        <w:spacing w:after="0" w:line="259" w:lineRule="auto"/>
        <w:rPr>
          <w:sz w:val="20"/>
          <w:szCs w:val="20"/>
          <w:color w:val="auto"/>
        </w:rPr>
      </w:pPr>
      <w:r>
        <w:rPr>
          <w:rFonts w:ascii="Arial" w:cs="Arial" w:eastAsia="Arial" w:hAnsi="Arial"/>
          <w:sz w:val="18"/>
          <w:szCs w:val="18"/>
          <w:color w:val="auto"/>
        </w:rPr>
        <w:t>Net sales of our International segment increased $60.1 million, or 14.0%, in the first six months of 2023 compared to the same period of 2022, reflecting a volume increase of 7.8%, primarily attributable to solid marketplace growth across the segment, a favorable price realization of 4.3% and a favorable impact from foreign currency exchange rates of 1.9%, primarily driven by Mexico. The net sales increase was primarily driven by LATAM and Mexico, where net sales increased by 25.8% and 20.3%, respectively.</w:t>
      </w:r>
    </w:p>
    <w:p>
      <w:pPr>
        <w:spacing w:after="0" w:line="119"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Our International segment generated income of $96.2 million in the first six months of 2023 compared to $72.7 million in the first six months of 2022, driven primarily by favorable price realization, volume increases and favorable product mix, partially offset by supply chain costs.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Unallocated Corporate Expense</w:t>
      </w:r>
    </w:p>
    <w:p>
      <w:pPr>
        <w:spacing w:after="0" w:line="10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Unallocated corporate expense 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 and integration-related costs and (e) other gains or losses that are not integral to segment performance.</w:t>
      </w:r>
    </w:p>
    <w:p>
      <w:pPr>
        <w:spacing w:after="0" w:line="119"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In the second quarter of 2023, unallocated corporate expense totaled $186.6 million, as compared to $188.9 million in the second quarter of 2022. The decrease was primarily driven by a loss recognized in the prior year on the sale of non-operating assets, partially offset by an increase in acquisition and integration related costs, as well as investments in capabilities and technology and higher compensation costs.</w:t>
      </w:r>
    </w:p>
    <w:p>
      <w:pPr>
        <w:spacing w:after="0" w:line="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the first six months of 2023, unallocated corporate expense totaled $363.7 million, as compared to $339.1 million in the first six months of 2022. The increase is primarily driven by higher acquisition and integration related costs, as well as incremental investments in capabilities and technology and higher compensation costs, partially offset by a loss recognized in the prior year on the sale of non-operating assets.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Historically, our primary source of liquidity has been cash generated from operations. Domestic seasonal working capital needs, which typically peak during the summer months, are generally met by utilizing cash on hand, bank borrowings or the issuance of commercial paper. Commercial paper may also be issued, from time to time, to finance ongoing business transactions, such as the repayment of long-term debt, business acquisitions and for other general corporate purposes.</w:t>
      </w:r>
    </w:p>
    <w:p>
      <w:pPr>
        <w:spacing w:after="0" w:line="6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At July 2, 2023, our cash and cash equivalents totaled $446.2 million, a decrease of $17.7 million compared to the 2022 year-end balance. We believe we have sufficient liquidity to satisfy our cash needs, including our new unsecured revolving credit facility which allows the Company to borrow up to $1.35 billion with the option to increase borrowings by an additional $500 million with the consent of the lenders. Additional details regarding the net uses of cash are outlined in the following discussion.</w:t>
      </w:r>
    </w:p>
    <w:p>
      <w:pPr>
        <w:spacing w:after="0" w:line="13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Approximately 85% of the balance of our cash and cash equivalents at July 2, 2023 was held by subsidiaries domiciled outside of the United States. A majority of this balance is distributable to the United States without material tax implications, such as withholding tax. We intend to continue to reinvest the remainder of the earnings outside of the United States for which there would be a material tax implication to distributing for the foreseeable future and, therefore, have not recognized additional tax expense on these earnings. We believe that our existing sources of liquidity are adequate to meet anticipated funding needs at comparable risk-based interest rates for the foreseeable future. Acquisition spending and/or share repurchases could potentially increase our debt. Operating cash flow and access to capital markets are expected to satisfy our various short- and long-term cash flow requirements, including acquisitions and capital expenditures.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derived from our Consolidated Statements of Cash Flows: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1500" w:type="dxa"/>
            <w:vAlign w:val="bottom"/>
            <w:tcBorders>
              <w:bottom w:val="single" w:sz="8" w:color="auto"/>
            </w:tcBorders>
          </w:tcPr>
          <w:p>
            <w:pPr>
              <w:spacing w:after="0"/>
              <w:rPr>
                <w:sz w:val="18"/>
                <w:szCs w:val="18"/>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millions of dollars</w:t>
            </w:r>
          </w:p>
        </w:tc>
        <w:tc>
          <w:tcPr>
            <w:tcW w:w="3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53"/>
              <w:spacing w:after="0"/>
              <w:rPr>
                <w:sz w:val="20"/>
                <w:szCs w:val="20"/>
                <w:color w:val="auto"/>
              </w:rPr>
            </w:pPr>
            <w:r>
              <w:rPr>
                <w:rFonts w:ascii="Arial" w:cs="Arial" w:eastAsia="Arial" w:hAnsi="Arial"/>
                <w:sz w:val="16"/>
                <w:szCs w:val="16"/>
                <w:b w:val="1"/>
                <w:bCs w:val="1"/>
                <w:color w:val="auto"/>
                <w:w w:val="95"/>
              </w:rPr>
              <w:t>July 2, 2023</w:t>
            </w: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w w:val="93"/>
              </w:rPr>
              <w:t>July 3, 2022</w:t>
            </w:r>
          </w:p>
        </w:tc>
      </w:tr>
      <w:tr>
        <w:trPr>
          <w:trHeight w:val="226"/>
        </w:trPr>
        <w:tc>
          <w:tcPr>
            <w:tcW w:w="20" w:type="dxa"/>
            <w:vAlign w:val="bottom"/>
            <w:shd w:val="clear" w:color="auto" w:fill="CCEEFF"/>
          </w:tcPr>
          <w:p>
            <w:pPr>
              <w:spacing w:after="0"/>
              <w:rPr>
                <w:sz w:val="19"/>
                <w:szCs w:val="19"/>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3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4100" w:type="dxa"/>
            <w:vAlign w:val="bottom"/>
            <w:gridSpan w:val="3"/>
          </w:tcPr>
          <w:p>
            <w:pPr>
              <w:jc w:val="right"/>
              <w:ind w:right="3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1,049.8</w:t>
            </w:r>
          </w:p>
        </w:tc>
        <w:tc>
          <w:tcPr>
            <w:tcW w:w="74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1,113.8</w:t>
            </w:r>
          </w:p>
        </w:tc>
      </w:tr>
      <w:tr>
        <w:trPr>
          <w:trHeight w:val="243"/>
        </w:trPr>
        <w:tc>
          <w:tcPr>
            <w:tcW w:w="20" w:type="dxa"/>
            <w:vAlign w:val="bottom"/>
            <w:shd w:val="clear" w:color="auto" w:fill="CCEEFF"/>
          </w:tcPr>
          <w:p>
            <w:pPr>
              <w:spacing w:after="0"/>
              <w:rPr>
                <w:sz w:val="21"/>
                <w:szCs w:val="21"/>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3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(516.0)</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w:t>
            </w:r>
          </w:p>
        </w:tc>
      </w:tr>
      <w:tr>
        <w:trPr>
          <w:trHeight w:val="230"/>
        </w:trPr>
        <w:tc>
          <w:tcPr>
            <w:tcW w:w="20" w:type="dxa"/>
            <w:vAlign w:val="bottom"/>
          </w:tcPr>
          <w:p>
            <w:pPr>
              <w:spacing w:after="0"/>
              <w:rPr>
                <w:sz w:val="19"/>
                <w:szCs w:val="19"/>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3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(506.7)</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(755.4)</w:t>
            </w:r>
          </w:p>
        </w:tc>
      </w:tr>
      <w:tr>
        <w:trPr>
          <w:trHeight w:val="229"/>
        </w:trPr>
        <w:tc>
          <w:tcPr>
            <w:tcW w:w="20" w:type="dxa"/>
            <w:vAlign w:val="bottom"/>
            <w:shd w:val="clear" w:color="auto" w:fill="CCEEFF"/>
          </w:tcPr>
          <w:p>
            <w:pPr>
              <w:spacing w:after="0"/>
              <w:rPr>
                <w:sz w:val="19"/>
                <w:szCs w:val="19"/>
                <w:color w:val="auto"/>
              </w:rPr>
            </w:pPr>
          </w:p>
        </w:tc>
        <w:tc>
          <w:tcPr>
            <w:tcW w:w="74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20" w:type="dxa"/>
            <w:vAlign w:val="bottom"/>
          </w:tcPr>
          <w:p>
            <w:pPr>
              <w:spacing w:after="0"/>
              <w:rPr>
                <w:sz w:val="19"/>
                <w:szCs w:val="19"/>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Net change in cash and cash equivalents</w:t>
            </w:r>
          </w:p>
        </w:tc>
        <w:tc>
          <w:tcPr>
            <w:tcW w:w="3500" w:type="dxa"/>
            <w:vAlign w:val="bottom"/>
            <w:gridSpan w:val="2"/>
          </w:tcPr>
          <w:p>
            <w:pPr>
              <w:spacing w:after="0"/>
              <w:rPr>
                <w:sz w:val="19"/>
                <w:szCs w:val="19"/>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w:t>
            </w:r>
          </w:p>
        </w:tc>
      </w:tr>
      <w:tr>
        <w:trPr>
          <w:trHeight w:val="21"/>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776"/>
        </w:trPr>
        <w:tc>
          <w:tcPr>
            <w:tcW w:w="20" w:type="dxa"/>
            <w:vAlign w:val="bottom"/>
          </w:tcPr>
          <w:p>
            <w:pPr>
              <w:spacing w:after="0"/>
              <w:rPr>
                <w:sz w:val="24"/>
                <w:szCs w:val="24"/>
                <w:color w:val="auto"/>
              </w:rPr>
            </w:pPr>
          </w:p>
        </w:tc>
        <w:tc>
          <w:tcPr>
            <w:tcW w:w="336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4100" w:type="dxa"/>
            <w:vAlign w:val="bottom"/>
            <w:gridSpan w:val="3"/>
          </w:tcPr>
          <w:p>
            <w:pPr>
              <w:jc w:val="right"/>
              <w:spacing w:after="0"/>
              <w:rPr>
                <w:sz w:val="20"/>
                <w:szCs w:val="20"/>
                <w:color w:val="auto"/>
              </w:rPr>
            </w:pPr>
            <w:r>
              <w:rPr>
                <w:rFonts w:ascii="Arial" w:cs="Arial" w:eastAsia="Arial" w:hAnsi="Arial"/>
                <w:sz w:val="16"/>
                <w:szCs w:val="16"/>
                <w:color w:val="auto"/>
              </w:rPr>
              <w:t>The Hershey Company | Q2 2023 Form 10-Q | Page 42</w:t>
            </w: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541"/>
        </w:trPr>
        <w:tc>
          <w:tcPr>
            <w:tcW w:w="20" w:type="dxa"/>
            <w:vAlign w:val="bottom"/>
            <w:tcBorders>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-530860</wp:posOffset>
            </wp:positionV>
            <wp:extent cx="19685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04"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We generated cash of $1,049.8 million from operating activities in the first six months of 2023, an decrease of $64.0 million compared to $1,113.8 million in the same period of 2022. This decrease in net cash provided by operating activities was mainly driven by the following factors:</w:t>
      </w:r>
    </w:p>
    <w:p>
      <w:pPr>
        <w:spacing w:after="0" w:line="70" w:lineRule="exact"/>
        <w:rPr>
          <w:sz w:val="20"/>
          <w:szCs w:val="20"/>
          <w:color w:val="auto"/>
        </w:rPr>
      </w:pPr>
    </w:p>
    <w:p>
      <w:pPr>
        <w:ind w:left="340" w:right="20" w:hanging="332"/>
        <w:spacing w:after="0" w:line="26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aggregate, select net working capital items, specifically, trade accounts receivable, inventory, accounts payable and accrued liabilities, consumed cash of $265.7 million in 2023, compared to $77.5 million in 2022. This $188.2 million fluctuation was mainly driven by the timing of vendor and supplier payments.</w:t>
      </w:r>
    </w:p>
    <w:p>
      <w:pPr>
        <w:spacing w:after="0" w:line="129" w:lineRule="exact"/>
        <w:rPr>
          <w:rFonts w:ascii="Arial" w:cs="Arial" w:eastAsia="Arial" w:hAnsi="Arial"/>
          <w:sz w:val="18"/>
          <w:szCs w:val="18"/>
          <w:color w:val="auto"/>
        </w:rPr>
      </w:pPr>
    </w:p>
    <w:p>
      <w:pPr>
        <w:ind w:left="340" w:right="120" w:hanging="332"/>
        <w:spacing w:after="0" w:line="286"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Timing of income tax payments contributed to a decrease in operating cash of $3.7 million in 2023, compared to an increase of $51.9 million in 2022. This $55.6 million fluctuation was primarily due to the variance in actual tax expense for 2023 relative to the timing of quarterly estimated tax payments. We paid cash of $229.1 million for income taxes during 2023 compared to $172.9 million in the same period of 2022.</w:t>
      </w:r>
    </w:p>
    <w:p>
      <w:pPr>
        <w:spacing w:after="0" w:line="111" w:lineRule="exact"/>
        <w:rPr>
          <w:rFonts w:ascii="Arial" w:cs="Arial" w:eastAsia="Arial" w:hAnsi="Arial"/>
          <w:sz w:val="17"/>
          <w:szCs w:val="17"/>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decrease in cash provided by operating activities was partially offset by the following net cash inflows:</w:t>
      </w:r>
    </w:p>
    <w:p>
      <w:pPr>
        <w:spacing w:after="0" w:line="171" w:lineRule="exact"/>
        <w:rPr>
          <w:sz w:val="20"/>
          <w:szCs w:val="20"/>
          <w:color w:val="auto"/>
        </w:rPr>
      </w:pPr>
    </w:p>
    <w:p>
      <w:pPr>
        <w:ind w:left="980" w:right="300" w:hanging="324"/>
        <w:spacing w:after="0" w:line="342"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Net income adjusted for non-cash charges to operations (including depreciation, amortization, stock-based compensation, deferred income taxes, a write-down of equity investments and other charges) resulted in $167.0 million of higher cash flow in 2023 relative to 2022.</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used cash of $516.0 million for investing activities in the first six months of 2023, an increase of $165.0 million compared to $351.0 million in the same period of 2022. This increase in net cash used in investing activities was mainly driven by the following factors:</w:t>
      </w:r>
    </w:p>
    <w:p>
      <w:pPr>
        <w:spacing w:after="0" w:line="116" w:lineRule="exact"/>
        <w:rPr>
          <w:sz w:val="20"/>
          <w:szCs w:val="20"/>
          <w:color w:val="auto"/>
        </w:rPr>
      </w:pPr>
    </w:p>
    <w:p>
      <w:pPr>
        <w:ind w:left="340" w:right="60" w:hanging="332"/>
        <w:spacing w:after="0" w:line="293" w:lineRule="auto"/>
        <w:tabs>
          <w:tab w:leader="none" w:pos="340"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Capital spending</w:t>
      </w:r>
      <w:r>
        <w:rPr>
          <w:rFonts w:ascii="Arial" w:cs="Arial" w:eastAsia="Arial" w:hAnsi="Arial"/>
          <w:sz w:val="16"/>
          <w:szCs w:val="16"/>
          <w:color w:val="auto"/>
        </w:rPr>
        <w:t>. Capital expenditures, including capitalized software, primarily to support our ERP system implementation, capacity expansion,</w:t>
      </w:r>
      <w:r>
        <w:rPr>
          <w:rFonts w:ascii="Arial" w:cs="Arial" w:eastAsia="Arial" w:hAnsi="Arial"/>
          <w:sz w:val="16"/>
          <w:szCs w:val="16"/>
          <w:i w:val="1"/>
          <w:iCs w:val="1"/>
          <w:color w:val="auto"/>
        </w:rPr>
        <w:t xml:space="preserve"> </w:t>
      </w:r>
      <w:r>
        <w:rPr>
          <w:rFonts w:ascii="Arial" w:cs="Arial" w:eastAsia="Arial" w:hAnsi="Arial"/>
          <w:sz w:val="16"/>
          <w:szCs w:val="16"/>
          <w:color w:val="auto"/>
        </w:rPr>
        <w:t>innovation and cost savings, were $330.5 million in the first six months of 2023 compared to $241.0 million in the same period of 2022. Expenditures increased due to progress on capacity expansion projects and our ERP system implementation. We expect 2023 capital expenditures, including capitalized software, to approximate $800 million to $850 million. The increase in our 2023 capital expenditures is largely driven by our key strategic initiatives, including core confection capacity expansion and continued investments in a digital infrastructure including the build and upgrade of a new ERP system across the enterprise. We intend to use our existing cash and internally generated funds to meet our 2023 capital requirements.</w:t>
      </w:r>
    </w:p>
    <w:p>
      <w:pPr>
        <w:spacing w:after="0" w:line="110" w:lineRule="exact"/>
        <w:rPr>
          <w:rFonts w:ascii="Arial" w:cs="Arial" w:eastAsia="Arial" w:hAnsi="Arial"/>
          <w:sz w:val="16"/>
          <w:szCs w:val="16"/>
          <w:i w:val="1"/>
          <w:iCs w:val="1"/>
          <w:color w:val="auto"/>
        </w:rPr>
      </w:pPr>
    </w:p>
    <w:p>
      <w:pPr>
        <w:ind w:left="340" w:hanging="332"/>
        <w:spacing w:after="0" w:line="263"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Investments in partnerships qualifying for tax credits</w:t>
      </w:r>
      <w:r>
        <w:rPr>
          <w:rFonts w:ascii="Arial" w:cs="Arial" w:eastAsia="Arial" w:hAnsi="Arial"/>
          <w:sz w:val="18"/>
          <w:szCs w:val="18"/>
          <w:color w:val="auto"/>
        </w:rPr>
        <w:t>. We make investments in partnership entities that in turn make equity investments in projects</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to receive federal historic and renewable energy tax credits. We invested approximately $19.1 million in the first six months of 2023, compared to $116.2 million in the same period of 2022.</w:t>
      </w:r>
    </w:p>
    <w:p>
      <w:pPr>
        <w:spacing w:after="0" w:line="129" w:lineRule="exact"/>
        <w:rPr>
          <w:rFonts w:ascii="Arial" w:cs="Arial" w:eastAsia="Arial" w:hAnsi="Arial"/>
          <w:sz w:val="18"/>
          <w:szCs w:val="18"/>
          <w:color w:val="auto"/>
        </w:rPr>
      </w:pPr>
    </w:p>
    <w:p>
      <w:pPr>
        <w:ind w:left="340" w:right="360" w:hanging="332"/>
        <w:spacing w:after="0" w:line="342"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Business Acquisition</w:t>
      </w:r>
      <w:r>
        <w:rPr>
          <w:rFonts w:ascii="Arial" w:cs="Arial" w:eastAsia="Arial" w:hAnsi="Arial"/>
          <w:sz w:val="16"/>
          <w:szCs w:val="16"/>
          <w:color w:val="auto"/>
        </w:rPr>
        <w:t>. In May 2023, we acquired Weaver for an initial cash purchase price of $165.8 million. Further details regarding our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acquisition activity is provided in </w:t>
      </w:r>
      <w:r>
        <w:rPr>
          <w:rFonts w:ascii="Arial" w:cs="Arial" w:eastAsia="Arial" w:hAnsi="Arial"/>
          <w:sz w:val="16"/>
          <w:szCs w:val="16"/>
          <w:u w:val="single" w:color="auto"/>
          <w:color w:val="0000FF"/>
        </w:rPr>
        <w:t>Note 2</w:t>
      </w:r>
      <w:r>
        <w:rPr>
          <w:rFonts w:ascii="Arial" w:cs="Arial" w:eastAsia="Arial" w:hAnsi="Arial"/>
          <w:sz w:val="16"/>
          <w:szCs w:val="16"/>
          <w:color w:val="auto"/>
        </w:rPr>
        <w:t xml:space="preserve"> to the Unaudited Consolidated Financial Statements. In 2022, we had no acquisition activity.</w:t>
      </w:r>
    </w:p>
    <w:p>
      <w:pPr>
        <w:spacing w:after="0" w:line="69" w:lineRule="exact"/>
        <w:rPr>
          <w:rFonts w:ascii="Arial" w:cs="Arial" w:eastAsia="Arial" w:hAnsi="Arial"/>
          <w:sz w:val="16"/>
          <w:szCs w:val="16"/>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Other investing activities</w:t>
      </w:r>
      <w:r>
        <w:rPr>
          <w:rFonts w:ascii="Arial" w:cs="Arial" w:eastAsia="Arial" w:hAnsi="Arial"/>
          <w:sz w:val="18"/>
          <w:szCs w:val="18"/>
          <w:color w:val="auto"/>
        </w:rPr>
        <w:t>. In 2023 and 2022, our other investing activities were minimal.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used cash of $506.7 million for financing activities in the first six months of 2023, a decrease of $248.7 million compared to $755.4 million in the same period of 2022. This decrease in net cash used in financing activities was mainly driven by the following factors:</w:t>
      </w:r>
    </w:p>
    <w:p>
      <w:pPr>
        <w:spacing w:after="0" w:line="116" w:lineRule="exact"/>
        <w:rPr>
          <w:sz w:val="20"/>
          <w:szCs w:val="20"/>
          <w:color w:val="auto"/>
        </w:rPr>
      </w:pPr>
    </w:p>
    <w:p>
      <w:pPr>
        <w:ind w:left="340" w:right="440" w:hanging="332"/>
        <w:spacing w:after="0" w:line="287" w:lineRule="auto"/>
        <w:tabs>
          <w:tab w:leader="none" w:pos="340"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Short-term borrowings, net. </w:t>
      </w:r>
      <w:r>
        <w:rPr>
          <w:rFonts w:ascii="Arial" w:cs="Arial" w:eastAsia="Arial" w:hAnsi="Arial"/>
          <w:sz w:val="16"/>
          <w:szCs w:val="16"/>
          <w:color w:val="auto"/>
        </w:rPr>
        <w:t>In addition to utilizing cash on hand, we use short-term borrowings (commercial paper and bank borrowings) to fund</w:t>
      </w:r>
      <w:r>
        <w:rPr>
          <w:rFonts w:ascii="Arial" w:cs="Arial" w:eastAsia="Arial" w:hAnsi="Arial"/>
          <w:sz w:val="16"/>
          <w:szCs w:val="16"/>
          <w:i w:val="1"/>
          <w:iCs w:val="1"/>
          <w:color w:val="auto"/>
        </w:rPr>
        <w:t xml:space="preserve"> </w:t>
      </w:r>
      <w:r>
        <w:rPr>
          <w:rFonts w:ascii="Arial" w:cs="Arial" w:eastAsia="Arial" w:hAnsi="Arial"/>
          <w:sz w:val="16"/>
          <w:szCs w:val="16"/>
          <w:color w:val="auto"/>
        </w:rPr>
        <w:t>seasonal working capital requirements and ongoing business needs. During the first six months of 2023, we generated cash of $170.0 million predominately through the issuance of short-term commercial paper, as well as an increase in short-term foreign bank borrowings. During the</w:t>
      </w:r>
    </w:p>
    <w:p>
      <w:pPr>
        <w:spacing w:after="0" w:line="2" w:lineRule="exact"/>
        <w:rPr>
          <w:rFonts w:ascii="Arial" w:cs="Arial" w:eastAsia="Arial" w:hAnsi="Arial"/>
          <w:sz w:val="16"/>
          <w:szCs w:val="16"/>
          <w:i w:val="1"/>
          <w:iCs w:val="1"/>
          <w:color w:val="auto"/>
        </w:rPr>
      </w:pPr>
    </w:p>
    <w:p>
      <w:pPr>
        <w:ind w:left="340" w:right="100"/>
        <w:spacing w:after="0" w:line="260" w:lineRule="auto"/>
        <w:rPr>
          <w:rFonts w:ascii="Arial" w:cs="Arial" w:eastAsia="Arial" w:hAnsi="Arial"/>
          <w:sz w:val="16"/>
          <w:szCs w:val="16"/>
          <w:i w:val="1"/>
          <w:iCs w:val="1"/>
          <w:color w:val="auto"/>
        </w:rPr>
      </w:pPr>
      <w:r>
        <w:rPr>
          <w:rFonts w:ascii="Arial" w:cs="Arial" w:eastAsia="Arial" w:hAnsi="Arial"/>
          <w:sz w:val="18"/>
          <w:szCs w:val="18"/>
          <w:color w:val="auto"/>
        </w:rPr>
        <w:t>first six months of 2022, we used cash of $24.5 million to reduce a portion of our short-term commercial paper borrowings originally used to fund our 2021 acquisitions of Dot’s and Pretzels, partially offset by an increase in short-term foreign bank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272415</wp:posOffset>
            </wp:positionV>
            <wp:extent cx="19685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Q2 2023 Form 10-Q | 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6" w:name="page47"/>
    <w:bookmarkEnd w:id="46"/>
    <w:p>
      <w:pPr>
        <w:ind w:left="340" w:right="100" w:hanging="332"/>
        <w:spacing w:after="0" w:line="259"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Long-term debt borrowings and repayments</w:t>
      </w:r>
      <w:r>
        <w:rPr>
          <w:rFonts w:ascii="Arial" w:cs="Arial" w:eastAsia="Arial" w:hAnsi="Arial"/>
          <w:sz w:val="18"/>
          <w:szCs w:val="18"/>
          <w:color w:val="auto"/>
        </w:rPr>
        <w:t>. During the first six months of 2023, we issued $350 million of 4.250% Notes due in May 2028 and $400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of 4.500% Notes due in May 2033 (the “2023 Notes”). Proceeds from the issuance of the 2023 Notes, net of discounts and issuance costs, totaled $744,092. Additionally, in May 2023 we repaid $250 million of 2.625% Notes and $500 million of 3.375% Notes due upon their maturity During the first six months of 2022, long-term debt borrowings and repayments were minimal.</w:t>
      </w:r>
    </w:p>
    <w:p>
      <w:pPr>
        <w:spacing w:after="0" w:line="132" w:lineRule="exact"/>
        <w:rPr>
          <w:rFonts w:ascii="Arial" w:cs="Arial" w:eastAsia="Arial" w:hAnsi="Arial"/>
          <w:sz w:val="18"/>
          <w:szCs w:val="18"/>
          <w:color w:val="auto"/>
        </w:rPr>
      </w:pPr>
    </w:p>
    <w:p>
      <w:pPr>
        <w:ind w:left="340" w:right="160" w:hanging="332"/>
        <w:spacing w:after="0" w:line="263"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Dividend payments</w:t>
      </w:r>
      <w:r>
        <w:rPr>
          <w:rFonts w:ascii="Arial" w:cs="Arial" w:eastAsia="Arial" w:hAnsi="Arial"/>
          <w:sz w:val="18"/>
          <w:szCs w:val="18"/>
          <w:color w:val="auto"/>
        </w:rPr>
        <w:t>. Total dividend payments to holders of our Common Stock and Class B Common Stock were $413.5 million during the first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2023, an increase of $52.5 million compared to $361.0 million in the same period of 2022. Details regarding our 2023 cash dividends paid to stockholders are as follows: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6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80" w:type="dxa"/>
            <w:vAlign w:val="bottom"/>
            <w:gridSpan w:val="3"/>
          </w:tcPr>
          <w:p>
            <w:pPr>
              <w:ind w:left="1200"/>
              <w:spacing w:after="0"/>
              <w:rPr>
                <w:sz w:val="20"/>
                <w:szCs w:val="20"/>
                <w:color w:val="auto"/>
              </w:rPr>
            </w:pPr>
            <w:r>
              <w:rPr>
                <w:rFonts w:ascii="Arial" w:cs="Arial" w:eastAsia="Arial" w:hAnsi="Arial"/>
                <w:sz w:val="16"/>
                <w:szCs w:val="16"/>
                <w:b w:val="1"/>
                <w:bCs w:val="1"/>
                <w:color w:val="auto"/>
                <w:w w:val="95"/>
              </w:rPr>
              <w:t>Quarter Ended</w:t>
            </w:r>
          </w:p>
        </w:tc>
        <w:tc>
          <w:tcPr>
            <w:tcW w:w="1480" w:type="dxa"/>
            <w:vAlign w:val="bottom"/>
          </w:tcPr>
          <w:p>
            <w:pPr>
              <w:spacing w:after="0"/>
              <w:rPr>
                <w:sz w:val="18"/>
                <w:szCs w:val="18"/>
                <w:color w:val="auto"/>
              </w:rPr>
            </w:pPr>
          </w:p>
        </w:tc>
      </w:tr>
      <w:tr>
        <w:trPr>
          <w:trHeight w:val="226"/>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of dollars except per share amounts</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rPr>
              <w:t>April 2, 2023</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0"/>
              </w:rPr>
              <w:t>July 2, 2023</w:t>
            </w:r>
          </w:p>
        </w:tc>
      </w:tr>
      <w:tr>
        <w:trPr>
          <w:trHeight w:val="237"/>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Dividends paid per share – Common stock</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1.036</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r>
      <w:tr>
        <w:trPr>
          <w:trHeight w:val="230"/>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Dividends paid per share – Class B common stock</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80" w:type="dxa"/>
            <w:vAlign w:val="bottom"/>
          </w:tcPr>
          <w:p>
            <w:pPr>
              <w:ind w:left="1200"/>
              <w:spacing w:after="0"/>
              <w:rPr>
                <w:sz w:val="20"/>
                <w:szCs w:val="20"/>
                <w:color w:val="auto"/>
              </w:rPr>
            </w:pPr>
            <w:r>
              <w:rPr>
                <w:rFonts w:ascii="Arial" w:cs="Arial" w:eastAsia="Arial" w:hAnsi="Arial"/>
                <w:sz w:val="18"/>
                <w:szCs w:val="18"/>
                <w:color w:val="auto"/>
              </w:rPr>
              <w:t>0.942</w:t>
            </w: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0.942</w:t>
            </w:r>
          </w:p>
        </w:tc>
      </w:tr>
      <w:tr>
        <w:trPr>
          <w:trHeight w:val="229"/>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cash dividends paid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207.4</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w:t>
            </w:r>
          </w:p>
        </w:tc>
      </w:tr>
    </w:tbl>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37"/>
        </w:trPr>
        <w:tc>
          <w:tcPr>
            <w:tcW w:w="4140" w:type="dxa"/>
            <w:vAlign w:val="bottom"/>
          </w:tcPr>
          <w:p>
            <w:pPr>
              <w:ind w:left="20"/>
              <w:spacing w:after="0"/>
              <w:rPr>
                <w:sz w:val="20"/>
                <w:szCs w:val="20"/>
                <w:color w:val="auto"/>
              </w:rPr>
            </w:pPr>
            <w:r>
              <w:rPr>
                <w:rFonts w:ascii="Arial" w:cs="Arial" w:eastAsia="Arial" w:hAnsi="Arial"/>
                <w:sz w:val="18"/>
                <w:szCs w:val="18"/>
                <w:color w:val="auto"/>
              </w:rPr>
              <w:t>Declaration date</w:t>
            </w:r>
          </w:p>
        </w:tc>
        <w:tc>
          <w:tcPr>
            <w:tcW w:w="4760" w:type="dxa"/>
            <w:vAlign w:val="bottom"/>
            <w:gridSpan w:val="2"/>
          </w:tcPr>
          <w:p>
            <w:pPr>
              <w:jc w:val="right"/>
              <w:ind w:right="410"/>
              <w:spacing w:after="0"/>
              <w:rPr>
                <w:sz w:val="20"/>
                <w:szCs w:val="20"/>
                <w:color w:val="auto"/>
              </w:rPr>
            </w:pPr>
            <w:r>
              <w:rPr>
                <w:rFonts w:ascii="Arial" w:cs="Arial" w:eastAsia="Arial" w:hAnsi="Arial"/>
                <w:sz w:val="18"/>
                <w:szCs w:val="18"/>
                <w:color w:val="auto"/>
              </w:rPr>
              <w:t>January 31, 2023</w:t>
            </w:r>
          </w:p>
        </w:tc>
        <w:tc>
          <w:tcPr>
            <w:tcW w:w="1600" w:type="dxa"/>
            <w:vAlign w:val="bottom"/>
          </w:tcPr>
          <w:p>
            <w:pPr>
              <w:jc w:val="right"/>
              <w:spacing w:after="0"/>
              <w:rPr>
                <w:sz w:val="20"/>
                <w:szCs w:val="20"/>
                <w:color w:val="auto"/>
              </w:rPr>
            </w:pPr>
            <w:r>
              <w:rPr>
                <w:rFonts w:ascii="Arial" w:cs="Arial" w:eastAsia="Arial" w:hAnsi="Arial"/>
                <w:sz w:val="18"/>
                <w:szCs w:val="18"/>
                <w:color w:val="auto"/>
              </w:rPr>
              <w:t>April 25, 2023</w:t>
            </w:r>
          </w:p>
        </w:tc>
      </w:tr>
      <w:tr>
        <w:trPr>
          <w:trHeight w:val="23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Record date</w:t>
            </w:r>
          </w:p>
        </w:tc>
        <w:tc>
          <w:tcPr>
            <w:tcW w:w="3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17,</w:t>
            </w:r>
          </w:p>
        </w:tc>
        <w:tc>
          <w:tcPr>
            <w:tcW w:w="8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89"/>
              </w:rPr>
              <w:t>2023</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19, 2023</w:t>
            </w: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Payment date</w:t>
            </w:r>
          </w:p>
        </w:tc>
        <w:tc>
          <w:tcPr>
            <w:tcW w:w="3880" w:type="dxa"/>
            <w:vAlign w:val="bottom"/>
          </w:tcPr>
          <w:p>
            <w:pPr>
              <w:jc w:val="right"/>
              <w:spacing w:after="0"/>
              <w:rPr>
                <w:sz w:val="20"/>
                <w:szCs w:val="20"/>
                <w:color w:val="auto"/>
              </w:rPr>
            </w:pPr>
            <w:r>
              <w:rPr>
                <w:rFonts w:ascii="Arial" w:cs="Arial" w:eastAsia="Arial" w:hAnsi="Arial"/>
                <w:sz w:val="18"/>
                <w:szCs w:val="18"/>
                <w:color w:val="auto"/>
              </w:rPr>
              <w:t>March 15,</w:t>
            </w:r>
          </w:p>
        </w:tc>
        <w:tc>
          <w:tcPr>
            <w:tcW w:w="880" w:type="dxa"/>
            <w:vAlign w:val="bottom"/>
          </w:tcPr>
          <w:p>
            <w:pPr>
              <w:jc w:val="right"/>
              <w:ind w:right="410"/>
              <w:spacing w:after="0"/>
              <w:rPr>
                <w:sz w:val="20"/>
                <w:szCs w:val="20"/>
                <w:color w:val="auto"/>
              </w:rPr>
            </w:pPr>
            <w:r>
              <w:rPr>
                <w:rFonts w:ascii="Arial" w:cs="Arial" w:eastAsia="Arial" w:hAnsi="Arial"/>
                <w:sz w:val="18"/>
                <w:szCs w:val="18"/>
                <w:color w:val="auto"/>
                <w:w w:val="89"/>
              </w:rPr>
              <w:t>2023</w:t>
            </w:r>
          </w:p>
        </w:tc>
        <w:tc>
          <w:tcPr>
            <w:tcW w:w="1600" w:type="dxa"/>
            <w:vAlign w:val="bottom"/>
          </w:tcPr>
          <w:p>
            <w:pPr>
              <w:jc w:val="right"/>
              <w:spacing w:after="0"/>
              <w:rPr>
                <w:sz w:val="20"/>
                <w:szCs w:val="20"/>
                <w:color w:val="auto"/>
              </w:rPr>
            </w:pPr>
            <w:r>
              <w:rPr>
                <w:rFonts w:ascii="Arial" w:cs="Arial" w:eastAsia="Arial" w:hAnsi="Arial"/>
                <w:sz w:val="18"/>
                <w:szCs w:val="18"/>
                <w:color w:val="auto"/>
              </w:rPr>
              <w:t>June 15, 2023</w:t>
            </w:r>
          </w:p>
        </w:tc>
      </w:tr>
    </w:tbl>
    <w:p>
      <w:pPr>
        <w:spacing w:after="0" w:line="241" w:lineRule="exact"/>
        <w:rPr>
          <w:sz w:val="20"/>
          <w:szCs w:val="20"/>
          <w:color w:val="auto"/>
        </w:rPr>
      </w:pPr>
    </w:p>
    <w:p>
      <w:pPr>
        <w:ind w:left="340" w:right="140" w:hanging="332"/>
        <w:spacing w:after="0" w:line="259" w:lineRule="auto"/>
        <w:tabs>
          <w:tab w:leader="none" w:pos="34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Share repurchases</w:t>
      </w:r>
      <w:r>
        <w:rPr>
          <w:rFonts w:ascii="Arial" w:cs="Arial" w:eastAsia="Arial" w:hAnsi="Arial"/>
          <w:sz w:val="18"/>
          <w:szCs w:val="18"/>
          <w:color w:val="auto"/>
        </w:rPr>
        <w:t>. We repurchase shares of Common Stock to offset the dilutive impact of treasury shares issued under our equity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plans. The value of these share repurchases in a given period varies based on the volume of stock options exercised and our market price. In addition, we periodically repurchase shares of Common Stock pursuant to Board-authorized programs intended to drive additional stockholder value. Details regarding our share repurchases are as follows:</w:t>
      </w:r>
    </w:p>
    <w:p>
      <w:pPr>
        <w:spacing w:after="0" w:line="132" w:lineRule="exact"/>
        <w:rPr>
          <w:rFonts w:ascii="Arial" w:cs="Arial" w:eastAsia="Arial" w:hAnsi="Arial"/>
          <w:sz w:val="18"/>
          <w:szCs w:val="18"/>
          <w:i w:val="1"/>
          <w:iCs w:val="1"/>
          <w:color w:val="auto"/>
        </w:rPr>
      </w:pPr>
    </w:p>
    <w:p>
      <w:pPr>
        <w:ind w:left="34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In February 2023, the Company entered into a Stock Purchase Agreement with Hershey Trust Company, as trustee for the Milton Hershey School Trust (the “School Trust”), pursuant to which the Company purchased 1,000,000 shares of the Company’s Common Stock from the Milton Hershey School Trust at a price equal to $239.91 per share, for a total purchase price of $239.9 million.</w:t>
      </w:r>
    </w:p>
    <w:p>
      <w:pPr>
        <w:spacing w:after="0" w:line="129" w:lineRule="exact"/>
        <w:rPr>
          <w:rFonts w:ascii="Arial" w:cs="Arial" w:eastAsia="Arial" w:hAnsi="Arial"/>
          <w:sz w:val="18"/>
          <w:szCs w:val="18"/>
          <w:i w:val="1"/>
          <w:iCs w:val="1"/>
          <w:color w:val="auto"/>
        </w:rPr>
      </w:pPr>
    </w:p>
    <w:p>
      <w:pPr>
        <w:ind w:left="340" w:right="60"/>
        <w:spacing w:after="0" w:line="275" w:lineRule="auto"/>
        <w:rPr>
          <w:rFonts w:ascii="Arial" w:cs="Arial" w:eastAsia="Arial" w:hAnsi="Arial"/>
          <w:sz w:val="18"/>
          <w:szCs w:val="18"/>
          <w:i w:val="1"/>
          <w:iCs w:val="1"/>
          <w:color w:val="auto"/>
        </w:rPr>
      </w:pPr>
      <w:r>
        <w:rPr>
          <w:rFonts w:ascii="Arial" w:cs="Arial" w:eastAsia="Arial" w:hAnsi="Arial"/>
          <w:sz w:val="17"/>
          <w:szCs w:val="17"/>
          <w:color w:val="auto"/>
        </w:rPr>
        <w:t>In July 2018, our Board of Directors approved a $500 million share repurchase authorization. In May 2021, our Board of Directors approved an additional $500 million share repurchase authorization. As a result of the February 2023 Stock Purchase Agreement with Hershey Trust Company, as trustee for the School Trust, the July 2018 share repurchase authorization was completed and as of July 2, 2023, approximately $370 million remained available for repurchases under our May 2021 share repurchase authorization. The share repurchase program does not have an expiration date. We expect 2023 share repurchases to be in line with our traditional buyback strategy.</w:t>
      </w:r>
    </w:p>
    <w:p>
      <w:pPr>
        <w:spacing w:after="0" w:line="122" w:lineRule="exact"/>
        <w:rPr>
          <w:rFonts w:ascii="Arial" w:cs="Arial" w:eastAsia="Arial" w:hAnsi="Arial"/>
          <w:sz w:val="18"/>
          <w:szCs w:val="18"/>
          <w:i w:val="1"/>
          <w:iCs w:val="1"/>
          <w:color w:val="auto"/>
        </w:rPr>
      </w:pPr>
    </w:p>
    <w:p>
      <w:pPr>
        <w:ind w:left="340" w:right="200" w:hanging="332"/>
        <w:spacing w:after="0" w:line="279" w:lineRule="auto"/>
        <w:tabs>
          <w:tab w:leader="none" w:pos="340" w:val="left"/>
        </w:tabs>
        <w:numPr>
          <w:ilvl w:val="0"/>
          <w:numId w:val="2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Proceeds from exercised stock options and employee tax withholding. </w:t>
      </w:r>
      <w:r>
        <w:rPr>
          <w:rFonts w:ascii="Arial" w:cs="Arial" w:eastAsia="Arial" w:hAnsi="Arial"/>
          <w:sz w:val="17"/>
          <w:szCs w:val="17"/>
          <w:color w:val="auto"/>
        </w:rPr>
        <w:t>During the first six months of 2023, we received $22.0 million from 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exercises of stock options and paid $33.0 million of employee taxes withheld from share-based awards. During the first six months of 2022, we received $21.8 million from employee exercises of stock options and paid $33.9 million of employee taxes withheld from share-based awards. Variances are driven primarily by the number of shares exercised and the share price at the date of grant.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Information on recently adopted and issued accounting standards is included in </w:t>
      </w:r>
      <w:r>
        <w:rPr>
          <w:rFonts w:ascii="Arial" w:cs="Arial" w:eastAsia="Arial" w:hAnsi="Arial"/>
          <w:sz w:val="18"/>
          <w:szCs w:val="18"/>
          <w:u w:val="single" w:color="auto"/>
          <w:color w:val="0000FF"/>
        </w:rPr>
        <w:t>Note 1</w:t>
      </w:r>
      <w:r>
        <w:rPr>
          <w:rFonts w:ascii="Arial" w:cs="Arial" w:eastAsia="Arial" w:hAnsi="Arial"/>
          <w:sz w:val="18"/>
          <w:szCs w:val="18"/>
          <w:color w:val="auto"/>
        </w:rPr>
        <w:t xml:space="preserve"> to the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288925</wp:posOffset>
            </wp:positionV>
            <wp:extent cx="19685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Q2 2023 Form 10-Q | 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47" w:name="page48"/>
    <w:bookmarkEnd w:id="47"/>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17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are subject to changing economic, competitive, regulatory and technological risks and uncertainties that could have a material impact on our business, financial condition or results of operations. In connection with the “safe harbor” provisions of the Private Securities Litigation Reform Act of 1995, we note the following factors that, among others, could cause future results to differ materially from the forward-looking statements, expectations and assumptions that we have discussed directly or implied in this Quarterly Report on Form 10-Q. Many of these forward-looking statements can be identified by the use of words such as “anticipate,” “assume,” “believe,” “continue,” “estimate,” “expect,” “forecast,” “future,” “intend,” “plan,” “potential,” “predict,” “project,” “strategy,” “target” and similar terms, and future or conditional tense verbs like “could,” “may,” “might,” “should,” “will” and “would,” among others.</w:t>
      </w:r>
    </w:p>
    <w:p>
      <w:pPr>
        <w:spacing w:after="0" w:line="19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factors that could cause our actual results to differ materially from the results projected in our forward-looking statements include, but are not limited to the following:</w:t>
      </w:r>
    </w:p>
    <w:p>
      <w:pPr>
        <w:spacing w:after="0" w:line="197" w:lineRule="exact"/>
        <w:rPr>
          <w:sz w:val="20"/>
          <w:szCs w:val="20"/>
          <w:color w:val="auto"/>
        </w:rPr>
      </w:pPr>
    </w:p>
    <w:p>
      <w:pPr>
        <w:ind w:left="660" w:right="28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Company’s reputation or brand image might be impacted as a result of issues or concerns relating to the quality and safety of our products, ingredients or packaging, human and workplace rights, and other environmental, social or governance matters, which in turn could result in litigation or otherwise negatively impact our operating results;</w:t>
      </w:r>
    </w:p>
    <w:p>
      <w:pPr>
        <w:spacing w:after="0" w:line="21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Disruption to our manufacturing operations or supply chain could impair our ability to produce or deliver finished products, resulting in a negative impact on our operating results;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might not be able to hire, engage and retain the talented global workforce we need to drive our growth strategies;</w:t>
      </w:r>
    </w:p>
    <w:p>
      <w:pPr>
        <w:spacing w:after="0" w:line="252"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associated with climate change and other environmental impacts, and increased focus and evolving views of our customers, stockholders and other stakeholders on climate change issues, could negatively affect our business and operations;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Increases in raw material and energy costs along with the availability of adequate supplies of raw materials could affect future financial results;</w:t>
      </w:r>
    </w:p>
    <w:p>
      <w:pPr>
        <w:spacing w:after="0" w:line="275" w:lineRule="exact"/>
        <w:rPr>
          <w:rFonts w:ascii="Arial" w:cs="Arial" w:eastAsia="Arial" w:hAnsi="Arial"/>
          <w:sz w:val="16"/>
          <w:szCs w:val="16"/>
          <w:color w:val="auto"/>
        </w:rPr>
      </w:pPr>
    </w:p>
    <w:p>
      <w:pPr>
        <w:ind w:left="660" w:right="4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Price increases may not be sufficient to offset cost increases and maintain profitability or may result in sales volume declines associated with pricing elasticity;</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 demand for new and existing products could decline;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marketplace competition could hurt our business;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financial results may be adversely impacted by the failure to successfully execute or integrate acquisitions, divestitures and joint ventures;</w:t>
      </w:r>
    </w:p>
    <w:p>
      <w:pPr>
        <w:spacing w:after="0" w:line="275" w:lineRule="exact"/>
        <w:rPr>
          <w:rFonts w:ascii="Arial" w:cs="Arial" w:eastAsia="Arial" w:hAnsi="Arial"/>
          <w:sz w:val="16"/>
          <w:szCs w:val="16"/>
          <w:color w:val="auto"/>
        </w:rPr>
      </w:pPr>
    </w:p>
    <w:p>
      <w:pPr>
        <w:ind w:left="660" w:right="5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international operations may not achieve projected growth objectives, which could adversely impact our overall business and results of operations;</w:t>
      </w:r>
    </w:p>
    <w:p>
      <w:pPr>
        <w:spacing w:after="0" w:line="197"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fully realize the expected cost savings and/or operating efficiencies associated with our strategic initiatives or restructuring programs, which may have an adverse impact on our business;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governmental laws and regulations could increase our costs and liabilities or impact demand for our products;</w:t>
      </w:r>
    </w:p>
    <w:p>
      <w:pPr>
        <w:spacing w:after="0" w:line="252"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Political, economic and/or financial market conditions, including impacts on our business arising from the conflict between Russia and Ukraine, could negatively impact our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408940</wp:posOffset>
            </wp:positionV>
            <wp:extent cx="19685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Q2 2023 Form 10-Q | 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Disruptions, failures or security breaches of our information technology infrastructure could have a negative impact on our operations;</w:t>
      </w:r>
    </w:p>
    <w:p>
      <w:pPr>
        <w:spacing w:after="0" w:line="263" w:lineRule="exact"/>
        <w:rPr>
          <w:rFonts w:ascii="Arial" w:cs="Arial" w:eastAsia="Arial" w:hAnsi="Arial"/>
          <w:sz w:val="17"/>
          <w:szCs w:val="17"/>
          <w:color w:val="auto"/>
        </w:rPr>
      </w:pPr>
    </w:p>
    <w:p>
      <w:pPr>
        <w:ind w:left="660" w:right="6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Complications with the design or implementation of our new enterprise resource planning system could adversely impact our business and operations; and</w:t>
      </w:r>
    </w:p>
    <w:p>
      <w:pPr>
        <w:spacing w:after="0" w:line="197"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other matters as discussed in our 2022 Annual Report on Form 10-K, our Quarterly Report on Form 10-Q for the quarterly period ended April 2, 2023 and this Quarterly Report on Form 10-Q, including Part II, Item 1A, ”Risk Factors.”</w:t>
      </w:r>
    </w:p>
    <w:p>
      <w:pPr>
        <w:spacing w:after="0" w:line="11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undertake no obligation to publicly update or revise any forward-looking statements to reflect actual results, changes in expectations or events or circumstances after the date this Quarterly Report on Form 10-Q is filed.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total amount of short-term debt, net of cash, amounted to net debt of $413.6 million and net debt of $230.0 million, at July 2, 2023 and December 31, 2022, respectively. A hypothetical 100 basis point increase in interest rates applied to this variable-rate short-term debt as of July 2, 2023 would have changed interest expense by approximately $1.4 million for the first six months of 2023 and $4.5 million for 2022.</w:t>
      </w:r>
    </w:p>
    <w:p>
      <w:pPr>
        <w:spacing w:after="0" w:line="13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consider our current risk related to market fluctuations in interest rates on our remaining debt portfolio, excluding fixed-rate debt converted to variable rates with fixed-to-floating instruments, to be minimal since this debt is largely long-term and fixed-rate in nature. Generally, the fair market value of fixed-rate debt will increase as interest rates fall and decrease as interest rates rise. A 100 basis point increase in market interest rates would decrease the fair value of our fixed-rate long-term debt at July 2, 2023 and December 31, 2022 by approximately $199 million and $187 million, respectively. However, since we currently have no plans to repurchase our outstanding fixed-rate instruments before their maturities, the impact of market interest rate fluctuations on our long-term debt does not affect our results of operations or financial position.</w:t>
      </w:r>
    </w:p>
    <w:p>
      <w:pPr>
        <w:spacing w:after="0" w:line="12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potential decline in fair value of foreign currency forward exchange contracts resulting from a hypothetical near-term adverse change in market rates of 10% was $19.7 million as of July 2, 2023 and $18.4 million as of December 31, 2022, generally offset by a reduction in foreign exchange associated with our transactional activities.</w:t>
      </w:r>
    </w:p>
    <w:p>
      <w:pPr>
        <w:spacing w:after="0" w:line="13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open commodity derivative contracts had a notional value of $185.3 million as of July 2, 2023 and $243.0 million as of December 31, 2022. At the end of the second quarter of 2023, the potential change in fair value of commodity derivative instruments, assuming a 10% decrease in the underlying commodity price, would have increased our net unrealized losses by $19.4 million, generally offset by a reduction in the cost of the underlying commodity purchases.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Other than as described above, market risks have not changed significantly from those described in our 2022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288925</wp:posOffset>
            </wp:positionV>
            <wp:extent cx="19685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Q2 2023 Form 10-Q | 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49" w:name="page50"/>
    <w:bookmarkEnd w:id="49"/>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have established disclosure controls and procedures (as defined in Rules 13a-15(e) and 15d-15(e) of the Securities Exchange Act of 1934 (the “Exchange Act”)) designed to ensure that information required to be disclosed in our reports filed or submitted under the Exchange Act is recorded, processed, summarized and reported within the time periods specified in the Securities and Exchange Commission’s rules and forms, and such information is accumulated and communicated to management, including our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July 2, 2023. Based on this evaluation, our Chief Executive Officer and Chief Financial Officer concluded that our disclosure controls and procedures were effective as of July 2, 2023.</w:t>
      </w:r>
    </w:p>
    <w:p>
      <w:pPr>
        <w:spacing w:after="0" w:line="12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rely extensively on information systems and technology to manage our business and summarize operating results. We are in the process of a multi-year implementation of a new global enterprise resource planning (“ERP”) system, which will replace our existing operating and financial systems. The ERP system is designed to accurately maintain the Company’s financial records, enhance operational functionality and provide timely information to the Company’s management team related to the operation of the business. The implementation is expected to occur in phases over the next several years. During the third quarter of 2022, we completed the implementation of our new ERP system for one operating segment which is included in our International segment. The portion of the transition to the new ERP system which we have completed to date did not result in significant changes in our internal control over financial reporting. However, as the next phases of the updated processes are rolled out in connection with the ERP implementation, we will give appropriate consideration to whether these process changes necessitate changes in the design of and testing for effectiveness of internal controls over financial reporting.</w:t>
      </w:r>
    </w:p>
    <w:p>
      <w:pPr>
        <w:spacing w:after="0" w:line="12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July 2, 2023 that have materially affected, or are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365760</wp:posOffset>
            </wp:positionV>
            <wp:extent cx="19685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Q2 2023 Form 10-Q | 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Information on legal proceedings is included in </w:t>
      </w:r>
      <w:r>
        <w:rPr>
          <w:rFonts w:ascii="Arial" w:cs="Arial" w:eastAsia="Arial" w:hAnsi="Arial"/>
          <w:sz w:val="18"/>
          <w:szCs w:val="18"/>
          <w:u w:val="single" w:color="auto"/>
          <w:color w:val="0000FF"/>
        </w:rPr>
        <w:t>Note 15</w:t>
      </w:r>
      <w:r>
        <w:rPr>
          <w:rFonts w:ascii="Arial" w:cs="Arial" w:eastAsia="Arial" w:hAnsi="Arial"/>
          <w:sz w:val="18"/>
          <w:szCs w:val="18"/>
          <w:color w:val="auto"/>
        </w:rPr>
        <w:t xml:space="preserve"> to the Unaudited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When evaluating an investment in our Common Stock, investors should consider carefully, among other things, the risk factors previously disclosed in Part I, Item 1A, “Risk Factors,” of our 2022 Annual Report on Form 10-K and the information contained in this Quarterly Report on Form 10-Q and our other reports and registration statements filed with the SEC.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purchases of our Common Stock during the three months ended July 2, 2023.</w:t>
      </w:r>
    </w:p>
    <w:p>
      <w:pPr>
        <w:spacing w:after="0" w:line="17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During the three months ended July 2, 2023, no shares of Common Stock were purchased in open market transactions in connection with our standing authorization to buy back shares sufficient to offset those issued under incentive compensation plans, which authorization does not have a dollar or share limit and is not included in our share repurchase authorizations described in the following paragraph.</w:t>
      </w:r>
    </w:p>
    <w:p>
      <w:pPr>
        <w:spacing w:after="0" w:line="130"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In May 2021, our Board of Directors approved a $500 million share repurchase authorization. As of July 2, 2023 approximately $370 million remains available for repurchase under the May 2021 share repurchase authorization. The share repurchase program does not have an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516255</wp:posOffset>
            </wp:positionV>
            <wp:extent cx="19685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Q2 2023 Form 10-Q | 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5" w:right="399" w:bottom="1440" w:gutter="0" w:footer="0" w:header="0"/>
        </w:sectPr>
      </w:pPr>
    </w:p>
    <w:bookmarkStart w:id="51" w:name="page52"/>
    <w:bookmarkEnd w:id="51"/>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and Executive Officer Trading</w:t>
      </w:r>
    </w:p>
    <w:p>
      <w:pPr>
        <w:spacing w:after="0" w:line="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 portion of our directors’ and officers’ compensation is in the form of equity awards and, from time to time, they may engage in open-market transactions with respect to their Company securities for diversification or other personal reasons. All such transactions in Company securities by directors and officers must comply with the Company’s Insider Trading Policy, which requires that transactions be in accordance with applicable U.S. federal securities laws that prohibit trading while in possession of material nonpublic information. Rule 10b5-1 under the Exchange Act provides an affirmative defense that enables directors and officers to prearrange transactions in the Company’s securities in a manner that avoids concerns about initiating transactions while in possession of material nonpublic information.</w:t>
      </w:r>
    </w:p>
    <w:p>
      <w:pPr>
        <w:spacing w:after="0" w:line="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table describes the contracts, instructions or written plans for the purchase or sale of securities adopted by our directors or officers (as defined in Rule 16a-1(f) under the Exchange Act) during the three months ended July 2, 2023, that are intended to satisfy the affirmative defense conditions of Rule 10b5-1(c). No other Rule 10b5-1 trading arrangements or “non-Rule 10b5–1 trading arrangements” (as defined by S-K Item 408(c)) were entered into or terminated by our directors or officers during such period.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Date of Adoption of</w:t>
            </w:r>
          </w:p>
        </w:tc>
        <w:tc>
          <w:tcPr>
            <w:tcW w:w="100" w:type="dxa"/>
            <w:vAlign w:val="bottom"/>
          </w:tcPr>
          <w:p>
            <w:pPr>
              <w:spacing w:after="0"/>
              <w:rPr>
                <w:sz w:val="17"/>
                <w:szCs w:val="17"/>
                <w:color w:val="auto"/>
              </w:rPr>
            </w:pPr>
          </w:p>
        </w:tc>
        <w:tc>
          <w:tcPr>
            <w:tcW w:w="16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Duration of 10b5-1</w:t>
            </w:r>
          </w:p>
        </w:tc>
        <w:tc>
          <w:tcPr>
            <w:tcW w:w="100" w:type="dxa"/>
            <w:vAlign w:val="bottom"/>
          </w:tcPr>
          <w:p>
            <w:pPr>
              <w:spacing w:after="0"/>
              <w:rPr>
                <w:sz w:val="17"/>
                <w:szCs w:val="17"/>
                <w:color w:val="auto"/>
              </w:rPr>
            </w:pP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90"/>
              </w:rPr>
              <w:t>Aggregate Number of</w:t>
            </w:r>
          </w:p>
        </w:tc>
        <w:tc>
          <w:tcPr>
            <w:tcW w:w="0" w:type="dxa"/>
            <w:vAlign w:val="bottom"/>
          </w:tcPr>
          <w:p>
            <w:pPr>
              <w:spacing w:after="0"/>
              <w:rPr>
                <w:sz w:val="1"/>
                <w:szCs w:val="1"/>
                <w:color w:val="auto"/>
              </w:rPr>
            </w:pPr>
          </w:p>
        </w:tc>
      </w:tr>
      <w:tr>
        <w:trPr>
          <w:trHeight w:val="176"/>
        </w:trPr>
        <w:tc>
          <w:tcPr>
            <w:tcW w:w="5320" w:type="dxa"/>
            <w:vAlign w:val="bottom"/>
            <w:vMerge w:val="restart"/>
          </w:tcPr>
          <w:p>
            <w:pPr>
              <w:ind w:left="2060"/>
              <w:spacing w:after="0"/>
              <w:rPr>
                <w:sz w:val="20"/>
                <w:szCs w:val="20"/>
                <w:color w:val="auto"/>
              </w:rPr>
            </w:pPr>
            <w:r>
              <w:rPr>
                <w:rFonts w:ascii="Arial" w:cs="Arial" w:eastAsia="Arial" w:hAnsi="Arial"/>
                <w:sz w:val="18"/>
                <w:szCs w:val="18"/>
                <w:b w:val="1"/>
                <w:bCs w:val="1"/>
                <w:color w:val="auto"/>
              </w:rPr>
              <w:t>Name and Title</w:t>
            </w:r>
          </w:p>
        </w:tc>
        <w:tc>
          <w:tcPr>
            <w:tcW w:w="8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Securities to be Sold or</w:t>
            </w:r>
          </w:p>
        </w:tc>
        <w:tc>
          <w:tcPr>
            <w:tcW w:w="0" w:type="dxa"/>
            <w:vAlign w:val="bottom"/>
          </w:tcPr>
          <w:p>
            <w:pPr>
              <w:spacing w:after="0"/>
              <w:rPr>
                <w:sz w:val="1"/>
                <w:szCs w:val="1"/>
                <w:color w:val="auto"/>
              </w:rPr>
            </w:pPr>
          </w:p>
        </w:tc>
      </w:tr>
      <w:tr>
        <w:trPr>
          <w:trHeight w:val="243"/>
        </w:trPr>
        <w:tc>
          <w:tcPr>
            <w:tcW w:w="532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10b5-1 Plan</w:t>
            </w:r>
          </w:p>
        </w:tc>
        <w:tc>
          <w:tcPr>
            <w:tcW w:w="100" w:type="dxa"/>
            <w:vAlign w:val="bottom"/>
            <w:tcBorders>
              <w:bottom w:val="single" w:sz="8" w:color="CCEEFF"/>
            </w:tcBorders>
          </w:tcPr>
          <w:p>
            <w:pPr>
              <w:spacing w:after="0"/>
              <w:rPr>
                <w:sz w:val="21"/>
                <w:szCs w:val="21"/>
                <w:color w:val="auto"/>
              </w:rPr>
            </w:pPr>
          </w:p>
        </w:tc>
        <w:tc>
          <w:tcPr>
            <w:tcW w:w="164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18"/>
                <w:szCs w:val="18"/>
                <w:b w:val="1"/>
                <w:bCs w:val="1"/>
                <w:color w:val="auto"/>
                <w:w w:val="84"/>
              </w:rPr>
              <w:t>Plan</w:t>
            </w:r>
            <w:r>
              <w:rPr>
                <w:rFonts w:ascii="Arial" w:cs="Arial" w:eastAsia="Arial" w:hAnsi="Arial"/>
                <w:sz w:val="23"/>
                <w:szCs w:val="23"/>
                <w:b w:val="1"/>
                <w:bCs w:val="1"/>
                <w:color w:val="auto"/>
                <w:w w:val="84"/>
                <w:vertAlign w:val="superscript"/>
              </w:rPr>
              <w:t>(1)</w:t>
            </w:r>
          </w:p>
        </w:tc>
        <w:tc>
          <w:tcPr>
            <w:tcW w:w="100" w:type="dxa"/>
            <w:vAlign w:val="bottom"/>
            <w:tcBorders>
              <w:bottom w:val="single" w:sz="8" w:color="CCEEFF"/>
            </w:tcBorders>
          </w:tcPr>
          <w:p>
            <w:pPr>
              <w:spacing w:after="0"/>
              <w:rPr>
                <w:sz w:val="21"/>
                <w:szCs w:val="21"/>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Purchased</w:t>
            </w:r>
          </w:p>
        </w:tc>
        <w:tc>
          <w:tcPr>
            <w:tcW w:w="0" w:type="dxa"/>
            <w:vAlign w:val="bottom"/>
          </w:tcPr>
          <w:p>
            <w:pPr>
              <w:spacing w:after="0"/>
              <w:rPr>
                <w:sz w:val="1"/>
                <w:szCs w:val="1"/>
                <w:color w:val="auto"/>
              </w:rPr>
            </w:pPr>
          </w:p>
        </w:tc>
      </w:tr>
      <w:tr>
        <w:trPr>
          <w:trHeight w:val="169"/>
        </w:trPr>
        <w:tc>
          <w:tcPr>
            <w:tcW w:w="53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Jason R. Reiman</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34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88"/>
              </w:rPr>
              <w:t>Sell 500 shares</w:t>
            </w:r>
          </w:p>
        </w:tc>
        <w:tc>
          <w:tcPr>
            <w:tcW w:w="0" w:type="dxa"/>
            <w:vAlign w:val="bottom"/>
          </w:tcPr>
          <w:p>
            <w:pPr>
              <w:spacing w:after="0"/>
              <w:rPr>
                <w:sz w:val="1"/>
                <w:szCs w:val="1"/>
                <w:color w:val="auto"/>
              </w:rPr>
            </w:pPr>
          </w:p>
        </w:tc>
      </w:tr>
      <w:tr>
        <w:trPr>
          <w:trHeight w:val="175"/>
        </w:trPr>
        <w:tc>
          <w:tcPr>
            <w:tcW w:w="5320" w:type="dxa"/>
            <w:vAlign w:val="bottom"/>
            <w:vMerge w:val="continue"/>
            <w:shd w:val="clear" w:color="auto" w:fill="CCEEFF"/>
          </w:tcPr>
          <w:p>
            <w:pPr>
              <w:spacing w:after="0"/>
              <w:rPr>
                <w:sz w:val="15"/>
                <w:szCs w:val="15"/>
                <w:color w:val="auto"/>
              </w:rPr>
            </w:pPr>
          </w:p>
        </w:tc>
        <w:tc>
          <w:tcPr>
            <w:tcW w:w="1740" w:type="dxa"/>
            <w:vAlign w:val="bottom"/>
            <w:gridSpan w:val="2"/>
            <w:vMerge w:val="restart"/>
            <w:shd w:val="clear" w:color="auto" w:fill="CCEEFF"/>
          </w:tcPr>
          <w:p>
            <w:pPr>
              <w:jc w:val="center"/>
              <w:ind w:left="10"/>
              <w:spacing w:after="0"/>
              <w:rPr>
                <w:sz w:val="20"/>
                <w:szCs w:val="20"/>
                <w:color w:val="auto"/>
              </w:rPr>
            </w:pPr>
            <w:r>
              <w:rPr>
                <w:rFonts w:ascii="Arial" w:cs="Arial" w:eastAsia="Arial" w:hAnsi="Arial"/>
                <w:sz w:val="18"/>
                <w:szCs w:val="18"/>
                <w:color w:val="auto"/>
                <w:w w:val="91"/>
              </w:rPr>
              <w:t>5/4/2023</w:t>
            </w:r>
          </w:p>
        </w:tc>
        <w:tc>
          <w:tcPr>
            <w:tcW w:w="1740" w:type="dxa"/>
            <w:vAlign w:val="bottom"/>
            <w:gridSpan w:val="2"/>
            <w:vMerge w:val="restart"/>
            <w:shd w:val="clear" w:color="auto" w:fill="CCEEFF"/>
          </w:tcPr>
          <w:p>
            <w:pPr>
              <w:jc w:val="center"/>
              <w:ind w:left="30"/>
              <w:spacing w:after="0"/>
              <w:rPr>
                <w:sz w:val="20"/>
                <w:szCs w:val="20"/>
                <w:color w:val="auto"/>
              </w:rPr>
            </w:pPr>
            <w:r>
              <w:rPr>
                <w:rFonts w:ascii="Arial" w:cs="Arial" w:eastAsia="Arial" w:hAnsi="Arial"/>
                <w:sz w:val="18"/>
                <w:szCs w:val="18"/>
                <w:color w:val="auto"/>
                <w:w w:val="90"/>
              </w:rPr>
              <w:t>12/29/2023</w:t>
            </w:r>
          </w:p>
        </w:tc>
        <w:tc>
          <w:tcPr>
            <w:tcW w:w="100" w:type="dxa"/>
            <w:vAlign w:val="bottom"/>
            <w:shd w:val="clear" w:color="auto" w:fill="CCEEFF"/>
          </w:tcPr>
          <w:p>
            <w:pPr>
              <w:spacing w:after="0"/>
              <w:rPr>
                <w:sz w:val="15"/>
                <w:szCs w:val="15"/>
                <w:color w:val="auto"/>
              </w:rPr>
            </w:pPr>
          </w:p>
        </w:tc>
        <w:tc>
          <w:tcPr>
            <w:tcW w:w="23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Exercise &amp; sell 3,485 stock</w:t>
            </w:r>
          </w:p>
        </w:tc>
        <w:tc>
          <w:tcPr>
            <w:tcW w:w="0" w:type="dxa"/>
            <w:vAlign w:val="bottom"/>
          </w:tcPr>
          <w:p>
            <w:pPr>
              <w:spacing w:after="0"/>
              <w:rPr>
                <w:sz w:val="1"/>
                <w:szCs w:val="1"/>
                <w:color w:val="auto"/>
              </w:rPr>
            </w:pPr>
          </w:p>
        </w:tc>
      </w:tr>
      <w:tr>
        <w:trPr>
          <w:trHeight w:val="149"/>
        </w:trPr>
        <w:tc>
          <w:tcPr>
            <w:tcW w:w="5320" w:type="dxa"/>
            <w:vAlign w:val="bottom"/>
            <w:vMerge w:val="restart"/>
            <w:shd w:val="clear" w:color="auto" w:fill="CCEEFF"/>
          </w:tcPr>
          <w:p>
            <w:pPr>
              <w:ind w:left="20"/>
              <w:spacing w:after="0" w:line="189" w:lineRule="exact"/>
              <w:rPr>
                <w:sz w:val="20"/>
                <w:szCs w:val="20"/>
                <w:color w:val="auto"/>
              </w:rPr>
            </w:pPr>
            <w:r>
              <w:rPr>
                <w:rFonts w:ascii="Arial" w:cs="Arial" w:eastAsia="Arial" w:hAnsi="Arial"/>
                <w:sz w:val="18"/>
                <w:szCs w:val="18"/>
                <w:i w:val="1"/>
                <w:iCs w:val="1"/>
                <w:color w:val="auto"/>
              </w:rPr>
              <w:t>Senior Vice President, Chief Supply Chain Officer</w:t>
            </w:r>
          </w:p>
        </w:tc>
        <w:tc>
          <w:tcPr>
            <w:tcW w:w="1740" w:type="dxa"/>
            <w:vAlign w:val="bottom"/>
            <w:gridSpan w:val="2"/>
            <w:vMerge w:val="continue"/>
            <w:shd w:val="clear" w:color="auto" w:fill="CCEEFF"/>
          </w:tcPr>
          <w:p>
            <w:pPr>
              <w:spacing w:after="0"/>
              <w:rPr>
                <w:sz w:val="12"/>
                <w:szCs w:val="12"/>
                <w:color w:val="auto"/>
              </w:rPr>
            </w:pPr>
          </w:p>
        </w:tc>
        <w:tc>
          <w:tcPr>
            <w:tcW w:w="174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340" w:type="dxa"/>
            <w:vAlign w:val="bottom"/>
            <w:vMerge w:val="restart"/>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options</w:t>
            </w:r>
          </w:p>
        </w:tc>
        <w:tc>
          <w:tcPr>
            <w:tcW w:w="0" w:type="dxa"/>
            <w:vAlign w:val="bottom"/>
          </w:tcPr>
          <w:p>
            <w:pPr>
              <w:spacing w:after="0"/>
              <w:rPr>
                <w:sz w:val="1"/>
                <w:szCs w:val="1"/>
                <w:color w:val="auto"/>
              </w:rPr>
            </w:pPr>
          </w:p>
        </w:tc>
      </w:tr>
      <w:tr>
        <w:trPr>
          <w:trHeight w:val="40"/>
        </w:trPr>
        <w:tc>
          <w:tcPr>
            <w:tcW w:w="5320" w:type="dxa"/>
            <w:vAlign w:val="bottom"/>
            <w:vMerge w:val="continue"/>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340" w:type="dxa"/>
            <w:vAlign w:val="bottom"/>
            <w:vMerge w:val="continue"/>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Gift 289 shares</w:t>
            </w:r>
          </w:p>
        </w:tc>
        <w:tc>
          <w:tcPr>
            <w:tcW w:w="0" w:type="dxa"/>
            <w:vAlign w:val="bottom"/>
          </w:tcPr>
          <w:p>
            <w:pPr>
              <w:spacing w:after="0"/>
              <w:rPr>
                <w:sz w:val="1"/>
                <w:szCs w:val="1"/>
                <w:color w:val="auto"/>
              </w:rPr>
            </w:pPr>
          </w:p>
        </w:tc>
      </w:tr>
      <w:tr>
        <w:trPr>
          <w:trHeight w:val="175"/>
        </w:trPr>
        <w:tc>
          <w:tcPr>
            <w:tcW w:w="5320" w:type="dxa"/>
            <w:vAlign w:val="bottom"/>
          </w:tcPr>
          <w:p>
            <w:pPr>
              <w:ind w:left="20"/>
              <w:spacing w:after="0" w:line="176" w:lineRule="exact"/>
              <w:rPr>
                <w:sz w:val="20"/>
                <w:szCs w:val="20"/>
                <w:color w:val="auto"/>
              </w:rPr>
            </w:pPr>
            <w:r>
              <w:rPr>
                <w:rFonts w:ascii="Arial" w:cs="Arial" w:eastAsia="Arial" w:hAnsi="Arial"/>
                <w:sz w:val="18"/>
                <w:szCs w:val="18"/>
                <w:color w:val="auto"/>
              </w:rPr>
              <w:t>Kristin J. Riggs</w:t>
            </w:r>
          </w:p>
        </w:tc>
        <w:tc>
          <w:tcPr>
            <w:tcW w:w="1740" w:type="dxa"/>
            <w:vAlign w:val="bottom"/>
            <w:gridSpan w:val="2"/>
            <w:vMerge w:val="restart"/>
          </w:tcPr>
          <w:p>
            <w:pPr>
              <w:jc w:val="center"/>
              <w:ind w:left="10"/>
              <w:spacing w:after="0"/>
              <w:rPr>
                <w:sz w:val="20"/>
                <w:szCs w:val="20"/>
                <w:color w:val="auto"/>
              </w:rPr>
            </w:pPr>
            <w:r>
              <w:rPr>
                <w:rFonts w:ascii="Arial" w:cs="Arial" w:eastAsia="Arial" w:hAnsi="Arial"/>
                <w:sz w:val="18"/>
                <w:szCs w:val="18"/>
                <w:color w:val="auto"/>
                <w:w w:val="91"/>
              </w:rPr>
              <w:t>5/3/2023</w:t>
            </w:r>
          </w:p>
        </w:tc>
        <w:tc>
          <w:tcPr>
            <w:tcW w:w="1740" w:type="dxa"/>
            <w:vAlign w:val="bottom"/>
            <w:gridSpan w:val="2"/>
            <w:vMerge w:val="restart"/>
          </w:tcPr>
          <w:p>
            <w:pPr>
              <w:jc w:val="center"/>
              <w:ind w:left="10"/>
              <w:spacing w:after="0"/>
              <w:rPr>
                <w:sz w:val="20"/>
                <w:szCs w:val="20"/>
                <w:color w:val="auto"/>
              </w:rPr>
            </w:pPr>
            <w:r>
              <w:rPr>
                <w:rFonts w:ascii="Arial" w:cs="Arial" w:eastAsia="Arial" w:hAnsi="Arial"/>
                <w:sz w:val="18"/>
                <w:szCs w:val="18"/>
                <w:color w:val="auto"/>
                <w:w w:val="91"/>
              </w:rPr>
              <w:t>5/1/2024</w:t>
            </w:r>
          </w:p>
        </w:tc>
        <w:tc>
          <w:tcPr>
            <w:tcW w:w="100" w:type="dxa"/>
            <w:vAlign w:val="bottom"/>
          </w:tcPr>
          <w:p>
            <w:pPr>
              <w:spacing w:after="0"/>
              <w:rPr>
                <w:sz w:val="15"/>
                <w:szCs w:val="15"/>
                <w:color w:val="auto"/>
              </w:rPr>
            </w:pPr>
          </w:p>
        </w:tc>
        <w:tc>
          <w:tcPr>
            <w:tcW w:w="2340" w:type="dxa"/>
            <w:vAlign w:val="bottom"/>
          </w:tcPr>
          <w:p>
            <w:pPr>
              <w:jc w:val="center"/>
              <w:spacing w:after="0" w:line="176" w:lineRule="exact"/>
              <w:rPr>
                <w:sz w:val="20"/>
                <w:szCs w:val="20"/>
                <w:color w:val="auto"/>
              </w:rPr>
            </w:pPr>
            <w:r>
              <w:rPr>
                <w:rFonts w:ascii="Arial" w:cs="Arial" w:eastAsia="Arial" w:hAnsi="Arial"/>
                <w:sz w:val="18"/>
                <w:szCs w:val="18"/>
                <w:color w:val="auto"/>
                <w:w w:val="90"/>
              </w:rPr>
              <w:t>Gift 915 shares</w:t>
            </w:r>
          </w:p>
        </w:tc>
        <w:tc>
          <w:tcPr>
            <w:tcW w:w="0" w:type="dxa"/>
            <w:vAlign w:val="bottom"/>
          </w:tcPr>
          <w:p>
            <w:pPr>
              <w:spacing w:after="0"/>
              <w:rPr>
                <w:sz w:val="1"/>
                <w:szCs w:val="1"/>
                <w:color w:val="auto"/>
              </w:rPr>
            </w:pPr>
          </w:p>
        </w:tc>
      </w:tr>
      <w:tr>
        <w:trPr>
          <w:trHeight w:val="149"/>
        </w:trPr>
        <w:tc>
          <w:tcPr>
            <w:tcW w:w="53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President, Salty Snacks</w:t>
            </w:r>
          </w:p>
        </w:tc>
        <w:tc>
          <w:tcPr>
            <w:tcW w:w="1740" w:type="dxa"/>
            <w:vAlign w:val="bottom"/>
            <w:gridSpan w:val="2"/>
            <w:vMerge w:val="continue"/>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vMerge w:val="restart"/>
          </w:tcPr>
          <w:p>
            <w:pPr>
              <w:jc w:val="center"/>
              <w:spacing w:after="0"/>
              <w:rPr>
                <w:sz w:val="20"/>
                <w:szCs w:val="20"/>
                <w:color w:val="auto"/>
              </w:rPr>
            </w:pPr>
            <w:r>
              <w:rPr>
                <w:rFonts w:ascii="Arial" w:cs="Arial" w:eastAsia="Arial" w:hAnsi="Arial"/>
                <w:sz w:val="18"/>
                <w:szCs w:val="18"/>
                <w:color w:val="auto"/>
                <w:w w:val="87"/>
              </w:rPr>
              <w:t>Sell 2,745 shares</w:t>
            </w:r>
          </w:p>
        </w:tc>
        <w:tc>
          <w:tcPr>
            <w:tcW w:w="0" w:type="dxa"/>
            <w:vAlign w:val="bottom"/>
          </w:tcPr>
          <w:p>
            <w:pPr>
              <w:spacing w:after="0"/>
              <w:rPr>
                <w:sz w:val="1"/>
                <w:szCs w:val="1"/>
                <w:color w:val="auto"/>
              </w:rPr>
            </w:pPr>
          </w:p>
        </w:tc>
      </w:tr>
      <w:tr>
        <w:trPr>
          <w:trHeight w:val="88"/>
        </w:trPr>
        <w:tc>
          <w:tcPr>
            <w:tcW w:w="53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53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Christopher M. Scalia</w:t>
            </w:r>
          </w:p>
        </w:tc>
        <w:tc>
          <w:tcPr>
            <w:tcW w:w="1740" w:type="dxa"/>
            <w:vAlign w:val="bottom"/>
            <w:gridSpan w:val="2"/>
            <w:vMerge w:val="restart"/>
            <w:shd w:val="clear" w:color="auto" w:fill="CCEEFF"/>
          </w:tcPr>
          <w:p>
            <w:pPr>
              <w:jc w:val="center"/>
              <w:ind w:left="10"/>
              <w:spacing w:after="0"/>
              <w:rPr>
                <w:sz w:val="20"/>
                <w:szCs w:val="20"/>
                <w:color w:val="auto"/>
              </w:rPr>
            </w:pPr>
            <w:r>
              <w:rPr>
                <w:rFonts w:ascii="Arial" w:cs="Arial" w:eastAsia="Arial" w:hAnsi="Arial"/>
                <w:sz w:val="18"/>
                <w:szCs w:val="18"/>
                <w:color w:val="auto"/>
                <w:w w:val="89"/>
              </w:rPr>
              <w:t>5/26/2023</w:t>
            </w:r>
          </w:p>
        </w:tc>
        <w:tc>
          <w:tcPr>
            <w:tcW w:w="1740" w:type="dxa"/>
            <w:vAlign w:val="bottom"/>
            <w:gridSpan w:val="2"/>
            <w:vMerge w:val="restart"/>
            <w:shd w:val="clear" w:color="auto" w:fill="CCEEFF"/>
          </w:tcPr>
          <w:p>
            <w:pPr>
              <w:jc w:val="center"/>
              <w:ind w:left="10"/>
              <w:spacing w:after="0"/>
              <w:rPr>
                <w:sz w:val="20"/>
                <w:szCs w:val="20"/>
                <w:color w:val="auto"/>
              </w:rPr>
            </w:pPr>
            <w:r>
              <w:rPr>
                <w:rFonts w:ascii="Arial" w:cs="Arial" w:eastAsia="Arial" w:hAnsi="Arial"/>
                <w:sz w:val="18"/>
                <w:szCs w:val="18"/>
                <w:color w:val="auto"/>
                <w:w w:val="89"/>
              </w:rPr>
              <w:t>5/30/2024</w:t>
            </w:r>
          </w:p>
        </w:tc>
        <w:tc>
          <w:tcPr>
            <w:tcW w:w="100" w:type="dxa"/>
            <w:vAlign w:val="bottom"/>
            <w:shd w:val="clear" w:color="auto" w:fill="CCEEFF"/>
          </w:tcPr>
          <w:p>
            <w:pPr>
              <w:spacing w:after="0"/>
              <w:rPr>
                <w:sz w:val="15"/>
                <w:szCs w:val="15"/>
                <w:color w:val="auto"/>
              </w:rPr>
            </w:pPr>
          </w:p>
        </w:tc>
        <w:tc>
          <w:tcPr>
            <w:tcW w:w="23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Sell 4,091 shares</w:t>
            </w:r>
          </w:p>
        </w:tc>
        <w:tc>
          <w:tcPr>
            <w:tcW w:w="0" w:type="dxa"/>
            <w:vAlign w:val="bottom"/>
          </w:tcPr>
          <w:p>
            <w:pPr>
              <w:spacing w:after="0"/>
              <w:rPr>
                <w:sz w:val="1"/>
                <w:szCs w:val="1"/>
                <w:color w:val="auto"/>
              </w:rPr>
            </w:pPr>
          </w:p>
        </w:tc>
      </w:tr>
      <w:tr>
        <w:trPr>
          <w:trHeight w:val="135"/>
        </w:trPr>
        <w:tc>
          <w:tcPr>
            <w:tcW w:w="5320" w:type="dxa"/>
            <w:vAlign w:val="bottom"/>
            <w:vMerge w:val="restart"/>
            <w:shd w:val="clear" w:color="auto" w:fill="CCEEFF"/>
          </w:tcPr>
          <w:p>
            <w:pPr>
              <w:ind w:left="20"/>
              <w:spacing w:after="0"/>
              <w:rPr>
                <w:sz w:val="20"/>
                <w:szCs w:val="20"/>
                <w:color w:val="auto"/>
              </w:rPr>
            </w:pPr>
            <w:r>
              <w:rPr>
                <w:rFonts w:ascii="Arial" w:cs="Arial" w:eastAsia="Arial" w:hAnsi="Arial"/>
                <w:sz w:val="18"/>
                <w:szCs w:val="18"/>
                <w:i w:val="1"/>
                <w:iCs w:val="1"/>
                <w:color w:val="auto"/>
              </w:rPr>
              <w:t>Senior Vice President, Chief Human Resources Officer</w:t>
            </w:r>
          </w:p>
        </w:tc>
        <w:tc>
          <w:tcPr>
            <w:tcW w:w="1740" w:type="dxa"/>
            <w:vAlign w:val="bottom"/>
            <w:gridSpan w:val="2"/>
            <w:vMerge w:val="continue"/>
            <w:shd w:val="clear" w:color="auto" w:fill="CCEEFF"/>
          </w:tcPr>
          <w:p>
            <w:pPr>
              <w:spacing w:after="0"/>
              <w:rPr>
                <w:sz w:val="11"/>
                <w:szCs w:val="11"/>
                <w:color w:val="auto"/>
              </w:rPr>
            </w:pPr>
          </w:p>
        </w:tc>
        <w:tc>
          <w:tcPr>
            <w:tcW w:w="174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3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532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3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5320" w:type="dxa"/>
            <w:vAlign w:val="bottom"/>
          </w:tcPr>
          <w:p>
            <w:pPr>
              <w:ind w:left="20"/>
              <w:spacing w:after="0" w:line="189" w:lineRule="exact"/>
              <w:rPr>
                <w:sz w:val="20"/>
                <w:szCs w:val="20"/>
                <w:color w:val="auto"/>
              </w:rPr>
            </w:pPr>
            <w:r>
              <w:rPr>
                <w:rFonts w:ascii="Arial" w:cs="Arial" w:eastAsia="Arial" w:hAnsi="Arial"/>
                <w:sz w:val="18"/>
                <w:szCs w:val="18"/>
                <w:color w:val="auto"/>
              </w:rPr>
              <w:t>James Turoff</w:t>
            </w:r>
          </w:p>
        </w:tc>
        <w:tc>
          <w:tcPr>
            <w:tcW w:w="1740" w:type="dxa"/>
            <w:vAlign w:val="bottom"/>
            <w:gridSpan w:val="2"/>
            <w:vMerge w:val="restart"/>
          </w:tcPr>
          <w:p>
            <w:pPr>
              <w:jc w:val="center"/>
              <w:ind w:left="10"/>
              <w:spacing w:after="0"/>
              <w:rPr>
                <w:sz w:val="20"/>
                <w:szCs w:val="20"/>
                <w:color w:val="auto"/>
              </w:rPr>
            </w:pPr>
            <w:r>
              <w:rPr>
                <w:rFonts w:ascii="Arial" w:cs="Arial" w:eastAsia="Arial" w:hAnsi="Arial"/>
                <w:sz w:val="18"/>
                <w:szCs w:val="18"/>
                <w:color w:val="auto"/>
                <w:w w:val="89"/>
              </w:rPr>
              <w:t>5/12/2023</w:t>
            </w:r>
          </w:p>
        </w:tc>
        <w:tc>
          <w:tcPr>
            <w:tcW w:w="1740" w:type="dxa"/>
            <w:vAlign w:val="bottom"/>
            <w:gridSpan w:val="2"/>
            <w:vMerge w:val="restart"/>
          </w:tcPr>
          <w:p>
            <w:pPr>
              <w:jc w:val="center"/>
              <w:ind w:left="10"/>
              <w:spacing w:after="0"/>
              <w:rPr>
                <w:sz w:val="20"/>
                <w:szCs w:val="20"/>
                <w:color w:val="auto"/>
              </w:rPr>
            </w:pPr>
            <w:r>
              <w:rPr>
                <w:rFonts w:ascii="Arial" w:cs="Arial" w:eastAsia="Arial" w:hAnsi="Arial"/>
                <w:sz w:val="18"/>
                <w:szCs w:val="18"/>
                <w:color w:val="auto"/>
                <w:w w:val="89"/>
              </w:rPr>
              <w:t>8/31/2023</w:t>
            </w:r>
          </w:p>
        </w:tc>
        <w:tc>
          <w:tcPr>
            <w:tcW w:w="100" w:type="dxa"/>
            <w:vAlign w:val="bottom"/>
          </w:tcPr>
          <w:p>
            <w:pPr>
              <w:spacing w:after="0"/>
              <w:rPr>
                <w:sz w:val="16"/>
                <w:szCs w:val="16"/>
                <w:color w:val="auto"/>
              </w:rPr>
            </w:pPr>
          </w:p>
        </w:tc>
        <w:tc>
          <w:tcPr>
            <w:tcW w:w="2340" w:type="dxa"/>
            <w:vAlign w:val="bottom"/>
            <w:vMerge w:val="restart"/>
          </w:tcPr>
          <w:p>
            <w:pPr>
              <w:jc w:val="center"/>
              <w:spacing w:after="0"/>
              <w:rPr>
                <w:sz w:val="20"/>
                <w:szCs w:val="20"/>
                <w:color w:val="auto"/>
              </w:rPr>
            </w:pPr>
            <w:r>
              <w:rPr>
                <w:rFonts w:ascii="Arial" w:cs="Arial" w:eastAsia="Arial" w:hAnsi="Arial"/>
                <w:sz w:val="18"/>
                <w:szCs w:val="18"/>
                <w:color w:val="auto"/>
                <w:w w:val="90"/>
              </w:rPr>
              <w:t>Gift 332 shares</w:t>
            </w:r>
          </w:p>
        </w:tc>
        <w:tc>
          <w:tcPr>
            <w:tcW w:w="0" w:type="dxa"/>
            <w:vAlign w:val="bottom"/>
          </w:tcPr>
          <w:p>
            <w:pPr>
              <w:spacing w:after="0"/>
              <w:rPr>
                <w:sz w:val="1"/>
                <w:szCs w:val="1"/>
                <w:color w:val="auto"/>
              </w:rPr>
            </w:pPr>
          </w:p>
        </w:tc>
      </w:tr>
      <w:tr>
        <w:trPr>
          <w:trHeight w:val="136"/>
        </w:trPr>
        <w:tc>
          <w:tcPr>
            <w:tcW w:w="53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Senior Vice President, General Counsel and Secretary</w:t>
            </w:r>
          </w:p>
        </w:tc>
        <w:tc>
          <w:tcPr>
            <w:tcW w:w="1740" w:type="dxa"/>
            <w:vAlign w:val="bottom"/>
            <w:gridSpan w:val="2"/>
            <w:vMerge w:val="continue"/>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53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5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Steven E. Voskuil</w:t>
            </w:r>
          </w:p>
        </w:tc>
        <w:tc>
          <w:tcPr>
            <w:tcW w:w="1740" w:type="dxa"/>
            <w:vAlign w:val="bottom"/>
            <w:gridSpan w:val="2"/>
            <w:vMerge w:val="restart"/>
            <w:shd w:val="clear" w:color="auto" w:fill="CCEEFF"/>
          </w:tcPr>
          <w:p>
            <w:pPr>
              <w:jc w:val="center"/>
              <w:ind w:left="10"/>
              <w:spacing w:after="0"/>
              <w:rPr>
                <w:sz w:val="20"/>
                <w:szCs w:val="20"/>
                <w:color w:val="auto"/>
              </w:rPr>
            </w:pPr>
            <w:r>
              <w:rPr>
                <w:rFonts w:ascii="Arial" w:cs="Arial" w:eastAsia="Arial" w:hAnsi="Arial"/>
                <w:sz w:val="18"/>
                <w:szCs w:val="18"/>
                <w:color w:val="auto"/>
                <w:w w:val="89"/>
              </w:rPr>
              <w:t>5/23/2023</w:t>
            </w:r>
          </w:p>
        </w:tc>
        <w:tc>
          <w:tcPr>
            <w:tcW w:w="1740" w:type="dxa"/>
            <w:vAlign w:val="bottom"/>
            <w:gridSpan w:val="2"/>
            <w:vMerge w:val="restart"/>
            <w:shd w:val="clear" w:color="auto" w:fill="CCEEFF"/>
          </w:tcPr>
          <w:p>
            <w:pPr>
              <w:jc w:val="center"/>
              <w:ind w:left="10"/>
              <w:spacing w:after="0"/>
              <w:rPr>
                <w:sz w:val="20"/>
                <w:szCs w:val="20"/>
                <w:color w:val="auto"/>
              </w:rPr>
            </w:pPr>
            <w:r>
              <w:rPr>
                <w:rFonts w:ascii="Arial" w:cs="Arial" w:eastAsia="Arial" w:hAnsi="Arial"/>
                <w:sz w:val="18"/>
                <w:szCs w:val="18"/>
                <w:color w:val="auto"/>
                <w:w w:val="89"/>
              </w:rPr>
              <w:t>7/31/2024</w:t>
            </w:r>
          </w:p>
        </w:tc>
        <w:tc>
          <w:tcPr>
            <w:tcW w:w="100" w:type="dxa"/>
            <w:vAlign w:val="bottom"/>
            <w:shd w:val="clear" w:color="auto" w:fill="CCEEFF"/>
          </w:tcPr>
          <w:p>
            <w:pPr>
              <w:spacing w:after="0"/>
              <w:rPr>
                <w:sz w:val="15"/>
                <w:szCs w:val="15"/>
                <w:color w:val="auto"/>
              </w:rPr>
            </w:pPr>
          </w:p>
        </w:tc>
        <w:tc>
          <w:tcPr>
            <w:tcW w:w="23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Sell 18,000 shares</w:t>
            </w:r>
          </w:p>
        </w:tc>
        <w:tc>
          <w:tcPr>
            <w:tcW w:w="0" w:type="dxa"/>
            <w:vAlign w:val="bottom"/>
          </w:tcPr>
          <w:p>
            <w:pPr>
              <w:spacing w:after="0"/>
              <w:rPr>
                <w:sz w:val="1"/>
                <w:szCs w:val="1"/>
                <w:color w:val="auto"/>
              </w:rPr>
            </w:pPr>
          </w:p>
        </w:tc>
      </w:tr>
      <w:tr>
        <w:trPr>
          <w:trHeight w:val="149"/>
        </w:trPr>
        <w:tc>
          <w:tcPr>
            <w:tcW w:w="5320" w:type="dxa"/>
            <w:vAlign w:val="bottom"/>
            <w:vMerge w:val="restart"/>
            <w:shd w:val="clear" w:color="auto" w:fill="CCEEFF"/>
          </w:tcPr>
          <w:p>
            <w:pPr>
              <w:ind w:left="20"/>
              <w:spacing w:after="0"/>
              <w:rPr>
                <w:sz w:val="20"/>
                <w:szCs w:val="20"/>
                <w:color w:val="auto"/>
              </w:rPr>
            </w:pPr>
            <w:r>
              <w:rPr>
                <w:rFonts w:ascii="Arial" w:cs="Arial" w:eastAsia="Arial" w:hAnsi="Arial"/>
                <w:sz w:val="18"/>
                <w:szCs w:val="18"/>
                <w:i w:val="1"/>
                <w:iCs w:val="1"/>
                <w:color w:val="auto"/>
              </w:rPr>
              <w:t>Senior Vice President, Chief Financial Officer</w:t>
            </w:r>
          </w:p>
        </w:tc>
        <w:tc>
          <w:tcPr>
            <w:tcW w:w="1740" w:type="dxa"/>
            <w:vAlign w:val="bottom"/>
            <w:gridSpan w:val="2"/>
            <w:vMerge w:val="continue"/>
            <w:shd w:val="clear" w:color="auto" w:fill="CCEEFF"/>
          </w:tcPr>
          <w:p>
            <w:pPr>
              <w:spacing w:after="0"/>
              <w:rPr>
                <w:sz w:val="12"/>
                <w:szCs w:val="12"/>
                <w:color w:val="auto"/>
              </w:rPr>
            </w:pPr>
          </w:p>
        </w:tc>
        <w:tc>
          <w:tcPr>
            <w:tcW w:w="174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3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532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3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380" w:firstLine="8"/>
        <w:spacing w:after="0" w:line="308" w:lineRule="auto"/>
        <w:tabs>
          <w:tab w:leader="none" w:pos="252"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plan duration is until the date listed in this column or such earlier date upon the completion of all trades under the plan (or the expiration of the orders relating to such trades without execution) or the occurrence of such other termination events as specified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247650</wp:posOffset>
            </wp:positionV>
            <wp:extent cx="19685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Q2 2023 Form 10-Q | 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Quarterly Report on Form 10-Q:</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2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96"/>
              </w:rPr>
              <w:t>Exhibit Number</w:t>
            </w:r>
          </w:p>
        </w:tc>
        <w:tc>
          <w:tcPr>
            <w:tcW w:w="14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5520" w:type="dxa"/>
            <w:vAlign w:val="bottom"/>
            <w:tcBorders>
              <w:bottom w:val="single" w:sz="8" w:color="auto"/>
            </w:tcBorders>
            <w:gridSpan w:val="7"/>
          </w:tcPr>
          <w:p>
            <w:pPr>
              <w:ind w:left="160"/>
              <w:spacing w:after="0"/>
              <w:rPr>
                <w:sz w:val="20"/>
                <w:szCs w:val="20"/>
                <w:color w:val="auto"/>
              </w:rPr>
            </w:pPr>
            <w:r>
              <w:rPr>
                <w:rFonts w:ascii="Arial" w:cs="Arial" w:eastAsia="Arial" w:hAnsi="Arial"/>
                <w:sz w:val="16"/>
                <w:szCs w:val="16"/>
                <w:b w:val="1"/>
                <w:bCs w:val="1"/>
                <w:color w:val="auto"/>
              </w:rPr>
              <w:t>Description</w:t>
            </w:r>
          </w:p>
        </w:tc>
      </w:tr>
      <w:tr>
        <w:trPr>
          <w:trHeight w:val="172"/>
        </w:trPr>
        <w:tc>
          <w:tcPr>
            <w:tcW w:w="740" w:type="dxa"/>
            <w:vAlign w:val="bottom"/>
            <w:gridSpan w:val="4"/>
            <w:shd w:val="clear" w:color="auto" w:fill="CCEEFF"/>
          </w:tcPr>
          <w:p>
            <w:pPr>
              <w:jc w:val="center"/>
              <w:ind w:left="379"/>
              <w:spacing w:after="0" w:line="172" w:lineRule="exact"/>
              <w:rPr>
                <w:rFonts w:ascii="Arial" w:cs="Arial" w:eastAsia="Arial" w:hAnsi="Arial"/>
                <w:sz w:val="16"/>
                <w:szCs w:val="16"/>
                <w:color w:val="0000FF"/>
                <w:w w:val="89"/>
              </w:rPr>
            </w:pPr>
            <w:hyperlink r:id="rId131">
              <w:r>
                <w:rPr>
                  <w:rFonts w:ascii="Arial" w:cs="Arial" w:eastAsia="Arial" w:hAnsi="Arial"/>
                  <w:sz w:val="16"/>
                  <w:szCs w:val="16"/>
                  <w:color w:val="0000FF"/>
                  <w:w w:val="89"/>
                </w:rPr>
                <w:t>3.</w:t>
              </w:r>
              <w:r>
                <w:rPr>
                  <w:rFonts w:ascii="Arial" w:cs="Arial" w:eastAsia="Arial" w:hAnsi="Arial"/>
                  <w:sz w:val="16"/>
                  <w:szCs w:val="16"/>
                  <w:u w:val="single" w:color="auto"/>
                  <w:color w:val="0000FF"/>
                  <w:w w:val="89"/>
                </w:rPr>
                <w:t>1</w:t>
              </w:r>
            </w:hyperlink>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900" w:type="dxa"/>
            <w:vAlign w:val="bottom"/>
            <w:gridSpan w:val="12"/>
            <w:shd w:val="clear" w:color="auto" w:fill="CCEEFF"/>
          </w:tcPr>
          <w:p>
            <w:pPr>
              <w:spacing w:after="0" w:line="172" w:lineRule="exact"/>
              <w:rPr>
                <w:rFonts w:ascii="Arial" w:cs="Arial" w:eastAsia="Arial" w:hAnsi="Arial"/>
                <w:sz w:val="16"/>
                <w:szCs w:val="16"/>
                <w:color w:val="0000FF"/>
                <w:w w:val="93"/>
              </w:rPr>
            </w:pPr>
            <w:hyperlink r:id="rId131">
              <w:r>
                <w:rPr>
                  <w:rFonts w:ascii="Arial" w:cs="Arial" w:eastAsia="Arial" w:hAnsi="Arial"/>
                  <w:sz w:val="16"/>
                  <w:szCs w:val="16"/>
                  <w:color w:val="0000FF"/>
                  <w:w w:val="93"/>
                </w:rPr>
                <w:t>The Company’s Restated Certificate of Incorporation, as amended, is incorporated by reference from Exhibit 3 to the Company’s Quarterly Report on</w:t>
              </w:r>
            </w:hyperlink>
          </w:p>
        </w:tc>
      </w:tr>
      <w:tr>
        <w:trPr>
          <w:trHeight w:val="142"/>
        </w:trPr>
        <w:tc>
          <w:tcPr>
            <w:tcW w:w="4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9720" w:type="dxa"/>
            <w:vAlign w:val="bottom"/>
            <w:tcBorders>
              <w:top w:val="single" w:sz="8" w:color="0000FF"/>
            </w:tcBorders>
            <w:gridSpan w:val="10"/>
            <w:shd w:val="clear" w:color="auto" w:fill="CCEEFF"/>
          </w:tcPr>
          <w:p>
            <w:pPr>
              <w:spacing w:after="0" w:line="142" w:lineRule="exact"/>
              <w:rPr>
                <w:rFonts w:ascii="Arial" w:cs="Arial" w:eastAsia="Arial" w:hAnsi="Arial"/>
                <w:sz w:val="16"/>
                <w:szCs w:val="16"/>
                <w:color w:val="0000FF"/>
              </w:rPr>
            </w:pPr>
            <w:hyperlink r:id="rId131">
              <w:r>
                <w:rPr>
                  <w:rFonts w:ascii="Arial" w:cs="Arial" w:eastAsia="Arial" w:hAnsi="Arial"/>
                  <w:sz w:val="16"/>
                  <w:szCs w:val="16"/>
                  <w:color w:val="0000FF"/>
                </w:rPr>
                <w:t>Form 10-Q for the quarter ended April 3, 2005.</w:t>
              </w:r>
            </w:hyperlink>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40" w:type="dxa"/>
            <w:vAlign w:val="bottom"/>
            <w:gridSpan w:val="4"/>
          </w:tcPr>
          <w:p>
            <w:pPr>
              <w:jc w:val="center"/>
              <w:ind w:left="379"/>
              <w:spacing w:after="0" w:line="175" w:lineRule="exact"/>
              <w:rPr>
                <w:rFonts w:ascii="Arial" w:cs="Arial" w:eastAsia="Arial" w:hAnsi="Arial"/>
                <w:sz w:val="16"/>
                <w:szCs w:val="16"/>
                <w:color w:val="0000FF"/>
                <w:w w:val="89"/>
              </w:rPr>
            </w:pPr>
            <w:hyperlink r:id="rId132">
              <w:r>
                <w:rPr>
                  <w:rFonts w:ascii="Arial" w:cs="Arial" w:eastAsia="Arial" w:hAnsi="Arial"/>
                  <w:sz w:val="16"/>
                  <w:szCs w:val="16"/>
                  <w:color w:val="0000FF"/>
                  <w:w w:val="89"/>
                </w:rPr>
                <w:t>3.</w:t>
              </w:r>
              <w:r>
                <w:rPr>
                  <w:rFonts w:ascii="Arial" w:cs="Arial" w:eastAsia="Arial" w:hAnsi="Arial"/>
                  <w:sz w:val="16"/>
                  <w:szCs w:val="16"/>
                  <w:u w:val="single" w:color="auto"/>
                  <w:color w:val="0000FF"/>
                  <w:w w:val="89"/>
                </w:rPr>
                <w:t>2</w:t>
              </w:r>
            </w:hyperlink>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900" w:type="dxa"/>
            <w:vAlign w:val="bottom"/>
            <w:gridSpan w:val="12"/>
          </w:tcPr>
          <w:p>
            <w:pPr>
              <w:spacing w:after="0" w:line="175" w:lineRule="exact"/>
              <w:rPr>
                <w:rFonts w:ascii="Arial" w:cs="Arial" w:eastAsia="Arial" w:hAnsi="Arial"/>
                <w:sz w:val="16"/>
                <w:szCs w:val="16"/>
                <w:color w:val="0000FF"/>
                <w:w w:val="93"/>
              </w:rPr>
            </w:pPr>
            <w:hyperlink r:id="rId132">
              <w:r>
                <w:rPr>
                  <w:rFonts w:ascii="Arial" w:cs="Arial" w:eastAsia="Arial" w:hAnsi="Arial"/>
                  <w:sz w:val="16"/>
                  <w:szCs w:val="16"/>
                  <w:color w:val="0000FF"/>
                  <w:w w:val="93"/>
                </w:rPr>
                <w:t>The Company's By-laws, as amended and restated as of February 21, 2017, are incorporated by reference from Exhibit 3.2 to the Company’s Annual</w:t>
              </w:r>
            </w:hyperlink>
          </w:p>
        </w:tc>
      </w:tr>
      <w:tr>
        <w:trPr>
          <w:trHeight w:val="142"/>
        </w:trPr>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40" w:type="dxa"/>
            <w:vAlign w:val="bottom"/>
            <w:tcBorders>
              <w:top w:val="single" w:sz="8" w:color="0000FF"/>
            </w:tcBorders>
            <w:gridSpan w:val="9"/>
          </w:tcPr>
          <w:p>
            <w:pPr>
              <w:spacing w:after="0" w:line="142" w:lineRule="exact"/>
              <w:rPr>
                <w:rFonts w:ascii="Arial" w:cs="Arial" w:eastAsia="Arial" w:hAnsi="Arial"/>
                <w:sz w:val="16"/>
                <w:szCs w:val="16"/>
                <w:color w:val="0000FF"/>
              </w:rPr>
            </w:pPr>
            <w:hyperlink r:id="rId132">
              <w:r>
                <w:rPr>
                  <w:rFonts w:ascii="Arial" w:cs="Arial" w:eastAsia="Arial" w:hAnsi="Arial"/>
                  <w:sz w:val="16"/>
                  <w:szCs w:val="16"/>
                  <w:color w:val="0000FF"/>
                </w:rPr>
                <w:t>Report on Form 10-K for the fiscal year ended December 31, 2018.</w:t>
              </w:r>
            </w:hyperlink>
          </w:p>
        </w:tc>
        <w:tc>
          <w:tcPr>
            <w:tcW w:w="10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5"/>
        </w:trPr>
        <w:tc>
          <w:tcPr>
            <w:tcW w:w="740" w:type="dxa"/>
            <w:vAlign w:val="bottom"/>
            <w:gridSpan w:val="4"/>
            <w:shd w:val="clear" w:color="auto" w:fill="CCEEFF"/>
          </w:tcPr>
          <w:p>
            <w:pPr>
              <w:jc w:val="center"/>
              <w:ind w:left="379"/>
              <w:spacing w:after="0" w:line="175" w:lineRule="exact"/>
              <w:rPr>
                <w:rFonts w:ascii="Arial" w:cs="Arial" w:eastAsia="Arial" w:hAnsi="Arial"/>
                <w:sz w:val="16"/>
                <w:szCs w:val="16"/>
                <w:color w:val="0000FF"/>
                <w:w w:val="89"/>
              </w:rPr>
            </w:pPr>
            <w:hyperlink r:id="rId133">
              <w:r>
                <w:rPr>
                  <w:rFonts w:ascii="Arial" w:cs="Arial" w:eastAsia="Arial" w:hAnsi="Arial"/>
                  <w:sz w:val="16"/>
                  <w:szCs w:val="16"/>
                  <w:color w:val="0000FF"/>
                  <w:w w:val="89"/>
                </w:rPr>
                <w:t>4.</w:t>
              </w:r>
              <w:r>
                <w:rPr>
                  <w:rFonts w:ascii="Arial" w:cs="Arial" w:eastAsia="Arial" w:hAnsi="Arial"/>
                  <w:sz w:val="16"/>
                  <w:szCs w:val="16"/>
                  <w:u w:val="single" w:color="auto"/>
                  <w:color w:val="0000FF"/>
                  <w:w w:val="89"/>
                </w:rPr>
                <w:t>1</w:t>
              </w:r>
            </w:hyperlink>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900" w:type="dxa"/>
            <w:vAlign w:val="bottom"/>
            <w:gridSpan w:val="12"/>
            <w:shd w:val="clear" w:color="auto" w:fill="CCEEFF"/>
          </w:tcPr>
          <w:p>
            <w:pPr>
              <w:spacing w:after="0" w:line="175" w:lineRule="exact"/>
              <w:rPr>
                <w:rFonts w:ascii="Arial" w:cs="Arial" w:eastAsia="Arial" w:hAnsi="Arial"/>
                <w:sz w:val="16"/>
                <w:szCs w:val="16"/>
                <w:color w:val="0000FF"/>
                <w:w w:val="96"/>
              </w:rPr>
            </w:pPr>
            <w:hyperlink r:id="rId133">
              <w:r>
                <w:rPr>
                  <w:rFonts w:ascii="Arial" w:cs="Arial" w:eastAsia="Arial" w:hAnsi="Arial"/>
                  <w:sz w:val="16"/>
                  <w:szCs w:val="16"/>
                  <w:color w:val="0000FF"/>
                  <w:w w:val="96"/>
                </w:rPr>
                <w:t>Form of Global Note representing the Company’s 4.250% Notes due May 4, 2028, is incorporated by reference from Exhibit 4.1 to the Company’s</w:t>
              </w:r>
            </w:hyperlink>
          </w:p>
        </w:tc>
      </w:tr>
      <w:tr>
        <w:trPr>
          <w:trHeight w:val="163"/>
        </w:trPr>
        <w:tc>
          <w:tcPr>
            <w:tcW w:w="46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4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3120" w:type="dxa"/>
            <w:vAlign w:val="bottom"/>
            <w:tcBorders>
              <w:top w:val="single" w:sz="8" w:color="0000FF"/>
              <w:bottom w:val="single" w:sz="8" w:color="0000FF"/>
            </w:tcBorders>
            <w:gridSpan w:val="4"/>
            <w:shd w:val="clear" w:color="auto" w:fill="CCEEFF"/>
          </w:tcPr>
          <w:p>
            <w:pPr>
              <w:spacing w:after="0" w:line="142" w:lineRule="exact"/>
              <w:rPr>
                <w:rFonts w:ascii="Arial" w:cs="Arial" w:eastAsia="Arial" w:hAnsi="Arial"/>
                <w:sz w:val="16"/>
                <w:szCs w:val="16"/>
                <w:color w:val="0000FF"/>
                <w:w w:val="93"/>
              </w:rPr>
            </w:pPr>
            <w:hyperlink r:id="rId133">
              <w:r>
                <w:rPr>
                  <w:rFonts w:ascii="Arial" w:cs="Arial" w:eastAsia="Arial" w:hAnsi="Arial"/>
                  <w:sz w:val="16"/>
                  <w:szCs w:val="16"/>
                  <w:color w:val="0000FF"/>
                  <w:w w:val="93"/>
                </w:rPr>
                <w:t>Current Report on Form 8-K filed May 4, 2023.</w:t>
              </w:r>
            </w:hyperlink>
          </w:p>
        </w:tc>
        <w:tc>
          <w:tcPr>
            <w:tcW w:w="6400" w:type="dxa"/>
            <w:vAlign w:val="bottom"/>
            <w:tcBorders>
              <w:top w:val="single" w:sz="8" w:color="0000FF"/>
              <w:bottom w:val="single" w:sz="8" w:color="CCEEFF"/>
            </w:tcBorders>
            <w:gridSpan w:val="3"/>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740" w:type="dxa"/>
            <w:vAlign w:val="bottom"/>
            <w:gridSpan w:val="4"/>
          </w:tcPr>
          <w:p>
            <w:pPr>
              <w:jc w:val="center"/>
              <w:ind w:left="379"/>
              <w:spacing w:after="0" w:line="175" w:lineRule="exact"/>
              <w:rPr>
                <w:rFonts w:ascii="Arial" w:cs="Arial" w:eastAsia="Arial" w:hAnsi="Arial"/>
                <w:sz w:val="16"/>
                <w:szCs w:val="16"/>
                <w:color w:val="0000FF"/>
                <w:w w:val="89"/>
              </w:rPr>
            </w:pPr>
            <w:hyperlink r:id="rId134">
              <w:r>
                <w:rPr>
                  <w:rFonts w:ascii="Arial" w:cs="Arial" w:eastAsia="Arial" w:hAnsi="Arial"/>
                  <w:sz w:val="16"/>
                  <w:szCs w:val="16"/>
                  <w:color w:val="0000FF"/>
                  <w:w w:val="89"/>
                </w:rPr>
                <w:t>4.</w:t>
              </w:r>
              <w:r>
                <w:rPr>
                  <w:rFonts w:ascii="Arial" w:cs="Arial" w:eastAsia="Arial" w:hAnsi="Arial"/>
                  <w:sz w:val="16"/>
                  <w:szCs w:val="16"/>
                  <w:u w:val="single" w:color="auto"/>
                  <w:color w:val="0000FF"/>
                  <w:w w:val="89"/>
                </w:rPr>
                <w:t>2</w:t>
              </w:r>
            </w:hyperlink>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900" w:type="dxa"/>
            <w:vAlign w:val="bottom"/>
            <w:gridSpan w:val="12"/>
          </w:tcPr>
          <w:p>
            <w:pPr>
              <w:spacing w:after="0" w:line="175" w:lineRule="exact"/>
              <w:rPr>
                <w:rFonts w:ascii="Arial" w:cs="Arial" w:eastAsia="Arial" w:hAnsi="Arial"/>
                <w:sz w:val="16"/>
                <w:szCs w:val="16"/>
                <w:color w:val="0000FF"/>
                <w:w w:val="96"/>
              </w:rPr>
            </w:pPr>
            <w:hyperlink r:id="rId134">
              <w:r>
                <w:rPr>
                  <w:rFonts w:ascii="Arial" w:cs="Arial" w:eastAsia="Arial" w:hAnsi="Arial"/>
                  <w:sz w:val="16"/>
                  <w:szCs w:val="16"/>
                  <w:color w:val="0000FF"/>
                  <w:w w:val="96"/>
                </w:rPr>
                <w:t>Form of Global Note representing the Company’s 4.500% Notes due May 4, 2028, is incorporated by reference from Exhibit 4.2 to the Company’s</w:t>
              </w:r>
            </w:hyperlink>
          </w:p>
        </w:tc>
      </w:tr>
      <w:tr>
        <w:trPr>
          <w:trHeight w:val="142"/>
        </w:trPr>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520" w:type="dxa"/>
            <w:vAlign w:val="bottom"/>
            <w:tcBorders>
              <w:top w:val="single" w:sz="8" w:color="0000FF"/>
            </w:tcBorders>
            <w:gridSpan w:val="7"/>
          </w:tcPr>
          <w:p>
            <w:pPr>
              <w:spacing w:after="0" w:line="142" w:lineRule="exact"/>
              <w:rPr>
                <w:rFonts w:ascii="Arial" w:cs="Arial" w:eastAsia="Arial" w:hAnsi="Arial"/>
                <w:sz w:val="16"/>
                <w:szCs w:val="16"/>
                <w:color w:val="0000FF"/>
              </w:rPr>
            </w:pPr>
            <w:hyperlink r:id="rId134">
              <w:r>
                <w:rPr>
                  <w:rFonts w:ascii="Arial" w:cs="Arial" w:eastAsia="Arial" w:hAnsi="Arial"/>
                  <w:sz w:val="16"/>
                  <w:szCs w:val="16"/>
                  <w:color w:val="0000FF"/>
                </w:rPr>
                <w:t>Current Report on Form 8-K filed May 4, 2023.</w:t>
              </w:r>
            </w:hyperlink>
          </w:p>
        </w:tc>
        <w:tc>
          <w:tcPr>
            <w:tcW w:w="60" w:type="dxa"/>
            <w:vAlign w:val="bottom"/>
          </w:tcPr>
          <w:p>
            <w:pPr>
              <w:spacing w:after="0"/>
              <w:rPr>
                <w:sz w:val="12"/>
                <w:szCs w:val="12"/>
                <w:color w:val="auto"/>
              </w:rPr>
            </w:pPr>
          </w:p>
        </w:tc>
        <w:tc>
          <w:tcPr>
            <w:tcW w:w="160" w:type="dxa"/>
            <w:vAlign w:val="bottom"/>
            <w:gridSpan w:val="3"/>
          </w:tcPr>
          <w:p>
            <w:pPr>
              <w:spacing w:after="0"/>
              <w:rPr>
                <w:sz w:val="12"/>
                <w:szCs w:val="12"/>
                <w:color w:val="auto"/>
              </w:rPr>
            </w:pPr>
          </w:p>
        </w:tc>
        <w:tc>
          <w:tcPr>
            <w:tcW w:w="160" w:type="dxa"/>
            <w:vAlign w:val="bottom"/>
          </w:tcPr>
          <w:p>
            <w:pPr>
              <w:spacing w:after="0"/>
              <w:rPr>
                <w:sz w:val="12"/>
                <w:szCs w:val="12"/>
                <w:color w:val="auto"/>
              </w:rPr>
            </w:pPr>
          </w:p>
        </w:tc>
      </w:tr>
      <w:tr>
        <w:trPr>
          <w:trHeight w:val="21"/>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6"/>
        </w:trPr>
        <w:tc>
          <w:tcPr>
            <w:tcW w:w="740" w:type="dxa"/>
            <w:vAlign w:val="bottom"/>
            <w:gridSpan w:val="4"/>
            <w:shd w:val="clear" w:color="auto" w:fill="CCEEFF"/>
          </w:tcPr>
          <w:p>
            <w:pPr>
              <w:jc w:val="center"/>
              <w:ind w:left="379"/>
              <w:spacing w:after="0" w:line="175" w:lineRule="exact"/>
              <w:rPr>
                <w:rFonts w:ascii="Arial" w:cs="Arial" w:eastAsia="Arial" w:hAnsi="Arial"/>
                <w:sz w:val="16"/>
                <w:szCs w:val="16"/>
                <w:color w:val="0000FF"/>
                <w:w w:val="89"/>
              </w:rPr>
            </w:pPr>
            <w:hyperlink r:id="rId135">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w:t>
              </w:r>
            </w:hyperlink>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900" w:type="dxa"/>
            <w:vAlign w:val="bottom"/>
            <w:gridSpan w:val="12"/>
            <w:shd w:val="clear" w:color="auto" w:fill="CCEEFF"/>
          </w:tcPr>
          <w:p>
            <w:pPr>
              <w:spacing w:after="0" w:line="175" w:lineRule="exact"/>
              <w:rPr>
                <w:rFonts w:ascii="Arial" w:cs="Arial" w:eastAsia="Arial" w:hAnsi="Arial"/>
                <w:sz w:val="16"/>
                <w:szCs w:val="16"/>
                <w:color w:val="0000FF"/>
                <w:w w:val="94"/>
              </w:rPr>
            </w:pPr>
            <w:hyperlink r:id="rId135">
              <w:r>
                <w:rPr>
                  <w:rFonts w:ascii="Arial" w:cs="Arial" w:eastAsia="Arial" w:hAnsi="Arial"/>
                  <w:sz w:val="16"/>
                  <w:szCs w:val="16"/>
                  <w:color w:val="0000FF"/>
                  <w:w w:val="94"/>
                </w:rPr>
                <w:t>Five Year Credit Agreement dated as of April 26, 2023, is incorporated by reference from Exhibit 10.1 to the Company’s Current Report on Form 8-K</w:t>
              </w:r>
            </w:hyperlink>
          </w:p>
        </w:tc>
      </w:tr>
      <w:tr>
        <w:trPr>
          <w:trHeight w:val="142"/>
        </w:trPr>
        <w:tc>
          <w:tcPr>
            <w:tcW w:w="4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9740" w:type="dxa"/>
            <w:vAlign w:val="bottom"/>
            <w:tcBorders>
              <w:top w:val="single" w:sz="8" w:color="0000FF"/>
            </w:tcBorders>
            <w:gridSpan w:val="11"/>
            <w:shd w:val="clear" w:color="auto" w:fill="CCEEFF"/>
          </w:tcPr>
          <w:p>
            <w:pPr>
              <w:spacing w:after="0" w:line="142" w:lineRule="exact"/>
              <w:rPr>
                <w:rFonts w:ascii="Arial" w:cs="Arial" w:eastAsia="Arial" w:hAnsi="Arial"/>
                <w:sz w:val="16"/>
                <w:szCs w:val="16"/>
                <w:color w:val="0000FF"/>
              </w:rPr>
            </w:pPr>
            <w:hyperlink r:id="rId135">
              <w:r>
                <w:rPr>
                  <w:rFonts w:ascii="Arial" w:cs="Arial" w:eastAsia="Arial" w:hAnsi="Arial"/>
                  <w:sz w:val="16"/>
                  <w:szCs w:val="16"/>
                  <w:color w:val="0000FF"/>
                </w:rPr>
                <w:t>filed April 26, 2023.</w:t>
              </w:r>
            </w:hyperlink>
          </w:p>
        </w:tc>
        <w:tc>
          <w:tcPr>
            <w:tcW w:w="160" w:type="dxa"/>
            <w:vAlign w:val="bottom"/>
            <w:tcBorders>
              <w:top w:val="single" w:sz="8" w:color="CCEEFF"/>
            </w:tcBorders>
            <w:shd w:val="clear" w:color="auto" w:fill="CCEEFF"/>
          </w:tcPr>
          <w:p>
            <w:pPr>
              <w:spacing w:after="0"/>
              <w:rPr>
                <w:sz w:val="12"/>
                <w:szCs w:val="12"/>
                <w:color w:val="auto"/>
              </w:rPr>
            </w:pP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40" w:type="dxa"/>
            <w:vAlign w:val="bottom"/>
            <w:gridSpan w:val="4"/>
          </w:tcPr>
          <w:p>
            <w:pPr>
              <w:jc w:val="center"/>
              <w:ind w:left="379"/>
              <w:spacing w:after="0" w:line="175" w:lineRule="exact"/>
              <w:rPr>
                <w:sz w:val="20"/>
                <w:szCs w:val="20"/>
                <w:color w:val="auto"/>
              </w:rPr>
            </w:pPr>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1</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900" w:type="dxa"/>
            <w:vAlign w:val="bottom"/>
            <w:gridSpan w:val="12"/>
          </w:tcPr>
          <w:p>
            <w:pPr>
              <w:spacing w:after="0" w:line="175" w:lineRule="exact"/>
              <w:rPr>
                <w:sz w:val="20"/>
                <w:szCs w:val="20"/>
                <w:color w:val="auto"/>
              </w:rPr>
            </w:pPr>
            <w:r>
              <w:rPr>
                <w:rFonts w:ascii="Arial" w:cs="Arial" w:eastAsia="Arial" w:hAnsi="Arial"/>
                <w:sz w:val="16"/>
                <w:szCs w:val="16"/>
                <w:color w:val="0000FF"/>
              </w:rPr>
              <w:t>Certification of Michele G. Buck, Chief Executive Officer, pursuant to Section 302 of the Sarbanes-Oxley Act of 2002.</w:t>
            </w:r>
            <w:r>
              <w:rPr>
                <w:rFonts w:ascii="Arial" w:cs="Arial" w:eastAsia="Arial" w:hAnsi="Arial"/>
                <w:sz w:val="16"/>
                <w:szCs w:val="16"/>
                <w:color w:val="000000"/>
              </w:rPr>
              <w:t>*</w:t>
            </w:r>
          </w:p>
        </w:tc>
      </w:tr>
      <w:tr>
        <w:trPr>
          <w:trHeight w:val="20"/>
        </w:trPr>
        <w:tc>
          <w:tcPr>
            <w:tcW w:w="4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3340" w:type="dxa"/>
            <w:vAlign w:val="bottom"/>
            <w:tcBorders>
              <w:top w:val="single" w:sz="8" w:color="0000FF"/>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5"/>
        </w:trPr>
        <w:tc>
          <w:tcPr>
            <w:tcW w:w="460" w:type="dxa"/>
            <w:vAlign w:val="bottom"/>
            <w:shd w:val="clear" w:color="auto" w:fill="CCEEFF"/>
          </w:tcPr>
          <w:p>
            <w:pPr>
              <w:spacing w:after="0"/>
              <w:rPr>
                <w:sz w:val="15"/>
                <w:szCs w:val="15"/>
                <w:color w:val="auto"/>
              </w:rPr>
            </w:pPr>
          </w:p>
        </w:tc>
        <w:tc>
          <w:tcPr>
            <w:tcW w:w="280" w:type="dxa"/>
            <w:vAlign w:val="bottom"/>
            <w:gridSpan w:val="3"/>
            <w:shd w:val="clear" w:color="auto" w:fill="CCEEFF"/>
          </w:tcPr>
          <w:p>
            <w:pPr>
              <w:jc w:val="center"/>
              <w:spacing w:after="0" w:line="175" w:lineRule="exact"/>
              <w:rPr>
                <w:sz w:val="20"/>
                <w:szCs w:val="20"/>
                <w:color w:val="auto"/>
              </w:rPr>
            </w:pPr>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2</w:t>
            </w: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900" w:type="dxa"/>
            <w:vAlign w:val="bottom"/>
            <w:gridSpan w:val="12"/>
            <w:shd w:val="clear" w:color="auto" w:fill="CCEEFF"/>
          </w:tcPr>
          <w:p>
            <w:pPr>
              <w:spacing w:after="0" w:line="175" w:lineRule="exact"/>
              <w:rPr>
                <w:sz w:val="20"/>
                <w:szCs w:val="20"/>
                <w:color w:val="auto"/>
              </w:rPr>
            </w:pPr>
            <w:r>
              <w:rPr>
                <w:rFonts w:ascii="Arial" w:cs="Arial" w:eastAsia="Arial" w:hAnsi="Arial"/>
                <w:sz w:val="16"/>
                <w:szCs w:val="16"/>
                <w:color w:val="0000FF"/>
              </w:rPr>
              <w:t>Certification of Steven E. Voskuil, Chief Financial Officer, pursuant to Section 302 of the Sarbanes-Oxley Act of 2002.</w:t>
            </w:r>
            <w:r>
              <w:rPr>
                <w:rFonts w:ascii="Arial" w:cs="Arial" w:eastAsia="Arial" w:hAnsi="Arial"/>
                <w:sz w:val="16"/>
                <w:szCs w:val="16"/>
                <w:color w:val="000000"/>
              </w:rPr>
              <w:t>*</w:t>
            </w: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3340" w:type="dxa"/>
            <w:vAlign w:val="bottom"/>
            <w:tcBorders>
              <w:top w:val="single" w:sz="8" w:color="0000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60" w:type="dxa"/>
            <w:vAlign w:val="bottom"/>
          </w:tcPr>
          <w:p>
            <w:pPr>
              <w:spacing w:after="0"/>
              <w:rPr>
                <w:sz w:val="15"/>
                <w:szCs w:val="15"/>
                <w:color w:val="auto"/>
              </w:rPr>
            </w:pPr>
          </w:p>
        </w:tc>
        <w:tc>
          <w:tcPr>
            <w:tcW w:w="280" w:type="dxa"/>
            <w:vAlign w:val="bottom"/>
            <w:gridSpan w:val="3"/>
          </w:tcPr>
          <w:p>
            <w:pPr>
              <w:jc w:val="center"/>
              <w:spacing w:after="0" w:line="175" w:lineRule="exact"/>
              <w:rPr>
                <w:sz w:val="20"/>
                <w:szCs w:val="20"/>
                <w:color w:val="auto"/>
              </w:rPr>
            </w:pPr>
            <w:r>
              <w:rPr>
                <w:rFonts w:ascii="Arial" w:cs="Arial" w:eastAsia="Arial" w:hAnsi="Arial"/>
                <w:sz w:val="16"/>
                <w:szCs w:val="16"/>
                <w:color w:val="0000FF"/>
                <w:w w:val="89"/>
              </w:rPr>
              <w:t>32.</w:t>
            </w:r>
            <w:r>
              <w:rPr>
                <w:rFonts w:ascii="Arial" w:cs="Arial" w:eastAsia="Arial" w:hAnsi="Arial"/>
                <w:sz w:val="16"/>
                <w:szCs w:val="16"/>
                <w:u w:val="single" w:color="auto"/>
                <w:color w:val="0000FF"/>
                <w:w w:val="89"/>
              </w:rPr>
              <w:t>1</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900" w:type="dxa"/>
            <w:vAlign w:val="bottom"/>
            <w:gridSpan w:val="12"/>
          </w:tcPr>
          <w:p>
            <w:pPr>
              <w:spacing w:after="0" w:line="175" w:lineRule="exact"/>
              <w:rPr>
                <w:sz w:val="20"/>
                <w:szCs w:val="20"/>
                <w:color w:val="auto"/>
              </w:rPr>
            </w:pPr>
            <w:r>
              <w:rPr>
                <w:rFonts w:ascii="Arial" w:cs="Arial" w:eastAsia="Arial" w:hAnsi="Arial"/>
                <w:sz w:val="16"/>
                <w:szCs w:val="16"/>
                <w:color w:val="0000FF"/>
                <w:w w:val="96"/>
              </w:rPr>
              <w:t>Certification of Michele G. Buck, Chief Executive Officer, and Steven E. Voskuil, Chief Financial Officer, pursuant to Section 906 of the Sarbanes-</w:t>
            </w:r>
          </w:p>
        </w:tc>
      </w:tr>
      <w:tr>
        <w:trPr>
          <w:trHeight w:val="142"/>
        </w:trPr>
        <w:tc>
          <w:tcPr>
            <w:tcW w:w="460" w:type="dxa"/>
            <w:vAlign w:val="bottom"/>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580" w:type="dxa"/>
            <w:vAlign w:val="bottom"/>
            <w:tcBorders>
              <w:top w:val="single" w:sz="8" w:color="0000FF"/>
            </w:tcBorders>
            <w:gridSpan w:val="8"/>
          </w:tcPr>
          <w:p>
            <w:pPr>
              <w:spacing w:after="0" w:line="142" w:lineRule="exact"/>
              <w:rPr>
                <w:sz w:val="20"/>
                <w:szCs w:val="20"/>
                <w:color w:val="auto"/>
              </w:rPr>
            </w:pPr>
            <w:r>
              <w:rPr>
                <w:rFonts w:ascii="Arial" w:cs="Arial" w:eastAsia="Arial" w:hAnsi="Arial"/>
                <w:sz w:val="16"/>
                <w:szCs w:val="16"/>
                <w:color w:val="0000FF"/>
              </w:rPr>
              <w:t>Oxley Act of 2002.</w:t>
            </w:r>
            <w:r>
              <w:rPr>
                <w:rFonts w:ascii="Arial" w:cs="Arial" w:eastAsia="Arial" w:hAnsi="Arial"/>
                <w:sz w:val="16"/>
                <w:szCs w:val="16"/>
                <w:color w:val="000000"/>
              </w:rPr>
              <w:t>**</w:t>
            </w:r>
          </w:p>
        </w:tc>
        <w:tc>
          <w:tcPr>
            <w:tcW w:w="320" w:type="dxa"/>
            <w:vAlign w:val="bottom"/>
            <w:gridSpan w:val="4"/>
          </w:tcPr>
          <w:p>
            <w:pPr>
              <w:spacing w:after="0"/>
              <w:rPr>
                <w:sz w:val="12"/>
                <w:szCs w:val="12"/>
                <w:color w:val="auto"/>
              </w:rPr>
            </w:pPr>
          </w:p>
        </w:tc>
      </w:tr>
      <w:tr>
        <w:trPr>
          <w:trHeight w:val="21"/>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66"/>
        </w:trPr>
        <w:tc>
          <w:tcPr>
            <w:tcW w:w="1200" w:type="dxa"/>
            <w:vAlign w:val="bottom"/>
            <w:gridSpan w:val="5"/>
            <w:shd w:val="clear" w:color="auto" w:fill="CCEEFF"/>
          </w:tcPr>
          <w:p>
            <w:pPr>
              <w:jc w:val="center"/>
              <w:spacing w:after="0" w:line="166" w:lineRule="exact"/>
              <w:rPr>
                <w:sz w:val="20"/>
                <w:szCs w:val="20"/>
                <w:color w:val="auto"/>
              </w:rPr>
            </w:pPr>
            <w:r>
              <w:rPr>
                <w:rFonts w:ascii="Arial" w:cs="Arial" w:eastAsia="Arial" w:hAnsi="Arial"/>
                <w:sz w:val="16"/>
                <w:szCs w:val="16"/>
                <w:color w:val="auto"/>
                <w:w w:val="93"/>
              </w:rPr>
              <w:t>101.INS</w:t>
            </w:r>
          </w:p>
        </w:tc>
        <w:tc>
          <w:tcPr>
            <w:tcW w:w="140" w:type="dxa"/>
            <w:vAlign w:val="bottom"/>
            <w:shd w:val="clear" w:color="auto" w:fill="CCEEFF"/>
          </w:tcPr>
          <w:p>
            <w:pPr>
              <w:spacing w:after="0"/>
              <w:rPr>
                <w:sz w:val="14"/>
                <w:szCs w:val="14"/>
                <w:color w:val="auto"/>
              </w:rPr>
            </w:pPr>
          </w:p>
        </w:tc>
        <w:tc>
          <w:tcPr>
            <w:tcW w:w="9900" w:type="dxa"/>
            <w:vAlign w:val="bottom"/>
            <w:gridSpan w:val="12"/>
            <w:shd w:val="clear" w:color="auto" w:fill="CCEEFF"/>
          </w:tcPr>
          <w:p>
            <w:pPr>
              <w:spacing w:after="0" w:line="166" w:lineRule="exact"/>
              <w:rPr>
                <w:sz w:val="20"/>
                <w:szCs w:val="20"/>
                <w:color w:val="auto"/>
              </w:rPr>
            </w:pPr>
            <w:r>
              <w:rPr>
                <w:rFonts w:ascii="Arial" w:cs="Arial" w:eastAsia="Arial" w:hAnsi="Arial"/>
                <w:sz w:val="16"/>
                <w:szCs w:val="16"/>
                <w:color w:val="auto"/>
                <w:w w:val="93"/>
              </w:rPr>
              <w:t>Inline XBRL Instance Document - the instance document does not appear in the Interactive Data File because its XBRL tags are embedded within the</w:t>
            </w:r>
          </w:p>
        </w:tc>
      </w:tr>
      <w:tr>
        <w:trPr>
          <w:trHeight w:val="212"/>
        </w:trPr>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900" w:type="dxa"/>
            <w:vAlign w:val="bottom"/>
            <w:gridSpan w:val="12"/>
            <w:shd w:val="clear" w:color="auto" w:fill="CCEEFF"/>
          </w:tcPr>
          <w:p>
            <w:pPr>
              <w:spacing w:after="0"/>
              <w:rPr>
                <w:sz w:val="20"/>
                <w:szCs w:val="20"/>
                <w:color w:val="auto"/>
              </w:rPr>
            </w:pPr>
            <w:r>
              <w:rPr>
                <w:rFonts w:ascii="Arial" w:cs="Arial" w:eastAsia="Arial" w:hAnsi="Arial"/>
                <w:sz w:val="16"/>
                <w:szCs w:val="16"/>
                <w:color w:val="auto"/>
              </w:rPr>
              <w:t>Inline XBRL document.</w:t>
            </w:r>
          </w:p>
        </w:tc>
      </w:tr>
      <w:tr>
        <w:trPr>
          <w:trHeight w:val="210"/>
        </w:trPr>
        <w:tc>
          <w:tcPr>
            <w:tcW w:w="1200" w:type="dxa"/>
            <w:vAlign w:val="bottom"/>
            <w:gridSpan w:val="5"/>
          </w:tcPr>
          <w:p>
            <w:pPr>
              <w:jc w:val="center"/>
              <w:spacing w:after="0"/>
              <w:rPr>
                <w:sz w:val="20"/>
                <w:szCs w:val="20"/>
                <w:color w:val="auto"/>
              </w:rPr>
            </w:pPr>
            <w:r>
              <w:rPr>
                <w:rFonts w:ascii="Arial" w:cs="Arial" w:eastAsia="Arial" w:hAnsi="Arial"/>
                <w:sz w:val="16"/>
                <w:szCs w:val="16"/>
                <w:color w:val="auto"/>
                <w:w w:val="92"/>
              </w:rPr>
              <w:t>101.SCH</w:t>
            </w:r>
          </w:p>
        </w:tc>
        <w:tc>
          <w:tcPr>
            <w:tcW w:w="140" w:type="dxa"/>
            <w:vAlign w:val="bottom"/>
          </w:tcPr>
          <w:p>
            <w:pPr>
              <w:spacing w:after="0"/>
              <w:rPr>
                <w:sz w:val="18"/>
                <w:szCs w:val="18"/>
                <w:color w:val="auto"/>
              </w:rPr>
            </w:pPr>
          </w:p>
        </w:tc>
        <w:tc>
          <w:tcPr>
            <w:tcW w:w="9900" w:type="dxa"/>
            <w:vAlign w:val="bottom"/>
            <w:gridSpan w:val="12"/>
          </w:tcPr>
          <w:p>
            <w:pPr>
              <w:spacing w:after="0"/>
              <w:rPr>
                <w:sz w:val="20"/>
                <w:szCs w:val="20"/>
                <w:color w:val="auto"/>
              </w:rPr>
            </w:pPr>
            <w:r>
              <w:rPr>
                <w:rFonts w:ascii="Arial" w:cs="Arial" w:eastAsia="Arial" w:hAnsi="Arial"/>
                <w:sz w:val="16"/>
                <w:szCs w:val="16"/>
                <w:color w:val="auto"/>
              </w:rPr>
              <w:t>Inline XBRL Taxonomy Extension Schema</w:t>
            </w:r>
          </w:p>
        </w:tc>
      </w:tr>
      <w:tr>
        <w:trPr>
          <w:trHeight w:val="33"/>
        </w:trPr>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0"/>
        </w:trPr>
        <w:tc>
          <w:tcPr>
            <w:tcW w:w="1200" w:type="dxa"/>
            <w:vAlign w:val="bottom"/>
            <w:gridSpan w:val="5"/>
            <w:shd w:val="clear" w:color="auto" w:fill="CCEEFF"/>
          </w:tcPr>
          <w:p>
            <w:pPr>
              <w:jc w:val="center"/>
              <w:spacing w:after="0"/>
              <w:rPr>
                <w:sz w:val="20"/>
                <w:szCs w:val="20"/>
                <w:color w:val="auto"/>
              </w:rPr>
            </w:pPr>
            <w:r>
              <w:rPr>
                <w:rFonts w:ascii="Arial" w:cs="Arial" w:eastAsia="Arial" w:hAnsi="Arial"/>
                <w:sz w:val="16"/>
                <w:szCs w:val="16"/>
                <w:color w:val="auto"/>
                <w:w w:val="99"/>
              </w:rPr>
              <w:t>101.CAL</w:t>
            </w:r>
          </w:p>
        </w:tc>
        <w:tc>
          <w:tcPr>
            <w:tcW w:w="140" w:type="dxa"/>
            <w:vAlign w:val="bottom"/>
            <w:shd w:val="clear" w:color="auto" w:fill="CCEEFF"/>
          </w:tcPr>
          <w:p>
            <w:pPr>
              <w:spacing w:after="0"/>
              <w:rPr>
                <w:sz w:val="19"/>
                <w:szCs w:val="19"/>
                <w:color w:val="auto"/>
              </w:rPr>
            </w:pPr>
          </w:p>
        </w:tc>
        <w:tc>
          <w:tcPr>
            <w:tcW w:w="9900" w:type="dxa"/>
            <w:vAlign w:val="bottom"/>
            <w:gridSpan w:val="12"/>
            <w:shd w:val="clear" w:color="auto" w:fill="CCEEFF"/>
          </w:tcPr>
          <w:p>
            <w:pPr>
              <w:spacing w:after="0"/>
              <w:rPr>
                <w:sz w:val="20"/>
                <w:szCs w:val="20"/>
                <w:color w:val="auto"/>
              </w:rPr>
            </w:pPr>
            <w:r>
              <w:rPr>
                <w:rFonts w:ascii="Arial" w:cs="Arial" w:eastAsia="Arial" w:hAnsi="Arial"/>
                <w:sz w:val="16"/>
                <w:szCs w:val="16"/>
                <w:color w:val="auto"/>
              </w:rPr>
              <w:t>Inline XBRL Taxonomy Extension Calculation Linkbase</w:t>
            </w:r>
          </w:p>
        </w:tc>
      </w:tr>
      <w:tr>
        <w:trPr>
          <w:trHeight w:val="213"/>
        </w:trPr>
        <w:tc>
          <w:tcPr>
            <w:tcW w:w="1200" w:type="dxa"/>
            <w:vAlign w:val="bottom"/>
            <w:gridSpan w:val="5"/>
          </w:tcPr>
          <w:p>
            <w:pPr>
              <w:jc w:val="center"/>
              <w:spacing w:after="0"/>
              <w:rPr>
                <w:sz w:val="20"/>
                <w:szCs w:val="20"/>
                <w:color w:val="auto"/>
              </w:rPr>
            </w:pPr>
            <w:r>
              <w:rPr>
                <w:rFonts w:ascii="Arial" w:cs="Arial" w:eastAsia="Arial" w:hAnsi="Arial"/>
                <w:sz w:val="16"/>
                <w:szCs w:val="16"/>
                <w:color w:val="auto"/>
              </w:rPr>
              <w:t>101.LAB</w:t>
            </w:r>
          </w:p>
        </w:tc>
        <w:tc>
          <w:tcPr>
            <w:tcW w:w="140" w:type="dxa"/>
            <w:vAlign w:val="bottom"/>
          </w:tcPr>
          <w:p>
            <w:pPr>
              <w:spacing w:after="0"/>
              <w:rPr>
                <w:sz w:val="18"/>
                <w:szCs w:val="18"/>
                <w:color w:val="auto"/>
              </w:rPr>
            </w:pPr>
          </w:p>
        </w:tc>
        <w:tc>
          <w:tcPr>
            <w:tcW w:w="9900" w:type="dxa"/>
            <w:vAlign w:val="bottom"/>
            <w:gridSpan w:val="12"/>
          </w:tcPr>
          <w:p>
            <w:pPr>
              <w:spacing w:after="0"/>
              <w:rPr>
                <w:sz w:val="20"/>
                <w:szCs w:val="20"/>
                <w:color w:val="auto"/>
              </w:rPr>
            </w:pPr>
            <w:r>
              <w:rPr>
                <w:rFonts w:ascii="Arial" w:cs="Arial" w:eastAsia="Arial" w:hAnsi="Arial"/>
                <w:sz w:val="16"/>
                <w:szCs w:val="16"/>
                <w:color w:val="auto"/>
              </w:rPr>
              <w:t>Inline XBRL Taxonomy Extension Label Linkbase</w:t>
            </w:r>
          </w:p>
        </w:tc>
      </w:tr>
      <w:tr>
        <w:trPr>
          <w:trHeight w:val="219"/>
        </w:trPr>
        <w:tc>
          <w:tcPr>
            <w:tcW w:w="1200" w:type="dxa"/>
            <w:vAlign w:val="bottom"/>
            <w:gridSpan w:val="5"/>
            <w:shd w:val="clear" w:color="auto" w:fill="CCEEFF"/>
          </w:tcPr>
          <w:p>
            <w:pPr>
              <w:jc w:val="center"/>
              <w:spacing w:after="0"/>
              <w:rPr>
                <w:sz w:val="20"/>
                <w:szCs w:val="20"/>
                <w:color w:val="auto"/>
              </w:rPr>
            </w:pPr>
            <w:r>
              <w:rPr>
                <w:rFonts w:ascii="Arial" w:cs="Arial" w:eastAsia="Arial" w:hAnsi="Arial"/>
                <w:sz w:val="16"/>
                <w:szCs w:val="16"/>
                <w:color w:val="auto"/>
                <w:w w:val="90"/>
              </w:rPr>
              <w:t>101.PRE</w:t>
            </w:r>
          </w:p>
        </w:tc>
        <w:tc>
          <w:tcPr>
            <w:tcW w:w="140" w:type="dxa"/>
            <w:vAlign w:val="bottom"/>
            <w:shd w:val="clear" w:color="auto" w:fill="CCEEFF"/>
          </w:tcPr>
          <w:p>
            <w:pPr>
              <w:spacing w:after="0"/>
              <w:rPr>
                <w:sz w:val="19"/>
                <w:szCs w:val="19"/>
                <w:color w:val="auto"/>
              </w:rPr>
            </w:pPr>
          </w:p>
        </w:tc>
        <w:tc>
          <w:tcPr>
            <w:tcW w:w="9900" w:type="dxa"/>
            <w:vAlign w:val="bottom"/>
            <w:gridSpan w:val="12"/>
            <w:shd w:val="clear" w:color="auto" w:fill="CCEEFF"/>
          </w:tcPr>
          <w:p>
            <w:pPr>
              <w:spacing w:after="0"/>
              <w:rPr>
                <w:sz w:val="20"/>
                <w:szCs w:val="20"/>
                <w:color w:val="auto"/>
              </w:rPr>
            </w:pPr>
            <w:r>
              <w:rPr>
                <w:rFonts w:ascii="Arial" w:cs="Arial" w:eastAsia="Arial" w:hAnsi="Arial"/>
                <w:sz w:val="16"/>
                <w:szCs w:val="16"/>
                <w:color w:val="auto"/>
              </w:rPr>
              <w:t>Inline XBRL Taxonomy Extension Presentation Linkbase</w:t>
            </w:r>
          </w:p>
        </w:tc>
      </w:tr>
      <w:tr>
        <w:trPr>
          <w:trHeight w:val="210"/>
        </w:trPr>
        <w:tc>
          <w:tcPr>
            <w:tcW w:w="1200" w:type="dxa"/>
            <w:vAlign w:val="bottom"/>
            <w:gridSpan w:val="5"/>
          </w:tcPr>
          <w:p>
            <w:pPr>
              <w:jc w:val="center"/>
              <w:spacing w:after="0"/>
              <w:rPr>
                <w:sz w:val="20"/>
                <w:szCs w:val="20"/>
                <w:color w:val="auto"/>
              </w:rPr>
            </w:pPr>
            <w:r>
              <w:rPr>
                <w:rFonts w:ascii="Arial" w:cs="Arial" w:eastAsia="Arial" w:hAnsi="Arial"/>
                <w:sz w:val="16"/>
                <w:szCs w:val="16"/>
                <w:color w:val="auto"/>
                <w:w w:val="91"/>
              </w:rPr>
              <w:t>101.DEF</w:t>
            </w:r>
          </w:p>
        </w:tc>
        <w:tc>
          <w:tcPr>
            <w:tcW w:w="140" w:type="dxa"/>
            <w:vAlign w:val="bottom"/>
          </w:tcPr>
          <w:p>
            <w:pPr>
              <w:spacing w:after="0"/>
              <w:rPr>
                <w:sz w:val="18"/>
                <w:szCs w:val="18"/>
                <w:color w:val="auto"/>
              </w:rPr>
            </w:pPr>
          </w:p>
        </w:tc>
        <w:tc>
          <w:tcPr>
            <w:tcW w:w="9900" w:type="dxa"/>
            <w:vAlign w:val="bottom"/>
            <w:gridSpan w:val="12"/>
          </w:tcPr>
          <w:p>
            <w:pPr>
              <w:spacing w:after="0"/>
              <w:rPr>
                <w:sz w:val="20"/>
                <w:szCs w:val="20"/>
                <w:color w:val="auto"/>
              </w:rPr>
            </w:pPr>
            <w:r>
              <w:rPr>
                <w:rFonts w:ascii="Arial" w:cs="Arial" w:eastAsia="Arial" w:hAnsi="Arial"/>
                <w:sz w:val="16"/>
                <w:szCs w:val="16"/>
                <w:color w:val="auto"/>
              </w:rPr>
              <w:t>Inline XBRL Taxonomy Extension Definition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2400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1340" w:right="580" w:hanging="853"/>
        <w:spacing w:after="0"/>
        <w:tabs>
          <w:tab w:leader="none" w:pos="1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cover page from the Company's Quarterly Report on Form 10-Q for the quarterly period ended July 2, 2023, formatted in Inline XBRL and contained in Exhibit 101.</w:t>
      </w:r>
    </w:p>
    <w:p>
      <w:pPr>
        <w:spacing w:after="0" w:line="280" w:lineRule="exact"/>
        <w:rPr>
          <w:sz w:val="20"/>
          <w:szCs w:val="20"/>
          <w:color w:val="auto"/>
        </w:rPr>
      </w:pPr>
    </w:p>
    <w:p>
      <w:pPr>
        <w:ind w:left="1340" w:hanging="772"/>
        <w:spacing w:after="0"/>
        <w:tabs>
          <w:tab w:leader="none" w:pos="1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32" w:lineRule="exact"/>
        <w:rPr>
          <w:sz w:val="20"/>
          <w:szCs w:val="20"/>
          <w:color w:val="auto"/>
        </w:rPr>
      </w:pPr>
    </w:p>
    <w:p>
      <w:pPr>
        <w:ind w:left="1340" w:hanging="813"/>
        <w:spacing w:after="0"/>
        <w:tabs>
          <w:tab w:leader="none" w:pos="1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1166495</wp:posOffset>
            </wp:positionV>
            <wp:extent cx="19685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Q2 2023 Form 10-Q | Page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thereunto duly authorized.</w:t>
      </w:r>
    </w:p>
    <w:p>
      <w:pPr>
        <w:spacing w:after="0" w:line="1" w:lineRule="exact"/>
        <w:rPr>
          <w:sz w:val="20"/>
          <w:szCs w:val="20"/>
          <w:color w:val="auto"/>
        </w:rPr>
      </w:pPr>
    </w:p>
    <w:tbl>
      <w:tblPr>
        <w:tblLayout w:type="fixed"/>
        <w:tblInd w:w="780" w:type="dxa"/>
        <w:tblCellMar>
          <w:top w:w="0" w:type="dxa"/>
          <w:left w:w="0" w:type="dxa"/>
          <w:bottom w:w="0" w:type="dxa"/>
          <w:right w:w="0" w:type="dxa"/>
        </w:tblCellMar>
      </w:tblPr>
      <w:tr>
        <w:trPr>
          <w:trHeight w:val="229"/>
        </w:trPr>
        <w:tc>
          <w:tcPr>
            <w:tcW w:w="2620" w:type="dxa"/>
            <w:vAlign w:val="bottom"/>
          </w:tcPr>
          <w:p>
            <w:pPr>
              <w:spacing w:after="0"/>
              <w:rPr>
                <w:sz w:val="19"/>
                <w:szCs w:val="19"/>
                <w:color w:val="auto"/>
              </w:rPr>
            </w:pPr>
          </w:p>
        </w:tc>
        <w:tc>
          <w:tcPr>
            <w:tcW w:w="5780" w:type="dxa"/>
            <w:vAlign w:val="bottom"/>
          </w:tcPr>
          <w:p>
            <w:pPr>
              <w:ind w:left="120"/>
              <w:spacing w:after="0"/>
              <w:rPr>
                <w:sz w:val="20"/>
                <w:szCs w:val="20"/>
                <w:color w:val="auto"/>
              </w:rPr>
            </w:pPr>
            <w:r>
              <w:rPr>
                <w:rFonts w:ascii="Arial" w:cs="Arial" w:eastAsia="Arial" w:hAnsi="Arial"/>
                <w:sz w:val="18"/>
                <w:szCs w:val="18"/>
                <w:b w:val="1"/>
                <w:bCs w:val="1"/>
                <w:color w:val="auto"/>
              </w:rPr>
              <w:t>THE HERSHEY COMPANY</w:t>
            </w:r>
          </w:p>
        </w:tc>
      </w:tr>
      <w:tr>
        <w:trPr>
          <w:trHeight w:val="234"/>
        </w:trPr>
        <w:tc>
          <w:tcPr>
            <w:tcW w:w="2620" w:type="dxa"/>
            <w:vAlign w:val="bottom"/>
          </w:tcPr>
          <w:p>
            <w:pPr>
              <w:spacing w:after="0"/>
              <w:rPr>
                <w:sz w:val="20"/>
                <w:szCs w:val="20"/>
                <w:color w:val="auto"/>
              </w:rPr>
            </w:pPr>
          </w:p>
        </w:tc>
        <w:tc>
          <w:tcPr>
            <w:tcW w:w="5780" w:type="dxa"/>
            <w:vAlign w:val="bottom"/>
          </w:tcPr>
          <w:p>
            <w:pPr>
              <w:ind w:left="160"/>
              <w:spacing w:after="0"/>
              <w:rPr>
                <w:sz w:val="20"/>
                <w:szCs w:val="20"/>
                <w:color w:val="auto"/>
              </w:rPr>
            </w:pPr>
            <w:r>
              <w:rPr>
                <w:rFonts w:ascii="Arial" w:cs="Arial" w:eastAsia="Arial" w:hAnsi="Arial"/>
                <w:sz w:val="18"/>
                <w:szCs w:val="18"/>
                <w:b w:val="1"/>
                <w:bCs w:val="1"/>
                <w:color w:val="auto"/>
              </w:rPr>
              <w:t>(Registrant)</w:t>
            </w:r>
          </w:p>
        </w:tc>
      </w:tr>
      <w:tr>
        <w:trPr>
          <w:trHeight w:val="513"/>
        </w:trPr>
        <w:tc>
          <w:tcPr>
            <w:tcW w:w="2620" w:type="dxa"/>
            <w:vAlign w:val="bottom"/>
          </w:tcPr>
          <w:p>
            <w:pPr>
              <w:spacing w:after="0"/>
              <w:rPr>
                <w:sz w:val="20"/>
                <w:szCs w:val="20"/>
                <w:color w:val="auto"/>
              </w:rPr>
            </w:pPr>
            <w:r>
              <w:rPr>
                <w:rFonts w:ascii="Arial" w:cs="Arial" w:eastAsia="Arial" w:hAnsi="Arial"/>
                <w:sz w:val="18"/>
                <w:szCs w:val="18"/>
                <w:color w:val="auto"/>
              </w:rPr>
              <w:t>Date: July 27, 2023</w:t>
            </w:r>
          </w:p>
        </w:tc>
        <w:tc>
          <w:tcPr>
            <w:tcW w:w="5780" w:type="dxa"/>
            <w:vAlign w:val="bottom"/>
            <w:tcBorders>
              <w:bottom w:val="single" w:sz="8" w:color="auto"/>
            </w:tcBorders>
          </w:tcPr>
          <w:p>
            <w:pPr>
              <w:ind w:left="120"/>
              <w:spacing w:after="0"/>
              <w:rPr>
                <w:sz w:val="20"/>
                <w:szCs w:val="20"/>
                <w:color w:val="auto"/>
              </w:rPr>
            </w:pPr>
            <w:r>
              <w:rPr>
                <w:rFonts w:ascii="Arial" w:cs="Arial" w:eastAsia="Arial" w:hAnsi="Arial"/>
                <w:sz w:val="18"/>
                <w:szCs w:val="18"/>
                <w:i w:val="1"/>
                <w:iCs w:val="1"/>
                <w:color w:val="auto"/>
              </w:rPr>
              <w:t>/s/ Steven E. Voskuil</w:t>
            </w:r>
          </w:p>
        </w:tc>
      </w:tr>
      <w:tr>
        <w:trPr>
          <w:trHeight w:val="222"/>
        </w:trPr>
        <w:tc>
          <w:tcPr>
            <w:tcW w:w="2620" w:type="dxa"/>
            <w:vAlign w:val="bottom"/>
          </w:tcPr>
          <w:p>
            <w:pPr>
              <w:spacing w:after="0"/>
              <w:rPr>
                <w:sz w:val="19"/>
                <w:szCs w:val="19"/>
                <w:color w:val="auto"/>
              </w:rPr>
            </w:pPr>
          </w:p>
        </w:tc>
        <w:tc>
          <w:tcPr>
            <w:tcW w:w="5780" w:type="dxa"/>
            <w:vAlign w:val="bottom"/>
          </w:tcPr>
          <w:p>
            <w:pPr>
              <w:ind w:left="320"/>
              <w:spacing w:after="0"/>
              <w:rPr>
                <w:sz w:val="20"/>
                <w:szCs w:val="20"/>
                <w:color w:val="auto"/>
              </w:rPr>
            </w:pPr>
            <w:r>
              <w:rPr>
                <w:rFonts w:ascii="Arial" w:cs="Arial" w:eastAsia="Arial" w:hAnsi="Arial"/>
                <w:sz w:val="18"/>
                <w:szCs w:val="18"/>
                <w:color w:val="auto"/>
              </w:rPr>
              <w:t>Steven E. Voskuil</w:t>
            </w:r>
          </w:p>
        </w:tc>
      </w:tr>
      <w:tr>
        <w:trPr>
          <w:trHeight w:val="230"/>
        </w:trPr>
        <w:tc>
          <w:tcPr>
            <w:tcW w:w="2620" w:type="dxa"/>
            <w:vAlign w:val="bottom"/>
          </w:tcPr>
          <w:p>
            <w:pPr>
              <w:spacing w:after="0"/>
              <w:rPr>
                <w:sz w:val="20"/>
                <w:szCs w:val="20"/>
                <w:color w:val="auto"/>
              </w:rPr>
            </w:pPr>
          </w:p>
        </w:tc>
        <w:tc>
          <w:tcPr>
            <w:tcW w:w="5780" w:type="dxa"/>
            <w:vAlign w:val="bottom"/>
          </w:tcPr>
          <w:p>
            <w:pPr>
              <w:ind w:left="320"/>
              <w:spacing w:after="0"/>
              <w:rPr>
                <w:sz w:val="20"/>
                <w:szCs w:val="20"/>
                <w:color w:val="auto"/>
              </w:rPr>
            </w:pPr>
            <w:r>
              <w:rPr>
                <w:rFonts w:ascii="Arial" w:cs="Arial" w:eastAsia="Arial" w:hAnsi="Arial"/>
                <w:sz w:val="18"/>
                <w:szCs w:val="18"/>
                <w:color w:val="auto"/>
              </w:rPr>
              <w:t>Senior Vice President, Chief Financial Officer</w:t>
            </w:r>
          </w:p>
        </w:tc>
      </w:tr>
      <w:tr>
        <w:trPr>
          <w:trHeight w:val="243"/>
        </w:trPr>
        <w:tc>
          <w:tcPr>
            <w:tcW w:w="2620" w:type="dxa"/>
            <w:vAlign w:val="bottom"/>
          </w:tcPr>
          <w:p>
            <w:pPr>
              <w:spacing w:after="0"/>
              <w:rPr>
                <w:sz w:val="21"/>
                <w:szCs w:val="21"/>
                <w:color w:val="auto"/>
              </w:rPr>
            </w:pPr>
          </w:p>
        </w:tc>
        <w:tc>
          <w:tcPr>
            <w:tcW w:w="5780" w:type="dxa"/>
            <w:vAlign w:val="bottom"/>
          </w:tcPr>
          <w:p>
            <w:pPr>
              <w:ind w:left="320"/>
              <w:spacing w:after="0"/>
              <w:rPr>
                <w:sz w:val="20"/>
                <w:szCs w:val="20"/>
                <w:color w:val="auto"/>
              </w:rPr>
            </w:pPr>
            <w:r>
              <w:rPr>
                <w:rFonts w:ascii="Arial" w:cs="Arial" w:eastAsia="Arial" w:hAnsi="Arial"/>
                <w:sz w:val="18"/>
                <w:szCs w:val="18"/>
                <w:color w:val="auto"/>
              </w:rPr>
              <w:t>(Principal Financial Officer)</w:t>
            </w:r>
          </w:p>
        </w:tc>
      </w:tr>
      <w:tr>
        <w:trPr>
          <w:trHeight w:val="499"/>
        </w:trPr>
        <w:tc>
          <w:tcPr>
            <w:tcW w:w="2620" w:type="dxa"/>
            <w:vAlign w:val="bottom"/>
          </w:tcPr>
          <w:p>
            <w:pPr>
              <w:spacing w:after="0"/>
              <w:rPr>
                <w:sz w:val="20"/>
                <w:szCs w:val="20"/>
                <w:color w:val="auto"/>
              </w:rPr>
            </w:pPr>
            <w:r>
              <w:rPr>
                <w:rFonts w:ascii="Arial" w:cs="Arial" w:eastAsia="Arial" w:hAnsi="Arial"/>
                <w:sz w:val="18"/>
                <w:szCs w:val="18"/>
                <w:color w:val="auto"/>
              </w:rPr>
              <w:t>Date: July 27, 2023</w:t>
            </w:r>
          </w:p>
        </w:tc>
        <w:tc>
          <w:tcPr>
            <w:tcW w:w="5780" w:type="dxa"/>
            <w:vAlign w:val="bottom"/>
            <w:tcBorders>
              <w:bottom w:val="single" w:sz="8" w:color="auto"/>
            </w:tcBorders>
          </w:tcPr>
          <w:p>
            <w:pPr>
              <w:ind w:left="120"/>
              <w:spacing w:after="0"/>
              <w:rPr>
                <w:sz w:val="20"/>
                <w:szCs w:val="20"/>
                <w:color w:val="auto"/>
              </w:rPr>
            </w:pPr>
            <w:r>
              <w:rPr>
                <w:rFonts w:ascii="Arial" w:cs="Arial" w:eastAsia="Arial" w:hAnsi="Arial"/>
                <w:sz w:val="18"/>
                <w:szCs w:val="18"/>
                <w:i w:val="1"/>
                <w:iCs w:val="1"/>
                <w:color w:val="auto"/>
              </w:rPr>
              <w:t>/s/ Jennifer L. McCalman</w:t>
            </w:r>
          </w:p>
        </w:tc>
      </w:tr>
      <w:tr>
        <w:trPr>
          <w:trHeight w:val="224"/>
        </w:trPr>
        <w:tc>
          <w:tcPr>
            <w:tcW w:w="2620" w:type="dxa"/>
            <w:vAlign w:val="bottom"/>
          </w:tcPr>
          <w:p>
            <w:pPr>
              <w:spacing w:after="0"/>
              <w:rPr>
                <w:sz w:val="19"/>
                <w:szCs w:val="19"/>
                <w:color w:val="auto"/>
              </w:rPr>
            </w:pPr>
          </w:p>
        </w:tc>
        <w:tc>
          <w:tcPr>
            <w:tcW w:w="5780" w:type="dxa"/>
            <w:vAlign w:val="bottom"/>
          </w:tcPr>
          <w:p>
            <w:pPr>
              <w:ind w:left="320"/>
              <w:spacing w:after="0"/>
              <w:rPr>
                <w:sz w:val="20"/>
                <w:szCs w:val="20"/>
                <w:color w:val="auto"/>
              </w:rPr>
            </w:pPr>
            <w:r>
              <w:rPr>
                <w:rFonts w:ascii="Arial" w:cs="Arial" w:eastAsia="Arial" w:hAnsi="Arial"/>
                <w:sz w:val="18"/>
                <w:szCs w:val="18"/>
                <w:color w:val="auto"/>
              </w:rPr>
              <w:t>Jennifer L. McCalman</w:t>
            </w:r>
          </w:p>
        </w:tc>
      </w:tr>
      <w:tr>
        <w:trPr>
          <w:trHeight w:val="241"/>
        </w:trPr>
        <w:tc>
          <w:tcPr>
            <w:tcW w:w="2620" w:type="dxa"/>
            <w:vAlign w:val="bottom"/>
          </w:tcPr>
          <w:p>
            <w:pPr>
              <w:spacing w:after="0"/>
              <w:rPr>
                <w:sz w:val="20"/>
                <w:szCs w:val="20"/>
                <w:color w:val="auto"/>
              </w:rPr>
            </w:pPr>
          </w:p>
        </w:tc>
        <w:tc>
          <w:tcPr>
            <w:tcW w:w="5780" w:type="dxa"/>
            <w:vAlign w:val="bottom"/>
          </w:tcPr>
          <w:p>
            <w:pPr>
              <w:ind w:left="320"/>
              <w:spacing w:after="0"/>
              <w:rPr>
                <w:sz w:val="20"/>
                <w:szCs w:val="20"/>
                <w:color w:val="auto"/>
              </w:rPr>
            </w:pPr>
            <w:r>
              <w:rPr>
                <w:rFonts w:ascii="Arial" w:cs="Arial" w:eastAsia="Arial" w:hAnsi="Arial"/>
                <w:sz w:val="18"/>
                <w:szCs w:val="18"/>
                <w:color w:val="auto"/>
              </w:rPr>
              <w:t>Vice President, Chief Accounting Officer</w:t>
            </w:r>
          </w:p>
        </w:tc>
      </w:tr>
      <w:tr>
        <w:trPr>
          <w:trHeight w:val="230"/>
        </w:trPr>
        <w:tc>
          <w:tcPr>
            <w:tcW w:w="2620" w:type="dxa"/>
            <w:vAlign w:val="bottom"/>
          </w:tcPr>
          <w:p>
            <w:pPr>
              <w:spacing w:after="0"/>
              <w:rPr>
                <w:sz w:val="20"/>
                <w:szCs w:val="20"/>
                <w:color w:val="auto"/>
              </w:rPr>
            </w:pPr>
          </w:p>
        </w:tc>
        <w:tc>
          <w:tcPr>
            <w:tcW w:w="5780" w:type="dxa"/>
            <w:vAlign w:val="bottom"/>
          </w:tcPr>
          <w:p>
            <w:pPr>
              <w:ind w:left="320"/>
              <w:spacing w:after="0"/>
              <w:rPr>
                <w:sz w:val="20"/>
                <w:szCs w:val="20"/>
                <w:color w:val="auto"/>
              </w:rPr>
            </w:pPr>
            <w:r>
              <w:rPr>
                <w:rFonts w:ascii="Arial" w:cs="Arial" w:eastAsia="Arial" w:hAnsi="Arial"/>
                <w:sz w:val="18"/>
                <w:szCs w:val="18"/>
                <w:color w:val="auto"/>
              </w:rPr>
              <w:t>(Principal Accounting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497205</wp:posOffset>
            </wp:positionV>
            <wp:extent cx="19685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u w:val="single" w:color="auto"/>
          <w:color w:val="0000FF"/>
        </w:rPr>
        <w:t>Table of Contents</w:t>
      </w:r>
      <w:r>
        <w:rPr>
          <w:sz w:val="20"/>
          <w:szCs w:val="20"/>
          <w:color w:val="auto"/>
        </w:rPr>
        <w:tab/>
      </w:r>
      <w:r>
        <w:rPr>
          <w:rFonts w:ascii="Arial" w:cs="Arial" w:eastAsia="Arial" w:hAnsi="Arial"/>
          <w:sz w:val="14"/>
          <w:szCs w:val="14"/>
          <w:color w:val="auto"/>
        </w:rPr>
        <w:t>The Hershey Company | Q2 2023 Form 10-Q | Page 51</w:t>
      </w:r>
    </w:p>
    <w:p>
      <w:pPr>
        <w:sectPr>
          <w:pgSz w:w="11900" w:h="16838" w:orient="portrait"/>
          <w:cols w:equalWidth="0" w:num="1">
            <w:col w:w="11220"/>
          </w:cols>
          <w:pgMar w:left="320" w:top="1255" w:right="35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Michele G. Buck, certify that:</w:t>
      </w:r>
    </w:p>
    <w:p>
      <w:pPr>
        <w:spacing w:after="0" w:line="104"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Hershey Company;</w:t>
      </w:r>
    </w:p>
    <w:p>
      <w:pPr>
        <w:spacing w:after="0" w:line="90" w:lineRule="exact"/>
        <w:rPr>
          <w:rFonts w:ascii="Arial" w:cs="Arial" w:eastAsia="Arial" w:hAnsi="Arial"/>
          <w:sz w:val="18"/>
          <w:szCs w:val="18"/>
          <w:color w:val="auto"/>
        </w:rPr>
      </w:pPr>
    </w:p>
    <w:p>
      <w:pPr>
        <w:ind w:left="420" w:right="340" w:hanging="412"/>
        <w:spacing w:after="0" w:line="263" w:lineRule="auto"/>
        <w:tabs>
          <w:tab w:leader="none" w:pos="33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20" w:right="380" w:hanging="412"/>
        <w:spacing w:after="0" w:line="308" w:lineRule="auto"/>
        <w:tabs>
          <w:tab w:leader="none" w:pos="33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420" w:right="340" w:hanging="412"/>
        <w:spacing w:after="0" w:line="263" w:lineRule="auto"/>
        <w:tabs>
          <w:tab w:leader="none" w:pos="33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jc w:val="both"/>
        <w:ind w:left="860" w:right="160" w:hanging="406"/>
        <w:spacing w:after="0" w:line="263" w:lineRule="auto"/>
        <w:tabs>
          <w:tab w:leader="none" w:pos="835"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860" w:right="440" w:hanging="406"/>
        <w:spacing w:after="0" w:line="263" w:lineRule="auto"/>
        <w:tabs>
          <w:tab w:leader="none" w:pos="845"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860" w:right="620" w:hanging="406"/>
        <w:spacing w:after="0" w:line="334" w:lineRule="auto"/>
        <w:tabs>
          <w:tab w:leader="none" w:pos="835"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860" w:right="140" w:hanging="406"/>
        <w:spacing w:after="0" w:line="263" w:lineRule="auto"/>
        <w:tabs>
          <w:tab w:leader="none" w:pos="845"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20" w:right="100" w:hanging="412"/>
        <w:spacing w:after="0" w:line="308" w:lineRule="auto"/>
        <w:tabs>
          <w:tab w:leader="none" w:pos="33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860" w:right="60" w:hanging="406"/>
        <w:spacing w:after="0" w:line="308" w:lineRule="auto"/>
        <w:tabs>
          <w:tab w:leader="none" w:pos="835"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860" w:hanging="406"/>
        <w:spacing w:after="0" w:line="277" w:lineRule="auto"/>
        <w:tabs>
          <w:tab w:leader="none" w:pos="845"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5800"/>
        <w:spacing w:after="0"/>
        <w:rPr>
          <w:sz w:val="20"/>
          <w:szCs w:val="20"/>
          <w:color w:val="auto"/>
        </w:rPr>
      </w:pPr>
      <w:r>
        <w:rPr>
          <w:rFonts w:ascii="Arial" w:cs="Arial" w:eastAsia="Arial" w:hAnsi="Arial"/>
          <w:sz w:val="14"/>
          <w:szCs w:val="14"/>
          <w:color w:val="auto"/>
        </w:rPr>
        <w:t>/s/ MICHELE G. BUCK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89535</wp:posOffset>
            </wp:positionV>
            <wp:extent cx="347154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39" w:lineRule="exact"/>
        <w:rPr>
          <w:sz w:val="20"/>
          <w:szCs w:val="20"/>
          <w:color w:val="auto"/>
        </w:rPr>
      </w:pPr>
    </w:p>
    <w:p>
      <w:pPr>
        <w:jc w:val="center"/>
        <w:ind w:right="5800"/>
        <w:spacing w:after="0"/>
        <w:rPr>
          <w:sz w:val="20"/>
          <w:szCs w:val="20"/>
          <w:color w:val="auto"/>
        </w:rPr>
      </w:pPr>
      <w:r>
        <w:rPr>
          <w:rFonts w:ascii="Arial" w:cs="Arial" w:eastAsia="Arial" w:hAnsi="Arial"/>
          <w:sz w:val="14"/>
          <w:szCs w:val="14"/>
          <w:b w:val="1"/>
          <w:bCs w:val="1"/>
          <w:color w:val="auto"/>
        </w:rPr>
        <w:t>Michele G. Buck</w:t>
      </w:r>
    </w:p>
    <w:p>
      <w:pPr>
        <w:spacing w:after="0" w:line="17" w:lineRule="exact"/>
        <w:rPr>
          <w:sz w:val="20"/>
          <w:szCs w:val="20"/>
          <w:color w:val="auto"/>
        </w:rPr>
      </w:pPr>
    </w:p>
    <w:p>
      <w:pPr>
        <w:jc w:val="center"/>
        <w:ind w:right="5800"/>
        <w:spacing w:after="0"/>
        <w:rPr>
          <w:sz w:val="20"/>
          <w:szCs w:val="20"/>
          <w:color w:val="auto"/>
        </w:rPr>
      </w:pPr>
      <w:r>
        <w:rPr>
          <w:rFonts w:ascii="Arial" w:cs="Arial" w:eastAsia="Arial" w:hAnsi="Arial"/>
          <w:sz w:val="14"/>
          <w:szCs w:val="14"/>
          <w:b w:val="1"/>
          <w:bCs w:val="1"/>
          <w:color w:val="auto"/>
        </w:rPr>
        <w:t>Chief Executive Officer</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4"/>
          <w:szCs w:val="14"/>
          <w:b w:val="1"/>
          <w:bCs w:val="1"/>
          <w:color w:val="auto"/>
        </w:rPr>
        <w:t>(Principal Executive Officer)</w:t>
      </w:r>
    </w:p>
    <w:p>
      <w:pPr>
        <w:spacing w:after="0" w:line="44"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July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6906260</wp:posOffset>
            </wp:positionH>
            <wp:positionV relativeFrom="paragraph">
              <wp:posOffset>486410</wp:posOffset>
            </wp:positionV>
            <wp:extent cx="19685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Hershey Company | Q2 2023 Form 10-Q | Exhibit 31.1</w:t>
      </w:r>
    </w:p>
    <w:p>
      <w:pPr>
        <w:sectPr>
          <w:pgSz w:w="11900" w:h="16838" w:orient="portrait"/>
          <w:cols w:equalWidth="0" w:num="1">
            <w:col w:w="11200"/>
          </w:cols>
          <w:pgMar w:left="360" w:top="769"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Steven E. Voskuil, certify that:</w:t>
      </w:r>
    </w:p>
    <w:p>
      <w:pPr>
        <w:spacing w:after="0" w:line="104"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Hershey Company;</w:t>
      </w:r>
    </w:p>
    <w:p>
      <w:pPr>
        <w:spacing w:after="0" w:line="90" w:lineRule="exact"/>
        <w:rPr>
          <w:rFonts w:ascii="Arial" w:cs="Arial" w:eastAsia="Arial" w:hAnsi="Arial"/>
          <w:sz w:val="18"/>
          <w:szCs w:val="18"/>
          <w:color w:val="auto"/>
        </w:rPr>
      </w:pPr>
    </w:p>
    <w:p>
      <w:pPr>
        <w:ind w:left="420" w:right="340" w:hanging="412"/>
        <w:spacing w:after="0" w:line="263" w:lineRule="auto"/>
        <w:tabs>
          <w:tab w:leader="none" w:pos="33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20" w:right="380" w:hanging="412"/>
        <w:spacing w:after="0" w:line="308" w:lineRule="auto"/>
        <w:tabs>
          <w:tab w:leader="none" w:pos="33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420" w:right="340" w:hanging="412"/>
        <w:spacing w:after="0" w:line="263" w:lineRule="auto"/>
        <w:tabs>
          <w:tab w:leader="none" w:pos="33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jc w:val="both"/>
        <w:ind w:left="860" w:right="160" w:hanging="406"/>
        <w:spacing w:after="0" w:line="263" w:lineRule="auto"/>
        <w:tabs>
          <w:tab w:leader="none" w:pos="835"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860" w:right="440" w:hanging="406"/>
        <w:spacing w:after="0" w:line="263" w:lineRule="auto"/>
        <w:tabs>
          <w:tab w:leader="none" w:pos="845"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860" w:right="620" w:hanging="406"/>
        <w:spacing w:after="0" w:line="334" w:lineRule="auto"/>
        <w:tabs>
          <w:tab w:leader="none" w:pos="835"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860" w:right="140" w:hanging="406"/>
        <w:spacing w:after="0" w:line="263" w:lineRule="auto"/>
        <w:tabs>
          <w:tab w:leader="none" w:pos="845"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20" w:right="100" w:hanging="412"/>
        <w:spacing w:after="0" w:line="308" w:lineRule="auto"/>
        <w:tabs>
          <w:tab w:leader="none" w:pos="33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860" w:right="60" w:hanging="406"/>
        <w:spacing w:after="0" w:line="308" w:lineRule="auto"/>
        <w:tabs>
          <w:tab w:leader="none" w:pos="835"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860" w:hanging="406"/>
        <w:spacing w:after="0" w:line="277" w:lineRule="auto"/>
        <w:tabs>
          <w:tab w:leader="none" w:pos="845"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8" w:lineRule="exact"/>
        <w:rPr>
          <w:sz w:val="20"/>
          <w:szCs w:val="20"/>
          <w:color w:val="auto"/>
        </w:rPr>
      </w:pPr>
    </w:p>
    <w:p>
      <w:pPr>
        <w:jc w:val="center"/>
        <w:ind w:right="5800"/>
        <w:spacing w:after="0"/>
        <w:rPr>
          <w:sz w:val="20"/>
          <w:szCs w:val="20"/>
          <w:color w:val="auto"/>
        </w:rPr>
      </w:pPr>
      <w:r>
        <w:rPr>
          <w:rFonts w:ascii="Arial" w:cs="Arial" w:eastAsia="Arial" w:hAnsi="Arial"/>
          <w:sz w:val="14"/>
          <w:szCs w:val="14"/>
          <w:color w:val="auto"/>
        </w:rPr>
        <w:t>/S/ STEVEN E. VOSKUIL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89535</wp:posOffset>
            </wp:positionV>
            <wp:extent cx="347154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39" w:lineRule="exact"/>
        <w:rPr>
          <w:sz w:val="20"/>
          <w:szCs w:val="20"/>
          <w:color w:val="auto"/>
        </w:rPr>
      </w:pPr>
    </w:p>
    <w:p>
      <w:pPr>
        <w:jc w:val="center"/>
        <w:ind w:right="5800"/>
        <w:spacing w:after="0"/>
        <w:rPr>
          <w:sz w:val="20"/>
          <w:szCs w:val="20"/>
          <w:color w:val="auto"/>
        </w:rPr>
      </w:pPr>
      <w:r>
        <w:rPr>
          <w:rFonts w:ascii="Arial" w:cs="Arial" w:eastAsia="Arial" w:hAnsi="Arial"/>
          <w:sz w:val="14"/>
          <w:szCs w:val="14"/>
          <w:b w:val="1"/>
          <w:bCs w:val="1"/>
          <w:color w:val="auto"/>
        </w:rPr>
        <w:t>Steven E. Voskuil</w:t>
      </w:r>
    </w:p>
    <w:p>
      <w:pPr>
        <w:spacing w:after="0" w:line="25" w:lineRule="exact"/>
        <w:rPr>
          <w:sz w:val="20"/>
          <w:szCs w:val="20"/>
          <w:color w:val="auto"/>
        </w:rPr>
      </w:pPr>
    </w:p>
    <w:p>
      <w:pPr>
        <w:jc w:val="center"/>
        <w:ind w:right="5800"/>
        <w:spacing w:after="0"/>
        <w:rPr>
          <w:sz w:val="20"/>
          <w:szCs w:val="20"/>
          <w:color w:val="auto"/>
        </w:rPr>
      </w:pPr>
      <w:r>
        <w:rPr>
          <w:rFonts w:ascii="Arial" w:cs="Arial" w:eastAsia="Arial" w:hAnsi="Arial"/>
          <w:sz w:val="14"/>
          <w:szCs w:val="14"/>
          <w:b w:val="1"/>
          <w:bCs w:val="1"/>
          <w:color w:val="auto"/>
        </w:rPr>
        <w:t>Chief Financial Officer</w:t>
      </w:r>
    </w:p>
    <w:p>
      <w:pPr>
        <w:spacing w:after="0" w:line="15" w:lineRule="exact"/>
        <w:rPr>
          <w:sz w:val="20"/>
          <w:szCs w:val="20"/>
          <w:color w:val="auto"/>
        </w:rPr>
      </w:pPr>
    </w:p>
    <w:p>
      <w:pPr>
        <w:jc w:val="center"/>
        <w:ind w:right="5800"/>
        <w:spacing w:after="0"/>
        <w:rPr>
          <w:sz w:val="20"/>
          <w:szCs w:val="20"/>
          <w:color w:val="auto"/>
        </w:rPr>
      </w:pPr>
      <w:r>
        <w:rPr>
          <w:rFonts w:ascii="Arial" w:cs="Arial" w:eastAsia="Arial" w:hAnsi="Arial"/>
          <w:sz w:val="14"/>
          <w:szCs w:val="14"/>
          <w:b w:val="1"/>
          <w:bCs w:val="1"/>
          <w:color w:val="auto"/>
        </w:rPr>
        <w:t>(Principal Financial Officer)</w:t>
      </w:r>
    </w:p>
    <w:p>
      <w:pPr>
        <w:spacing w:after="0" w:line="44"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July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6906260</wp:posOffset>
            </wp:positionH>
            <wp:positionV relativeFrom="paragraph">
              <wp:posOffset>632460</wp:posOffset>
            </wp:positionV>
            <wp:extent cx="19685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Hershey Company | Q2 2023 Form 10-Q | Exhibit 31.2</w:t>
      </w:r>
    </w:p>
    <w:p>
      <w:pPr>
        <w:sectPr>
          <w:pgSz w:w="11900" w:h="16838" w:orient="portrait"/>
          <w:cols w:equalWidth="0" w:num="1">
            <w:col w:w="11200"/>
          </w:cols>
          <w:pgMar w:left="360" w:top="769"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Pursuant to Section 906 of the Sarbanes-Oxley Act of 2002, the undersigned officers of The Hershey Company (the “Company”) hereby certify, to the best of their knowledge, that the Company’s Quarterly Report on Form 10-Q for the quarterly period ended July 2, 2023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25" w:lineRule="exact"/>
        <w:rPr>
          <w:sz w:val="20"/>
          <w:szCs w:val="20"/>
          <w:color w:val="auto"/>
        </w:rPr>
      </w:pPr>
    </w:p>
    <w:tbl>
      <w:tblPr>
        <w:tblLayout w:type="fixed"/>
        <w:tblInd w:w="560" w:type="dxa"/>
        <w:tblCellMar>
          <w:top w:w="0" w:type="dxa"/>
          <w:left w:w="0" w:type="dxa"/>
          <w:bottom w:w="0" w:type="dxa"/>
          <w:right w:w="0" w:type="dxa"/>
        </w:tblCellMar>
      </w:tblPr>
      <w:tr>
        <w:trPr>
          <w:trHeight w:val="257"/>
        </w:trPr>
        <w:tc>
          <w:tcPr>
            <w:tcW w:w="2940" w:type="dxa"/>
            <w:vAlign w:val="bottom"/>
          </w:tcPr>
          <w:p>
            <w:pPr>
              <w:spacing w:after="0"/>
              <w:rPr>
                <w:sz w:val="20"/>
                <w:szCs w:val="20"/>
                <w:color w:val="auto"/>
              </w:rPr>
            </w:pPr>
            <w:r>
              <w:rPr>
                <w:rFonts w:ascii="Arial" w:cs="Arial" w:eastAsia="Arial" w:hAnsi="Arial"/>
                <w:sz w:val="18"/>
                <w:szCs w:val="18"/>
                <w:color w:val="auto"/>
              </w:rPr>
              <w:t>Date:   July 27, 2023</w:t>
            </w: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MICHELE G. BUCK</w:t>
            </w:r>
          </w:p>
        </w:tc>
      </w:tr>
      <w:tr>
        <w:trPr>
          <w:trHeight w:val="209"/>
        </w:trPr>
        <w:tc>
          <w:tcPr>
            <w:tcW w:w="294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6"/>
                <w:szCs w:val="16"/>
                <w:b w:val="1"/>
                <w:bCs w:val="1"/>
                <w:color w:val="auto"/>
                <w:w w:val="93"/>
              </w:rPr>
              <w:t>Michele G. Buck</w:t>
            </w:r>
          </w:p>
        </w:tc>
      </w:tr>
      <w:tr>
        <w:trPr>
          <w:trHeight w:val="162"/>
        </w:trPr>
        <w:tc>
          <w:tcPr>
            <w:tcW w:w="2940" w:type="dxa"/>
            <w:vAlign w:val="bottom"/>
          </w:tcPr>
          <w:p>
            <w:pPr>
              <w:spacing w:after="0"/>
              <w:rPr>
                <w:sz w:val="14"/>
                <w:szCs w:val="14"/>
                <w:color w:val="auto"/>
              </w:rPr>
            </w:pPr>
          </w:p>
        </w:tc>
        <w:tc>
          <w:tcPr>
            <w:tcW w:w="35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Chief Executive Officer</w:t>
            </w:r>
          </w:p>
        </w:tc>
      </w:tr>
      <w:tr>
        <w:trPr>
          <w:trHeight w:val="210"/>
        </w:trPr>
        <w:tc>
          <w:tcPr>
            <w:tcW w:w="294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6"/>
                <w:szCs w:val="16"/>
                <w:b w:val="1"/>
                <w:bCs w:val="1"/>
                <w:color w:val="auto"/>
                <w:w w:val="93"/>
              </w:rPr>
              <w:t>(Principal Executive Officer)</w:t>
            </w:r>
          </w:p>
        </w:tc>
      </w:tr>
    </w:tbl>
    <w:p>
      <w:pPr>
        <w:spacing w:after="0" w:line="234" w:lineRule="exact"/>
        <w:rPr>
          <w:sz w:val="20"/>
          <w:szCs w:val="20"/>
          <w:color w:val="auto"/>
        </w:rPr>
      </w:pPr>
    </w:p>
    <w:tbl>
      <w:tblPr>
        <w:tblLayout w:type="fixed"/>
        <w:tblInd w:w="560" w:type="dxa"/>
        <w:tblCellMar>
          <w:top w:w="0" w:type="dxa"/>
          <w:left w:w="0" w:type="dxa"/>
          <w:bottom w:w="0" w:type="dxa"/>
          <w:right w:w="0" w:type="dxa"/>
        </w:tblCellMar>
      </w:tblPr>
      <w:tr>
        <w:trPr>
          <w:trHeight w:val="257"/>
        </w:trPr>
        <w:tc>
          <w:tcPr>
            <w:tcW w:w="2940" w:type="dxa"/>
            <w:vAlign w:val="bottom"/>
          </w:tcPr>
          <w:p>
            <w:pPr>
              <w:spacing w:after="0"/>
              <w:rPr>
                <w:sz w:val="20"/>
                <w:szCs w:val="20"/>
                <w:color w:val="auto"/>
              </w:rPr>
            </w:pPr>
            <w:r>
              <w:rPr>
                <w:rFonts w:ascii="Arial" w:cs="Arial" w:eastAsia="Arial" w:hAnsi="Arial"/>
                <w:sz w:val="18"/>
                <w:szCs w:val="18"/>
                <w:color w:val="auto"/>
              </w:rPr>
              <w:t>Date:   July 27, 2023</w:t>
            </w: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STEVEN E. VOSKUIL</w:t>
            </w:r>
          </w:p>
        </w:tc>
      </w:tr>
      <w:tr>
        <w:trPr>
          <w:trHeight w:val="196"/>
        </w:trPr>
        <w:tc>
          <w:tcPr>
            <w:tcW w:w="2940" w:type="dxa"/>
            <w:vAlign w:val="bottom"/>
          </w:tcPr>
          <w:p>
            <w:pPr>
              <w:spacing w:after="0"/>
              <w:rPr>
                <w:sz w:val="17"/>
                <w:szCs w:val="17"/>
                <w:color w:val="auto"/>
              </w:rPr>
            </w:pPr>
          </w:p>
        </w:tc>
        <w:tc>
          <w:tcPr>
            <w:tcW w:w="3540" w:type="dxa"/>
            <w:vAlign w:val="bottom"/>
          </w:tcPr>
          <w:p>
            <w:pPr>
              <w:jc w:val="center"/>
              <w:spacing w:after="0"/>
              <w:rPr>
                <w:sz w:val="20"/>
                <w:szCs w:val="20"/>
                <w:color w:val="auto"/>
              </w:rPr>
            </w:pPr>
            <w:r>
              <w:rPr>
                <w:rFonts w:ascii="Arial" w:cs="Arial" w:eastAsia="Arial" w:hAnsi="Arial"/>
                <w:sz w:val="16"/>
                <w:szCs w:val="16"/>
                <w:b w:val="1"/>
                <w:bCs w:val="1"/>
                <w:color w:val="auto"/>
                <w:w w:val="89"/>
              </w:rPr>
              <w:t>Steven E. Voskuil</w:t>
            </w:r>
          </w:p>
        </w:tc>
      </w:tr>
      <w:tr>
        <w:trPr>
          <w:trHeight w:val="162"/>
        </w:trPr>
        <w:tc>
          <w:tcPr>
            <w:tcW w:w="2940" w:type="dxa"/>
            <w:vAlign w:val="bottom"/>
          </w:tcPr>
          <w:p>
            <w:pPr>
              <w:spacing w:after="0"/>
              <w:rPr>
                <w:sz w:val="14"/>
                <w:szCs w:val="14"/>
                <w:color w:val="auto"/>
              </w:rPr>
            </w:pPr>
          </w:p>
        </w:tc>
        <w:tc>
          <w:tcPr>
            <w:tcW w:w="35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4"/>
              </w:rPr>
              <w:t>Chief Financial Officer</w:t>
            </w:r>
          </w:p>
        </w:tc>
      </w:tr>
      <w:tr>
        <w:trPr>
          <w:trHeight w:val="210"/>
        </w:trPr>
        <w:tc>
          <w:tcPr>
            <w:tcW w:w="294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6"/>
                <w:szCs w:val="16"/>
                <w:b w:val="1"/>
                <w:bCs w:val="1"/>
                <w:color w:val="auto"/>
                <w:w w:val="95"/>
              </w:rPr>
              <w:t>(Principal Financial Officer)</w:t>
            </w:r>
          </w:p>
        </w:tc>
      </w:tr>
    </w:tbl>
    <w:p>
      <w:pPr>
        <w:spacing w:after="0" w:line="24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1051560</wp:posOffset>
            </wp:positionV>
            <wp:extent cx="19685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Q2 2023 Form 10-Q | Exhibit 32.1</w:t>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lowerLetter"/>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decimal"/>
      <w:start w:val="104"/>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jpeg"/><Relationship Id="rId138" Type="http://schemas.openxmlformats.org/officeDocument/2006/relationships/image" Target="media/image126.png"/><Relationship Id="rId139" Type="http://schemas.openxmlformats.org/officeDocument/2006/relationships/image" Target="media/image127.jpeg"/><Relationship Id="rId140" Type="http://schemas.openxmlformats.org/officeDocument/2006/relationships/image" Target="media/image128.png"/><Relationship Id="rId141" Type="http://schemas.openxmlformats.org/officeDocument/2006/relationships/image" Target="media/image129.jpeg"/><Relationship Id="rId142" Type="http://schemas.openxmlformats.org/officeDocument/2006/relationships/image" Target="media/image130.png"/><Relationship Id="rId143" Type="http://schemas.openxmlformats.org/officeDocument/2006/relationships/image" Target="media/image131.jpeg"/><Relationship Id="rId144" Type="http://schemas.openxmlformats.org/officeDocument/2006/relationships/image" Target="media/image132.jpeg"/><Relationship Id="rId131" Type="http://schemas.openxmlformats.org/officeDocument/2006/relationships/hyperlink" Target="http://www.sec.gov/Archives/edgar/data/47111/000004711105000159/exhibit3.htm?_sm_byp=iVV7PRrr5tFtD2T5" TargetMode="External"/><Relationship Id="rId132" Type="http://schemas.openxmlformats.org/officeDocument/2006/relationships/hyperlink" Target="http://www.sec.gov/Archives/edgar/data/47111/000004711119000010/hsy_20181231exhibit32by-la.htm" TargetMode="External"/><Relationship Id="rId133" Type="http://schemas.openxmlformats.org/officeDocument/2006/relationships/hyperlink" Target="https://www.sec.gov/Archives/edgar/data/47111/000004711123000040/exhibit41-2028globalnote.htm" TargetMode="External"/><Relationship Id="rId134" Type="http://schemas.openxmlformats.org/officeDocument/2006/relationships/hyperlink" Target="https://www.sec.gov/Archives/edgar/data/47111/000004711123000040/exhibit42-2033globalnote.htm" TargetMode="External"/><Relationship Id="rId135" Type="http://schemas.openxmlformats.org/officeDocument/2006/relationships/hyperlink" Target="https://www.sec.gov/Archives/edgar/data/47111/000004711123000026/exhibit101-credit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2023-07-27T09:42:08Z</dcterms:created>
  <dcterms:modified xsi:type="dcterms:W3CDTF">2023-07-27T09:42:08Z</dcterms:modified>
</cp:coreProperties>
</file>