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jc w:val="center"/>
        <w:spacing w:after="0" w:line="212"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55" w:lineRule="exact"/>
        <w:rPr>
          <w:sz w:val="24"/>
          <w:szCs w:val="24"/>
          <w:color w:val="auto"/>
        </w:rPr>
      </w:pPr>
    </w:p>
    <w:p>
      <w:pPr>
        <w:ind w:left="1400" w:right="1280" w:hanging="339"/>
        <w:spacing w:after="0"/>
        <w:tabs>
          <w:tab w:leader="none" w:pos="1400" w:val="left"/>
        </w:tabs>
        <w:numPr>
          <w:ilvl w:val="0"/>
          <w:numId w:val="1"/>
        </w:numPr>
        <w:rPr>
          <w:rFonts w:ascii="MS PGothic" w:cs="MS PGothic" w:eastAsia="MS PGothic" w:hAnsi="MS PGothic"/>
          <w:sz w:val="40"/>
          <w:szCs w:val="40"/>
          <w:color w:val="auto"/>
          <w:vertAlign w:val="subscript"/>
        </w:rPr>
      </w:pPr>
      <w:r>
        <w:rPr>
          <w:rFonts w:ascii="Arial" w:cs="Arial" w:eastAsia="Arial" w:hAnsi="Arial"/>
          <w:sz w:val="17"/>
          <w:szCs w:val="17"/>
          <w:b w:val="1"/>
          <w:bCs w:val="1"/>
          <w:color w:val="auto"/>
        </w:rPr>
        <w:t>QUARTERLY REPORT PURSUANT TO SECTION 13 OR 15(d) OF THE SECURITIES EXCHANGE ACT OF 1934</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2019</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1400"/>
        <w:spacing w:after="0"/>
        <w:rPr>
          <w:sz w:val="20"/>
          <w:szCs w:val="20"/>
          <w:color w:val="auto"/>
        </w:rPr>
      </w:pPr>
      <w:r>
        <w:rPr>
          <w:rFonts w:ascii="Arial" w:cs="Arial" w:eastAsia="Arial" w:hAnsi="Arial"/>
          <w:sz w:val="17"/>
          <w:szCs w:val="17"/>
          <w:b w:val="1"/>
          <w:bCs w:val="1"/>
          <w:color w:val="auto"/>
        </w:rPr>
        <w:t>TRANSITION REPORT PURSUANT TO SECTION 13 OR 15(d) OF THE SECURITIES EXCHANGE ACT OF</w:t>
      </w:r>
    </w:p>
    <w:p>
      <w:pPr>
        <w:spacing w:after="0" w:line="34" w:lineRule="exact"/>
        <w:rPr>
          <w:sz w:val="24"/>
          <w:szCs w:val="24"/>
          <w:color w:val="auto"/>
        </w:rPr>
      </w:pPr>
    </w:p>
    <w:p>
      <w:pPr>
        <w:ind w:left="1400" w:hanging="325"/>
        <w:spacing w:after="0"/>
        <w:tabs>
          <w:tab w:leader="none" w:pos="14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1934</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transition period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from ______to_______</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THE HERSHEY COMPANY</w:t>
      </w:r>
    </w:p>
    <w:p>
      <w:pPr>
        <w:jc w:val="center"/>
        <w:ind w:right="-2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887" w:right="239" w:bottom="1440" w:gutter="0" w:footer="0" w:header="0"/>
        </w:sectPr>
      </w:pPr>
    </w:p>
    <w:p>
      <w:pPr>
        <w:spacing w:after="0" w:line="124" w:lineRule="exact"/>
        <w:rPr>
          <w:sz w:val="24"/>
          <w:szCs w:val="24"/>
          <w:color w:val="auto"/>
        </w:rPr>
      </w:pPr>
    </w:p>
    <w:p>
      <w:pPr>
        <w:ind w:left="23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23-0691590</w:t>
      </w:r>
    </w:p>
    <w:p>
      <w:pPr>
        <w:spacing w:after="0" w:line="90" w:lineRule="exact"/>
        <w:rPr>
          <w:sz w:val="24"/>
          <w:szCs w:val="24"/>
          <w:color w:val="auto"/>
        </w:rPr>
      </w:pPr>
    </w:p>
    <w:p>
      <w:pPr>
        <w:sectPr>
          <w:pgSz w:w="11900" w:h="16838" w:orient="portrait"/>
          <w:cols w:equalWidth="0" w:num="2">
            <w:col w:w="7540" w:space="720"/>
            <w:col w:w="3160"/>
          </w:cols>
          <w:pgMar w:left="240" w:top="887" w:right="239" w:bottom="1440" w:gutter="0" w:footer="0" w:header="0"/>
          <w:type w:val="continuous"/>
        </w:sectPr>
      </w:pPr>
    </w:p>
    <w:p>
      <w:pPr>
        <w:jc w:val="center"/>
        <w:ind w:right="1200"/>
        <w:spacing w:after="0"/>
        <w:rPr>
          <w:sz w:val="20"/>
          <w:szCs w:val="20"/>
          <w:color w:val="auto"/>
        </w:rPr>
      </w:pPr>
      <w:r>
        <w:rPr>
          <w:rFonts w:ascii="Arial" w:cs="Arial" w:eastAsia="Arial" w:hAnsi="Arial"/>
          <w:sz w:val="16"/>
          <w:szCs w:val="16"/>
          <w:color w:val="auto"/>
        </w:rPr>
        <w:t>(State or other jurisdiction of incorporation</w:t>
      </w:r>
    </w:p>
    <w:p>
      <w:pPr>
        <w:spacing w:after="0" w:line="46" w:lineRule="exact"/>
        <w:rPr>
          <w:sz w:val="24"/>
          <w:szCs w:val="24"/>
          <w:color w:val="auto"/>
        </w:rPr>
      </w:pPr>
    </w:p>
    <w:p>
      <w:pPr>
        <w:jc w:val="center"/>
        <w:ind w:right="1180"/>
        <w:spacing w:after="0"/>
        <w:rPr>
          <w:sz w:val="20"/>
          <w:szCs w:val="20"/>
          <w:color w:val="auto"/>
        </w:rPr>
      </w:pPr>
      <w:r>
        <w:rPr>
          <w:rFonts w:ascii="Arial" w:cs="Arial" w:eastAsia="Arial" w:hAnsi="Arial"/>
          <w:sz w:val="18"/>
          <w:szCs w:val="18"/>
          <w:color w:val="auto"/>
        </w:rPr>
        <w:t>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446" w:lineRule="exact"/>
        <w:rPr>
          <w:sz w:val="24"/>
          <w:szCs w:val="24"/>
          <w:color w:val="auto"/>
        </w:rPr>
      </w:pPr>
    </w:p>
    <w:p>
      <w:pPr>
        <w:sectPr>
          <w:pgSz w:w="11900" w:h="16838" w:orient="portrait"/>
          <w:cols w:equalWidth="0" w:num="2">
            <w:col w:w="6680" w:space="720"/>
            <w:col w:w="4020"/>
          </w:cols>
          <w:pgMar w:left="240" w:top="887" w:right="239" w:bottom="1440" w:gutter="0" w:footer="0" w:header="0"/>
          <w:type w:val="continuous"/>
        </w:sectPr>
      </w:pPr>
    </w:p>
    <w:p>
      <w:pPr>
        <w:jc w:val="center"/>
        <w:ind w:right="-39"/>
        <w:spacing w:after="0"/>
        <w:rPr>
          <w:sz w:val="20"/>
          <w:szCs w:val="20"/>
          <w:color w:val="auto"/>
        </w:rPr>
      </w:pPr>
      <w:r>
        <w:rPr>
          <w:rFonts w:ascii="Arial" w:cs="Arial" w:eastAsia="Arial" w:hAnsi="Arial"/>
          <w:sz w:val="18"/>
          <w:szCs w:val="18"/>
          <w:b w:val="1"/>
          <w:bCs w:val="1"/>
          <w:color w:val="auto"/>
        </w:rPr>
        <w:t>19 East Chocolate Avenue</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Hershey, PA 17033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(Zip Code)</w:t>
      </w:r>
    </w:p>
    <w:p>
      <w:pPr>
        <w:sectPr>
          <w:pgSz w:w="11900" w:h="16838" w:orient="portrait"/>
          <w:cols w:equalWidth="0" w:num="1">
            <w:col w:w="11420"/>
          </w:cols>
          <w:pgMar w:left="240" w:top="887" w:right="239" w:bottom="1440" w:gutter="0" w:footer="0" w:header="0"/>
          <w:type w:val="continuous"/>
        </w:sectPr>
      </w:pPr>
    </w:p>
    <w:p>
      <w:pPr>
        <w:spacing w:after="0" w:line="1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(717) 531-4200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60" w:type="dxa"/>
            <w:vAlign w:val="bottom"/>
          </w:tcPr>
          <w:p>
            <w:pPr>
              <w:spacing w:after="0"/>
              <w:rPr>
                <w:sz w:val="20"/>
                <w:szCs w:val="20"/>
                <w:color w:val="auto"/>
              </w:rPr>
            </w:pPr>
          </w:p>
        </w:tc>
      </w:tr>
      <w:tr>
        <w:trPr>
          <w:trHeight w:val="378"/>
        </w:trPr>
        <w:tc>
          <w:tcPr>
            <w:tcW w:w="45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Title of each class</w:t>
            </w: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Trading Symbol(s)</w:t>
            </w:r>
          </w:p>
        </w:tc>
        <w:tc>
          <w:tcPr>
            <w:tcW w:w="456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4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237"/>
        </w:trPr>
        <w:tc>
          <w:tcPr>
            <w:tcW w:w="45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Common Stock, one dollar par value</w:t>
            </w: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HSY</w:t>
            </w:r>
          </w:p>
        </w:tc>
        <w:tc>
          <w:tcPr>
            <w:tcW w:w="456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3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89" w:lineRule="exact"/>
        <w:rPr>
          <w:sz w:val="24"/>
          <w:szCs w:val="24"/>
          <w:color w:val="auto"/>
        </w:rPr>
      </w:pPr>
    </w:p>
    <w:p>
      <w:pPr>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8"/>
          <w:szCs w:val="18"/>
          <w:color w:val="auto"/>
        </w:rPr>
        <w:t>☐</w:t>
      </w:r>
    </w:p>
    <w:p>
      <w:pPr>
        <w:spacing w:after="0" w:line="89" w:lineRule="exact"/>
        <w:rPr>
          <w:sz w:val="24"/>
          <w:szCs w:val="24"/>
          <w:color w:val="auto"/>
        </w:rPr>
      </w:pPr>
    </w:p>
    <w:p>
      <w:pPr>
        <w:ind w:right="10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887" w:right="239" w:bottom="1440" w:gutter="0" w:footer="0" w:header="0"/>
          <w:type w:val="continuous"/>
        </w:sectPr>
      </w:pPr>
    </w:p>
    <w:p>
      <w:pPr>
        <w:spacing w:after="0" w:line="127" w:lineRule="exact"/>
        <w:rPr>
          <w:sz w:val="24"/>
          <w:szCs w:val="24"/>
          <w:color w:val="auto"/>
        </w:rPr>
      </w:pPr>
    </w:p>
    <w:p>
      <w:pPr>
        <w:ind w:left="40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jc w:val="cente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2" w:lineRule="exact"/>
        <w:rPr>
          <w:sz w:val="24"/>
          <w:szCs w:val="24"/>
          <w:color w:val="auto"/>
        </w:rPr>
      </w:pPr>
    </w:p>
    <w:p>
      <w:pPr>
        <w:sectPr>
          <w:pgSz w:w="11900" w:h="16838" w:orient="portrait"/>
          <w:cols w:equalWidth="0" w:num="8">
            <w:col w:w="2020" w:space="520"/>
            <w:col w:w="220" w:space="720"/>
            <w:col w:w="1200" w:space="640"/>
            <w:col w:w="160" w:space="600"/>
            <w:col w:w="1520" w:space="460"/>
            <w:col w:w="160" w:space="580"/>
            <w:col w:w="1960" w:space="480"/>
            <w:col w:w="180"/>
          </w:cols>
          <w:pgMar w:left="240" w:top="887" w:right="239" w:bottom="1440" w:gutter="0" w:footer="0" w:header="0"/>
          <w:type w:val="continuous"/>
        </w:sectPr>
      </w:pPr>
    </w:p>
    <w:p>
      <w:pPr>
        <w:spacing w:after="0" w:line="20" w:lineRule="exact"/>
        <w:rPr>
          <w:sz w:val="24"/>
          <w:szCs w:val="24"/>
          <w:color w:val="auto"/>
        </w:rPr>
      </w:pPr>
    </w:p>
    <w:p>
      <w:pPr>
        <w:ind w:left="880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24" w:lineRule="exact"/>
        <w:rPr>
          <w:sz w:val="24"/>
          <w:szCs w:val="24"/>
          <w:color w:val="auto"/>
        </w:rPr>
      </w:pPr>
    </w:p>
    <w:p>
      <w:pPr>
        <w:sectPr>
          <w:pgSz w:w="11900" w:h="16838" w:orient="portrait"/>
          <w:cols w:equalWidth="0" w:num="2">
            <w:col w:w="10760" w:space="480"/>
            <w:col w:w="180"/>
          </w:cols>
          <w:pgMar w:left="240" w:top="887" w:right="239" w:bottom="1440" w:gutter="0" w:footer="0" w:header="0"/>
          <w:type w:val="continuous"/>
        </w:sect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163"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ind w:left="660"/>
        <w:spacing w:after="0" w:line="217" w:lineRule="auto"/>
        <w:rPr>
          <w:sz w:val="20"/>
          <w:szCs w:val="20"/>
          <w:color w:val="auto"/>
        </w:rPr>
      </w:pPr>
      <w:r>
        <w:rPr>
          <w:rFonts w:ascii="Arial" w:cs="Arial" w:eastAsia="Arial" w:hAnsi="Arial"/>
          <w:sz w:val="18"/>
          <w:szCs w:val="18"/>
          <w:color w:val="auto"/>
        </w:rPr>
        <w:t>Common Stock, one dollar par value—148,965,141 shares, as of July 19, 2019.</w:t>
      </w:r>
    </w:p>
    <w:p>
      <w:pPr>
        <w:ind w:left="660"/>
        <w:spacing w:after="0"/>
        <w:rPr>
          <w:sz w:val="20"/>
          <w:szCs w:val="20"/>
          <w:color w:val="auto"/>
        </w:rPr>
      </w:pPr>
      <w:r>
        <w:rPr>
          <w:rFonts w:ascii="Arial" w:cs="Arial" w:eastAsia="Arial" w:hAnsi="Arial"/>
          <w:sz w:val="18"/>
          <w:szCs w:val="18"/>
          <w:color w:val="auto"/>
        </w:rPr>
        <w:t>Class B Common Stock, one dollar par value—60,613,777 shares, as of July 19, 2019.</w:t>
      </w:r>
    </w:p>
    <w:p>
      <w:pPr>
        <w:sectPr>
          <w:pgSz w:w="11900" w:h="16838" w:orient="portrait"/>
          <w:cols w:equalWidth="0" w:num="1">
            <w:col w:w="11420"/>
          </w:cols>
          <w:pgMar w:left="240" w:top="887"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Ended June 30, 2019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0" w:type="dxa"/>
            <w:vAlign w:val="bottom"/>
            <w:tcBorders>
              <w:bottom w:val="single" w:sz="8" w:color="CCEEFF"/>
            </w:tcBorders>
            <w:shd w:val="clear" w:color="auto" w:fill="CCEEFF"/>
          </w:tcPr>
          <w:p>
            <w:pPr>
              <w:spacing w:after="0"/>
              <w:rPr>
                <w:sz w:val="22"/>
                <w:szCs w:val="22"/>
                <w:color w:val="auto"/>
              </w:rPr>
            </w:pPr>
          </w:p>
        </w:tc>
        <w:tc>
          <w:tcPr>
            <w:tcW w:w="2880" w:type="dxa"/>
            <w:vAlign w:val="bottom"/>
            <w:tcBorders>
              <w:bottom w:val="single" w:sz="8" w:color="0000EE"/>
            </w:tcBorders>
            <w:gridSpan w:val="11"/>
            <w:shd w:val="clear" w:color="auto" w:fill="CCEEFF"/>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PART I. FINANCIAL INFORMATION</w:t>
              </w:r>
            </w:hyperlink>
          </w:p>
        </w:tc>
        <w:tc>
          <w:tcPr>
            <w:tcW w:w="8300" w:type="dxa"/>
            <w:vAlign w:val="bottom"/>
            <w:tcBorders>
              <w:bottom w:val="single" w:sz="8" w:color="CCEEFF"/>
            </w:tcBorders>
            <w:gridSpan w:val="10"/>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20" w:type="dxa"/>
            <w:vAlign w:val="bottom"/>
            <w:tcBorders>
              <w:bottom w:val="single" w:sz="8" w:color="CCEEFF"/>
            </w:tcBorders>
            <w:shd w:val="clear" w:color="auto" w:fill="CCEEFF"/>
          </w:tcPr>
          <w:p>
            <w:pPr>
              <w:spacing w:after="0"/>
              <w:rPr>
                <w:sz w:val="22"/>
                <w:szCs w:val="22"/>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40" w:type="dxa"/>
            <w:vAlign w:val="bottom"/>
            <w:gridSpan w:val="20"/>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940" w:type="dxa"/>
            <w:vAlign w:val="bottom"/>
            <w:gridSpan w:val="19"/>
            <w:shd w:val="clear" w:color="auto" w:fill="CCEEFF"/>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Consolidated Statements of Income for the Three and Six Months Ended June 30, 2019 and July 1, 2018</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180" w:type="dxa"/>
            <w:vAlign w:val="bottom"/>
            <w:tcBorders>
              <w:top w:val="single" w:sz="8" w:color="0000EE"/>
            </w:tcBorders>
            <w:shd w:val="clear" w:color="auto" w:fill="CCEEFF"/>
          </w:tcPr>
          <w:p>
            <w:pPr>
              <w:spacing w:after="0"/>
              <w:rPr>
                <w:sz w:val="4"/>
                <w:szCs w:val="4"/>
                <w:color w:val="auto"/>
              </w:rPr>
            </w:pPr>
          </w:p>
        </w:tc>
        <w:tc>
          <w:tcPr>
            <w:tcW w:w="86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5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2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940" w:type="dxa"/>
            <w:vAlign w:val="bottom"/>
            <w:gridSpan w:val="19"/>
          </w:tcPr>
          <w:p>
            <w:pPr>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Comprehensive Income for the Three and Six Months Ended June 30, 2019 and July 1, 2018</w:t>
              </w:r>
            </w:hyperlink>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180" w:type="dxa"/>
            <w:vAlign w:val="bottom"/>
            <w:tcBorders>
              <w:top w:val="single" w:sz="8" w:color="0000EE"/>
            </w:tcBorders>
          </w:tcPr>
          <w:p>
            <w:pPr>
              <w:spacing w:after="0"/>
              <w:rPr>
                <w:sz w:val="4"/>
                <w:szCs w:val="4"/>
                <w:color w:val="auto"/>
              </w:rPr>
            </w:pPr>
          </w:p>
        </w:tc>
        <w:tc>
          <w:tcPr>
            <w:tcW w:w="86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5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8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300" w:type="dxa"/>
            <w:vAlign w:val="bottom"/>
            <w:tcBorders>
              <w:bottom w:val="single" w:sz="8" w:color="0000EE"/>
            </w:tcBorders>
            <w:gridSpan w:val="13"/>
            <w:shd w:val="clear" w:color="auto" w:fill="CCEEFF"/>
          </w:tcPr>
          <w:p>
            <w:pPr>
              <w:spacing w:after="0" w:line="202"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Consolidated Balance Sheets as of June 30, 2019 and December 31, 2018</w:t>
              </w:r>
            </w:hyperlink>
          </w:p>
        </w:tc>
        <w:tc>
          <w:tcPr>
            <w:tcW w:w="5640" w:type="dxa"/>
            <w:vAlign w:val="bottom"/>
            <w:tcBorders>
              <w:bottom w:val="single" w:sz="8" w:color="CCEEFF"/>
            </w:tcBorders>
            <w:gridSpan w:val="6"/>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940" w:type="dxa"/>
            <w:vAlign w:val="bottom"/>
            <w:gridSpan w:val="19"/>
          </w:tcPr>
          <w:p>
            <w:pPr>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for the Six Months Ended June 30, 2019 and July 1, 2018</w:t>
              </w:r>
            </w:hyperlink>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180" w:type="dxa"/>
            <w:vAlign w:val="bottom"/>
            <w:tcBorders>
              <w:top w:val="single" w:sz="8" w:color="0000EE"/>
            </w:tcBorders>
          </w:tcPr>
          <w:p>
            <w:pPr>
              <w:spacing w:after="0"/>
              <w:rPr>
                <w:sz w:val="4"/>
                <w:szCs w:val="4"/>
                <w:color w:val="auto"/>
              </w:rPr>
            </w:pPr>
          </w:p>
        </w:tc>
        <w:tc>
          <w:tcPr>
            <w:tcW w:w="86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5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60" w:type="dxa"/>
            <w:vAlign w:val="bottom"/>
          </w:tcPr>
          <w:p>
            <w:pPr>
              <w:spacing w:after="0"/>
              <w:rPr>
                <w:sz w:val="4"/>
                <w:szCs w:val="4"/>
                <w:color w:val="auto"/>
              </w:rPr>
            </w:pPr>
          </w:p>
        </w:tc>
        <w:tc>
          <w:tcPr>
            <w:tcW w:w="8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940" w:type="dxa"/>
            <w:vAlign w:val="bottom"/>
            <w:gridSpan w:val="19"/>
            <w:shd w:val="clear" w:color="auto" w:fill="CCEEFF"/>
          </w:tcPr>
          <w:p>
            <w:pPr>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Consolidated Statement of Stockholders' Equity for the Three and Six Months Ended June 30, 2019 and July 1, 2018</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203"/>
        </w:trPr>
        <w:tc>
          <w:tcPr>
            <w:tcW w:w="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400" w:type="dxa"/>
            <w:vAlign w:val="bottom"/>
            <w:tcBorders>
              <w:top w:val="single" w:sz="8" w:color="0000EE"/>
            </w:tcBorders>
            <w:gridSpan w:val="17"/>
          </w:tcPr>
          <w:p>
            <w:pPr>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Notes to Unaudited Consolidated Financial Statements</w:t>
              </w:r>
            </w:hyperlink>
          </w:p>
        </w:tc>
        <w:tc>
          <w:tcPr>
            <w:tcW w:w="2540" w:type="dxa"/>
            <w:vAlign w:val="bottom"/>
            <w:tcBorders>
              <w:top w:val="single" w:sz="8" w:color="CCEEFF"/>
            </w:tcBorders>
            <w:gridSpan w:val="2"/>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0000EE"/>
            </w:tcBorders>
          </w:tcPr>
          <w:p>
            <w:pPr>
              <w:jc w:val="right"/>
              <w:spacing w:after="0" w:line="202" w:lineRule="exact"/>
              <w:rPr>
                <w:rFonts w:ascii="Arial" w:cs="Arial" w:eastAsia="Arial" w:hAnsi="Arial"/>
                <w:sz w:val="18"/>
                <w:szCs w:val="18"/>
                <w:color w:val="0000EE"/>
                <w:w w:val="79"/>
              </w:rPr>
            </w:pPr>
            <w:hyperlink w:anchor="page9">
              <w:r>
                <w:rPr>
                  <w:rFonts w:ascii="Arial" w:cs="Arial" w:eastAsia="Arial" w:hAnsi="Arial"/>
                  <w:sz w:val="18"/>
                  <w:szCs w:val="18"/>
                  <w:color w:val="0000EE"/>
                  <w:w w:val="79"/>
                </w:rPr>
                <w:t>9</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180" w:type="dxa"/>
            <w:vAlign w:val="bottom"/>
            <w:tcBorders>
              <w:top w:val="single" w:sz="8" w:color="0000EE"/>
            </w:tcBorders>
          </w:tcPr>
          <w:p>
            <w:pPr>
              <w:spacing w:after="0"/>
              <w:rPr>
                <w:sz w:val="4"/>
                <w:szCs w:val="4"/>
                <w:color w:val="auto"/>
              </w:rPr>
            </w:pPr>
          </w:p>
        </w:tc>
        <w:tc>
          <w:tcPr>
            <w:tcW w:w="8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40" w:type="dxa"/>
            <w:vAlign w:val="bottom"/>
            <w:gridSpan w:val="20"/>
            <w:shd w:val="clear" w:color="auto" w:fill="CCEEFF"/>
          </w:tcPr>
          <w:p>
            <w:pPr>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Item 2. Management's Discussion and Analysis of Financial Condition and Results of Operations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34">
              <w:r>
                <w:rPr>
                  <w:rFonts w:ascii="Arial" w:cs="Arial" w:eastAsia="Arial" w:hAnsi="Arial"/>
                  <w:sz w:val="18"/>
                  <w:szCs w:val="18"/>
                  <w:color w:val="0000EE"/>
                  <w:w w:val="79"/>
                </w:rPr>
                <w:t>34</w:t>
              </w:r>
            </w:hyperlink>
          </w:p>
        </w:tc>
      </w:tr>
      <w:tr>
        <w:trPr>
          <w:trHeight w:val="203"/>
        </w:trPr>
        <w:tc>
          <w:tcPr>
            <w:tcW w:w="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980" w:type="dxa"/>
            <w:vAlign w:val="bottom"/>
            <w:tcBorders>
              <w:top w:val="single" w:sz="8" w:color="0000EE"/>
            </w:tcBorders>
            <w:gridSpan w:val="15"/>
          </w:tcPr>
          <w:p>
            <w:pPr>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Item 3. Quantitative and Qualitative Disclosures About Market Risk</w:t>
              </w:r>
            </w:hyperlink>
          </w:p>
        </w:tc>
        <w:tc>
          <w:tcPr>
            <w:tcW w:w="4060" w:type="dxa"/>
            <w:vAlign w:val="bottom"/>
            <w:tcBorders>
              <w:top w:val="single" w:sz="8" w:color="CCEEFF"/>
            </w:tcBorders>
            <w:gridSpan w:val="5"/>
          </w:tcPr>
          <w:p>
            <w:pPr>
              <w:spacing w:after="0"/>
              <w:rPr>
                <w:sz w:val="17"/>
                <w:szCs w:val="17"/>
                <w:color w:val="auto"/>
              </w:rPr>
            </w:pPr>
          </w:p>
        </w:tc>
        <w:tc>
          <w:tcPr>
            <w:tcW w:w="180" w:type="dxa"/>
            <w:vAlign w:val="bottom"/>
            <w:tcBorders>
              <w:top w:val="single" w:sz="8" w:color="0000EE"/>
            </w:tcBorders>
            <w:gridSpan w:val="2"/>
          </w:tcPr>
          <w:p>
            <w:pPr>
              <w:jc w:val="right"/>
              <w:spacing w:after="0" w:line="202" w:lineRule="exact"/>
              <w:rPr>
                <w:rFonts w:ascii="Arial" w:cs="Arial" w:eastAsia="Arial" w:hAnsi="Arial"/>
                <w:sz w:val="18"/>
                <w:szCs w:val="18"/>
                <w:color w:val="0000EE"/>
                <w:w w:val="79"/>
              </w:rPr>
            </w:pPr>
            <w:hyperlink w:anchor="page51">
              <w:r>
                <w:rPr>
                  <w:rFonts w:ascii="Arial" w:cs="Arial" w:eastAsia="Arial" w:hAnsi="Arial"/>
                  <w:sz w:val="18"/>
                  <w:szCs w:val="18"/>
                  <w:color w:val="0000EE"/>
                  <w:w w:val="79"/>
                </w:rPr>
                <w:t>51</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180" w:type="dxa"/>
            <w:vAlign w:val="bottom"/>
            <w:tcBorders>
              <w:top w:val="single" w:sz="8" w:color="0000EE"/>
            </w:tcBorders>
          </w:tcPr>
          <w:p>
            <w:pPr>
              <w:spacing w:after="0"/>
              <w:rPr>
                <w:sz w:val="4"/>
                <w:szCs w:val="4"/>
                <w:color w:val="auto"/>
              </w:rPr>
            </w:pPr>
          </w:p>
        </w:tc>
        <w:tc>
          <w:tcPr>
            <w:tcW w:w="860" w:type="dxa"/>
            <w:vAlign w:val="bottom"/>
            <w:tcBorders>
              <w:top w:val="single" w:sz="8" w:color="0000EE"/>
            </w:tcBorders>
          </w:tcPr>
          <w:p>
            <w:pPr>
              <w:spacing w:after="0"/>
              <w:rPr>
                <w:sz w:val="4"/>
                <w:szCs w:val="4"/>
                <w:color w:val="auto"/>
              </w:rPr>
            </w:pPr>
          </w:p>
        </w:tc>
        <w:tc>
          <w:tcPr>
            <w:tcW w:w="5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40" w:type="dxa"/>
            <w:vAlign w:val="bottom"/>
            <w:gridSpan w:val="20"/>
            <w:shd w:val="clear" w:color="auto" w:fill="CCEEFF"/>
          </w:tcPr>
          <w:p>
            <w:pPr>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Item 4. Controls and Procedures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2">
              <w:r>
                <w:rPr>
                  <w:rFonts w:ascii="Arial" w:cs="Arial" w:eastAsia="Arial" w:hAnsi="Arial"/>
                  <w:sz w:val="18"/>
                  <w:szCs w:val="18"/>
                  <w:color w:val="0000EE"/>
                  <w:w w:val="79"/>
                </w:rPr>
                <w:t>52</w:t>
              </w:r>
            </w:hyperlink>
          </w:p>
        </w:tc>
      </w:tr>
      <w:tr>
        <w:trPr>
          <w:trHeight w:val="324"/>
        </w:trPr>
        <w:tc>
          <w:tcPr>
            <w:tcW w:w="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180" w:type="dxa"/>
            <w:vAlign w:val="bottom"/>
            <w:tcBorders>
              <w:top w:val="single" w:sz="8" w:color="CCEEFF"/>
            </w:tcBorders>
          </w:tcPr>
          <w:p>
            <w:pPr>
              <w:spacing w:after="0"/>
              <w:rPr>
                <w:sz w:val="24"/>
                <w:szCs w:val="24"/>
                <w:color w:val="auto"/>
              </w:rPr>
            </w:pPr>
          </w:p>
        </w:tc>
        <w:tc>
          <w:tcPr>
            <w:tcW w:w="86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158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88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224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11180" w:type="dxa"/>
            <w:vAlign w:val="bottom"/>
            <w:gridSpan w:val="21"/>
            <w:shd w:val="clear" w:color="auto" w:fill="CCEEFF"/>
          </w:tcPr>
          <w:p>
            <w:pPr>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PART II. OTHER INFORMATION</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3">
              <w:r>
                <w:rPr>
                  <w:rFonts w:ascii="Arial" w:cs="Arial" w:eastAsia="Arial" w:hAnsi="Arial"/>
                  <w:sz w:val="18"/>
                  <w:szCs w:val="18"/>
                  <w:color w:val="0000EE"/>
                  <w:w w:val="79"/>
                </w:rPr>
                <w:t>53</w:t>
              </w:r>
            </w:hyperlink>
          </w:p>
        </w:tc>
      </w:tr>
      <w:tr>
        <w:trPr>
          <w:trHeight w:val="203"/>
        </w:trPr>
        <w:tc>
          <w:tcPr>
            <w:tcW w:w="40" w:type="dxa"/>
            <w:vAlign w:val="bottom"/>
            <w:tcBorders>
              <w:top w:val="single" w:sz="8" w:color="CCEEFF"/>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420" w:type="dxa"/>
            <w:vAlign w:val="bottom"/>
            <w:tcBorders>
              <w:top w:val="single" w:sz="8" w:color="0000EE"/>
            </w:tcBorders>
            <w:gridSpan w:val="9"/>
          </w:tcPr>
          <w:p>
            <w:pPr>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Item1. Legal Proceedings</w:t>
              </w:r>
            </w:hyperlink>
          </w:p>
        </w:tc>
        <w:tc>
          <w:tcPr>
            <w:tcW w:w="8620" w:type="dxa"/>
            <w:vAlign w:val="bottom"/>
            <w:tcBorders>
              <w:top w:val="single" w:sz="8" w:color="CCEEFF"/>
            </w:tcBorders>
            <w:gridSpan w:val="11"/>
          </w:tcPr>
          <w:p>
            <w:pPr>
              <w:spacing w:after="0"/>
              <w:rPr>
                <w:sz w:val="17"/>
                <w:szCs w:val="17"/>
                <w:color w:val="auto"/>
              </w:rPr>
            </w:pPr>
          </w:p>
        </w:tc>
        <w:tc>
          <w:tcPr>
            <w:tcW w:w="180" w:type="dxa"/>
            <w:vAlign w:val="bottom"/>
            <w:tcBorders>
              <w:top w:val="single" w:sz="8" w:color="0000EE"/>
            </w:tcBorders>
            <w:gridSpan w:val="2"/>
          </w:tcPr>
          <w:p>
            <w:pPr>
              <w:jc w:val="right"/>
              <w:spacing w:after="0" w:line="202" w:lineRule="exact"/>
              <w:rPr>
                <w:rFonts w:ascii="Arial" w:cs="Arial" w:eastAsia="Arial" w:hAnsi="Arial"/>
                <w:sz w:val="18"/>
                <w:szCs w:val="18"/>
                <w:color w:val="0000EE"/>
                <w:w w:val="79"/>
              </w:rPr>
            </w:pPr>
            <w:hyperlink w:anchor="page53">
              <w:r>
                <w:rPr>
                  <w:rFonts w:ascii="Arial" w:cs="Arial" w:eastAsia="Arial" w:hAnsi="Arial"/>
                  <w:sz w:val="18"/>
                  <w:szCs w:val="18"/>
                  <w:color w:val="0000EE"/>
                  <w:w w:val="79"/>
                </w:rPr>
                <w:t>53</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0000EE"/>
            </w:tcBorders>
            <w:gridSpan w:val="4"/>
            <w:shd w:val="clear" w:color="auto" w:fill="CCEEFF"/>
          </w:tcPr>
          <w:p>
            <w:pPr>
              <w:spacing w:after="0" w:line="202" w:lineRule="exact"/>
              <w:rPr>
                <w:rFonts w:ascii="Arial" w:cs="Arial" w:eastAsia="Arial" w:hAnsi="Arial"/>
                <w:sz w:val="18"/>
                <w:szCs w:val="18"/>
                <w:color w:val="0000EE"/>
                <w:w w:val="90"/>
              </w:rPr>
            </w:pPr>
            <w:hyperlink w:anchor="page53">
              <w:r>
                <w:rPr>
                  <w:rFonts w:ascii="Arial" w:cs="Arial" w:eastAsia="Arial" w:hAnsi="Arial"/>
                  <w:sz w:val="18"/>
                  <w:szCs w:val="18"/>
                  <w:color w:val="0000EE"/>
                  <w:w w:val="90"/>
                </w:rPr>
                <w:t>Item 1A. Risk Factors</w:t>
              </w:r>
            </w:hyperlink>
          </w:p>
        </w:tc>
        <w:tc>
          <w:tcPr>
            <w:tcW w:w="9460" w:type="dxa"/>
            <w:vAlign w:val="bottom"/>
            <w:tcBorders>
              <w:bottom w:val="single" w:sz="8" w:color="CCEEFF"/>
            </w:tcBorders>
            <w:gridSpan w:val="16"/>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53">
              <w:r>
                <w:rPr>
                  <w:rFonts w:ascii="Arial" w:cs="Arial" w:eastAsia="Arial" w:hAnsi="Arial"/>
                  <w:sz w:val="18"/>
                  <w:szCs w:val="18"/>
                  <w:color w:val="0000EE"/>
                  <w:w w:val="79"/>
                </w:rPr>
                <w:t>53</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40" w:type="dxa"/>
            <w:vAlign w:val="bottom"/>
            <w:gridSpan w:val="20"/>
          </w:tcPr>
          <w:p>
            <w:pPr>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Item 2. Unregistered Sales of Equity Securities and Use of Proceeds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53">
              <w:r>
                <w:rPr>
                  <w:rFonts w:ascii="Arial" w:cs="Arial" w:eastAsia="Arial" w:hAnsi="Arial"/>
                  <w:sz w:val="18"/>
                  <w:szCs w:val="18"/>
                  <w:color w:val="0000EE"/>
                  <w:w w:val="79"/>
                </w:rPr>
                <w:t>53</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180" w:type="dxa"/>
            <w:vAlign w:val="bottom"/>
            <w:tcBorders>
              <w:top w:val="single" w:sz="8" w:color="0000EE"/>
            </w:tcBorders>
          </w:tcPr>
          <w:p>
            <w:pPr>
              <w:spacing w:after="0"/>
              <w:rPr>
                <w:sz w:val="4"/>
                <w:szCs w:val="4"/>
                <w:color w:val="auto"/>
              </w:rPr>
            </w:pPr>
          </w:p>
        </w:tc>
        <w:tc>
          <w:tcPr>
            <w:tcW w:w="860" w:type="dxa"/>
            <w:vAlign w:val="bottom"/>
            <w:tcBorders>
              <w:top w:val="single" w:sz="8" w:color="0000EE"/>
            </w:tcBorders>
          </w:tcPr>
          <w:p>
            <w:pPr>
              <w:spacing w:after="0"/>
              <w:rPr>
                <w:sz w:val="4"/>
                <w:szCs w:val="4"/>
                <w:color w:val="auto"/>
              </w:rPr>
            </w:pPr>
          </w:p>
        </w:tc>
        <w:tc>
          <w:tcPr>
            <w:tcW w:w="5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40" w:type="dxa"/>
            <w:vAlign w:val="bottom"/>
            <w:gridSpan w:val="20"/>
            <w:shd w:val="clear" w:color="auto" w:fill="CCEEFF"/>
          </w:tcPr>
          <w:p>
            <w:pPr>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Item 3. Defaults Upon Senior Securities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3">
              <w:r>
                <w:rPr>
                  <w:rFonts w:ascii="Arial" w:cs="Arial" w:eastAsia="Arial" w:hAnsi="Arial"/>
                  <w:sz w:val="18"/>
                  <w:szCs w:val="18"/>
                  <w:color w:val="0000EE"/>
                  <w:w w:val="79"/>
                </w:rPr>
                <w:t>53</w:t>
              </w:r>
            </w:hyperlink>
          </w:p>
        </w:tc>
      </w:tr>
      <w:tr>
        <w:trPr>
          <w:trHeight w:val="203"/>
        </w:trPr>
        <w:tc>
          <w:tcPr>
            <w:tcW w:w="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860" w:type="dxa"/>
            <w:vAlign w:val="bottom"/>
            <w:tcBorders>
              <w:top w:val="single" w:sz="8" w:color="0000EE"/>
            </w:tcBorders>
            <w:gridSpan w:val="11"/>
          </w:tcPr>
          <w:p>
            <w:pPr>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Item 4. Mine Safety Disclosures</w:t>
              </w:r>
            </w:hyperlink>
          </w:p>
        </w:tc>
        <w:tc>
          <w:tcPr>
            <w:tcW w:w="8180" w:type="dxa"/>
            <w:vAlign w:val="bottom"/>
            <w:tcBorders>
              <w:top w:val="single" w:sz="8" w:color="CCEEFF"/>
            </w:tcBorders>
            <w:gridSpan w:val="9"/>
          </w:tcPr>
          <w:p>
            <w:pPr>
              <w:spacing w:after="0"/>
              <w:rPr>
                <w:sz w:val="17"/>
                <w:szCs w:val="17"/>
                <w:color w:val="auto"/>
              </w:rPr>
            </w:pPr>
          </w:p>
        </w:tc>
        <w:tc>
          <w:tcPr>
            <w:tcW w:w="180" w:type="dxa"/>
            <w:vAlign w:val="bottom"/>
            <w:tcBorders>
              <w:top w:val="single" w:sz="8" w:color="0000EE"/>
            </w:tcBorders>
            <w:gridSpan w:val="2"/>
          </w:tcPr>
          <w:p>
            <w:pPr>
              <w:jc w:val="right"/>
              <w:spacing w:after="0" w:line="202" w:lineRule="exact"/>
              <w:rPr>
                <w:rFonts w:ascii="Arial" w:cs="Arial" w:eastAsia="Arial" w:hAnsi="Arial"/>
                <w:sz w:val="18"/>
                <w:szCs w:val="18"/>
                <w:color w:val="0000EE"/>
                <w:w w:val="79"/>
              </w:rPr>
            </w:pPr>
            <w:hyperlink w:anchor="page53">
              <w:r>
                <w:rPr>
                  <w:rFonts w:ascii="Arial" w:cs="Arial" w:eastAsia="Arial" w:hAnsi="Arial"/>
                  <w:sz w:val="18"/>
                  <w:szCs w:val="18"/>
                  <w:color w:val="0000EE"/>
                  <w:w w:val="79"/>
                </w:rPr>
                <w:t>53</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0000EE"/>
            </w:tcBorders>
            <w:gridSpan w:val="6"/>
            <w:shd w:val="clear" w:color="auto" w:fill="CCEEFF"/>
          </w:tcPr>
          <w:p>
            <w:pPr>
              <w:spacing w:after="0" w:line="202" w:lineRule="exact"/>
              <w:rPr>
                <w:rFonts w:ascii="Arial" w:cs="Arial" w:eastAsia="Arial" w:hAnsi="Arial"/>
                <w:sz w:val="18"/>
                <w:szCs w:val="18"/>
                <w:color w:val="0000EE"/>
                <w:w w:val="91"/>
              </w:rPr>
            </w:pPr>
            <w:hyperlink w:anchor="page53">
              <w:r>
                <w:rPr>
                  <w:rFonts w:ascii="Arial" w:cs="Arial" w:eastAsia="Arial" w:hAnsi="Arial"/>
                  <w:sz w:val="18"/>
                  <w:szCs w:val="18"/>
                  <w:color w:val="0000EE"/>
                  <w:w w:val="91"/>
                </w:rPr>
                <w:t>Item 5. Other Information</w:t>
              </w:r>
            </w:hyperlink>
          </w:p>
        </w:tc>
        <w:tc>
          <w:tcPr>
            <w:tcW w:w="9180" w:type="dxa"/>
            <w:vAlign w:val="bottom"/>
            <w:tcBorders>
              <w:bottom w:val="single" w:sz="8" w:color="CCEEFF"/>
            </w:tcBorders>
            <w:gridSpan w:val="14"/>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53">
              <w:r>
                <w:rPr>
                  <w:rFonts w:ascii="Arial" w:cs="Arial" w:eastAsia="Arial" w:hAnsi="Arial"/>
                  <w:sz w:val="18"/>
                  <w:szCs w:val="18"/>
                  <w:color w:val="0000EE"/>
                  <w:w w:val="79"/>
                </w:rPr>
                <w:t>53</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40" w:type="dxa"/>
            <w:vAlign w:val="bottom"/>
            <w:gridSpan w:val="20"/>
          </w:tcPr>
          <w:p>
            <w:pPr>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Item 6. Exhibits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54">
              <w:r>
                <w:rPr>
                  <w:rFonts w:ascii="Arial" w:cs="Arial" w:eastAsia="Arial" w:hAnsi="Arial"/>
                  <w:sz w:val="18"/>
                  <w:szCs w:val="18"/>
                  <w:color w:val="0000EE"/>
                  <w:w w:val="79"/>
                </w:rPr>
                <w:t>54</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2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40" w:type="dxa"/>
            <w:vAlign w:val="bottom"/>
          </w:tcPr>
          <w:p>
            <w:pPr>
              <w:spacing w:after="0"/>
              <w:rPr>
                <w:sz w:val="17"/>
                <w:szCs w:val="17"/>
                <w:color w:val="auto"/>
              </w:rPr>
            </w:pPr>
          </w:p>
        </w:tc>
        <w:tc>
          <w:tcPr>
            <w:tcW w:w="760" w:type="dxa"/>
            <w:vAlign w:val="bottom"/>
            <w:tcBorders>
              <w:bottom w:val="single" w:sz="8" w:color="0000EE"/>
            </w:tcBorders>
            <w:gridSpan w:val="3"/>
          </w:tcPr>
          <w:p>
            <w:pPr>
              <w:spacing w:after="0" w:line="202" w:lineRule="exact"/>
              <w:rPr>
                <w:rFonts w:ascii="Arial" w:cs="Arial" w:eastAsia="Arial" w:hAnsi="Arial"/>
                <w:sz w:val="18"/>
                <w:szCs w:val="18"/>
                <w:color w:val="0000EE"/>
                <w:w w:val="85"/>
              </w:rPr>
            </w:pPr>
            <w:hyperlink w:anchor="page55">
              <w:r>
                <w:rPr>
                  <w:rFonts w:ascii="Arial" w:cs="Arial" w:eastAsia="Arial" w:hAnsi="Arial"/>
                  <w:sz w:val="18"/>
                  <w:szCs w:val="18"/>
                  <w:color w:val="0000EE"/>
                  <w:w w:val="85"/>
                </w:rPr>
                <w:t>Signatures</w:t>
              </w:r>
            </w:hyperlink>
          </w:p>
        </w:tc>
        <w:tc>
          <w:tcPr>
            <w:tcW w:w="10420" w:type="dxa"/>
            <w:vAlign w:val="bottom"/>
            <w:gridSpan w:val="18"/>
          </w:tcPr>
          <w:p>
            <w:pPr>
              <w:spacing w:after="0"/>
              <w:rPr>
                <w:sz w:val="17"/>
                <w:szCs w:val="17"/>
                <w:color w:val="auto"/>
              </w:rPr>
            </w:pPr>
          </w:p>
        </w:tc>
        <w:tc>
          <w:tcPr>
            <w:tcW w:w="180" w:type="dxa"/>
            <w:vAlign w:val="bottom"/>
            <w:tcBorders>
              <w:bottom w:val="single" w:sz="8" w:color="0000EE"/>
            </w:tcBorders>
            <w:gridSpan w:val="2"/>
          </w:tcPr>
          <w:p>
            <w:pPr>
              <w:jc w:val="right"/>
              <w:spacing w:after="0" w:line="202" w:lineRule="exact"/>
              <w:rPr>
                <w:rFonts w:ascii="Arial" w:cs="Arial" w:eastAsia="Arial" w:hAnsi="Arial"/>
                <w:sz w:val="18"/>
                <w:szCs w:val="18"/>
                <w:color w:val="0000EE"/>
                <w:w w:val="79"/>
              </w:rPr>
            </w:pPr>
            <w:hyperlink w:anchor="page55">
              <w:r>
                <w:rPr>
                  <w:rFonts w:ascii="Arial" w:cs="Arial" w:eastAsia="Arial" w:hAnsi="Arial"/>
                  <w:sz w:val="18"/>
                  <w:szCs w:val="18"/>
                  <w:color w:val="0000EE"/>
                  <w:w w:val="79"/>
                </w:rPr>
                <w:t>55</w:t>
              </w:r>
            </w:hyperlink>
          </w:p>
        </w:tc>
        <w:tc>
          <w:tcPr>
            <w:tcW w:w="20" w:type="dxa"/>
            <w:vAlign w:val="bottom"/>
          </w:tcPr>
          <w:p>
            <w:pPr>
              <w:spacing w:after="0"/>
              <w:rPr>
                <w:sz w:val="17"/>
                <w:szCs w:val="17"/>
                <w:color w:val="auto"/>
              </w:rPr>
            </w:pPr>
          </w:p>
        </w:tc>
      </w:tr>
    </w:tbl>
    <w:p>
      <w:pPr>
        <w:sectPr>
          <w:pgSz w:w="11900" w:h="16838" w:orient="portrait"/>
          <w:cols w:equalWidth="0" w:num="1">
            <w:col w:w="11420"/>
          </w:cols>
          <w:pgMar w:left="240" w:top="5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0" w:type="dxa"/>
            <w:vAlign w:val="bottom"/>
            <w:gridSpan w:val="5"/>
          </w:tcPr>
          <w:p>
            <w:pPr>
              <w:ind w:left="62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8"/>
                <w:szCs w:val="18"/>
                <w:color w:val="auto"/>
              </w:rPr>
            </w:pPr>
          </w:p>
        </w:tc>
        <w:tc>
          <w:tcPr>
            <w:tcW w:w="2860" w:type="dxa"/>
            <w:vAlign w:val="bottom"/>
            <w:gridSpan w:val="4"/>
          </w:tcPr>
          <w:p>
            <w:pPr>
              <w:jc w:val="right"/>
              <w:ind w:right="790"/>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5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1"/>
        </w:trPr>
        <w:tc>
          <w:tcPr>
            <w:tcW w:w="5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2019</w:t>
            </w:r>
          </w:p>
        </w:tc>
        <w:tc>
          <w:tcPr>
            <w:tcW w:w="220" w:type="dxa"/>
            <w:vAlign w:val="bottom"/>
          </w:tcPr>
          <w:p>
            <w:pPr>
              <w:spacing w:after="0"/>
              <w:rPr>
                <w:sz w:val="20"/>
                <w:szCs w:val="20"/>
                <w:color w:val="auto"/>
              </w:rPr>
            </w:pPr>
          </w:p>
        </w:tc>
        <w:tc>
          <w:tcPr>
            <w:tcW w:w="1360" w:type="dxa"/>
            <w:vAlign w:val="bottom"/>
            <w:gridSpan w:val="2"/>
          </w:tcPr>
          <w:p>
            <w:pPr>
              <w:ind w:left="120"/>
              <w:spacing w:after="0"/>
              <w:rPr>
                <w:sz w:val="20"/>
                <w:szCs w:val="20"/>
                <w:color w:val="auto"/>
              </w:rPr>
            </w:pPr>
            <w:r>
              <w:rPr>
                <w:rFonts w:ascii="Arial" w:cs="Arial" w:eastAsia="Arial" w:hAnsi="Arial"/>
                <w:sz w:val="16"/>
                <w:szCs w:val="16"/>
                <w:b w:val="1"/>
                <w:bCs w:val="1"/>
                <w:color w:val="auto"/>
              </w:rPr>
              <w:t>July 1, 2018</w:t>
            </w:r>
          </w:p>
        </w:tc>
        <w:tc>
          <w:tcPr>
            <w:tcW w:w="200" w:type="dxa"/>
            <w:vAlign w:val="bottom"/>
          </w:tcPr>
          <w:p>
            <w:pPr>
              <w:spacing w:after="0"/>
              <w:rPr>
                <w:sz w:val="20"/>
                <w:szCs w:val="20"/>
                <w:color w:val="auto"/>
              </w:rPr>
            </w:pPr>
          </w:p>
        </w:tc>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2019</w:t>
            </w:r>
          </w:p>
        </w:tc>
        <w:tc>
          <w:tcPr>
            <w:tcW w:w="220" w:type="dxa"/>
            <w:vAlign w:val="bottom"/>
          </w:tcPr>
          <w:p>
            <w:pPr>
              <w:spacing w:after="0"/>
              <w:rPr>
                <w:sz w:val="20"/>
                <w:szCs w:val="20"/>
                <w:color w:val="auto"/>
              </w:rPr>
            </w:pPr>
          </w:p>
        </w:tc>
        <w:tc>
          <w:tcPr>
            <w:tcW w:w="1260" w:type="dxa"/>
            <w:vAlign w:val="bottom"/>
          </w:tcPr>
          <w:p>
            <w:pPr>
              <w:jc w:val="right"/>
              <w:ind w:right="230"/>
              <w:spacing w:after="0"/>
              <w:rPr>
                <w:sz w:val="20"/>
                <w:szCs w:val="20"/>
                <w:color w:val="auto"/>
              </w:rPr>
            </w:pPr>
            <w:r>
              <w:rPr>
                <w:rFonts w:ascii="Arial" w:cs="Arial" w:eastAsia="Arial" w:hAnsi="Arial"/>
                <w:sz w:val="16"/>
                <w:szCs w:val="16"/>
                <w:b w:val="1"/>
                <w:bCs w:val="1"/>
                <w:color w:val="auto"/>
              </w:rPr>
              <w:t>July 1, 2018</w:t>
            </w:r>
          </w:p>
        </w:tc>
      </w:tr>
      <w:tr>
        <w:trPr>
          <w:trHeight w:val="33"/>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1,767,217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1,751,615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3,783,705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3,723,574</w:t>
            </w: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Cost of sales</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892,473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958,195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2,016,457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1,956,094</w:t>
            </w: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874,744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793,420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1,767,248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1,767,480</w:t>
            </w: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Selling, marketing and administrative expense</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453,793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449,548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907,366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934,872</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Long-lived asset impairment charges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27,168</w:t>
            </w: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Business realignment costs</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6,140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6,202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9,204</w:t>
            </w: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profit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410,070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315,724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848,939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796,236</w:t>
            </w: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Interest expense, net</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33,776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34,952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71,234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64,291</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(income) expense, net</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13,125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20,766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18,602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22,708</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363,169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260,006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759,103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709,237</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Provision for income taxes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49,898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36,687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141,951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135,199</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Net income including noncontrolling interest</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313,271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223,319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617,152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574,038</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Less: Net income (loss) attributable to noncontrolling interest</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(3,020)</w:t>
            </w:r>
          </w:p>
        </w:tc>
      </w:tr>
      <w:tr>
        <w:trPr>
          <w:trHeight w:val="29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 attributable to The Hershey Company</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312,840</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226,855</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617,198</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577,058</w:t>
            </w:r>
          </w:p>
        </w:tc>
      </w:tr>
      <w:tr>
        <w:trPr>
          <w:trHeight w:val="311"/>
        </w:trPr>
        <w:tc>
          <w:tcPr>
            <w:tcW w:w="5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Net income per share—basic:</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w:t>
            </w: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Class B common stock</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2.56</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324"/>
        </w:trPr>
        <w:tc>
          <w:tcPr>
            <w:tcW w:w="5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Net income per share—diluted:</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w:t>
            </w: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Class B common stock</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2.56</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324"/>
        </w:trPr>
        <w:tc>
          <w:tcPr>
            <w:tcW w:w="5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Dividends paid per share:</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1.312</w:t>
            </w: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Class B common stock</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0.656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0.596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1.312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1.192</w:t>
            </w: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Unaudited Consolidated Financial Statements.</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3"/>
              </w:rPr>
              <w:t>For the three months ended</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0"/>
              </w:rPr>
              <w:t>For the six months ended</w:t>
            </w: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2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5"/>
          </w:tcPr>
          <w:p>
            <w:pPr>
              <w:jc w:val="right"/>
              <w:ind w:right="608"/>
              <w:spacing w:after="0"/>
              <w:rPr>
                <w:sz w:val="20"/>
                <w:szCs w:val="20"/>
                <w:color w:val="auto"/>
              </w:rPr>
            </w:pPr>
            <w:r>
              <w:rPr>
                <w:rFonts w:ascii="Arial" w:cs="Arial" w:eastAsia="Arial" w:hAnsi="Arial"/>
                <w:sz w:val="14"/>
                <w:szCs w:val="14"/>
                <w:b w:val="1"/>
                <w:bCs w:val="1"/>
                <w:color w:val="auto"/>
                <w:w w:val="96"/>
              </w:rPr>
              <w:t>June 30, 2019</w:t>
            </w:r>
          </w:p>
        </w:tc>
        <w:tc>
          <w:tcPr>
            <w:tcW w:w="100" w:type="dxa"/>
            <w:vAlign w:val="bottom"/>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6"/>
              </w:rPr>
              <w:t>July 1, 2018</w:t>
            </w:r>
          </w:p>
        </w:tc>
        <w:tc>
          <w:tcPr>
            <w:tcW w:w="6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5"/>
          </w:tcPr>
          <w:p>
            <w:pPr>
              <w:jc w:val="right"/>
              <w:ind w:right="588"/>
              <w:spacing w:after="0"/>
              <w:rPr>
                <w:sz w:val="20"/>
                <w:szCs w:val="20"/>
                <w:color w:val="auto"/>
              </w:rPr>
            </w:pPr>
            <w:r>
              <w:rPr>
                <w:rFonts w:ascii="Arial" w:cs="Arial" w:eastAsia="Arial" w:hAnsi="Arial"/>
                <w:sz w:val="14"/>
                <w:szCs w:val="14"/>
                <w:b w:val="1"/>
                <w:bCs w:val="1"/>
                <w:color w:val="auto"/>
                <w:w w:val="96"/>
              </w:rPr>
              <w:t>June 30, 2019</w:t>
            </w: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6"/>
              </w:rPr>
              <w:t>July 1, 2018</w:t>
            </w:r>
          </w:p>
        </w:tc>
        <w:tc>
          <w:tcPr>
            <w:tcW w:w="6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rPr>
              <w:t>Tax</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Pre-Tax</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9"/>
              </w:rPr>
              <w:t>Tax</w:t>
            </w: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After-Tax</w:t>
            </w:r>
          </w:p>
        </w:tc>
        <w:tc>
          <w:tcPr>
            <w:tcW w:w="12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Pre-Tax</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Tax</w:t>
            </w: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After-Tax</w:t>
            </w:r>
          </w:p>
        </w:tc>
        <w:tc>
          <w:tcPr>
            <w:tcW w:w="120" w:type="dxa"/>
            <w:vAlign w:val="bottom"/>
          </w:tcPr>
          <w:p>
            <w:pPr>
              <w:spacing w:after="0"/>
              <w:rPr>
                <w:sz w:val="13"/>
                <w:szCs w:val="13"/>
                <w:color w:val="auto"/>
              </w:rPr>
            </w:pPr>
          </w:p>
        </w:tc>
        <w:tc>
          <w:tcPr>
            <w:tcW w:w="7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Pre-Tax</w:t>
            </w:r>
          </w:p>
        </w:tc>
        <w:tc>
          <w:tcPr>
            <w:tcW w:w="100" w:type="dxa"/>
            <w:vAlign w:val="bottom"/>
          </w:tcPr>
          <w:p>
            <w:pPr>
              <w:spacing w:after="0"/>
              <w:rPr>
                <w:sz w:val="13"/>
                <w:szCs w:val="13"/>
                <w:color w:val="auto"/>
              </w:rPr>
            </w:pPr>
          </w:p>
        </w:tc>
        <w:tc>
          <w:tcPr>
            <w:tcW w:w="6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0"/>
              </w:rPr>
              <w:t>Tax</w:t>
            </w: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After-Tax</w:t>
            </w: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2200" w:type="dxa"/>
            <w:vAlign w:val="bottom"/>
            <w:gridSpan w:val="7"/>
          </w:tcPr>
          <w:p>
            <w:pPr>
              <w:jc w:val="right"/>
              <w:spacing w:after="0" w:line="149" w:lineRule="exact"/>
              <w:rPr>
                <w:sz w:val="20"/>
                <w:szCs w:val="20"/>
                <w:color w:val="auto"/>
              </w:rPr>
            </w:pPr>
            <w:r>
              <w:rPr>
                <w:rFonts w:ascii="Arial" w:cs="Arial" w:eastAsia="Arial" w:hAnsi="Arial"/>
                <w:sz w:val="14"/>
                <w:szCs w:val="14"/>
                <w:b w:val="1"/>
                <w:bCs w:val="1"/>
                <w:color w:val="auto"/>
              </w:rPr>
              <w:t>Pre-Tax   (Expense)   After-Tax</w:t>
            </w:r>
          </w:p>
        </w:tc>
        <w:tc>
          <w:tcPr>
            <w:tcW w:w="1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(Expense)</w:t>
            </w: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(Expense)</w:t>
            </w: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7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(Expense)</w:t>
            </w: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260" w:type="dxa"/>
            <w:vAlign w:val="bottom"/>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b w:val="1"/>
                <w:bCs w:val="1"/>
                <w:color w:val="auto"/>
                <w:w w:val="88"/>
              </w:rPr>
              <w:t>Benefit</w:t>
            </w:r>
          </w:p>
        </w:tc>
        <w:tc>
          <w:tcPr>
            <w:tcW w:w="10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Benefit</w:t>
            </w: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Benefit</w:t>
            </w: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76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Benefit</w:t>
            </w:r>
          </w:p>
        </w:tc>
        <w:tc>
          <w:tcPr>
            <w:tcW w:w="680" w:type="dxa"/>
            <w:vAlign w:val="bottom"/>
          </w:tcPr>
          <w:p>
            <w:pPr>
              <w:jc w:val="right"/>
              <w:ind w:right="2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39"/>
        </w:trPr>
        <w:tc>
          <w:tcPr>
            <w:tcW w:w="2260" w:type="dxa"/>
            <w:vAlign w:val="bottom"/>
            <w:tcBorders>
              <w:top w:val="single" w:sz="8" w:color="CCEEFF"/>
            </w:tcBorders>
            <w:shd w:val="clear" w:color="auto" w:fill="CCEEFF"/>
          </w:tcPr>
          <w:p>
            <w:pPr>
              <w:ind w:left="40"/>
              <w:spacing w:after="0" w:line="139" w:lineRule="exact"/>
              <w:rPr>
                <w:sz w:val="20"/>
                <w:szCs w:val="20"/>
                <w:color w:val="auto"/>
              </w:rPr>
            </w:pPr>
            <w:r>
              <w:rPr>
                <w:rFonts w:ascii="Arial" w:cs="Arial" w:eastAsia="Arial" w:hAnsi="Arial"/>
                <w:sz w:val="14"/>
                <w:szCs w:val="14"/>
                <w:b w:val="1"/>
                <w:bCs w:val="1"/>
                <w:color w:val="auto"/>
              </w:rPr>
              <w:t>Net income including</w:t>
            </w:r>
          </w:p>
        </w:tc>
        <w:tc>
          <w:tcPr>
            <w:tcW w:w="1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2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noncontrolling interest</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$313,271</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5"/>
              </w:rPr>
              <w:t>$223,319</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5"/>
              </w:rPr>
              <w:t>$617,152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5"/>
              </w:rPr>
              <w:t>$574,038</w:t>
            </w:r>
          </w:p>
        </w:tc>
        <w:tc>
          <w:tcPr>
            <w:tcW w:w="0" w:type="dxa"/>
            <w:vAlign w:val="bottom"/>
          </w:tcPr>
          <w:p>
            <w:pPr>
              <w:spacing w:after="0"/>
              <w:rPr>
                <w:sz w:val="1"/>
                <w:szCs w:val="1"/>
                <w:color w:val="auto"/>
              </w:rPr>
            </w:pPr>
          </w:p>
        </w:tc>
      </w:tr>
      <w:tr>
        <w:trPr>
          <w:trHeight w:val="133"/>
        </w:trPr>
        <w:tc>
          <w:tcPr>
            <w:tcW w:w="2260" w:type="dxa"/>
            <w:vAlign w:val="bottom"/>
          </w:tcPr>
          <w:p>
            <w:pPr>
              <w:ind w:left="40"/>
              <w:spacing w:after="0" w:line="133" w:lineRule="exact"/>
              <w:rPr>
                <w:sz w:val="20"/>
                <w:szCs w:val="20"/>
                <w:color w:val="auto"/>
              </w:rPr>
            </w:pPr>
            <w:r>
              <w:rPr>
                <w:rFonts w:ascii="Arial" w:cs="Arial" w:eastAsia="Arial" w:hAnsi="Arial"/>
                <w:sz w:val="14"/>
                <w:szCs w:val="14"/>
                <w:b w:val="1"/>
                <w:bCs w:val="1"/>
                <w:color w:val="auto"/>
              </w:rPr>
              <w:t>Other comprehensive income</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260" w:type="dxa"/>
            <w:vAlign w:val="bottom"/>
          </w:tcPr>
          <w:p>
            <w:pPr>
              <w:ind w:left="40"/>
              <w:spacing w:after="0"/>
              <w:rPr>
                <w:sz w:val="20"/>
                <w:szCs w:val="20"/>
                <w:color w:val="auto"/>
              </w:rPr>
            </w:pPr>
            <w:r>
              <w:rPr>
                <w:rFonts w:ascii="Arial" w:cs="Arial" w:eastAsia="Arial" w:hAnsi="Arial"/>
                <w:sz w:val="14"/>
                <w:szCs w:val="14"/>
                <w:b w:val="1"/>
                <w:bCs w:val="1"/>
                <w:color w:val="auto"/>
              </w:rPr>
              <w:t>(loss), net of tax:</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Foreign currency translation</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adjustments:</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260" w:type="dxa"/>
            <w:vAlign w:val="bottom"/>
          </w:tcPr>
          <w:p>
            <w:pPr>
              <w:ind w:left="280"/>
              <w:spacing w:after="0" w:line="157" w:lineRule="exact"/>
              <w:rPr>
                <w:sz w:val="20"/>
                <w:szCs w:val="20"/>
                <w:color w:val="auto"/>
              </w:rPr>
            </w:pPr>
            <w:r>
              <w:rPr>
                <w:rFonts w:ascii="Arial" w:cs="Arial" w:eastAsia="Arial" w:hAnsi="Arial"/>
                <w:sz w:val="14"/>
                <w:szCs w:val="14"/>
                <w:color w:val="auto"/>
              </w:rPr>
              <w:t>Foreign currency translation</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260" w:type="dxa"/>
            <w:vAlign w:val="bottom"/>
          </w:tcPr>
          <w:p>
            <w:pPr>
              <w:ind w:left="280"/>
              <w:spacing w:after="0"/>
              <w:rPr>
                <w:sz w:val="20"/>
                <w:szCs w:val="20"/>
                <w:color w:val="auto"/>
              </w:rPr>
            </w:pPr>
            <w:r>
              <w:rPr>
                <w:rFonts w:ascii="Arial" w:cs="Arial" w:eastAsia="Arial" w:hAnsi="Arial"/>
                <w:sz w:val="14"/>
                <w:szCs w:val="14"/>
                <w:color w:val="auto"/>
              </w:rPr>
              <w:t>gains (losses) during period</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7,651</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48"/>
              <w:spacing w:after="0"/>
              <w:rPr>
                <w:sz w:val="20"/>
                <w:szCs w:val="20"/>
                <w:color w:val="auto"/>
              </w:rPr>
            </w:pPr>
            <w:r>
              <w:rPr>
                <w:rFonts w:ascii="Arial" w:cs="Arial" w:eastAsia="Arial" w:hAnsi="Arial"/>
                <w:sz w:val="14"/>
                <w:szCs w:val="14"/>
                <w:color w:val="auto"/>
              </w:rPr>
              <w:t>7,651</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$(22,412)</w:t>
            </w:r>
          </w:p>
        </w:tc>
        <w:tc>
          <w:tcPr>
            <w:tcW w:w="220" w:type="dxa"/>
            <w:vAlign w:val="bottom"/>
            <w:gridSpan w:val="2"/>
          </w:tcPr>
          <w:p>
            <w:pPr>
              <w:ind w:left="140"/>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(22,412)</w:t>
            </w:r>
          </w:p>
        </w:tc>
        <w:tc>
          <w:tcPr>
            <w:tcW w:w="740" w:type="dxa"/>
            <w:vAlign w:val="bottom"/>
            <w:gridSpan w:val="2"/>
          </w:tcPr>
          <w:p>
            <w:pPr>
              <w:jc w:val="right"/>
              <w:ind w:right="48"/>
              <w:spacing w:after="0"/>
              <w:rPr>
                <w:sz w:val="20"/>
                <w:szCs w:val="20"/>
                <w:color w:val="auto"/>
              </w:rPr>
            </w:pPr>
            <w:r>
              <w:rPr>
                <w:rFonts w:ascii="Arial" w:cs="Arial" w:eastAsia="Arial" w:hAnsi="Arial"/>
                <w:sz w:val="14"/>
                <w:szCs w:val="14"/>
                <w:color w:val="auto"/>
              </w:rPr>
              <w:t>$ 11,079</w:t>
            </w:r>
          </w:p>
        </w:tc>
        <w:tc>
          <w:tcPr>
            <w:tcW w:w="220" w:type="dxa"/>
            <w:vAlign w:val="bottom"/>
            <w:gridSpan w:val="2"/>
          </w:tcPr>
          <w:p>
            <w:pPr>
              <w:ind w:left="140"/>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11,079</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w w:val="91"/>
              </w:rPr>
              <w:t>(23,679)</w:t>
            </w:r>
          </w:p>
        </w:tc>
        <w:tc>
          <w:tcPr>
            <w:tcW w:w="10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(23,679)</w:t>
            </w:r>
          </w:p>
        </w:tc>
        <w:tc>
          <w:tcPr>
            <w:tcW w:w="0" w:type="dxa"/>
            <w:vAlign w:val="bottom"/>
          </w:tcPr>
          <w:p>
            <w:pPr>
              <w:spacing w:after="0"/>
              <w:rPr>
                <w:sz w:val="1"/>
                <w:szCs w:val="1"/>
                <w:color w:val="auto"/>
              </w:rPr>
            </w:pPr>
          </w:p>
        </w:tc>
      </w:tr>
      <w:tr>
        <w:trPr>
          <w:trHeight w:val="163"/>
        </w:trPr>
        <w:tc>
          <w:tcPr>
            <w:tcW w:w="2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Pension and post-retirement</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benefit plans:</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260" w:type="dxa"/>
            <w:vAlign w:val="bottom"/>
          </w:tcPr>
          <w:p>
            <w:pPr>
              <w:ind w:left="280"/>
              <w:spacing w:after="0" w:line="157" w:lineRule="exact"/>
              <w:rPr>
                <w:sz w:val="20"/>
                <w:szCs w:val="20"/>
                <w:color w:val="auto"/>
              </w:rPr>
            </w:pPr>
            <w:r>
              <w:rPr>
                <w:rFonts w:ascii="Arial" w:cs="Arial" w:eastAsia="Arial" w:hAnsi="Arial"/>
                <w:sz w:val="14"/>
                <w:szCs w:val="14"/>
                <w:color w:val="auto"/>
              </w:rPr>
              <w:t>Reclassification of tax effects</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260" w:type="dxa"/>
            <w:vAlign w:val="bottom"/>
          </w:tcPr>
          <w:p>
            <w:pPr>
              <w:ind w:left="280"/>
              <w:spacing w:after="0"/>
              <w:rPr>
                <w:sz w:val="20"/>
                <w:szCs w:val="20"/>
                <w:color w:val="auto"/>
              </w:rPr>
            </w:pPr>
            <w:r>
              <w:rPr>
                <w:rFonts w:ascii="Arial" w:cs="Arial" w:eastAsia="Arial" w:hAnsi="Arial"/>
                <w:sz w:val="14"/>
                <w:szCs w:val="14"/>
                <w:color w:val="auto"/>
              </w:rPr>
              <w:t>relating to U.S. tax reform</w:t>
            </w:r>
          </w:p>
        </w:tc>
        <w:tc>
          <w:tcPr>
            <w:tcW w:w="120" w:type="dxa"/>
            <w:vAlign w:val="bottom"/>
          </w:tcPr>
          <w:p>
            <w:pPr>
              <w:spacing w:after="0"/>
              <w:rPr>
                <w:sz w:val="16"/>
                <w:szCs w:val="16"/>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1"/>
              </w:rPr>
              <w:t>(36,535)</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(36,535)</w:t>
            </w:r>
          </w:p>
        </w:tc>
        <w:tc>
          <w:tcPr>
            <w:tcW w:w="0" w:type="dxa"/>
            <w:vAlign w:val="bottom"/>
          </w:tcPr>
          <w:p>
            <w:pPr>
              <w:spacing w:after="0"/>
              <w:rPr>
                <w:sz w:val="1"/>
                <w:szCs w:val="1"/>
                <w:color w:val="auto"/>
              </w:rPr>
            </w:pPr>
          </w:p>
        </w:tc>
      </w:tr>
      <w:tr>
        <w:trPr>
          <w:trHeight w:val="276"/>
        </w:trPr>
        <w:tc>
          <w:tcPr>
            <w:tcW w:w="22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Reclassification to earnings</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6,720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(1,773)</w:t>
            </w:r>
          </w:p>
        </w:tc>
        <w:tc>
          <w:tcPr>
            <w:tcW w:w="8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4,947</w:t>
            </w:r>
          </w:p>
        </w:tc>
        <w:tc>
          <w:tcPr>
            <w:tcW w:w="76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5,094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(1,107)</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3,987</w:t>
            </w:r>
          </w:p>
        </w:tc>
        <w:tc>
          <w:tcPr>
            <w:tcW w:w="7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13,438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(3,580)</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9,858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7"/>
              </w:rPr>
              <w:t>10,191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(2,132)</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8,059</w:t>
            </w:r>
          </w:p>
        </w:tc>
        <w:tc>
          <w:tcPr>
            <w:tcW w:w="0" w:type="dxa"/>
            <w:vAlign w:val="bottom"/>
          </w:tcPr>
          <w:p>
            <w:pPr>
              <w:spacing w:after="0"/>
              <w:rPr>
                <w:sz w:val="1"/>
                <w:szCs w:val="1"/>
                <w:color w:val="auto"/>
              </w:rPr>
            </w:pPr>
          </w:p>
        </w:tc>
      </w:tr>
      <w:tr>
        <w:trPr>
          <w:trHeight w:val="264"/>
        </w:trPr>
        <w:tc>
          <w:tcPr>
            <w:tcW w:w="2260" w:type="dxa"/>
            <w:vAlign w:val="bottom"/>
          </w:tcPr>
          <w:p>
            <w:pPr>
              <w:ind w:left="180"/>
              <w:spacing w:after="0"/>
              <w:rPr>
                <w:sz w:val="20"/>
                <w:szCs w:val="20"/>
                <w:color w:val="auto"/>
              </w:rPr>
            </w:pPr>
            <w:r>
              <w:rPr>
                <w:rFonts w:ascii="Arial" w:cs="Arial" w:eastAsia="Arial" w:hAnsi="Arial"/>
                <w:sz w:val="14"/>
                <w:szCs w:val="14"/>
                <w:color w:val="auto"/>
              </w:rPr>
              <w:t>Cash flow hedges:</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22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Gains (losses) on cash flow</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2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hedging derivatives</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(2,547)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1,130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(1,417)</w:t>
            </w:r>
          </w:p>
        </w:tc>
        <w:tc>
          <w:tcPr>
            <w:tcW w:w="76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3,559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3,086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(3,336)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1,848</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7,804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(1,463)</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6,341</w:t>
            </w:r>
          </w:p>
        </w:tc>
        <w:tc>
          <w:tcPr>
            <w:tcW w:w="0" w:type="dxa"/>
            <w:vAlign w:val="bottom"/>
          </w:tcPr>
          <w:p>
            <w:pPr>
              <w:spacing w:after="0"/>
              <w:rPr>
                <w:sz w:val="1"/>
                <w:szCs w:val="1"/>
                <w:color w:val="auto"/>
              </w:rPr>
            </w:pPr>
          </w:p>
        </w:tc>
      </w:tr>
      <w:tr>
        <w:trPr>
          <w:trHeight w:val="157"/>
        </w:trPr>
        <w:tc>
          <w:tcPr>
            <w:tcW w:w="2260" w:type="dxa"/>
            <w:vAlign w:val="bottom"/>
          </w:tcPr>
          <w:p>
            <w:pPr>
              <w:ind w:left="280"/>
              <w:spacing w:after="0" w:line="157" w:lineRule="exact"/>
              <w:rPr>
                <w:sz w:val="20"/>
                <w:szCs w:val="20"/>
                <w:color w:val="auto"/>
              </w:rPr>
            </w:pPr>
            <w:r>
              <w:rPr>
                <w:rFonts w:ascii="Arial" w:cs="Arial" w:eastAsia="Arial" w:hAnsi="Arial"/>
                <w:sz w:val="14"/>
                <w:szCs w:val="14"/>
                <w:color w:val="auto"/>
              </w:rPr>
              <w:t>Reclassification of tax effects</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260" w:type="dxa"/>
            <w:vAlign w:val="bottom"/>
          </w:tcPr>
          <w:p>
            <w:pPr>
              <w:ind w:left="280"/>
              <w:spacing w:after="0"/>
              <w:rPr>
                <w:sz w:val="20"/>
                <w:szCs w:val="20"/>
                <w:color w:val="auto"/>
              </w:rPr>
            </w:pPr>
            <w:r>
              <w:rPr>
                <w:rFonts w:ascii="Arial" w:cs="Arial" w:eastAsia="Arial" w:hAnsi="Arial"/>
                <w:sz w:val="14"/>
                <w:szCs w:val="14"/>
                <w:color w:val="auto"/>
              </w:rPr>
              <w:t>relating to U.S. tax reform</w:t>
            </w:r>
          </w:p>
        </w:tc>
        <w:tc>
          <w:tcPr>
            <w:tcW w:w="120" w:type="dxa"/>
            <w:vAlign w:val="bottom"/>
          </w:tcPr>
          <w:p>
            <w:pPr>
              <w:spacing w:after="0"/>
              <w:rPr>
                <w:sz w:val="16"/>
                <w:szCs w:val="16"/>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1"/>
              </w:rPr>
              <w:t>(11,121)</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(11,121)</w:t>
            </w:r>
          </w:p>
        </w:tc>
        <w:tc>
          <w:tcPr>
            <w:tcW w:w="0" w:type="dxa"/>
            <w:vAlign w:val="bottom"/>
          </w:tcPr>
          <w:p>
            <w:pPr>
              <w:spacing w:after="0"/>
              <w:rPr>
                <w:sz w:val="1"/>
                <w:szCs w:val="1"/>
                <w:color w:val="auto"/>
              </w:rPr>
            </w:pPr>
          </w:p>
        </w:tc>
      </w:tr>
      <w:tr>
        <w:trPr>
          <w:trHeight w:val="276"/>
        </w:trPr>
        <w:tc>
          <w:tcPr>
            <w:tcW w:w="22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Reclassification to earnings</w:t>
            </w:r>
          </w:p>
        </w:tc>
        <w:tc>
          <w:tcPr>
            <w:tcW w:w="12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1,395</w:t>
            </w:r>
          </w:p>
        </w:tc>
        <w:tc>
          <w:tcPr>
            <w:tcW w:w="1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(885)</w:t>
            </w:r>
          </w:p>
        </w:tc>
        <w:tc>
          <w:tcPr>
            <w:tcW w:w="100" w:type="dxa"/>
            <w:vAlign w:val="bottom"/>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510</w:t>
            </w:r>
          </w:p>
        </w:tc>
        <w:tc>
          <w:tcPr>
            <w:tcW w:w="100" w:type="dxa"/>
            <w:vAlign w:val="bottom"/>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2,463</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(585)</w:t>
            </w:r>
          </w:p>
        </w:tc>
        <w:tc>
          <w:tcPr>
            <w:tcW w:w="100" w:type="dxa"/>
            <w:vAlign w:val="bottom"/>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1,878</w:t>
            </w:r>
          </w:p>
        </w:tc>
        <w:tc>
          <w:tcPr>
            <w:tcW w:w="120" w:type="dxa"/>
            <w:vAlign w:val="bottom"/>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2,833</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(1,776)</w:t>
            </w:r>
          </w:p>
        </w:tc>
        <w:tc>
          <w:tcPr>
            <w:tcW w:w="120" w:type="dxa"/>
            <w:vAlign w:val="bottom"/>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1,057</w:t>
            </w:r>
          </w:p>
        </w:tc>
        <w:tc>
          <w:tcPr>
            <w:tcW w:w="1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4,723</w:t>
            </w:r>
          </w:p>
        </w:tc>
        <w:tc>
          <w:tcPr>
            <w:tcW w:w="10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(1,195)</w:t>
            </w:r>
          </w:p>
        </w:tc>
        <w:tc>
          <w:tcPr>
            <w:tcW w:w="120" w:type="dxa"/>
            <w:vAlign w:val="bottom"/>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3,528</w:t>
            </w:r>
          </w:p>
        </w:tc>
        <w:tc>
          <w:tcPr>
            <w:tcW w:w="0" w:type="dxa"/>
            <w:vAlign w:val="bottom"/>
          </w:tcPr>
          <w:p>
            <w:pPr>
              <w:spacing w:after="0"/>
              <w:rPr>
                <w:sz w:val="1"/>
                <w:szCs w:val="1"/>
                <w:color w:val="auto"/>
              </w:rPr>
            </w:pPr>
          </w:p>
        </w:tc>
      </w:tr>
      <w:tr>
        <w:trPr>
          <w:trHeight w:val="133"/>
        </w:trPr>
        <w:tc>
          <w:tcPr>
            <w:tcW w:w="2260" w:type="dxa"/>
            <w:vAlign w:val="bottom"/>
          </w:tcPr>
          <w:p>
            <w:pPr>
              <w:ind w:left="40"/>
              <w:spacing w:after="0" w:line="133" w:lineRule="exact"/>
              <w:rPr>
                <w:sz w:val="20"/>
                <w:szCs w:val="20"/>
                <w:color w:val="auto"/>
              </w:rPr>
            </w:pPr>
            <w:r>
              <w:rPr>
                <w:rFonts w:ascii="Arial" w:cs="Arial" w:eastAsia="Arial" w:hAnsi="Arial"/>
                <w:sz w:val="14"/>
                <w:szCs w:val="14"/>
                <w:b w:val="1"/>
                <w:bCs w:val="1"/>
                <w:color w:val="auto"/>
              </w:rPr>
              <w:t>Total other comprehensive</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ind w:right="28"/>
              <w:spacing w:after="0"/>
              <w:rPr>
                <w:sz w:val="20"/>
                <w:szCs w:val="20"/>
                <w:color w:val="auto"/>
              </w:rPr>
            </w:pPr>
            <w:r>
              <w:rPr>
                <w:rFonts w:ascii="Arial" w:cs="Arial" w:eastAsia="Arial" w:hAnsi="Arial"/>
                <w:sz w:val="14"/>
                <w:szCs w:val="14"/>
                <w:color w:val="auto"/>
                <w:w w:val="88"/>
              </w:rPr>
              <w:t>13,219</w:t>
            </w: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(1,528)</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4"/>
                <w:szCs w:val="14"/>
                <w:color w:val="auto"/>
              </w:rPr>
              <w:t>$ (11,296)</w:t>
            </w:r>
          </w:p>
        </w:tc>
        <w:tc>
          <w:tcPr>
            <w:tcW w:w="220" w:type="dxa"/>
            <w:vAlign w:val="bottom"/>
            <w:gridSpan w:val="2"/>
            <w:vMerge w:val="restart"/>
          </w:tcPr>
          <w:p>
            <w:pPr>
              <w:ind w:left="140"/>
              <w:spacing w:after="0"/>
              <w:rPr>
                <w:sz w:val="20"/>
                <w:szCs w:val="20"/>
                <w:color w:val="auto"/>
              </w:rPr>
            </w:pPr>
            <w:r>
              <w:rPr>
                <w:rFonts w:ascii="Arial" w:cs="Arial" w:eastAsia="Arial" w:hAnsi="Arial"/>
                <w:sz w:val="14"/>
                <w:szCs w:val="14"/>
                <w:color w:val="auto"/>
                <w:w w:val="76"/>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(2,165)</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2"/>
            <w:vMerge w:val="restart"/>
          </w:tcPr>
          <w:p>
            <w:pPr>
              <w:jc w:val="right"/>
              <w:ind w:right="48"/>
              <w:spacing w:after="0"/>
              <w:rPr>
                <w:sz w:val="20"/>
                <w:szCs w:val="20"/>
                <w:color w:val="auto"/>
              </w:rPr>
            </w:pPr>
            <w:r>
              <w:rPr>
                <w:rFonts w:ascii="Arial" w:cs="Arial" w:eastAsia="Arial" w:hAnsi="Arial"/>
                <w:sz w:val="14"/>
                <w:szCs w:val="14"/>
                <w:color w:val="auto"/>
              </w:rPr>
              <w:t>$ 24,014</w:t>
            </w:r>
          </w:p>
        </w:tc>
        <w:tc>
          <w:tcPr>
            <w:tcW w:w="220" w:type="dxa"/>
            <w:vAlign w:val="bottom"/>
            <w:gridSpan w:val="2"/>
            <w:vMerge w:val="restart"/>
          </w:tcPr>
          <w:p>
            <w:pPr>
              <w:ind w:left="140"/>
              <w:spacing w:after="0"/>
              <w:rPr>
                <w:sz w:val="20"/>
                <w:szCs w:val="20"/>
                <w:color w:val="auto"/>
              </w:rPr>
            </w:pPr>
            <w:r>
              <w:rPr>
                <w:rFonts w:ascii="Arial" w:cs="Arial" w:eastAsia="Arial" w:hAnsi="Arial"/>
                <w:sz w:val="14"/>
                <w:szCs w:val="14"/>
                <w:color w:val="auto"/>
                <w:w w:val="76"/>
              </w:rPr>
              <w:t>$</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(3,508)</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(961)</w:t>
            </w:r>
          </w:p>
        </w:tc>
        <w:tc>
          <w:tcPr>
            <w:tcW w:w="100" w:type="dxa"/>
            <w:vAlign w:val="bottom"/>
          </w:tcPr>
          <w:p>
            <w:pPr>
              <w:spacing w:after="0"/>
              <w:rPr>
                <w:sz w:val="11"/>
                <w:szCs w:val="11"/>
                <w:color w:val="auto"/>
              </w:rPr>
            </w:pP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w w:val="76"/>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w w:val="91"/>
              </w:rPr>
              <w:t>(52,446)</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5"/>
        </w:trPr>
        <w:tc>
          <w:tcPr>
            <w:tcW w:w="2260" w:type="dxa"/>
            <w:vAlign w:val="bottom"/>
          </w:tcPr>
          <w:p>
            <w:pPr>
              <w:ind w:left="40"/>
              <w:spacing w:after="0"/>
              <w:rPr>
                <w:sz w:val="20"/>
                <w:szCs w:val="20"/>
                <w:color w:val="auto"/>
              </w:rPr>
            </w:pPr>
            <w:r>
              <w:rPr>
                <w:rFonts w:ascii="Arial" w:cs="Arial" w:eastAsia="Arial" w:hAnsi="Arial"/>
                <w:sz w:val="14"/>
                <w:szCs w:val="14"/>
                <w:b w:val="1"/>
                <w:bCs w:val="1"/>
                <w:color w:val="auto"/>
              </w:rPr>
              <w:t>income (loss), net of tax</w:t>
            </w:r>
          </w:p>
        </w:tc>
        <w:tc>
          <w:tcPr>
            <w:tcW w:w="120" w:type="dxa"/>
            <w:vAlign w:val="bottom"/>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220" w:type="dxa"/>
            <w:vAlign w:val="bottom"/>
            <w:gridSpan w:val="2"/>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800" w:type="dxa"/>
            <w:vAlign w:val="bottom"/>
            <w:gridSpan w:val="2"/>
          </w:tcPr>
          <w:p>
            <w:pPr>
              <w:jc w:val="right"/>
              <w:ind w:right="48"/>
              <w:spacing w:after="0"/>
              <w:rPr>
                <w:sz w:val="20"/>
                <w:szCs w:val="20"/>
                <w:color w:val="auto"/>
              </w:rPr>
            </w:pPr>
            <w:r>
              <w:rPr>
                <w:rFonts w:ascii="Arial" w:cs="Arial" w:eastAsia="Arial" w:hAnsi="Arial"/>
                <w:sz w:val="14"/>
                <w:szCs w:val="14"/>
                <w:color w:val="auto"/>
              </w:rPr>
              <w:t>11,691</w:t>
            </w:r>
          </w:p>
        </w:tc>
        <w:tc>
          <w:tcPr>
            <w:tcW w:w="760" w:type="dxa"/>
            <w:vAlign w:val="bottom"/>
            <w:gridSpan w:val="2"/>
            <w:vMerge w:val="continue"/>
          </w:tcPr>
          <w:p>
            <w:pPr>
              <w:spacing w:after="0"/>
              <w:rPr>
                <w:sz w:val="19"/>
                <w:szCs w:val="19"/>
                <w:color w:val="auto"/>
              </w:rPr>
            </w:pPr>
          </w:p>
        </w:tc>
        <w:tc>
          <w:tcPr>
            <w:tcW w:w="220" w:type="dxa"/>
            <w:vAlign w:val="bottom"/>
            <w:gridSpan w:val="2"/>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(13,461)</w:t>
            </w:r>
          </w:p>
        </w:tc>
        <w:tc>
          <w:tcPr>
            <w:tcW w:w="740" w:type="dxa"/>
            <w:vAlign w:val="bottom"/>
            <w:gridSpan w:val="2"/>
            <w:vMerge w:val="continue"/>
          </w:tcPr>
          <w:p>
            <w:pPr>
              <w:spacing w:after="0"/>
              <w:rPr>
                <w:sz w:val="19"/>
                <w:szCs w:val="19"/>
                <w:color w:val="auto"/>
              </w:rPr>
            </w:pPr>
          </w:p>
        </w:tc>
        <w:tc>
          <w:tcPr>
            <w:tcW w:w="220" w:type="dxa"/>
            <w:vAlign w:val="bottom"/>
            <w:gridSpan w:val="2"/>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20,506</w:t>
            </w:r>
          </w:p>
        </w:tc>
        <w:tc>
          <w:tcPr>
            <w:tcW w:w="220" w:type="dxa"/>
            <w:vAlign w:val="bottom"/>
            <w:gridSpan w:val="2"/>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(53,407)</w:t>
            </w:r>
          </w:p>
        </w:tc>
        <w:tc>
          <w:tcPr>
            <w:tcW w:w="0" w:type="dxa"/>
            <w:vAlign w:val="bottom"/>
          </w:tcPr>
          <w:p>
            <w:pPr>
              <w:spacing w:after="0"/>
              <w:rPr>
                <w:sz w:val="1"/>
                <w:szCs w:val="1"/>
                <w:color w:val="auto"/>
              </w:rPr>
            </w:pPr>
          </w:p>
        </w:tc>
      </w:tr>
      <w:tr>
        <w:trPr>
          <w:trHeight w:val="106"/>
        </w:trPr>
        <w:tc>
          <w:tcPr>
            <w:tcW w:w="2260" w:type="dxa"/>
            <w:vAlign w:val="bottom"/>
            <w:tcBorders>
              <w:top w:val="single" w:sz="8" w:color="CCEEFF"/>
            </w:tcBorders>
            <w:shd w:val="clear" w:color="auto" w:fill="CCEEFF"/>
          </w:tcPr>
          <w:p>
            <w:pPr>
              <w:ind w:left="40"/>
              <w:spacing w:after="0" w:line="106" w:lineRule="exact"/>
              <w:rPr>
                <w:sz w:val="20"/>
                <w:szCs w:val="20"/>
                <w:color w:val="auto"/>
              </w:rPr>
            </w:pPr>
            <w:r>
              <w:rPr>
                <w:rFonts w:ascii="Arial" w:cs="Arial" w:eastAsia="Arial" w:hAnsi="Arial"/>
                <w:sz w:val="12"/>
                <w:szCs w:val="12"/>
                <w:b w:val="1"/>
                <w:bCs w:val="1"/>
                <w:color w:val="auto"/>
              </w:rPr>
              <w:t>Total comprehensive income</w:t>
            </w:r>
          </w:p>
        </w:tc>
        <w:tc>
          <w:tcPr>
            <w:tcW w:w="12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2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including noncontrolling interest</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$324,962</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5"/>
              </w:rPr>
              <w:t>$209,858</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5"/>
              </w:rPr>
              <w:t>$637,658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5"/>
              </w:rPr>
              <w:t>$520,631</w:t>
            </w:r>
          </w:p>
        </w:tc>
        <w:tc>
          <w:tcPr>
            <w:tcW w:w="0" w:type="dxa"/>
            <w:vAlign w:val="bottom"/>
          </w:tcPr>
          <w:p>
            <w:pPr>
              <w:spacing w:after="0"/>
              <w:rPr>
                <w:sz w:val="1"/>
                <w:szCs w:val="1"/>
                <w:color w:val="auto"/>
              </w:rPr>
            </w:pPr>
          </w:p>
        </w:tc>
      </w:tr>
      <w:tr>
        <w:trPr>
          <w:trHeight w:val="137"/>
        </w:trPr>
        <w:tc>
          <w:tcPr>
            <w:tcW w:w="2260" w:type="dxa"/>
            <w:vAlign w:val="bottom"/>
          </w:tcPr>
          <w:p>
            <w:pPr>
              <w:ind w:left="180"/>
              <w:spacing w:after="0" w:line="137" w:lineRule="exact"/>
              <w:rPr>
                <w:sz w:val="20"/>
                <w:szCs w:val="20"/>
                <w:color w:val="auto"/>
              </w:rPr>
            </w:pPr>
            <w:r>
              <w:rPr>
                <w:rFonts w:ascii="Arial" w:cs="Arial" w:eastAsia="Arial" w:hAnsi="Arial"/>
                <w:sz w:val="14"/>
                <w:szCs w:val="14"/>
                <w:color w:val="auto"/>
              </w:rPr>
              <w:t>Comprehensive income (loss)</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260" w:type="dxa"/>
            <w:vAlign w:val="bottom"/>
          </w:tcPr>
          <w:p>
            <w:pPr>
              <w:ind w:left="180"/>
              <w:spacing w:after="0" w:line="149" w:lineRule="exact"/>
              <w:rPr>
                <w:sz w:val="20"/>
                <w:szCs w:val="20"/>
                <w:color w:val="auto"/>
              </w:rPr>
            </w:pPr>
            <w:r>
              <w:rPr>
                <w:rFonts w:ascii="Arial" w:cs="Arial" w:eastAsia="Arial" w:hAnsi="Arial"/>
                <w:sz w:val="14"/>
                <w:szCs w:val="14"/>
                <w:color w:val="auto"/>
              </w:rPr>
              <w:t>attributable to noncontrolling</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260" w:type="dxa"/>
            <w:vAlign w:val="bottom"/>
          </w:tcPr>
          <w:p>
            <w:pPr>
              <w:ind w:left="180"/>
              <w:spacing w:after="0"/>
              <w:rPr>
                <w:sz w:val="20"/>
                <w:szCs w:val="20"/>
                <w:color w:val="auto"/>
              </w:rPr>
            </w:pPr>
            <w:r>
              <w:rPr>
                <w:rFonts w:ascii="Arial" w:cs="Arial" w:eastAsia="Arial" w:hAnsi="Arial"/>
                <w:sz w:val="14"/>
                <w:szCs w:val="14"/>
                <w:color w:val="auto"/>
              </w:rPr>
              <w:t>interest</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gridSpan w:val="2"/>
          </w:tcPr>
          <w:p>
            <w:pPr>
              <w:jc w:val="right"/>
              <w:ind w:right="48"/>
              <w:spacing w:after="0"/>
              <w:rPr>
                <w:sz w:val="20"/>
                <w:szCs w:val="20"/>
                <w:color w:val="auto"/>
              </w:rPr>
            </w:pPr>
            <w:r>
              <w:rPr>
                <w:rFonts w:ascii="Arial" w:cs="Arial" w:eastAsia="Arial" w:hAnsi="Arial"/>
                <w:sz w:val="14"/>
                <w:szCs w:val="14"/>
                <w:color w:val="auto"/>
              </w:rPr>
              <w:t>338</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(3,654)</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416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(2,354)</w:t>
            </w:r>
          </w:p>
        </w:tc>
        <w:tc>
          <w:tcPr>
            <w:tcW w:w="0" w:type="dxa"/>
            <w:vAlign w:val="bottom"/>
          </w:tcPr>
          <w:p>
            <w:pPr>
              <w:spacing w:after="0"/>
              <w:rPr>
                <w:sz w:val="1"/>
                <w:szCs w:val="1"/>
                <w:color w:val="auto"/>
              </w:rPr>
            </w:pPr>
          </w:p>
        </w:tc>
      </w:tr>
      <w:tr>
        <w:trPr>
          <w:trHeight w:val="139"/>
        </w:trPr>
        <w:tc>
          <w:tcPr>
            <w:tcW w:w="2260" w:type="dxa"/>
            <w:vAlign w:val="bottom"/>
            <w:tcBorders>
              <w:top w:val="single" w:sz="8" w:color="CCEEFF"/>
            </w:tcBorders>
            <w:shd w:val="clear" w:color="auto" w:fill="CCEEFF"/>
          </w:tcPr>
          <w:p>
            <w:pPr>
              <w:ind w:left="40"/>
              <w:spacing w:after="0" w:line="139" w:lineRule="exact"/>
              <w:rPr>
                <w:sz w:val="20"/>
                <w:szCs w:val="20"/>
                <w:color w:val="auto"/>
              </w:rPr>
            </w:pPr>
            <w:r>
              <w:rPr>
                <w:rFonts w:ascii="Arial" w:cs="Arial" w:eastAsia="Arial" w:hAnsi="Arial"/>
                <w:sz w:val="14"/>
                <w:szCs w:val="14"/>
                <w:b w:val="1"/>
                <w:bCs w:val="1"/>
                <w:color w:val="auto"/>
              </w:rPr>
              <w:t>Comprehensive income</w:t>
            </w:r>
          </w:p>
        </w:tc>
        <w:tc>
          <w:tcPr>
            <w:tcW w:w="12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attributable to The Hershey</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$324,624</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5"/>
              </w:rPr>
              <w:t>$213,512</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5"/>
              </w:rPr>
              <w:t>$637,242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5"/>
              </w:rPr>
              <w:t>$522,985</w:t>
            </w:r>
          </w:p>
        </w:tc>
        <w:tc>
          <w:tcPr>
            <w:tcW w:w="0" w:type="dxa"/>
            <w:vAlign w:val="bottom"/>
          </w:tcPr>
          <w:p>
            <w:pPr>
              <w:spacing w:after="0"/>
              <w:rPr>
                <w:sz w:val="1"/>
                <w:szCs w:val="1"/>
                <w:color w:val="auto"/>
              </w:rPr>
            </w:pPr>
          </w:p>
        </w:tc>
      </w:tr>
      <w:tr>
        <w:trPr>
          <w:trHeight w:val="185"/>
        </w:trPr>
        <w:tc>
          <w:tcPr>
            <w:tcW w:w="22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Company</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Unaudited Consolidated Financial Statements.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4" w:name="page5"/>
    <w:bookmarkEnd w:id="4"/>
    <w:p>
      <w:pPr>
        <w:jc w:val="center"/>
        <w:ind w:left="340"/>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CONSOLIDATED BALANCE SHEETS</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(in thousands, except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June 30, 2019</w:t>
            </w:r>
          </w:p>
        </w:tc>
        <w:tc>
          <w:tcPr>
            <w:tcW w:w="22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2018</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(unaudited)</w:t>
            </w: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3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365,963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587,998</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Accounts receivable—trade, net</w:t>
            </w:r>
          </w:p>
        </w:tc>
        <w:tc>
          <w:tcPr>
            <w:tcW w:w="32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538,746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594,145</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957,953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784,879</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Prepaid expenses and other</w:t>
            </w:r>
          </w:p>
        </w:tc>
        <w:tc>
          <w:tcPr>
            <w:tcW w:w="32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230,896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272,159</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2,093,558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2,239,181</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Property, plant and equipment, net</w:t>
            </w:r>
          </w:p>
        </w:tc>
        <w:tc>
          <w:tcPr>
            <w:tcW w:w="32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2,107,185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2,130,294</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Goodwill</w:t>
            </w: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1,805,955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1,801,103</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Other intangibles</w:t>
            </w:r>
          </w:p>
        </w:tc>
        <w:tc>
          <w:tcPr>
            <w:tcW w:w="32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1,257,868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1,278,292</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499,303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252,984</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Deferred income taxes</w:t>
            </w:r>
          </w:p>
        </w:tc>
        <w:tc>
          <w:tcPr>
            <w:tcW w:w="32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29,691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1,166</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7,793,560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7,703,020</w:t>
            </w:r>
          </w:p>
        </w:tc>
        <w:tc>
          <w:tcPr>
            <w:tcW w:w="0" w:type="dxa"/>
            <w:vAlign w:val="bottom"/>
          </w:tcPr>
          <w:p>
            <w:pPr>
              <w:spacing w:after="0"/>
              <w:rPr>
                <w:sz w:val="1"/>
                <w:szCs w:val="1"/>
                <w:color w:val="auto"/>
              </w:rPr>
            </w:pPr>
          </w:p>
        </w:tc>
      </w:tr>
      <w:tr>
        <w:trPr>
          <w:trHeight w:val="20"/>
        </w:trPr>
        <w:tc>
          <w:tcPr>
            <w:tcW w:w="72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20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479,792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502,314</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650,922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679,163</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Accrued income taxes</w:t>
            </w:r>
          </w:p>
        </w:tc>
        <w:tc>
          <w:tcPr>
            <w:tcW w:w="32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16,748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33,773</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debt</w:t>
            </w: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886,779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1,197,929</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Current portion of long-term debt</w:t>
            </w:r>
          </w:p>
        </w:tc>
        <w:tc>
          <w:tcPr>
            <w:tcW w:w="32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353,186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5,387</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2,387,427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2,418,566</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Long-term debt</w:t>
            </w:r>
          </w:p>
        </w:tc>
        <w:tc>
          <w:tcPr>
            <w:tcW w:w="32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2,888,043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3,254,280</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long-term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636,913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446,048</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Deferred income taxes</w:t>
            </w:r>
          </w:p>
        </w:tc>
        <w:tc>
          <w:tcPr>
            <w:tcW w:w="32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197,096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176,860</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6,109,479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6,295,754</w:t>
            </w:r>
          </w:p>
        </w:tc>
        <w:tc>
          <w:tcPr>
            <w:tcW w:w="0" w:type="dxa"/>
            <w:vAlign w:val="bottom"/>
          </w:tcPr>
          <w:p>
            <w:pPr>
              <w:spacing w:after="0"/>
              <w:rPr>
                <w:sz w:val="1"/>
                <w:szCs w:val="1"/>
                <w:color w:val="auto"/>
              </w:rPr>
            </w:pPr>
          </w:p>
        </w:tc>
      </w:tr>
      <w:tr>
        <w:trPr>
          <w:trHeight w:val="156"/>
        </w:trPr>
        <w:tc>
          <w:tcPr>
            <w:tcW w:w="72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8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The Hershey Company stockholders’ equity</w:t>
            </w:r>
          </w:p>
        </w:tc>
        <w:tc>
          <w:tcPr>
            <w:tcW w:w="3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Preferred stock, shares issued: none in 2019 and 2018</w:t>
            </w:r>
          </w:p>
        </w:tc>
        <w:tc>
          <w:tcPr>
            <w:tcW w:w="3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Common stock, shares issued: 299,287,967 at June 30, 2019 and December 31, 2018</w:t>
            </w:r>
          </w:p>
        </w:tc>
        <w:tc>
          <w:tcPr>
            <w:tcW w:w="32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299,287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299,287</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3"/>
              </w:rPr>
              <w:t>Class B common stock, shares issued: 60,613,777 at June 30, 2019 and December 31, 2018</w:t>
            </w: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60,614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60,614</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1,075,187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982,205</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Retained earnings</w:t>
            </w: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7,358,277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7,032,020</w:t>
            </w:r>
          </w:p>
        </w:tc>
        <w:tc>
          <w:tcPr>
            <w:tcW w:w="0" w:type="dxa"/>
            <w:vAlign w:val="bottom"/>
          </w:tcPr>
          <w:p>
            <w:pPr>
              <w:spacing w:after="0"/>
              <w:rPr>
                <w:sz w:val="1"/>
                <w:szCs w:val="1"/>
                <w:color w:val="auto"/>
              </w:rPr>
            </w:pPr>
          </w:p>
        </w:tc>
      </w:tr>
      <w:tr>
        <w:trPr>
          <w:trHeight w:val="229"/>
        </w:trPr>
        <w:tc>
          <w:tcPr>
            <w:tcW w:w="7200" w:type="dxa"/>
            <w:vAlign w:val="bottom"/>
          </w:tcPr>
          <w:p>
            <w:pPr>
              <w:ind w:left="280"/>
              <w:spacing w:after="0"/>
              <w:rPr>
                <w:sz w:val="20"/>
                <w:szCs w:val="20"/>
                <w:color w:val="auto"/>
              </w:rPr>
            </w:pPr>
            <w:r>
              <w:rPr>
                <w:rFonts w:ascii="Arial" w:cs="Arial" w:eastAsia="Arial" w:hAnsi="Arial"/>
                <w:sz w:val="18"/>
                <w:szCs w:val="18"/>
                <w:color w:val="auto"/>
                <w:w w:val="93"/>
              </w:rPr>
              <w:t>Treasury—common stock shares, at cost: 150,242,266 at June 30, 2019 and 150,172,840 at</w:t>
            </w:r>
          </w:p>
        </w:tc>
        <w:tc>
          <w:tcPr>
            <w:tcW w:w="3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Pr>
          <w:p>
            <w:pPr>
              <w:ind w:left="280"/>
              <w:spacing w:after="0"/>
              <w:rPr>
                <w:sz w:val="20"/>
                <w:szCs w:val="20"/>
                <w:color w:val="auto"/>
              </w:rPr>
            </w:pPr>
            <w:r>
              <w:rPr>
                <w:rFonts w:ascii="Arial" w:cs="Arial" w:eastAsia="Arial" w:hAnsi="Arial"/>
                <w:sz w:val="18"/>
                <w:szCs w:val="18"/>
                <w:color w:val="auto"/>
              </w:rPr>
              <w:t>December 31, 2018</w:t>
            </w:r>
          </w:p>
        </w:tc>
        <w:tc>
          <w:tcPr>
            <w:tcW w:w="3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(6,781,509)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(6,618,625)</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(336,736)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(356,780)</w:t>
            </w:r>
          </w:p>
        </w:tc>
        <w:tc>
          <w:tcPr>
            <w:tcW w:w="0" w:type="dxa"/>
            <w:vAlign w:val="bottom"/>
          </w:tcPr>
          <w:p>
            <w:pPr>
              <w:spacing w:after="0"/>
              <w:rPr>
                <w:sz w:val="1"/>
                <w:szCs w:val="1"/>
                <w:color w:val="auto"/>
              </w:rPr>
            </w:pPr>
          </w:p>
        </w:tc>
      </w:tr>
      <w:tr>
        <w:trPr>
          <w:trHeight w:val="237"/>
        </w:trPr>
        <w:tc>
          <w:tcPr>
            <w:tcW w:w="7200" w:type="dxa"/>
            <w:vAlign w:val="bottom"/>
          </w:tcPr>
          <w:p>
            <w:pPr>
              <w:ind w:left="380"/>
              <w:spacing w:after="0"/>
              <w:rPr>
                <w:sz w:val="20"/>
                <w:szCs w:val="20"/>
                <w:color w:val="auto"/>
              </w:rPr>
            </w:pPr>
            <w:r>
              <w:rPr>
                <w:rFonts w:ascii="Arial" w:cs="Arial" w:eastAsia="Arial" w:hAnsi="Arial"/>
                <w:sz w:val="18"/>
                <w:szCs w:val="18"/>
                <w:color w:val="auto"/>
              </w:rPr>
              <w:t>Total—The Hershey Company stockholders’ equity</w:t>
            </w:r>
          </w:p>
        </w:tc>
        <w:tc>
          <w:tcPr>
            <w:tcW w:w="32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1,675,120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1,398,721</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 in subsidiary</w:t>
            </w:r>
          </w:p>
        </w:tc>
        <w:tc>
          <w:tcPr>
            <w:tcW w:w="3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8,961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8,545</w:t>
            </w:r>
          </w:p>
        </w:tc>
        <w:tc>
          <w:tcPr>
            <w:tcW w:w="0" w:type="dxa"/>
            <w:vAlign w:val="bottom"/>
          </w:tcPr>
          <w:p>
            <w:pPr>
              <w:spacing w:after="0"/>
              <w:rPr>
                <w:sz w:val="1"/>
                <w:szCs w:val="1"/>
                <w:color w:val="auto"/>
              </w:rPr>
            </w:pPr>
          </w:p>
        </w:tc>
      </w:tr>
      <w:tr>
        <w:trPr>
          <w:trHeight w:val="237"/>
        </w:trPr>
        <w:tc>
          <w:tcPr>
            <w:tcW w:w="7200" w:type="dxa"/>
            <w:vAlign w:val="bottom"/>
          </w:tcPr>
          <w:p>
            <w:pPr>
              <w:ind w:left="380"/>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1,684,081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1,407,266</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7,793,560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7,703,020</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Unaudited Consolidated Financial Statements.</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580" w:right="239" w:bottom="1440" w:gutter="0" w:footer="0" w:header="0"/>
          <w:type w:val="continuous"/>
        </w:sectPr>
      </w:pPr>
    </w:p>
    <w:bookmarkStart w:id="5" w:name="page6"/>
    <w:bookmarkEnd w:id="5"/>
    <w:p>
      <w:pPr>
        <w:jc w:val="center"/>
        <w:ind w:left="340"/>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80" w:type="dxa"/>
            <w:vAlign w:val="bottom"/>
            <w:gridSpan w:val="4"/>
          </w:tcPr>
          <w:p>
            <w:pPr>
              <w:jc w:val="right"/>
              <w:ind w:right="1148"/>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 2019</w:t>
            </w:r>
          </w:p>
        </w:tc>
        <w:tc>
          <w:tcPr>
            <w:tcW w:w="280" w:type="dxa"/>
            <w:vAlign w:val="bottom"/>
          </w:tcPr>
          <w:p>
            <w:pPr>
              <w:spacing w:after="0"/>
              <w:rPr>
                <w:sz w:val="20"/>
                <w:szCs w:val="20"/>
                <w:color w:val="auto"/>
              </w:rPr>
            </w:pPr>
          </w:p>
        </w:tc>
        <w:tc>
          <w:tcPr>
            <w:tcW w:w="1520" w:type="dxa"/>
            <w:vAlign w:val="bottom"/>
          </w:tcPr>
          <w:p>
            <w:pPr>
              <w:jc w:val="right"/>
              <w:ind w:right="428"/>
              <w:spacing w:after="0"/>
              <w:rPr>
                <w:sz w:val="20"/>
                <w:szCs w:val="20"/>
                <w:color w:val="auto"/>
              </w:rPr>
            </w:pPr>
            <w:r>
              <w:rPr>
                <w:rFonts w:ascii="Arial" w:cs="Arial" w:eastAsia="Arial" w:hAnsi="Arial"/>
                <w:sz w:val="16"/>
                <w:szCs w:val="16"/>
                <w:b w:val="1"/>
                <w:bCs w:val="1"/>
                <w:color w:val="auto"/>
              </w:rPr>
              <w:t>July 1, 2018</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Operating Activities</w:t>
            </w:r>
          </w:p>
        </w:tc>
        <w:tc>
          <w:tcPr>
            <w:tcW w:w="28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660" w:type="dxa"/>
            <w:vAlign w:val="bottom"/>
          </w:tcPr>
          <w:p>
            <w:pPr>
              <w:ind w:left="380"/>
              <w:spacing w:after="0"/>
              <w:rPr>
                <w:sz w:val="20"/>
                <w:szCs w:val="20"/>
                <w:color w:val="auto"/>
              </w:rPr>
            </w:pPr>
            <w:r>
              <w:rPr>
                <w:rFonts w:ascii="Arial" w:cs="Arial" w:eastAsia="Arial" w:hAnsi="Arial"/>
                <w:sz w:val="14"/>
                <w:szCs w:val="14"/>
                <w:color w:val="auto"/>
              </w:rPr>
              <w:t>Net income including noncontrolling interest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617,152</w:t>
            </w:r>
          </w:p>
        </w:tc>
        <w:tc>
          <w:tcPr>
            <w:tcW w:w="120" w:type="dxa"/>
            <w:vAlign w:val="bottom"/>
          </w:tcPr>
          <w:p>
            <w:pPr>
              <w:spacing w:after="0"/>
              <w:rPr>
                <w:sz w:val="22"/>
                <w:szCs w:val="22"/>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574,038</w:t>
            </w:r>
          </w:p>
        </w:tc>
        <w:tc>
          <w:tcPr>
            <w:tcW w:w="0" w:type="dxa"/>
            <w:vAlign w:val="bottom"/>
          </w:tcPr>
          <w:p>
            <w:pPr>
              <w:spacing w:after="0"/>
              <w:rPr>
                <w:sz w:val="1"/>
                <w:szCs w:val="1"/>
                <w:color w:val="auto"/>
              </w:rPr>
            </w:pPr>
          </w:p>
        </w:tc>
      </w:tr>
      <w:tr>
        <w:trPr>
          <w:trHeight w:val="276"/>
        </w:trPr>
        <w:tc>
          <w:tcPr>
            <w:tcW w:w="76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8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660" w:type="dxa"/>
            <w:vAlign w:val="bottom"/>
          </w:tcPr>
          <w:p>
            <w:pPr>
              <w:ind w:left="600"/>
              <w:spacing w:after="0"/>
              <w:rPr>
                <w:sz w:val="20"/>
                <w:szCs w:val="20"/>
                <w:color w:val="auto"/>
              </w:rPr>
            </w:pPr>
            <w:r>
              <w:rPr>
                <w:rFonts w:ascii="Arial" w:cs="Arial" w:eastAsia="Arial" w:hAnsi="Arial"/>
                <w:sz w:val="14"/>
                <w:szCs w:val="14"/>
                <w:color w:val="auto"/>
              </w:rPr>
              <w:t>Depreciation and amortization</w:t>
            </w:r>
          </w:p>
        </w:tc>
        <w:tc>
          <w:tcPr>
            <w:tcW w:w="280" w:type="dxa"/>
            <w:vAlign w:val="bottom"/>
          </w:tcPr>
          <w:p>
            <w:pPr>
              <w:spacing w:after="0"/>
              <w:rPr>
                <w:sz w:val="22"/>
                <w:szCs w:val="22"/>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144,346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150,996</w:t>
            </w:r>
          </w:p>
        </w:tc>
        <w:tc>
          <w:tcPr>
            <w:tcW w:w="0" w:type="dxa"/>
            <w:vAlign w:val="bottom"/>
          </w:tcPr>
          <w:p>
            <w:pPr>
              <w:spacing w:after="0"/>
              <w:rPr>
                <w:sz w:val="1"/>
                <w:szCs w:val="1"/>
                <w:color w:val="auto"/>
              </w:rPr>
            </w:pPr>
          </w:p>
        </w:tc>
      </w:tr>
      <w:tr>
        <w:trPr>
          <w:trHeight w:val="276"/>
        </w:trPr>
        <w:tc>
          <w:tcPr>
            <w:tcW w:w="7660" w:type="dxa"/>
            <w:vAlign w:val="bottom"/>
            <w:shd w:val="clear" w:color="auto" w:fill="CCEEFF"/>
          </w:tcPr>
          <w:p>
            <w:pPr>
              <w:ind w:left="600"/>
              <w:spacing w:after="0"/>
              <w:rPr>
                <w:sz w:val="20"/>
                <w:szCs w:val="20"/>
                <w:color w:val="auto"/>
              </w:rPr>
            </w:pPr>
            <w:r>
              <w:rPr>
                <w:rFonts w:ascii="Arial" w:cs="Arial" w:eastAsia="Arial" w:hAnsi="Arial"/>
                <w:sz w:val="14"/>
                <w:szCs w:val="14"/>
                <w:color w:val="auto"/>
              </w:rPr>
              <w:t>Stock-based compensation expense</w:t>
            </w:r>
          </w:p>
        </w:tc>
        <w:tc>
          <w:tcPr>
            <w:tcW w:w="28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23,712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23,546</w:t>
            </w:r>
          </w:p>
        </w:tc>
        <w:tc>
          <w:tcPr>
            <w:tcW w:w="0" w:type="dxa"/>
            <w:vAlign w:val="bottom"/>
          </w:tcPr>
          <w:p>
            <w:pPr>
              <w:spacing w:after="0"/>
              <w:rPr>
                <w:sz w:val="1"/>
                <w:szCs w:val="1"/>
                <w:color w:val="auto"/>
              </w:rPr>
            </w:pPr>
          </w:p>
        </w:tc>
      </w:tr>
      <w:tr>
        <w:trPr>
          <w:trHeight w:val="264"/>
        </w:trPr>
        <w:tc>
          <w:tcPr>
            <w:tcW w:w="7660" w:type="dxa"/>
            <w:vAlign w:val="bottom"/>
          </w:tcPr>
          <w:p>
            <w:pPr>
              <w:ind w:left="600"/>
              <w:spacing w:after="0"/>
              <w:rPr>
                <w:sz w:val="20"/>
                <w:szCs w:val="20"/>
                <w:color w:val="auto"/>
              </w:rPr>
            </w:pPr>
            <w:r>
              <w:rPr>
                <w:rFonts w:ascii="Arial" w:cs="Arial" w:eastAsia="Arial" w:hAnsi="Arial"/>
                <w:sz w:val="14"/>
                <w:szCs w:val="14"/>
                <w:color w:val="auto"/>
              </w:rPr>
              <w:t>Deferred income taxes</w:t>
            </w:r>
          </w:p>
        </w:tc>
        <w:tc>
          <w:tcPr>
            <w:tcW w:w="280" w:type="dxa"/>
            <w:vAlign w:val="bottom"/>
          </w:tcPr>
          <w:p>
            <w:pPr>
              <w:spacing w:after="0"/>
              <w:rPr>
                <w:sz w:val="22"/>
                <w:szCs w:val="22"/>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8,783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1,080</w:t>
            </w:r>
          </w:p>
        </w:tc>
        <w:tc>
          <w:tcPr>
            <w:tcW w:w="0" w:type="dxa"/>
            <w:vAlign w:val="bottom"/>
          </w:tcPr>
          <w:p>
            <w:pPr>
              <w:spacing w:after="0"/>
              <w:rPr>
                <w:sz w:val="1"/>
                <w:szCs w:val="1"/>
                <w:color w:val="auto"/>
              </w:rPr>
            </w:pPr>
          </w:p>
        </w:tc>
      </w:tr>
      <w:tr>
        <w:trPr>
          <w:trHeight w:val="276"/>
        </w:trPr>
        <w:tc>
          <w:tcPr>
            <w:tcW w:w="7660" w:type="dxa"/>
            <w:vAlign w:val="bottom"/>
            <w:shd w:val="clear" w:color="auto" w:fill="CCEEFF"/>
          </w:tcPr>
          <w:p>
            <w:pPr>
              <w:ind w:left="600"/>
              <w:spacing w:after="0"/>
              <w:rPr>
                <w:sz w:val="20"/>
                <w:szCs w:val="20"/>
                <w:color w:val="auto"/>
              </w:rPr>
            </w:pPr>
            <w:r>
              <w:rPr>
                <w:rFonts w:ascii="Arial" w:cs="Arial" w:eastAsia="Arial" w:hAnsi="Arial"/>
                <w:sz w:val="14"/>
                <w:szCs w:val="14"/>
                <w:color w:val="auto"/>
              </w:rPr>
              <w:t>Impairment of long-lived assets (see Note 6)</w:t>
            </w:r>
          </w:p>
        </w:tc>
        <w:tc>
          <w:tcPr>
            <w:tcW w:w="28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4,741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27,168</w:t>
            </w:r>
          </w:p>
        </w:tc>
        <w:tc>
          <w:tcPr>
            <w:tcW w:w="0" w:type="dxa"/>
            <w:vAlign w:val="bottom"/>
          </w:tcPr>
          <w:p>
            <w:pPr>
              <w:spacing w:after="0"/>
              <w:rPr>
                <w:sz w:val="1"/>
                <w:szCs w:val="1"/>
                <w:color w:val="auto"/>
              </w:rPr>
            </w:pPr>
          </w:p>
        </w:tc>
      </w:tr>
      <w:tr>
        <w:trPr>
          <w:trHeight w:val="264"/>
        </w:trPr>
        <w:tc>
          <w:tcPr>
            <w:tcW w:w="7660" w:type="dxa"/>
            <w:vAlign w:val="bottom"/>
          </w:tcPr>
          <w:p>
            <w:pPr>
              <w:ind w:left="600"/>
              <w:spacing w:after="0"/>
              <w:rPr>
                <w:sz w:val="20"/>
                <w:szCs w:val="20"/>
                <w:color w:val="auto"/>
              </w:rPr>
            </w:pPr>
            <w:r>
              <w:rPr>
                <w:rFonts w:ascii="Arial" w:cs="Arial" w:eastAsia="Arial" w:hAnsi="Arial"/>
                <w:sz w:val="14"/>
                <w:szCs w:val="14"/>
                <w:color w:val="auto"/>
              </w:rPr>
              <w:t>Write-down of equity investments</w:t>
            </w:r>
          </w:p>
        </w:tc>
        <w:tc>
          <w:tcPr>
            <w:tcW w:w="280" w:type="dxa"/>
            <w:vAlign w:val="bottom"/>
          </w:tcPr>
          <w:p>
            <w:pPr>
              <w:spacing w:after="0"/>
              <w:rPr>
                <w:sz w:val="22"/>
                <w:szCs w:val="22"/>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9,785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19,764</w:t>
            </w:r>
          </w:p>
        </w:tc>
        <w:tc>
          <w:tcPr>
            <w:tcW w:w="0" w:type="dxa"/>
            <w:vAlign w:val="bottom"/>
          </w:tcPr>
          <w:p>
            <w:pPr>
              <w:spacing w:after="0"/>
              <w:rPr>
                <w:sz w:val="1"/>
                <w:szCs w:val="1"/>
                <w:color w:val="auto"/>
              </w:rPr>
            </w:pPr>
          </w:p>
        </w:tc>
      </w:tr>
      <w:tr>
        <w:trPr>
          <w:trHeight w:val="276"/>
        </w:trPr>
        <w:tc>
          <w:tcPr>
            <w:tcW w:w="7660" w:type="dxa"/>
            <w:vAlign w:val="bottom"/>
            <w:shd w:val="clear" w:color="auto" w:fill="CCEEFF"/>
          </w:tcPr>
          <w:p>
            <w:pPr>
              <w:ind w:left="600"/>
              <w:spacing w:after="0"/>
              <w:rPr>
                <w:sz w:val="20"/>
                <w:szCs w:val="20"/>
                <w:color w:val="auto"/>
              </w:rPr>
            </w:pPr>
            <w:r>
              <w:rPr>
                <w:rFonts w:ascii="Arial" w:cs="Arial" w:eastAsia="Arial" w:hAnsi="Arial"/>
                <w:sz w:val="14"/>
                <w:szCs w:val="14"/>
                <w:color w:val="auto"/>
              </w:rPr>
              <w:t>Other</w:t>
            </w:r>
          </w:p>
        </w:tc>
        <w:tc>
          <w:tcPr>
            <w:tcW w:w="28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24,117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14,212</w:t>
            </w:r>
          </w:p>
        </w:tc>
        <w:tc>
          <w:tcPr>
            <w:tcW w:w="0" w:type="dxa"/>
            <w:vAlign w:val="bottom"/>
          </w:tcPr>
          <w:p>
            <w:pPr>
              <w:spacing w:after="0"/>
              <w:rPr>
                <w:sz w:val="1"/>
                <w:szCs w:val="1"/>
                <w:color w:val="auto"/>
              </w:rPr>
            </w:pPr>
          </w:p>
        </w:tc>
      </w:tr>
      <w:tr>
        <w:trPr>
          <w:trHeight w:val="264"/>
        </w:trPr>
        <w:tc>
          <w:tcPr>
            <w:tcW w:w="7660" w:type="dxa"/>
            <w:vAlign w:val="bottom"/>
          </w:tcPr>
          <w:p>
            <w:pPr>
              <w:ind w:left="600"/>
              <w:spacing w:after="0"/>
              <w:rPr>
                <w:sz w:val="20"/>
                <w:szCs w:val="20"/>
                <w:color w:val="auto"/>
              </w:rPr>
            </w:pPr>
            <w:r>
              <w:rPr>
                <w:rFonts w:ascii="Arial" w:cs="Arial" w:eastAsia="Arial" w:hAnsi="Arial"/>
                <w:sz w:val="14"/>
                <w:szCs w:val="14"/>
                <w:color w:val="auto"/>
              </w:rPr>
              <w:t>Changes in assets and liabilities, net of business acquisitions and divestitures:</w:t>
            </w:r>
          </w:p>
        </w:tc>
        <w:tc>
          <w:tcPr>
            <w:tcW w:w="2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660" w:type="dxa"/>
            <w:vAlign w:val="bottom"/>
            <w:shd w:val="clear" w:color="auto" w:fill="CCEEFF"/>
          </w:tcPr>
          <w:p>
            <w:pPr>
              <w:ind w:left="820"/>
              <w:spacing w:after="0"/>
              <w:rPr>
                <w:sz w:val="20"/>
                <w:szCs w:val="20"/>
                <w:color w:val="auto"/>
              </w:rPr>
            </w:pPr>
            <w:r>
              <w:rPr>
                <w:rFonts w:ascii="Arial" w:cs="Arial" w:eastAsia="Arial" w:hAnsi="Arial"/>
                <w:sz w:val="14"/>
                <w:szCs w:val="14"/>
                <w:color w:val="auto"/>
              </w:rPr>
              <w:t>Accounts receivable—trade, net</w:t>
            </w:r>
          </w:p>
        </w:tc>
        <w:tc>
          <w:tcPr>
            <w:tcW w:w="28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55,399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100,864</w:t>
            </w:r>
          </w:p>
        </w:tc>
        <w:tc>
          <w:tcPr>
            <w:tcW w:w="0" w:type="dxa"/>
            <w:vAlign w:val="bottom"/>
          </w:tcPr>
          <w:p>
            <w:pPr>
              <w:spacing w:after="0"/>
              <w:rPr>
                <w:sz w:val="1"/>
                <w:szCs w:val="1"/>
                <w:color w:val="auto"/>
              </w:rPr>
            </w:pPr>
          </w:p>
        </w:tc>
      </w:tr>
      <w:tr>
        <w:trPr>
          <w:trHeight w:val="264"/>
        </w:trPr>
        <w:tc>
          <w:tcPr>
            <w:tcW w:w="7660" w:type="dxa"/>
            <w:vAlign w:val="bottom"/>
          </w:tcPr>
          <w:p>
            <w:pPr>
              <w:ind w:left="820"/>
              <w:spacing w:after="0"/>
              <w:rPr>
                <w:sz w:val="20"/>
                <w:szCs w:val="20"/>
                <w:color w:val="auto"/>
              </w:rPr>
            </w:pPr>
            <w:r>
              <w:rPr>
                <w:rFonts w:ascii="Arial" w:cs="Arial" w:eastAsia="Arial" w:hAnsi="Arial"/>
                <w:sz w:val="14"/>
                <w:szCs w:val="14"/>
                <w:color w:val="auto"/>
              </w:rPr>
              <w:t>Inventories</w:t>
            </w:r>
          </w:p>
        </w:tc>
        <w:tc>
          <w:tcPr>
            <w:tcW w:w="28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(173,074)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(147,090)</w:t>
            </w:r>
          </w:p>
        </w:tc>
        <w:tc>
          <w:tcPr>
            <w:tcW w:w="0" w:type="dxa"/>
            <w:vAlign w:val="bottom"/>
          </w:tcPr>
          <w:p>
            <w:pPr>
              <w:spacing w:after="0"/>
              <w:rPr>
                <w:sz w:val="1"/>
                <w:szCs w:val="1"/>
                <w:color w:val="auto"/>
              </w:rPr>
            </w:pPr>
          </w:p>
        </w:tc>
      </w:tr>
      <w:tr>
        <w:trPr>
          <w:trHeight w:val="276"/>
        </w:trPr>
        <w:tc>
          <w:tcPr>
            <w:tcW w:w="7660" w:type="dxa"/>
            <w:vAlign w:val="bottom"/>
            <w:shd w:val="clear" w:color="auto" w:fill="CCEEFF"/>
          </w:tcPr>
          <w:p>
            <w:pPr>
              <w:ind w:left="820"/>
              <w:spacing w:after="0"/>
              <w:rPr>
                <w:sz w:val="20"/>
                <w:szCs w:val="20"/>
                <w:color w:val="auto"/>
              </w:rPr>
            </w:pPr>
            <w:r>
              <w:rPr>
                <w:rFonts w:ascii="Arial" w:cs="Arial" w:eastAsia="Arial" w:hAnsi="Arial"/>
                <w:sz w:val="14"/>
                <w:szCs w:val="14"/>
                <w:color w:val="auto"/>
              </w:rPr>
              <w:t>Prepaid expenses and other current assets</w:t>
            </w:r>
          </w:p>
        </w:tc>
        <w:tc>
          <w:tcPr>
            <w:tcW w:w="28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18,175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(25,966)</w:t>
            </w:r>
          </w:p>
        </w:tc>
        <w:tc>
          <w:tcPr>
            <w:tcW w:w="0" w:type="dxa"/>
            <w:vAlign w:val="bottom"/>
          </w:tcPr>
          <w:p>
            <w:pPr>
              <w:spacing w:after="0"/>
              <w:rPr>
                <w:sz w:val="1"/>
                <w:szCs w:val="1"/>
                <w:color w:val="auto"/>
              </w:rPr>
            </w:pPr>
          </w:p>
        </w:tc>
      </w:tr>
      <w:tr>
        <w:trPr>
          <w:trHeight w:val="264"/>
        </w:trPr>
        <w:tc>
          <w:tcPr>
            <w:tcW w:w="7660" w:type="dxa"/>
            <w:vAlign w:val="bottom"/>
          </w:tcPr>
          <w:p>
            <w:pPr>
              <w:ind w:left="820"/>
              <w:spacing w:after="0"/>
              <w:rPr>
                <w:sz w:val="20"/>
                <w:szCs w:val="20"/>
                <w:color w:val="auto"/>
              </w:rPr>
            </w:pPr>
            <w:r>
              <w:rPr>
                <w:rFonts w:ascii="Arial" w:cs="Arial" w:eastAsia="Arial" w:hAnsi="Arial"/>
                <w:sz w:val="14"/>
                <w:szCs w:val="14"/>
                <w:color w:val="auto"/>
              </w:rPr>
              <w:t>Accounts payable and accrued liabilities</w:t>
            </w:r>
          </w:p>
        </w:tc>
        <w:tc>
          <w:tcPr>
            <w:tcW w:w="28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(33,797)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(162,054)</w:t>
            </w:r>
          </w:p>
        </w:tc>
        <w:tc>
          <w:tcPr>
            <w:tcW w:w="0" w:type="dxa"/>
            <w:vAlign w:val="bottom"/>
          </w:tcPr>
          <w:p>
            <w:pPr>
              <w:spacing w:after="0"/>
              <w:rPr>
                <w:sz w:val="1"/>
                <w:szCs w:val="1"/>
                <w:color w:val="auto"/>
              </w:rPr>
            </w:pPr>
          </w:p>
        </w:tc>
      </w:tr>
      <w:tr>
        <w:trPr>
          <w:trHeight w:val="276"/>
        </w:trPr>
        <w:tc>
          <w:tcPr>
            <w:tcW w:w="7660" w:type="dxa"/>
            <w:vAlign w:val="bottom"/>
            <w:shd w:val="clear" w:color="auto" w:fill="CCEEFF"/>
          </w:tcPr>
          <w:p>
            <w:pPr>
              <w:ind w:left="820"/>
              <w:spacing w:after="0"/>
              <w:rPr>
                <w:sz w:val="20"/>
                <w:szCs w:val="20"/>
                <w:color w:val="auto"/>
              </w:rPr>
            </w:pPr>
            <w:r>
              <w:rPr>
                <w:rFonts w:ascii="Arial" w:cs="Arial" w:eastAsia="Arial" w:hAnsi="Arial"/>
                <w:sz w:val="14"/>
                <w:szCs w:val="14"/>
                <w:color w:val="auto"/>
              </w:rPr>
              <w:t>Accrued income taxes</w:t>
            </w:r>
          </w:p>
        </w:tc>
        <w:tc>
          <w:tcPr>
            <w:tcW w:w="28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(15,499)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54,079</w:t>
            </w:r>
          </w:p>
        </w:tc>
        <w:tc>
          <w:tcPr>
            <w:tcW w:w="0" w:type="dxa"/>
            <w:vAlign w:val="bottom"/>
          </w:tcPr>
          <w:p>
            <w:pPr>
              <w:spacing w:after="0"/>
              <w:rPr>
                <w:sz w:val="1"/>
                <w:szCs w:val="1"/>
                <w:color w:val="auto"/>
              </w:rPr>
            </w:pPr>
          </w:p>
        </w:tc>
      </w:tr>
      <w:tr>
        <w:trPr>
          <w:trHeight w:val="264"/>
        </w:trPr>
        <w:tc>
          <w:tcPr>
            <w:tcW w:w="7660" w:type="dxa"/>
            <w:vAlign w:val="bottom"/>
          </w:tcPr>
          <w:p>
            <w:pPr>
              <w:ind w:left="820"/>
              <w:spacing w:after="0"/>
              <w:rPr>
                <w:sz w:val="20"/>
                <w:szCs w:val="20"/>
                <w:color w:val="auto"/>
              </w:rPr>
            </w:pPr>
            <w:r>
              <w:rPr>
                <w:rFonts w:ascii="Arial" w:cs="Arial" w:eastAsia="Arial" w:hAnsi="Arial"/>
                <w:sz w:val="14"/>
                <w:szCs w:val="14"/>
                <w:color w:val="auto"/>
              </w:rPr>
              <w:t>Contributions to pension and other benefit plans</w:t>
            </w:r>
          </w:p>
        </w:tc>
        <w:tc>
          <w:tcPr>
            <w:tcW w:w="28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(8,919)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(14,079)</w:t>
            </w:r>
          </w:p>
        </w:tc>
        <w:tc>
          <w:tcPr>
            <w:tcW w:w="0" w:type="dxa"/>
            <w:vAlign w:val="bottom"/>
          </w:tcPr>
          <w:p>
            <w:pPr>
              <w:spacing w:after="0"/>
              <w:rPr>
                <w:sz w:val="1"/>
                <w:szCs w:val="1"/>
                <w:color w:val="auto"/>
              </w:rPr>
            </w:pPr>
          </w:p>
        </w:tc>
      </w:tr>
      <w:tr>
        <w:trPr>
          <w:trHeight w:val="270"/>
        </w:trPr>
        <w:tc>
          <w:tcPr>
            <w:tcW w:w="7660" w:type="dxa"/>
            <w:vAlign w:val="bottom"/>
            <w:shd w:val="clear" w:color="auto" w:fill="CCEEFF"/>
          </w:tcPr>
          <w:p>
            <w:pPr>
              <w:ind w:left="820"/>
              <w:spacing w:after="0"/>
              <w:rPr>
                <w:sz w:val="20"/>
                <w:szCs w:val="20"/>
                <w:color w:val="auto"/>
              </w:rPr>
            </w:pPr>
            <w:r>
              <w:rPr>
                <w:rFonts w:ascii="Arial" w:cs="Arial" w:eastAsia="Arial" w:hAnsi="Arial"/>
                <w:sz w:val="14"/>
                <w:szCs w:val="14"/>
                <w:color w:val="auto"/>
              </w:rPr>
              <w:t>Other assets and liabilities</w:t>
            </w:r>
          </w:p>
        </w:tc>
        <w:tc>
          <w:tcPr>
            <w:tcW w:w="28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4,407</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(13,676)</w:t>
            </w: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2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679,328</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602,882</w:t>
            </w:r>
          </w:p>
        </w:tc>
        <w:tc>
          <w:tcPr>
            <w:tcW w:w="0" w:type="dxa"/>
            <w:vAlign w:val="bottom"/>
          </w:tcPr>
          <w:p>
            <w:pPr>
              <w:spacing w:after="0"/>
              <w:rPr>
                <w:sz w:val="1"/>
                <w:szCs w:val="1"/>
                <w:color w:val="auto"/>
              </w:rPr>
            </w:pPr>
          </w:p>
        </w:tc>
      </w:tr>
      <w:tr>
        <w:trPr>
          <w:trHeight w:val="270"/>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Investing Activities</w:t>
            </w:r>
          </w:p>
        </w:tc>
        <w:tc>
          <w:tcPr>
            <w:tcW w:w="28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660" w:type="dxa"/>
            <w:vAlign w:val="bottom"/>
          </w:tcPr>
          <w:p>
            <w:pPr>
              <w:ind w:left="380"/>
              <w:spacing w:after="0"/>
              <w:rPr>
                <w:sz w:val="20"/>
                <w:szCs w:val="20"/>
                <w:color w:val="auto"/>
              </w:rPr>
            </w:pPr>
            <w:r>
              <w:rPr>
                <w:rFonts w:ascii="Arial" w:cs="Arial" w:eastAsia="Arial" w:hAnsi="Arial"/>
                <w:sz w:val="14"/>
                <w:szCs w:val="14"/>
                <w:color w:val="auto"/>
              </w:rPr>
              <w:t>Capital additions (including software)</w:t>
            </w:r>
          </w:p>
        </w:tc>
        <w:tc>
          <w:tcPr>
            <w:tcW w:w="28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(176,270)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(135,919)</w:t>
            </w:r>
          </w:p>
        </w:tc>
        <w:tc>
          <w:tcPr>
            <w:tcW w:w="0" w:type="dxa"/>
            <w:vAlign w:val="bottom"/>
          </w:tcPr>
          <w:p>
            <w:pPr>
              <w:spacing w:after="0"/>
              <w:rPr>
                <w:sz w:val="1"/>
                <w:szCs w:val="1"/>
                <w:color w:val="auto"/>
              </w:rPr>
            </w:pPr>
          </w:p>
        </w:tc>
      </w:tr>
      <w:tr>
        <w:trPr>
          <w:trHeight w:val="276"/>
        </w:trPr>
        <w:tc>
          <w:tcPr>
            <w:tcW w:w="76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sales of property, plant and equipment and other long-lived assets</w:t>
            </w:r>
          </w:p>
        </w:tc>
        <w:tc>
          <w:tcPr>
            <w:tcW w:w="28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16,123</w:t>
            </w:r>
          </w:p>
        </w:tc>
        <w:tc>
          <w:tcPr>
            <w:tcW w:w="0" w:type="dxa"/>
            <w:vAlign w:val="bottom"/>
          </w:tcPr>
          <w:p>
            <w:pPr>
              <w:spacing w:after="0"/>
              <w:rPr>
                <w:sz w:val="1"/>
                <w:szCs w:val="1"/>
                <w:color w:val="auto"/>
              </w:rPr>
            </w:pPr>
          </w:p>
        </w:tc>
      </w:tr>
      <w:tr>
        <w:trPr>
          <w:trHeight w:val="264"/>
        </w:trPr>
        <w:tc>
          <w:tcPr>
            <w:tcW w:w="7660" w:type="dxa"/>
            <w:vAlign w:val="bottom"/>
          </w:tcPr>
          <w:p>
            <w:pPr>
              <w:ind w:left="380"/>
              <w:spacing w:after="0"/>
              <w:rPr>
                <w:sz w:val="20"/>
                <w:szCs w:val="20"/>
                <w:color w:val="auto"/>
              </w:rPr>
            </w:pPr>
            <w:r>
              <w:rPr>
                <w:rFonts w:ascii="Arial" w:cs="Arial" w:eastAsia="Arial" w:hAnsi="Arial"/>
                <w:sz w:val="14"/>
                <w:szCs w:val="14"/>
                <w:color w:val="auto"/>
              </w:rPr>
              <w:t>Equity investments in tax credit qualifying partnerships</w:t>
            </w:r>
          </w:p>
        </w:tc>
        <w:tc>
          <w:tcPr>
            <w:tcW w:w="28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(30,270)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(29,027)</w:t>
            </w:r>
          </w:p>
        </w:tc>
        <w:tc>
          <w:tcPr>
            <w:tcW w:w="0" w:type="dxa"/>
            <w:vAlign w:val="bottom"/>
          </w:tcPr>
          <w:p>
            <w:pPr>
              <w:spacing w:after="0"/>
              <w:rPr>
                <w:sz w:val="1"/>
                <w:szCs w:val="1"/>
                <w:color w:val="auto"/>
              </w:rPr>
            </w:pPr>
          </w:p>
        </w:tc>
      </w:tr>
      <w:tr>
        <w:trPr>
          <w:trHeight w:val="270"/>
        </w:trPr>
        <w:tc>
          <w:tcPr>
            <w:tcW w:w="76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Business acquisitions, net of cash and cash equivalents acquired</w:t>
            </w:r>
          </w:p>
        </w:tc>
        <w:tc>
          <w:tcPr>
            <w:tcW w:w="280" w:type="dxa"/>
            <w:vAlign w:val="bottom"/>
            <w:shd w:val="clear" w:color="auto" w:fill="CCEEFF"/>
          </w:tcPr>
          <w:p>
            <w:pPr>
              <w:spacing w:after="0"/>
              <w:rPr>
                <w:sz w:val="23"/>
                <w:szCs w:val="23"/>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(915,457)</w:t>
            </w: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used in investing activities</w:t>
            </w:r>
          </w:p>
        </w:tc>
        <w:tc>
          <w:tcPr>
            <w:tcW w:w="280" w:type="dxa"/>
            <w:vAlign w:val="bottom"/>
            <w:tcBorders>
              <w:top w:val="single" w:sz="8" w:color="auto"/>
              <w:bottom w:val="single" w:sz="8" w:color="auto"/>
            </w:tcBorders>
          </w:tcPr>
          <w:p>
            <w:pPr>
              <w:spacing w:after="0"/>
              <w:rPr>
                <w:sz w:val="21"/>
                <w:szCs w:val="21"/>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(206,386)</w:t>
            </w:r>
          </w:p>
        </w:tc>
        <w:tc>
          <w:tcPr>
            <w:tcW w:w="12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(1,064,280)</w:t>
            </w:r>
          </w:p>
        </w:tc>
        <w:tc>
          <w:tcPr>
            <w:tcW w:w="0" w:type="dxa"/>
            <w:vAlign w:val="bottom"/>
          </w:tcPr>
          <w:p>
            <w:pPr>
              <w:spacing w:after="0"/>
              <w:rPr>
                <w:sz w:val="1"/>
                <w:szCs w:val="1"/>
                <w:color w:val="auto"/>
              </w:rPr>
            </w:pPr>
          </w:p>
        </w:tc>
      </w:tr>
      <w:tr>
        <w:trPr>
          <w:trHeight w:val="270"/>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Financing Activities</w:t>
            </w:r>
          </w:p>
        </w:tc>
        <w:tc>
          <w:tcPr>
            <w:tcW w:w="28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660" w:type="dxa"/>
            <w:vAlign w:val="bottom"/>
          </w:tcPr>
          <w:p>
            <w:pPr>
              <w:ind w:left="380"/>
              <w:spacing w:after="0"/>
              <w:rPr>
                <w:sz w:val="20"/>
                <w:szCs w:val="20"/>
                <w:color w:val="auto"/>
              </w:rPr>
            </w:pPr>
            <w:r>
              <w:rPr>
                <w:rFonts w:ascii="Arial" w:cs="Arial" w:eastAsia="Arial" w:hAnsi="Arial"/>
                <w:sz w:val="14"/>
                <w:szCs w:val="14"/>
                <w:color w:val="auto"/>
              </w:rPr>
              <w:t>Net (decrease) increase in short-term debt</w:t>
            </w:r>
          </w:p>
        </w:tc>
        <w:tc>
          <w:tcPr>
            <w:tcW w:w="28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(311,183)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491,100</w:t>
            </w:r>
          </w:p>
        </w:tc>
        <w:tc>
          <w:tcPr>
            <w:tcW w:w="0" w:type="dxa"/>
            <w:vAlign w:val="bottom"/>
          </w:tcPr>
          <w:p>
            <w:pPr>
              <w:spacing w:after="0"/>
              <w:rPr>
                <w:sz w:val="1"/>
                <w:szCs w:val="1"/>
                <w:color w:val="auto"/>
              </w:rPr>
            </w:pPr>
          </w:p>
        </w:tc>
      </w:tr>
      <w:tr>
        <w:trPr>
          <w:trHeight w:val="276"/>
        </w:trPr>
        <w:tc>
          <w:tcPr>
            <w:tcW w:w="76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Long-term borrowings</w:t>
            </w:r>
          </w:p>
        </w:tc>
        <w:tc>
          <w:tcPr>
            <w:tcW w:w="28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5,020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1,199,921</w:t>
            </w:r>
          </w:p>
        </w:tc>
        <w:tc>
          <w:tcPr>
            <w:tcW w:w="0" w:type="dxa"/>
            <w:vAlign w:val="bottom"/>
          </w:tcPr>
          <w:p>
            <w:pPr>
              <w:spacing w:after="0"/>
              <w:rPr>
                <w:sz w:val="1"/>
                <w:szCs w:val="1"/>
                <w:color w:val="auto"/>
              </w:rPr>
            </w:pPr>
          </w:p>
        </w:tc>
      </w:tr>
      <w:tr>
        <w:trPr>
          <w:trHeight w:val="264"/>
        </w:trPr>
        <w:tc>
          <w:tcPr>
            <w:tcW w:w="7660" w:type="dxa"/>
            <w:vAlign w:val="bottom"/>
          </w:tcPr>
          <w:p>
            <w:pPr>
              <w:ind w:left="380"/>
              <w:spacing w:after="0"/>
              <w:rPr>
                <w:sz w:val="20"/>
                <w:szCs w:val="20"/>
                <w:color w:val="auto"/>
              </w:rPr>
            </w:pPr>
            <w:r>
              <w:rPr>
                <w:rFonts w:ascii="Arial" w:cs="Arial" w:eastAsia="Arial" w:hAnsi="Arial"/>
                <w:sz w:val="14"/>
                <w:szCs w:val="14"/>
                <w:color w:val="auto"/>
              </w:rPr>
              <w:t>Repayment of long-term debt and finance leases</w:t>
            </w:r>
          </w:p>
        </w:tc>
        <w:tc>
          <w:tcPr>
            <w:tcW w:w="28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(4,054)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(606,540)</w:t>
            </w:r>
          </w:p>
        </w:tc>
        <w:tc>
          <w:tcPr>
            <w:tcW w:w="0" w:type="dxa"/>
            <w:vAlign w:val="bottom"/>
          </w:tcPr>
          <w:p>
            <w:pPr>
              <w:spacing w:after="0"/>
              <w:rPr>
                <w:sz w:val="1"/>
                <w:szCs w:val="1"/>
                <w:color w:val="auto"/>
              </w:rPr>
            </w:pPr>
          </w:p>
        </w:tc>
      </w:tr>
      <w:tr>
        <w:trPr>
          <w:trHeight w:val="276"/>
        </w:trPr>
        <w:tc>
          <w:tcPr>
            <w:tcW w:w="76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Repayment of tax receivable obligation</w:t>
            </w:r>
          </w:p>
        </w:tc>
        <w:tc>
          <w:tcPr>
            <w:tcW w:w="280" w:type="dxa"/>
            <w:vAlign w:val="bottom"/>
            <w:shd w:val="clear" w:color="auto" w:fill="CCEEFF"/>
          </w:tcPr>
          <w:p>
            <w:pPr>
              <w:spacing w:after="0"/>
              <w:rPr>
                <w:sz w:val="24"/>
                <w:szCs w:val="24"/>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(72,000)</w:t>
            </w:r>
          </w:p>
        </w:tc>
        <w:tc>
          <w:tcPr>
            <w:tcW w:w="0" w:type="dxa"/>
            <w:vAlign w:val="bottom"/>
          </w:tcPr>
          <w:p>
            <w:pPr>
              <w:spacing w:after="0"/>
              <w:rPr>
                <w:sz w:val="1"/>
                <w:szCs w:val="1"/>
                <w:color w:val="auto"/>
              </w:rPr>
            </w:pPr>
          </w:p>
        </w:tc>
      </w:tr>
      <w:tr>
        <w:trPr>
          <w:trHeight w:val="264"/>
        </w:trPr>
        <w:tc>
          <w:tcPr>
            <w:tcW w:w="7660" w:type="dxa"/>
            <w:vAlign w:val="bottom"/>
          </w:tcPr>
          <w:p>
            <w:pPr>
              <w:ind w:left="380"/>
              <w:spacing w:after="0"/>
              <w:rPr>
                <w:sz w:val="20"/>
                <w:szCs w:val="20"/>
                <w:color w:val="auto"/>
              </w:rPr>
            </w:pPr>
            <w:r>
              <w:rPr>
                <w:rFonts w:ascii="Arial" w:cs="Arial" w:eastAsia="Arial" w:hAnsi="Arial"/>
                <w:sz w:val="14"/>
                <w:szCs w:val="14"/>
                <w:color w:val="auto"/>
              </w:rPr>
              <w:t>Cash dividends paid</w:t>
            </w:r>
          </w:p>
        </w:tc>
        <w:tc>
          <w:tcPr>
            <w:tcW w:w="28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(295,483)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(267,879)</w:t>
            </w:r>
          </w:p>
        </w:tc>
        <w:tc>
          <w:tcPr>
            <w:tcW w:w="0" w:type="dxa"/>
            <w:vAlign w:val="bottom"/>
          </w:tcPr>
          <w:p>
            <w:pPr>
              <w:spacing w:after="0"/>
              <w:rPr>
                <w:sz w:val="1"/>
                <w:szCs w:val="1"/>
                <w:color w:val="auto"/>
              </w:rPr>
            </w:pPr>
          </w:p>
        </w:tc>
      </w:tr>
      <w:tr>
        <w:trPr>
          <w:trHeight w:val="276"/>
        </w:trPr>
        <w:tc>
          <w:tcPr>
            <w:tcW w:w="76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Repurchase of common stock</w:t>
            </w:r>
          </w:p>
        </w:tc>
        <w:tc>
          <w:tcPr>
            <w:tcW w:w="28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(254,429)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(199,665)</w:t>
            </w: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Exercise of stock options</w:t>
            </w:r>
          </w:p>
        </w:tc>
        <w:tc>
          <w:tcPr>
            <w:tcW w:w="2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161,399</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8,222</w:t>
            </w:r>
          </w:p>
        </w:tc>
        <w:tc>
          <w:tcPr>
            <w:tcW w:w="0" w:type="dxa"/>
            <w:vAlign w:val="bottom"/>
          </w:tcPr>
          <w:p>
            <w:pPr>
              <w:spacing w:after="0"/>
              <w:rPr>
                <w:sz w:val="1"/>
                <w:szCs w:val="1"/>
                <w:color w:val="auto"/>
              </w:rPr>
            </w:pPr>
          </w:p>
        </w:tc>
      </w:tr>
      <w:tr>
        <w:trPr>
          <w:trHeight w:val="250"/>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(used in) provided by financing activities</w:t>
            </w:r>
          </w:p>
        </w:tc>
        <w:tc>
          <w:tcPr>
            <w:tcW w:w="28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(698,730)</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553,159</w:t>
            </w: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2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3,753</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(4,588)</w:t>
            </w:r>
          </w:p>
        </w:tc>
        <w:tc>
          <w:tcPr>
            <w:tcW w:w="0" w:type="dxa"/>
            <w:vAlign w:val="bottom"/>
          </w:tcPr>
          <w:p>
            <w:pPr>
              <w:spacing w:after="0"/>
              <w:rPr>
                <w:sz w:val="1"/>
                <w:szCs w:val="1"/>
                <w:color w:val="auto"/>
              </w:rPr>
            </w:pPr>
          </w:p>
        </w:tc>
      </w:tr>
      <w:tr>
        <w:trPr>
          <w:trHeight w:val="256"/>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(Decrease) Increase in cash and cash equivalents</w:t>
            </w:r>
          </w:p>
        </w:tc>
        <w:tc>
          <w:tcPr>
            <w:tcW w:w="28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(222,035)</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87,173</w:t>
            </w: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beginning of period</w:t>
            </w:r>
          </w:p>
        </w:tc>
        <w:tc>
          <w:tcPr>
            <w:tcW w:w="2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587,998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380,179</w:t>
            </w:r>
          </w:p>
        </w:tc>
        <w:tc>
          <w:tcPr>
            <w:tcW w:w="0" w:type="dxa"/>
            <w:vAlign w:val="bottom"/>
          </w:tcPr>
          <w:p>
            <w:pPr>
              <w:spacing w:after="0"/>
              <w:rPr>
                <w:sz w:val="1"/>
                <w:szCs w:val="1"/>
                <w:color w:val="auto"/>
              </w:rPr>
            </w:pPr>
          </w:p>
        </w:tc>
      </w:tr>
      <w:tr>
        <w:trPr>
          <w:trHeight w:val="243"/>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and cash equivalents, end of period</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365,963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467,352</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Supplemental Disclosure</w:t>
            </w: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66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paid</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72,167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61,452</w:t>
            </w:r>
          </w:p>
        </w:tc>
        <w:tc>
          <w:tcPr>
            <w:tcW w:w="0" w:type="dxa"/>
            <w:vAlign w:val="bottom"/>
          </w:tcPr>
          <w:p>
            <w:pPr>
              <w:spacing w:after="0"/>
              <w:rPr>
                <w:sz w:val="1"/>
                <w:szCs w:val="1"/>
                <w:color w:val="auto"/>
              </w:rPr>
            </w:pPr>
          </w:p>
        </w:tc>
      </w:tr>
      <w:tr>
        <w:trPr>
          <w:trHeight w:val="258"/>
        </w:trPr>
        <w:tc>
          <w:tcPr>
            <w:tcW w:w="7660" w:type="dxa"/>
            <w:vAlign w:val="bottom"/>
          </w:tcPr>
          <w:p>
            <w:pPr>
              <w:spacing w:after="0"/>
              <w:rPr>
                <w:sz w:val="20"/>
                <w:szCs w:val="20"/>
                <w:color w:val="auto"/>
              </w:rPr>
            </w:pPr>
            <w:r>
              <w:rPr>
                <w:rFonts w:ascii="Arial" w:cs="Arial" w:eastAsia="Arial" w:hAnsi="Arial"/>
                <w:sz w:val="14"/>
                <w:szCs w:val="14"/>
                <w:color w:val="auto"/>
              </w:rPr>
              <w:t>Income taxes paid</w:t>
            </w:r>
          </w:p>
        </w:tc>
        <w:tc>
          <w:tcPr>
            <w:tcW w:w="280" w:type="dxa"/>
            <w:vAlign w:val="bottom"/>
          </w:tcPr>
          <w:p>
            <w:pPr>
              <w:spacing w:after="0"/>
              <w:rPr>
                <w:sz w:val="22"/>
                <w:szCs w:val="22"/>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136,922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70,398</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Unaudited Consolidated Financial Statements.</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580" w:right="239" w:bottom="1440" w:gutter="0" w:footer="0" w:header="0"/>
          <w:type w:val="continuous"/>
        </w:sectPr>
      </w:pPr>
    </w:p>
    <w:bookmarkStart w:id="6" w:name="page7"/>
    <w:bookmarkEnd w:id="6"/>
    <w:p>
      <w:pPr>
        <w:ind w:left="4540"/>
        <w:spacing w:after="0"/>
        <w:rPr>
          <w:sz w:val="20"/>
          <w:szCs w:val="20"/>
          <w:color w:val="auto"/>
        </w:rPr>
      </w:pPr>
      <w:r>
        <w:rPr>
          <w:rFonts w:ascii="Arial" w:cs="Arial" w:eastAsia="Arial" w:hAnsi="Arial"/>
          <w:sz w:val="18"/>
          <w:szCs w:val="18"/>
          <w:b w:val="1"/>
          <w:bCs w:val="1"/>
          <w:color w:val="auto"/>
        </w:rPr>
        <w:t>THE HERSHEY COMPANY</w:t>
      </w:r>
    </w:p>
    <w:p>
      <w:pPr>
        <w:ind w:left="3160"/>
        <w:spacing w:after="0" w:line="203" w:lineRule="auto"/>
        <w:rPr>
          <w:sz w:val="20"/>
          <w:szCs w:val="20"/>
          <w:color w:val="auto"/>
        </w:rPr>
      </w:pPr>
      <w:r>
        <w:rPr>
          <w:rFonts w:ascii="Arial" w:cs="Arial" w:eastAsia="Arial" w:hAnsi="Arial"/>
          <w:sz w:val="18"/>
          <w:szCs w:val="18"/>
          <w:b w:val="1"/>
          <w:bCs w:val="1"/>
          <w:color w:val="auto"/>
        </w:rPr>
        <w:t>CONSOLIDATED STATEMENTS OF STOCKHOLDERS’ EQUITY</w:t>
      </w:r>
    </w:p>
    <w:p>
      <w:pPr>
        <w:jc w:val="center"/>
        <w:ind w:right="20"/>
        <w:spacing w:after="0" w:line="216" w:lineRule="auto"/>
        <w:rPr>
          <w:sz w:val="20"/>
          <w:szCs w:val="20"/>
          <w:color w:val="auto"/>
        </w:rPr>
      </w:pPr>
      <w:r>
        <w:rPr>
          <w:rFonts w:ascii="Arial" w:cs="Arial" w:eastAsia="Arial" w:hAnsi="Arial"/>
          <w:sz w:val="17"/>
          <w:szCs w:val="17"/>
          <w:b w:val="1"/>
          <w:bCs w:val="1"/>
          <w:color w:val="auto"/>
        </w:rPr>
        <w:t>For the Three Months Ended June 30, 2019 and July 1, 2018</w:t>
      </w:r>
    </w:p>
    <w:p>
      <w:pPr>
        <w:jc w:val="center"/>
        <w:ind w:right="20"/>
        <w:spacing w:after="0" w:line="203" w:lineRule="auto"/>
        <w:rPr>
          <w:sz w:val="20"/>
          <w:szCs w:val="20"/>
          <w:color w:val="auto"/>
        </w:rPr>
      </w:pPr>
      <w:r>
        <w:rPr>
          <w:rFonts w:ascii="Arial" w:cs="Arial" w:eastAsia="Arial" w:hAnsi="Arial"/>
          <w:sz w:val="18"/>
          <w:szCs w:val="18"/>
          <w:b w:val="1"/>
          <w:bCs w:val="1"/>
          <w:color w:val="auto"/>
        </w:rPr>
        <w:t>(in thousands)</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380"/>
          </w:cols>
          <w:pgMar w:left="280" w:top="55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Balance, April 1, 2019</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Net income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Other comprehensive income (loss)</w:t>
      </w:r>
    </w:p>
    <w:p>
      <w:pPr>
        <w:spacing w:after="0" w:line="109" w:lineRule="exact"/>
        <w:rPr>
          <w:sz w:val="20"/>
          <w:szCs w:val="20"/>
          <w:color w:val="auto"/>
        </w:rPr>
      </w:pPr>
    </w:p>
    <w:p>
      <w:pPr>
        <w:spacing w:after="0"/>
        <w:rPr>
          <w:sz w:val="20"/>
          <w:szCs w:val="20"/>
          <w:color w:val="auto"/>
        </w:rPr>
      </w:pPr>
      <w:r>
        <w:rPr>
          <w:rFonts w:ascii="Arial" w:cs="Arial" w:eastAsia="Arial" w:hAnsi="Arial"/>
          <w:sz w:val="13"/>
          <w:szCs w:val="13"/>
          <w:color w:val="auto"/>
        </w:rPr>
        <w:t>Dividends (including dividend equivalents):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Common Stock, $0.722 per share</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2"/>
          <w:szCs w:val="12"/>
          <w:color w:val="auto"/>
          <w:shd w:val="clear" w:color="auto" w:fill="CCEEFF"/>
        </w:rPr>
        <w:t>Class B Common Stock, $0.656 per share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Stock-based compensation</w:t>
      </w:r>
    </w:p>
    <w:p>
      <w:pPr>
        <w:spacing w:after="0" w:line="42" w:lineRule="exact"/>
        <w:rPr>
          <w:sz w:val="20"/>
          <w:szCs w:val="20"/>
          <w:color w:val="auto"/>
        </w:rPr>
      </w:pPr>
    </w:p>
    <w:p>
      <w:pPr>
        <w:ind w:right="20"/>
        <w:spacing w:after="0" w:line="253" w:lineRule="auto"/>
        <w:rPr>
          <w:sz w:val="20"/>
          <w:szCs w:val="20"/>
          <w:color w:val="auto"/>
        </w:rPr>
      </w:pPr>
      <w:r>
        <w:rPr>
          <w:rFonts w:ascii="Arial" w:cs="Arial" w:eastAsia="Arial" w:hAnsi="Arial"/>
          <w:sz w:val="14"/>
          <w:szCs w:val="14"/>
          <w:color w:val="auto"/>
        </w:rPr>
        <w:t>Exercise of stock options and incentive-based transactions</w:t>
      </w:r>
    </w:p>
    <w:p>
      <w:pPr>
        <w:spacing w:after="0" w:line="79" w:lineRule="exact"/>
        <w:rPr>
          <w:sz w:val="20"/>
          <w:szCs w:val="20"/>
          <w:color w:val="auto"/>
        </w:rPr>
      </w:pPr>
    </w:p>
    <w:p>
      <w:pPr>
        <w:ind w:right="940"/>
        <w:spacing w:after="0" w:line="546" w:lineRule="auto"/>
        <w:rPr>
          <w:sz w:val="20"/>
          <w:szCs w:val="20"/>
          <w:color w:val="auto"/>
        </w:rPr>
      </w:pPr>
      <w:r>
        <w:rPr>
          <w:rFonts w:ascii="Arial" w:cs="Arial" w:eastAsia="Arial" w:hAnsi="Arial"/>
          <w:sz w:val="12"/>
          <w:szCs w:val="12"/>
          <w:color w:val="auto"/>
        </w:rPr>
        <w:t xml:space="preserve">Repurchase of common stock </w:t>
      </w:r>
      <w:r>
        <w:rPr>
          <w:rFonts w:ascii="Arial" w:cs="Arial" w:eastAsia="Arial" w:hAnsi="Arial"/>
          <w:sz w:val="12"/>
          <w:szCs w:val="12"/>
          <w:b w:val="1"/>
          <w:bCs w:val="1"/>
          <w:color w:val="auto"/>
        </w:rPr>
        <w:t>Balance, June 30, 2019</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Class B</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9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Additional</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Treasury</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11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2"/>
              </w:rPr>
              <w:t>Noncontrolling</w:t>
            </w:r>
          </w:p>
        </w:tc>
        <w:tc>
          <w:tcPr>
            <w:tcW w:w="90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82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6"/>
              </w:rPr>
              <w:t>Preferred</w:t>
            </w: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Common</w:t>
            </w:r>
          </w:p>
        </w:tc>
        <w:tc>
          <w:tcPr>
            <w:tcW w:w="76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2"/>
              </w:rPr>
              <w:t>Common</w:t>
            </w:r>
          </w:p>
        </w:tc>
        <w:tc>
          <w:tcPr>
            <w:tcW w:w="920" w:type="dxa"/>
            <w:vAlign w:val="bottom"/>
            <w:gridSpan w:val="2"/>
            <w:vMerge w:val="continue"/>
          </w:tcPr>
          <w:p>
            <w:pPr>
              <w:spacing w:after="0"/>
              <w:rPr>
                <w:sz w:val="12"/>
                <w:szCs w:val="12"/>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Retained</w:t>
            </w: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1"/>
              </w:rPr>
              <w:t>Comprehensive</w:t>
            </w:r>
          </w:p>
        </w:tc>
        <w:tc>
          <w:tcPr>
            <w:tcW w:w="1120" w:type="dxa"/>
            <w:vAlign w:val="bottom"/>
            <w:gridSpan w:val="3"/>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 w:type="dxa"/>
            <w:vAlign w:val="bottom"/>
            <w:gridSpan w:val="3"/>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Stock</w:t>
            </w: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Paid-in</w:t>
            </w:r>
          </w:p>
        </w:tc>
        <w:tc>
          <w:tcPr>
            <w:tcW w:w="900" w:type="dxa"/>
            <w:vAlign w:val="bottom"/>
            <w:gridSpan w:val="2"/>
            <w:vMerge w:val="continue"/>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Income (Loss)</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Interests in</w:t>
            </w: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62"/>
        </w:trPr>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4"/>
                <w:szCs w:val="14"/>
                <w:color w:val="auto"/>
              </w:rPr>
            </w:pPr>
          </w:p>
        </w:tc>
        <w:tc>
          <w:tcPr>
            <w:tcW w:w="7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4"/>
                <w:szCs w:val="1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Pr>
          <w:p>
            <w:pPr>
              <w:spacing w:after="0"/>
              <w:rPr>
                <w:sz w:val="14"/>
                <w:szCs w:val="14"/>
                <w:color w:val="auto"/>
              </w:rPr>
            </w:pPr>
          </w:p>
        </w:tc>
        <w:tc>
          <w:tcPr>
            <w:tcW w:w="9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38"/>
        </w:trPr>
        <w:tc>
          <w:tcPr>
            <w:tcW w:w="140" w:type="dxa"/>
            <w:vAlign w:val="bottom"/>
          </w:tcPr>
          <w:p>
            <w:pPr>
              <w:spacing w:after="0"/>
              <w:rPr>
                <w:sz w:val="20"/>
                <w:szCs w:val="20"/>
                <w:color w:val="auto"/>
              </w:rPr>
            </w:pPr>
          </w:p>
        </w:tc>
        <w:tc>
          <w:tcPr>
            <w:tcW w:w="6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299,287</w:t>
            </w:r>
          </w:p>
        </w:tc>
        <w:tc>
          <w:tcPr>
            <w:tcW w:w="100" w:type="dxa"/>
            <w:vAlign w:val="bottom"/>
          </w:tcPr>
          <w:p>
            <w:pPr>
              <w:spacing w:after="0"/>
              <w:rPr>
                <w:sz w:val="20"/>
                <w:szCs w:val="20"/>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60,614</w:t>
            </w:r>
          </w:p>
        </w:tc>
        <w:tc>
          <w:tcPr>
            <w:tcW w:w="100" w:type="dxa"/>
            <w:vAlign w:val="bottom"/>
          </w:tcPr>
          <w:p>
            <w:pPr>
              <w:spacing w:after="0"/>
              <w:rPr>
                <w:sz w:val="20"/>
                <w:szCs w:val="20"/>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996,181</w:t>
            </w:r>
          </w:p>
        </w:tc>
        <w:tc>
          <w:tcPr>
            <w:tcW w:w="120" w:type="dxa"/>
            <w:vAlign w:val="bottom"/>
          </w:tcPr>
          <w:p>
            <w:pPr>
              <w:spacing w:after="0"/>
              <w:rPr>
                <w:sz w:val="20"/>
                <w:szCs w:val="20"/>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7,193,240</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(6,786,065)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(348,520)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8,623</w:t>
            </w:r>
          </w:p>
        </w:tc>
        <w:tc>
          <w:tcPr>
            <w:tcW w:w="100" w:type="dxa"/>
            <w:vAlign w:val="bottom"/>
          </w:tcPr>
          <w:p>
            <w:pPr>
              <w:spacing w:after="0"/>
              <w:rPr>
                <w:sz w:val="20"/>
                <w:szCs w:val="20"/>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1,423,360</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312,840</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431</w:t>
            </w:r>
          </w:p>
        </w:tc>
        <w:tc>
          <w:tcPr>
            <w:tcW w:w="10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313,271</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11,784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11,691</w:t>
            </w:r>
          </w:p>
        </w:tc>
        <w:tc>
          <w:tcPr>
            <w:tcW w:w="0" w:type="dxa"/>
            <w:vAlign w:val="bottom"/>
          </w:tcPr>
          <w:p>
            <w:pPr>
              <w:spacing w:after="0"/>
              <w:rPr>
                <w:sz w:val="1"/>
                <w:szCs w:val="1"/>
                <w:color w:val="auto"/>
              </w:rPr>
            </w:pPr>
          </w:p>
        </w:tc>
      </w:tr>
      <w:tr>
        <w:trPr>
          <w:trHeight w:val="540"/>
        </w:trPr>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(108,041)</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(108,041)</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(39,762)</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(39,762)</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12,665</w:t>
            </w: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12,665</w:t>
            </w:r>
          </w:p>
        </w:tc>
        <w:tc>
          <w:tcPr>
            <w:tcW w:w="0" w:type="dxa"/>
            <w:vAlign w:val="bottom"/>
          </w:tcPr>
          <w:p>
            <w:pPr>
              <w:spacing w:after="0"/>
              <w:rPr>
                <w:sz w:val="1"/>
                <w:szCs w:val="1"/>
                <w:color w:val="auto"/>
              </w:rPr>
            </w:pPr>
          </w:p>
        </w:tc>
      </w:tr>
      <w:tr>
        <w:trPr>
          <w:trHeight w:val="351"/>
        </w:trPr>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66,341</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60,485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126,826</w:t>
            </w:r>
          </w:p>
        </w:tc>
        <w:tc>
          <w:tcPr>
            <w:tcW w:w="0" w:type="dxa"/>
            <w:vAlign w:val="bottom"/>
          </w:tcPr>
          <w:p>
            <w:pPr>
              <w:spacing w:after="0"/>
              <w:rPr>
                <w:sz w:val="1"/>
                <w:szCs w:val="1"/>
                <w:color w:val="auto"/>
              </w:rPr>
            </w:pPr>
          </w:p>
        </w:tc>
      </w:tr>
      <w:tr>
        <w:trPr>
          <w:trHeight w:val="276"/>
        </w:trPr>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(55,929)</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(55,929)</w:t>
            </w:r>
          </w:p>
        </w:tc>
        <w:tc>
          <w:tcPr>
            <w:tcW w:w="0" w:type="dxa"/>
            <w:vAlign w:val="bottom"/>
          </w:tcPr>
          <w:p>
            <w:pPr>
              <w:spacing w:after="0"/>
              <w:rPr>
                <w:sz w:val="1"/>
                <w:szCs w:val="1"/>
                <w:color w:val="auto"/>
              </w:rPr>
            </w:pPr>
          </w:p>
        </w:tc>
      </w:tr>
      <w:tr>
        <w:trPr>
          <w:trHeight w:val="237"/>
        </w:trPr>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w w:val="93"/>
              </w:rPr>
              <w:t>$ 299,287</w:t>
            </w:r>
          </w:p>
        </w:tc>
        <w:tc>
          <w:tcPr>
            <w:tcW w:w="100" w:type="dxa"/>
            <w:vAlign w:val="bottom"/>
          </w:tcPr>
          <w:p>
            <w:pPr>
              <w:spacing w:after="0"/>
              <w:rPr>
                <w:sz w:val="20"/>
                <w:szCs w:val="20"/>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w w:val="99"/>
              </w:rPr>
              <w:t>$ 60,614</w:t>
            </w:r>
          </w:p>
        </w:tc>
        <w:tc>
          <w:tcPr>
            <w:tcW w:w="100" w:type="dxa"/>
            <w:vAlign w:val="bottom"/>
          </w:tcPr>
          <w:p>
            <w:pPr>
              <w:spacing w:after="0"/>
              <w:rPr>
                <w:sz w:val="20"/>
                <w:szCs w:val="20"/>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w w:val="96"/>
              </w:rPr>
              <w:t>$1,075,187</w:t>
            </w:r>
          </w:p>
        </w:tc>
        <w:tc>
          <w:tcPr>
            <w:tcW w:w="120" w:type="dxa"/>
            <w:vAlign w:val="bottom"/>
          </w:tcPr>
          <w:p>
            <w:pPr>
              <w:spacing w:after="0"/>
              <w:rPr>
                <w:sz w:val="20"/>
                <w:szCs w:val="20"/>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w w:val="94"/>
              </w:rPr>
              <w:t>$7,358,277</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w w:val="91"/>
              </w:rPr>
              <w:t>$ (6,781,509)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(336,736)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8,961</w:t>
            </w:r>
          </w:p>
        </w:tc>
        <w:tc>
          <w:tcPr>
            <w:tcW w:w="100" w:type="dxa"/>
            <w:vAlign w:val="bottom"/>
          </w:tcPr>
          <w:p>
            <w:pPr>
              <w:spacing w:after="0"/>
              <w:rPr>
                <w:sz w:val="20"/>
                <w:szCs w:val="20"/>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  1,684,081</w:t>
            </w:r>
          </w:p>
        </w:tc>
        <w:tc>
          <w:tcPr>
            <w:tcW w:w="0" w:type="dxa"/>
            <w:vAlign w:val="bottom"/>
          </w:tcPr>
          <w:p>
            <w:pPr>
              <w:spacing w:after="0"/>
              <w:rPr>
                <w:sz w:val="1"/>
                <w:szCs w:val="1"/>
                <w:color w:val="auto"/>
              </w:rPr>
            </w:pP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-1611630</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-1268730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-925830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-582295</wp:posOffset>
            </wp:positionV>
            <wp:extent cx="7246620" cy="2228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-187960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02" w:lineRule="exact"/>
        <w:rPr>
          <w:sz w:val="20"/>
          <w:szCs w:val="20"/>
          <w:color w:val="auto"/>
        </w:rPr>
      </w:pPr>
    </w:p>
    <w:p>
      <w:pPr>
        <w:sectPr>
          <w:pgSz w:w="11900" w:h="16838" w:orient="portrait"/>
          <w:cols w:equalWidth="0" w:num="2">
            <w:col w:w="2640" w:space="200"/>
            <w:col w:w="8540"/>
          </w:cols>
          <w:pgMar w:left="280" w:top="55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Balance, April 2, 2018</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Net income (loss)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Other comprehensive income (loss)</w:t>
      </w:r>
    </w:p>
    <w:p>
      <w:pPr>
        <w:spacing w:after="0" w:line="109" w:lineRule="exact"/>
        <w:rPr>
          <w:sz w:val="20"/>
          <w:szCs w:val="20"/>
          <w:color w:val="auto"/>
        </w:rPr>
      </w:pPr>
    </w:p>
    <w:p>
      <w:pPr>
        <w:spacing w:after="0"/>
        <w:rPr>
          <w:sz w:val="20"/>
          <w:szCs w:val="20"/>
          <w:color w:val="auto"/>
        </w:rPr>
      </w:pPr>
      <w:r>
        <w:rPr>
          <w:rFonts w:ascii="Arial" w:cs="Arial" w:eastAsia="Arial" w:hAnsi="Arial"/>
          <w:sz w:val="13"/>
          <w:szCs w:val="13"/>
          <w:color w:val="auto"/>
        </w:rPr>
        <w:t>Dividends (including dividend equivalents):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Common Stock, $0.656 per share</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2"/>
          <w:szCs w:val="12"/>
          <w:color w:val="auto"/>
          <w:shd w:val="clear" w:color="auto" w:fill="CCEEFF"/>
        </w:rPr>
        <w:t>Class B Common Stock, $0.596 per share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Stock-based compensation</w:t>
      </w:r>
    </w:p>
    <w:p>
      <w:pPr>
        <w:spacing w:after="0" w:line="42" w:lineRule="exact"/>
        <w:rPr>
          <w:sz w:val="20"/>
          <w:szCs w:val="20"/>
          <w:color w:val="auto"/>
        </w:rPr>
      </w:pPr>
    </w:p>
    <w:p>
      <w:pPr>
        <w:ind w:right="20"/>
        <w:spacing w:after="0" w:line="253" w:lineRule="auto"/>
        <w:rPr>
          <w:sz w:val="20"/>
          <w:szCs w:val="20"/>
          <w:color w:val="auto"/>
        </w:rPr>
      </w:pPr>
      <w:r>
        <w:rPr>
          <w:rFonts w:ascii="Arial" w:cs="Arial" w:eastAsia="Arial" w:hAnsi="Arial"/>
          <w:sz w:val="14"/>
          <w:szCs w:val="14"/>
          <w:color w:val="auto"/>
        </w:rPr>
        <w:t>Exercise of stock options and incentive-based transactions</w:t>
      </w:r>
    </w:p>
    <w:p>
      <w:pPr>
        <w:spacing w:after="0" w:line="79" w:lineRule="exact"/>
        <w:rPr>
          <w:sz w:val="20"/>
          <w:szCs w:val="20"/>
          <w:color w:val="auto"/>
        </w:rPr>
      </w:pPr>
    </w:p>
    <w:p>
      <w:pPr>
        <w:ind w:right="940"/>
        <w:spacing w:after="0" w:line="486" w:lineRule="auto"/>
        <w:rPr>
          <w:sz w:val="20"/>
          <w:szCs w:val="20"/>
          <w:color w:val="auto"/>
        </w:rPr>
      </w:pPr>
      <w:r>
        <w:rPr>
          <w:rFonts w:ascii="Arial" w:cs="Arial" w:eastAsia="Arial" w:hAnsi="Arial"/>
          <w:sz w:val="13"/>
          <w:szCs w:val="13"/>
          <w:color w:val="auto"/>
        </w:rPr>
        <w:t xml:space="preserve">Repurchase of common stock </w:t>
      </w:r>
      <w:r>
        <w:rPr>
          <w:rFonts w:ascii="Arial" w:cs="Arial" w:eastAsia="Arial" w:hAnsi="Arial"/>
          <w:sz w:val="13"/>
          <w:szCs w:val="13"/>
          <w:b w:val="1"/>
          <w:bCs w:val="1"/>
          <w:color w:val="auto"/>
        </w:rPr>
        <w:t>Balance, July 1, 2018</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Class B</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Additional</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Treasury</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11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2"/>
              </w:rPr>
              <w:t>Noncontrolling</w:t>
            </w:r>
          </w:p>
        </w:tc>
        <w:tc>
          <w:tcPr>
            <w:tcW w:w="90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82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6"/>
              </w:rPr>
              <w:t>Preferred</w:t>
            </w: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Common</w:t>
            </w:r>
          </w:p>
        </w:tc>
        <w:tc>
          <w:tcPr>
            <w:tcW w:w="76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2"/>
              </w:rPr>
              <w:t>Common</w:t>
            </w:r>
          </w:p>
        </w:tc>
        <w:tc>
          <w:tcPr>
            <w:tcW w:w="900" w:type="dxa"/>
            <w:vAlign w:val="bottom"/>
            <w:gridSpan w:val="2"/>
            <w:vMerge w:val="continue"/>
          </w:tcPr>
          <w:p>
            <w:pPr>
              <w:spacing w:after="0"/>
              <w:rPr>
                <w:sz w:val="12"/>
                <w:szCs w:val="12"/>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Retained</w:t>
            </w: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1"/>
              </w:rPr>
              <w:t>Comprehensive</w:t>
            </w:r>
          </w:p>
        </w:tc>
        <w:tc>
          <w:tcPr>
            <w:tcW w:w="1120" w:type="dxa"/>
            <w:vAlign w:val="bottom"/>
            <w:gridSpan w:val="3"/>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820" w:type="dxa"/>
            <w:vAlign w:val="bottom"/>
            <w:gridSpan w:val="3"/>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76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9"/>
              </w:rPr>
              <w:t>Stock</w:t>
            </w:r>
          </w:p>
        </w:tc>
        <w:tc>
          <w:tcPr>
            <w:tcW w:w="900" w:type="dxa"/>
            <w:vAlign w:val="bottom"/>
            <w:gridSpan w:val="2"/>
          </w:tcPr>
          <w:p>
            <w:pPr>
              <w:ind w:left="160"/>
              <w:spacing w:after="0" w:line="129" w:lineRule="exact"/>
              <w:rPr>
                <w:sz w:val="20"/>
                <w:szCs w:val="20"/>
                <w:color w:val="auto"/>
              </w:rPr>
            </w:pPr>
            <w:r>
              <w:rPr>
                <w:rFonts w:ascii="Arial" w:cs="Arial" w:eastAsia="Arial" w:hAnsi="Arial"/>
                <w:sz w:val="14"/>
                <w:szCs w:val="14"/>
                <w:b w:val="1"/>
                <w:bCs w:val="1"/>
                <w:color w:val="auto"/>
              </w:rPr>
              <w:t>Paid-in</w:t>
            </w:r>
          </w:p>
        </w:tc>
        <w:tc>
          <w:tcPr>
            <w:tcW w:w="900" w:type="dxa"/>
            <w:vAlign w:val="bottom"/>
            <w:gridSpan w:val="2"/>
            <w:vMerge w:val="continue"/>
          </w:tcPr>
          <w:p>
            <w:pPr>
              <w:spacing w:after="0"/>
              <w:rPr>
                <w:sz w:val="11"/>
                <w:szCs w:val="11"/>
                <w:color w:val="auto"/>
              </w:rPr>
            </w:pPr>
          </w:p>
        </w:tc>
        <w:tc>
          <w:tcPr>
            <w:tcW w:w="96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1"/>
                <w:szCs w:val="11"/>
                <w:color w:val="auto"/>
              </w:rPr>
            </w:pPr>
          </w:p>
        </w:tc>
        <w:tc>
          <w:tcPr>
            <w:tcW w:w="122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2"/>
              </w:rPr>
              <w:t>Income (Loss)</w:t>
            </w:r>
          </w:p>
        </w:tc>
        <w:tc>
          <w:tcPr>
            <w:tcW w:w="120" w:type="dxa"/>
            <w:vAlign w:val="bottom"/>
          </w:tcPr>
          <w:p>
            <w:pPr>
              <w:spacing w:after="0"/>
              <w:rPr>
                <w:sz w:val="11"/>
                <w:szCs w:val="11"/>
                <w:color w:val="auto"/>
              </w:rPr>
            </w:pPr>
          </w:p>
        </w:tc>
        <w:tc>
          <w:tcPr>
            <w:tcW w:w="100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0"/>
              </w:rPr>
              <w:t>Interests in</w:t>
            </w:r>
          </w:p>
        </w:tc>
        <w:tc>
          <w:tcPr>
            <w:tcW w:w="9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82"/>
        </w:trPr>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5"/>
                <w:szCs w:val="15"/>
                <w:color w:val="auto"/>
              </w:rPr>
            </w:pPr>
          </w:p>
        </w:tc>
        <w:tc>
          <w:tcPr>
            <w:tcW w:w="7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5"/>
                <w:szCs w:val="15"/>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Pr>
          <w:p>
            <w:pPr>
              <w:spacing w:after="0"/>
              <w:rPr>
                <w:sz w:val="15"/>
                <w:szCs w:val="15"/>
                <w:color w:val="auto"/>
              </w:rPr>
            </w:pPr>
          </w:p>
        </w:tc>
        <w:tc>
          <w:tcPr>
            <w:tcW w:w="9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38"/>
        </w:trPr>
        <w:tc>
          <w:tcPr>
            <w:tcW w:w="140" w:type="dxa"/>
            <w:vAlign w:val="bottom"/>
          </w:tcPr>
          <w:p>
            <w:pPr>
              <w:spacing w:after="0"/>
              <w:rPr>
                <w:sz w:val="20"/>
                <w:szCs w:val="20"/>
                <w:color w:val="auto"/>
              </w:rPr>
            </w:pPr>
          </w:p>
        </w:tc>
        <w:tc>
          <w:tcPr>
            <w:tcW w:w="6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299,281</w:t>
            </w:r>
          </w:p>
        </w:tc>
        <w:tc>
          <w:tcPr>
            <w:tcW w:w="120" w:type="dxa"/>
            <w:vAlign w:val="bottom"/>
          </w:tcPr>
          <w:p>
            <w:pPr>
              <w:spacing w:after="0"/>
              <w:rPr>
                <w:sz w:val="20"/>
                <w:szCs w:val="20"/>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60,620</w:t>
            </w:r>
          </w:p>
        </w:tc>
        <w:tc>
          <w:tcPr>
            <w:tcW w:w="100" w:type="dxa"/>
            <w:vAlign w:val="bottom"/>
          </w:tcPr>
          <w:p>
            <w:pPr>
              <w:spacing w:after="0"/>
              <w:rPr>
                <w:sz w:val="20"/>
                <w:szCs w:val="20"/>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925,965</w:t>
            </w:r>
          </w:p>
        </w:tc>
        <w:tc>
          <w:tcPr>
            <w:tcW w:w="120" w:type="dxa"/>
            <w:vAlign w:val="bottom"/>
          </w:tcPr>
          <w:p>
            <w:pPr>
              <w:spacing w:after="0"/>
              <w:rPr>
                <w:sz w:val="20"/>
                <w:szCs w:val="20"/>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6,634,316</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(6,593,579)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(354,475)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17,527</w:t>
            </w:r>
          </w:p>
        </w:tc>
        <w:tc>
          <w:tcPr>
            <w:tcW w:w="100" w:type="dxa"/>
            <w:vAlign w:val="bottom"/>
          </w:tcPr>
          <w:p>
            <w:pPr>
              <w:spacing w:after="0"/>
              <w:rPr>
                <w:sz w:val="20"/>
                <w:szCs w:val="20"/>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989,655</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226,855</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(3,536)</w:t>
            </w:r>
          </w:p>
        </w:tc>
        <w:tc>
          <w:tcPr>
            <w:tcW w:w="10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223,319</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(13,343)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(13,461)</w:t>
            </w:r>
          </w:p>
        </w:tc>
        <w:tc>
          <w:tcPr>
            <w:tcW w:w="0" w:type="dxa"/>
            <w:vAlign w:val="bottom"/>
          </w:tcPr>
          <w:p>
            <w:pPr>
              <w:spacing w:after="0"/>
              <w:rPr>
                <w:sz w:val="1"/>
                <w:szCs w:val="1"/>
                <w:color w:val="auto"/>
              </w:rPr>
            </w:pPr>
          </w:p>
        </w:tc>
      </w:tr>
      <w:tr>
        <w:trPr>
          <w:trHeight w:val="540"/>
        </w:trPr>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(97,915)</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(97,915)</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(36,129)</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(36,129)</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13,602</w:t>
            </w: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13,602</w:t>
            </w:r>
          </w:p>
        </w:tc>
        <w:tc>
          <w:tcPr>
            <w:tcW w:w="0" w:type="dxa"/>
            <w:vAlign w:val="bottom"/>
          </w:tcPr>
          <w:p>
            <w:pPr>
              <w:spacing w:after="0"/>
              <w:rPr>
                <w:sz w:val="1"/>
                <w:szCs w:val="1"/>
                <w:color w:val="auto"/>
              </w:rPr>
            </w:pPr>
          </w:p>
        </w:tc>
      </w:tr>
      <w:tr>
        <w:trPr>
          <w:trHeight w:val="351"/>
        </w:trPr>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479</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5,859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6,338</w:t>
            </w:r>
          </w:p>
        </w:tc>
        <w:tc>
          <w:tcPr>
            <w:tcW w:w="0" w:type="dxa"/>
            <w:vAlign w:val="bottom"/>
          </w:tcPr>
          <w:p>
            <w:pPr>
              <w:spacing w:after="0"/>
              <w:rPr>
                <w:sz w:val="1"/>
                <w:szCs w:val="1"/>
                <w:color w:val="auto"/>
              </w:rPr>
            </w:pPr>
          </w:p>
        </w:tc>
      </w:tr>
      <w:tr>
        <w:trPr>
          <w:trHeight w:val="276"/>
        </w:trPr>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(21,592)</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(21,592)</w:t>
            </w:r>
          </w:p>
        </w:tc>
        <w:tc>
          <w:tcPr>
            <w:tcW w:w="0" w:type="dxa"/>
            <w:vAlign w:val="bottom"/>
          </w:tcPr>
          <w:p>
            <w:pPr>
              <w:spacing w:after="0"/>
              <w:rPr>
                <w:sz w:val="1"/>
                <w:szCs w:val="1"/>
                <w:color w:val="auto"/>
              </w:rPr>
            </w:pPr>
          </w:p>
        </w:tc>
      </w:tr>
      <w:tr>
        <w:trPr>
          <w:trHeight w:val="237"/>
        </w:trPr>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w w:val="93"/>
              </w:rPr>
              <w:t>$ 299,281</w:t>
            </w:r>
          </w:p>
        </w:tc>
        <w:tc>
          <w:tcPr>
            <w:tcW w:w="120" w:type="dxa"/>
            <w:vAlign w:val="bottom"/>
          </w:tcPr>
          <w:p>
            <w:pPr>
              <w:spacing w:after="0"/>
              <w:rPr>
                <w:sz w:val="20"/>
                <w:szCs w:val="20"/>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w w:val="95"/>
              </w:rPr>
              <w:t>$ 60,620</w:t>
            </w:r>
          </w:p>
        </w:tc>
        <w:tc>
          <w:tcPr>
            <w:tcW w:w="100" w:type="dxa"/>
            <w:vAlign w:val="bottom"/>
          </w:tcPr>
          <w:p>
            <w:pPr>
              <w:spacing w:after="0"/>
              <w:rPr>
                <w:sz w:val="20"/>
                <w:szCs w:val="20"/>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w w:val="99"/>
              </w:rPr>
              <w:t>$  940,046</w:t>
            </w:r>
          </w:p>
        </w:tc>
        <w:tc>
          <w:tcPr>
            <w:tcW w:w="120" w:type="dxa"/>
            <w:vAlign w:val="bottom"/>
          </w:tcPr>
          <w:p>
            <w:pPr>
              <w:spacing w:after="0"/>
              <w:rPr>
                <w:sz w:val="20"/>
                <w:szCs w:val="20"/>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w w:val="94"/>
              </w:rPr>
              <w:t>$6,727,127</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w w:val="91"/>
              </w:rPr>
              <w:t>$ (6,609,312)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(367,818)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13,873</w:t>
            </w:r>
          </w:p>
        </w:tc>
        <w:tc>
          <w:tcPr>
            <w:tcW w:w="100" w:type="dxa"/>
            <w:vAlign w:val="bottom"/>
          </w:tcPr>
          <w:p>
            <w:pPr>
              <w:spacing w:after="0"/>
              <w:rPr>
                <w:sz w:val="20"/>
                <w:szCs w:val="20"/>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  1,063,817</w:t>
            </w:r>
          </w:p>
        </w:tc>
        <w:tc>
          <w:tcPr>
            <w:tcW w:w="0" w:type="dxa"/>
            <w:vAlign w:val="bottom"/>
          </w:tcPr>
          <w:p>
            <w:pPr>
              <w:spacing w:after="0"/>
              <w:rPr>
                <w:sz w:val="1"/>
                <w:szCs w:val="1"/>
                <w:color w:val="auto"/>
              </w:rPr>
            </w:pP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-1611630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-1268730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-925830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-582295</wp:posOffset>
            </wp:positionV>
            <wp:extent cx="7246620" cy="2228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-187960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06" w:lineRule="exact"/>
        <w:rPr>
          <w:sz w:val="20"/>
          <w:szCs w:val="20"/>
          <w:color w:val="auto"/>
        </w:rPr>
      </w:pPr>
    </w:p>
    <w:p>
      <w:pPr>
        <w:sectPr>
          <w:pgSz w:w="11900" w:h="16838" w:orient="portrait"/>
          <w:cols w:equalWidth="0" w:num="2">
            <w:col w:w="2640" w:space="200"/>
            <w:col w:w="8540"/>
          </w:cols>
          <w:pgMar w:left="280" w:top="555" w:right="239" w:bottom="1440" w:gutter="0" w:footer="0" w:header="0"/>
          <w:type w:val="continuous"/>
        </w:sectPr>
      </w:pPr>
    </w:p>
    <w:p>
      <w:pPr>
        <w:jc w:val="center"/>
        <w:ind w:right="40"/>
        <w:spacing w:after="0"/>
        <w:rPr>
          <w:sz w:val="20"/>
          <w:szCs w:val="20"/>
          <w:color w:val="auto"/>
        </w:rPr>
      </w:pPr>
      <w:r>
        <w:rPr>
          <w:rFonts w:ascii="Arial" w:cs="Arial" w:eastAsia="Arial" w:hAnsi="Arial"/>
          <w:sz w:val="15"/>
          <w:szCs w:val="15"/>
          <w:b w:val="1"/>
          <w:bCs w:val="1"/>
          <w:color w:val="auto"/>
        </w:rPr>
        <w:t>See Notes to Unaudited Consolidated Financial Statements.</w:t>
      </w:r>
    </w:p>
    <w:p>
      <w:pPr>
        <w:spacing w:after="0" w:line="200" w:lineRule="exact"/>
        <w:rPr>
          <w:sz w:val="20"/>
          <w:szCs w:val="20"/>
          <w:color w:val="auto"/>
        </w:rPr>
      </w:pPr>
    </w:p>
    <w:p>
      <w:pPr>
        <w:spacing w:after="0" w:line="2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80" w:top="555"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THE HERSHEY COMPANY</w:t>
      </w:r>
    </w:p>
    <w:p>
      <w:pPr>
        <w:jc w:val="center"/>
        <w:spacing w:after="0" w:line="203" w:lineRule="auto"/>
        <w:rPr>
          <w:sz w:val="20"/>
          <w:szCs w:val="20"/>
          <w:color w:val="auto"/>
        </w:rPr>
      </w:pPr>
      <w:r>
        <w:rPr>
          <w:rFonts w:ascii="Arial" w:cs="Arial" w:eastAsia="Arial" w:hAnsi="Arial"/>
          <w:sz w:val="18"/>
          <w:szCs w:val="18"/>
          <w:b w:val="1"/>
          <w:bCs w:val="1"/>
          <w:color w:val="auto"/>
        </w:rPr>
        <w:t>CONSOLIDATED STATEMENTS OF STOCKHOLDERS’ EQUITY</w:t>
      </w:r>
    </w:p>
    <w:p>
      <w:pPr>
        <w:jc w:val="center"/>
        <w:spacing w:after="0" w:line="204" w:lineRule="auto"/>
        <w:rPr>
          <w:sz w:val="20"/>
          <w:szCs w:val="20"/>
          <w:color w:val="auto"/>
        </w:rPr>
      </w:pPr>
      <w:r>
        <w:rPr>
          <w:rFonts w:ascii="Arial" w:cs="Arial" w:eastAsia="Arial" w:hAnsi="Arial"/>
          <w:sz w:val="18"/>
          <w:szCs w:val="18"/>
          <w:b w:val="1"/>
          <w:bCs w:val="1"/>
          <w:color w:val="auto"/>
        </w:rPr>
        <w:t>For the Six Months Ended June 30, 2019 and July 1, 2018</w:t>
      </w:r>
    </w:p>
    <w:p>
      <w:pPr>
        <w:jc w:val="center"/>
        <w:spacing w:after="0" w:line="203" w:lineRule="auto"/>
        <w:rPr>
          <w:sz w:val="20"/>
          <w:szCs w:val="20"/>
          <w:color w:val="auto"/>
        </w:rPr>
      </w:pPr>
      <w:r>
        <w:rPr>
          <w:rFonts w:ascii="Arial" w:cs="Arial" w:eastAsia="Arial" w:hAnsi="Arial"/>
          <w:sz w:val="18"/>
          <w:szCs w:val="18"/>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Class B</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Accumulated</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9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Additional</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Treasury</w:t>
            </w: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Other</w:t>
            </w:r>
          </w:p>
        </w:tc>
        <w:tc>
          <w:tcPr>
            <w:tcW w:w="11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2"/>
              </w:rPr>
              <w:t>Noncontrolling</w:t>
            </w:r>
          </w:p>
        </w:tc>
        <w:tc>
          <w:tcPr>
            <w:tcW w:w="90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2880" w:type="dxa"/>
            <w:vAlign w:val="bottom"/>
          </w:tcPr>
          <w:p>
            <w:pPr>
              <w:spacing w:after="0"/>
              <w:rPr>
                <w:sz w:val="12"/>
                <w:szCs w:val="12"/>
                <w:color w:val="auto"/>
              </w:rPr>
            </w:pPr>
          </w:p>
        </w:tc>
        <w:tc>
          <w:tcPr>
            <w:tcW w:w="8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6"/>
              </w:rPr>
              <w:t>Preferred</w:t>
            </w:r>
          </w:p>
        </w:tc>
        <w:tc>
          <w:tcPr>
            <w:tcW w:w="8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Common</w:t>
            </w:r>
          </w:p>
        </w:tc>
        <w:tc>
          <w:tcPr>
            <w:tcW w:w="76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2"/>
              </w:rPr>
              <w:t>Common</w:t>
            </w:r>
          </w:p>
        </w:tc>
        <w:tc>
          <w:tcPr>
            <w:tcW w:w="920" w:type="dxa"/>
            <w:vAlign w:val="bottom"/>
            <w:gridSpan w:val="2"/>
            <w:vMerge w:val="continue"/>
          </w:tcPr>
          <w:p>
            <w:pPr>
              <w:spacing w:after="0"/>
              <w:rPr>
                <w:sz w:val="12"/>
                <w:szCs w:val="12"/>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Retained</w:t>
            </w:r>
          </w:p>
        </w:tc>
        <w:tc>
          <w:tcPr>
            <w:tcW w:w="960" w:type="dxa"/>
            <w:vAlign w:val="bottom"/>
            <w:gridSpan w:val="2"/>
            <w:vMerge w:val="continue"/>
          </w:tcPr>
          <w:p>
            <w:pPr>
              <w:spacing w:after="0"/>
              <w:rPr>
                <w:sz w:val="12"/>
                <w:szCs w:val="12"/>
                <w:color w:val="auto"/>
              </w:rPr>
            </w:pPr>
          </w:p>
        </w:tc>
        <w:tc>
          <w:tcPr>
            <w:tcW w:w="134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1"/>
              </w:rPr>
              <w:t>Comprehensive</w:t>
            </w:r>
          </w:p>
        </w:tc>
        <w:tc>
          <w:tcPr>
            <w:tcW w:w="1120" w:type="dxa"/>
            <w:vAlign w:val="bottom"/>
            <w:gridSpan w:val="2"/>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88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760" w:type="dxa"/>
            <w:vAlign w:val="bottom"/>
            <w:gridSpan w:val="2"/>
          </w:tcPr>
          <w:p>
            <w:pPr>
              <w:jc w:val="center"/>
              <w:ind w:right="60"/>
              <w:spacing w:after="0" w:line="129" w:lineRule="exact"/>
              <w:rPr>
                <w:sz w:val="20"/>
                <w:szCs w:val="20"/>
                <w:color w:val="auto"/>
              </w:rPr>
            </w:pPr>
            <w:r>
              <w:rPr>
                <w:rFonts w:ascii="Arial" w:cs="Arial" w:eastAsia="Arial" w:hAnsi="Arial"/>
                <w:sz w:val="14"/>
                <w:szCs w:val="14"/>
                <w:b w:val="1"/>
                <w:bCs w:val="1"/>
                <w:color w:val="auto"/>
                <w:w w:val="89"/>
              </w:rPr>
              <w:t>Stock</w:t>
            </w:r>
          </w:p>
        </w:tc>
        <w:tc>
          <w:tcPr>
            <w:tcW w:w="92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94"/>
              </w:rPr>
              <w:t>Paid-in</w:t>
            </w:r>
          </w:p>
        </w:tc>
        <w:tc>
          <w:tcPr>
            <w:tcW w:w="900" w:type="dxa"/>
            <w:vAlign w:val="bottom"/>
            <w:gridSpan w:val="2"/>
            <w:vMerge w:val="continue"/>
          </w:tcPr>
          <w:p>
            <w:pPr>
              <w:spacing w:after="0"/>
              <w:rPr>
                <w:sz w:val="11"/>
                <w:szCs w:val="11"/>
                <w:color w:val="auto"/>
              </w:rPr>
            </w:pPr>
          </w:p>
        </w:tc>
        <w:tc>
          <w:tcPr>
            <w:tcW w:w="960" w:type="dxa"/>
            <w:vAlign w:val="bottom"/>
            <w:gridSpan w:val="2"/>
          </w:tcPr>
          <w:p>
            <w:pPr>
              <w:ind w:left="120"/>
              <w:spacing w:after="0" w:line="129" w:lineRule="exact"/>
              <w:rPr>
                <w:sz w:val="20"/>
                <w:szCs w:val="20"/>
                <w:color w:val="auto"/>
              </w:rPr>
            </w:pPr>
            <w:r>
              <w:rPr>
                <w:rFonts w:ascii="Arial" w:cs="Arial" w:eastAsia="Arial" w:hAnsi="Arial"/>
                <w:sz w:val="14"/>
                <w:szCs w:val="14"/>
                <w:b w:val="1"/>
                <w:bCs w:val="1"/>
                <w:color w:val="auto"/>
              </w:rPr>
              <w:t>Common</w:t>
            </w:r>
          </w:p>
        </w:tc>
        <w:tc>
          <w:tcPr>
            <w:tcW w:w="134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92"/>
              </w:rPr>
              <w:t>Income (Loss)</w:t>
            </w:r>
          </w:p>
        </w:tc>
        <w:tc>
          <w:tcPr>
            <w:tcW w:w="112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90"/>
              </w:rPr>
              <w:t>Interests in</w:t>
            </w:r>
          </w:p>
        </w:tc>
        <w:tc>
          <w:tcPr>
            <w:tcW w:w="9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82"/>
        </w:trPr>
        <w:tc>
          <w:tcPr>
            <w:tcW w:w="2880" w:type="dxa"/>
            <w:vAlign w:val="bottom"/>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5"/>
                <w:szCs w:val="15"/>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5"/>
                <w:szCs w:val="15"/>
                <w:color w:val="auto"/>
              </w:rPr>
            </w:pPr>
          </w:p>
        </w:tc>
        <w:tc>
          <w:tcPr>
            <w:tcW w:w="8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Pr>
          <w:p>
            <w:pPr>
              <w:spacing w:after="0"/>
              <w:rPr>
                <w:sz w:val="15"/>
                <w:szCs w:val="15"/>
                <w:color w:val="auto"/>
              </w:rPr>
            </w:pPr>
          </w:p>
        </w:tc>
        <w:tc>
          <w:tcPr>
            <w:tcW w:w="9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44"/>
        </w:trPr>
        <w:tc>
          <w:tcPr>
            <w:tcW w:w="2880" w:type="dxa"/>
            <w:vAlign w:val="bottom"/>
          </w:tcPr>
          <w:p>
            <w:pPr>
              <w:ind w:left="40"/>
              <w:spacing w:after="0"/>
              <w:rPr>
                <w:sz w:val="20"/>
                <w:szCs w:val="20"/>
                <w:color w:val="auto"/>
              </w:rPr>
            </w:pPr>
            <w:r>
              <w:rPr>
                <w:rFonts w:ascii="Arial" w:cs="Arial" w:eastAsia="Arial" w:hAnsi="Arial"/>
                <w:sz w:val="14"/>
                <w:szCs w:val="14"/>
                <w:b w:val="1"/>
                <w:bCs w:val="1"/>
                <w:color w:val="auto"/>
              </w:rPr>
              <w:t>Balance, December 31, 2018</w:t>
            </w:r>
          </w:p>
        </w:tc>
        <w:tc>
          <w:tcPr>
            <w:tcW w:w="8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299,287</w:t>
            </w:r>
          </w:p>
        </w:tc>
        <w:tc>
          <w:tcPr>
            <w:tcW w:w="10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3"/>
              </w:rPr>
              <w:t>60,614</w:t>
            </w:r>
          </w:p>
        </w:tc>
        <w:tc>
          <w:tcPr>
            <w:tcW w:w="100" w:type="dxa"/>
            <w:vAlign w:val="bottom"/>
          </w:tcPr>
          <w:p>
            <w:pPr>
              <w:spacing w:after="0"/>
              <w:rPr>
                <w:sz w:val="21"/>
                <w:szCs w:val="21"/>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982,205</w:t>
            </w:r>
          </w:p>
        </w:tc>
        <w:tc>
          <w:tcPr>
            <w:tcW w:w="12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7,032,020</w:t>
            </w:r>
          </w:p>
        </w:tc>
        <w:tc>
          <w:tcPr>
            <w:tcW w:w="100" w:type="dxa"/>
            <w:vAlign w:val="bottom"/>
          </w:tcPr>
          <w:p>
            <w:pPr>
              <w:spacing w:after="0"/>
              <w:rPr>
                <w:sz w:val="21"/>
                <w:szCs w:val="21"/>
                <w:color w:val="auto"/>
              </w:rPr>
            </w:pPr>
          </w:p>
        </w:tc>
        <w:tc>
          <w:tcPr>
            <w:tcW w:w="840" w:type="dxa"/>
            <w:vAlign w:val="bottom"/>
          </w:tcPr>
          <w:p>
            <w:pPr>
              <w:ind w:left="120"/>
              <w:spacing w:after="0"/>
              <w:rPr>
                <w:sz w:val="20"/>
                <w:szCs w:val="20"/>
                <w:color w:val="auto"/>
              </w:rPr>
            </w:pPr>
            <w:r>
              <w:rPr>
                <w:rFonts w:ascii="Arial" w:cs="Arial" w:eastAsia="Arial" w:hAnsi="Arial"/>
                <w:sz w:val="14"/>
                <w:szCs w:val="14"/>
                <w:color w:val="auto"/>
                <w:w w:val="97"/>
              </w:rPr>
              <w:t>(6,618,625)</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(356,780)</w:t>
            </w:r>
          </w:p>
        </w:tc>
        <w:tc>
          <w:tcPr>
            <w:tcW w:w="100" w:type="dxa"/>
            <w:vAlign w:val="bottom"/>
          </w:tcPr>
          <w:p>
            <w:pPr>
              <w:spacing w:after="0"/>
              <w:rPr>
                <w:sz w:val="21"/>
                <w:szCs w:val="21"/>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8,545</w:t>
            </w:r>
          </w:p>
        </w:tc>
        <w:tc>
          <w:tcPr>
            <w:tcW w:w="10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1,407,266</w:t>
            </w:r>
          </w:p>
        </w:tc>
        <w:tc>
          <w:tcPr>
            <w:tcW w:w="0" w:type="dxa"/>
            <w:vAlign w:val="bottom"/>
          </w:tcPr>
          <w:p>
            <w:pPr>
              <w:spacing w:after="0"/>
              <w:rPr>
                <w:sz w:val="1"/>
                <w:szCs w:val="1"/>
                <w:color w:val="auto"/>
              </w:rPr>
            </w:pPr>
          </w:p>
        </w:tc>
      </w:tr>
      <w:tr>
        <w:trPr>
          <w:trHeight w:val="276"/>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617,198</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617,152</w:t>
            </w:r>
          </w:p>
        </w:tc>
        <w:tc>
          <w:tcPr>
            <w:tcW w:w="0" w:type="dxa"/>
            <w:vAlign w:val="bottom"/>
          </w:tcPr>
          <w:p>
            <w:pPr>
              <w:spacing w:after="0"/>
              <w:rPr>
                <w:sz w:val="1"/>
                <w:szCs w:val="1"/>
                <w:color w:val="auto"/>
              </w:rPr>
            </w:pPr>
          </w:p>
        </w:tc>
      </w:tr>
      <w:tr>
        <w:trPr>
          <w:trHeight w:val="264"/>
        </w:trPr>
        <w:tc>
          <w:tcPr>
            <w:tcW w:w="2880" w:type="dxa"/>
            <w:vAlign w:val="bottom"/>
          </w:tcPr>
          <w:p>
            <w:pPr>
              <w:ind w:left="40"/>
              <w:spacing w:after="0"/>
              <w:rPr>
                <w:sz w:val="20"/>
                <w:szCs w:val="20"/>
                <w:color w:val="auto"/>
              </w:rPr>
            </w:pPr>
            <w:r>
              <w:rPr>
                <w:rFonts w:ascii="Arial" w:cs="Arial" w:eastAsia="Arial" w:hAnsi="Arial"/>
                <w:sz w:val="14"/>
                <w:szCs w:val="14"/>
                <w:color w:val="auto"/>
              </w:rPr>
              <w:t>Other comprehensive income</w:t>
            </w: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20,044</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462</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20,506</w:t>
            </w:r>
          </w:p>
        </w:tc>
        <w:tc>
          <w:tcPr>
            <w:tcW w:w="0" w:type="dxa"/>
            <w:vAlign w:val="bottom"/>
          </w:tcPr>
          <w:p>
            <w:pPr>
              <w:spacing w:after="0"/>
              <w:rPr>
                <w:sz w:val="1"/>
                <w:szCs w:val="1"/>
                <w:color w:val="auto"/>
              </w:rPr>
            </w:pPr>
          </w:p>
        </w:tc>
      </w:tr>
      <w:tr>
        <w:trPr>
          <w:trHeight w:val="276"/>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(including dividend equivalents):</w:t>
            </w: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ectPr>
          <w:pgSz w:w="11900" w:h="16838" w:orient="portrait"/>
          <w:cols w:equalWidth="0" w:num="1">
            <w:col w:w="11420"/>
          </w:cols>
          <w:pgMar w:left="240" w:top="555" w:right="239" w:bottom="1440" w:gutter="0" w:footer="0" w:header="0"/>
        </w:sectPr>
      </w:pPr>
    </w:p>
    <w:p>
      <w:pPr>
        <w:ind w:left="280"/>
        <w:spacing w:after="0"/>
        <w:rPr>
          <w:sz w:val="20"/>
          <w:szCs w:val="20"/>
          <w:color w:val="auto"/>
        </w:rPr>
      </w:pPr>
      <w:r>
        <w:rPr>
          <w:rFonts w:ascii="Arial" w:cs="Arial" w:eastAsia="Arial" w:hAnsi="Arial"/>
          <w:sz w:val="14"/>
          <w:szCs w:val="14"/>
          <w:color w:val="auto"/>
        </w:rPr>
        <w:t>Common Stock, $1.444 per share</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2"/>
          <w:szCs w:val="12"/>
          <w:color w:val="auto"/>
          <w:shd w:val="clear" w:color="auto" w:fill="CCEEFF"/>
        </w:rPr>
        <w:t>Class B Common Stock, $1.312 per share</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color w:val="auto"/>
        </w:rPr>
        <w:t>Stock-based compensation</w:t>
      </w:r>
    </w:p>
    <w:p>
      <w:pPr>
        <w:spacing w:after="0" w:line="42" w:lineRule="exact"/>
        <w:rPr>
          <w:sz w:val="20"/>
          <w:szCs w:val="20"/>
          <w:color w:val="auto"/>
        </w:rPr>
      </w:pPr>
    </w:p>
    <w:p>
      <w:pPr>
        <w:ind w:left="40" w:right="20"/>
        <w:spacing w:after="0" w:line="253" w:lineRule="auto"/>
        <w:rPr>
          <w:sz w:val="20"/>
          <w:szCs w:val="20"/>
          <w:color w:val="auto"/>
        </w:rPr>
      </w:pPr>
      <w:r>
        <w:rPr>
          <w:rFonts w:ascii="Arial" w:cs="Arial" w:eastAsia="Arial" w:hAnsi="Arial"/>
          <w:sz w:val="14"/>
          <w:szCs w:val="14"/>
          <w:color w:val="auto"/>
        </w:rPr>
        <w:t>Exercise of stock options and incentive-based transactions</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Repurchase of common stock</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Impact of ASU 2016-02 related to leases</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June 30,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December 31, 2017</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 (loss)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income (loss)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color w:val="auto"/>
        </w:rPr>
        <w:t>Dividends (including dividend equivalents):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(215,329)</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(215,329)</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(79,525)</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(79,525)</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gridSpan w:val="2"/>
          </w:tcPr>
          <w:p>
            <w:pPr>
              <w:jc w:val="right"/>
              <w:ind w:right="28"/>
              <w:spacing w:after="0"/>
              <w:rPr>
                <w:sz w:val="20"/>
                <w:szCs w:val="20"/>
                <w:color w:val="auto"/>
              </w:rPr>
            </w:pPr>
            <w:r>
              <w:rPr>
                <w:rFonts w:ascii="Arial" w:cs="Arial" w:eastAsia="Arial" w:hAnsi="Arial"/>
                <w:sz w:val="14"/>
                <w:szCs w:val="14"/>
                <w:color w:val="auto"/>
              </w:rPr>
              <w:t>23,128</w:t>
            </w: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23,128</w:t>
            </w:r>
          </w:p>
        </w:tc>
        <w:tc>
          <w:tcPr>
            <w:tcW w:w="0" w:type="dxa"/>
            <w:vAlign w:val="bottom"/>
          </w:tcPr>
          <w:p>
            <w:pPr>
              <w:spacing w:after="0"/>
              <w:rPr>
                <w:sz w:val="1"/>
                <w:szCs w:val="1"/>
                <w:color w:val="auto"/>
              </w:rPr>
            </w:pPr>
          </w:p>
        </w:tc>
      </w:tr>
      <w:tr>
        <w:trPr>
          <w:trHeight w:val="351"/>
        </w:trPr>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jc w:val="right"/>
              <w:ind w:right="28"/>
              <w:spacing w:after="0"/>
              <w:rPr>
                <w:sz w:val="20"/>
                <w:szCs w:val="20"/>
                <w:color w:val="auto"/>
              </w:rPr>
            </w:pPr>
            <w:r>
              <w:rPr>
                <w:rFonts w:ascii="Arial" w:cs="Arial" w:eastAsia="Arial" w:hAnsi="Arial"/>
                <w:sz w:val="14"/>
                <w:szCs w:val="14"/>
                <w:color w:val="auto"/>
              </w:rPr>
              <w:t>69,854</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91,545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161,399</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(254,429)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(254,429)</w:t>
            </w:r>
          </w:p>
        </w:tc>
        <w:tc>
          <w:tcPr>
            <w:tcW w:w="0" w:type="dxa"/>
            <w:vAlign w:val="bottom"/>
          </w:tcPr>
          <w:p>
            <w:pPr>
              <w:spacing w:after="0"/>
              <w:rPr>
                <w:sz w:val="1"/>
                <w:szCs w:val="1"/>
                <w:color w:val="auto"/>
              </w:rPr>
            </w:pPr>
          </w:p>
        </w:tc>
      </w:tr>
      <w:tr>
        <w:trPr>
          <w:trHeight w:val="276"/>
        </w:trPr>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3,913</w:t>
            </w:r>
          </w:p>
        </w:tc>
        <w:tc>
          <w:tcPr>
            <w:tcW w:w="10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3,913</w:t>
            </w:r>
          </w:p>
        </w:tc>
        <w:tc>
          <w:tcPr>
            <w:tcW w:w="0" w:type="dxa"/>
            <w:vAlign w:val="bottom"/>
          </w:tcPr>
          <w:p>
            <w:pPr>
              <w:spacing w:after="0"/>
              <w:rPr>
                <w:sz w:val="1"/>
                <w:szCs w:val="1"/>
                <w:color w:val="auto"/>
              </w:rPr>
            </w:pPr>
          </w:p>
        </w:tc>
      </w:tr>
      <w:tr>
        <w:trPr>
          <w:trHeight w:val="237"/>
        </w:trPr>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w w:val="93"/>
              </w:rPr>
              <w:t>$ 299,287</w:t>
            </w:r>
          </w:p>
        </w:tc>
        <w:tc>
          <w:tcPr>
            <w:tcW w:w="100" w:type="dxa"/>
            <w:vAlign w:val="bottom"/>
          </w:tcPr>
          <w:p>
            <w:pPr>
              <w:spacing w:after="0"/>
              <w:rPr>
                <w:sz w:val="20"/>
                <w:szCs w:val="20"/>
                <w:color w:val="auto"/>
              </w:rPr>
            </w:pPr>
          </w:p>
        </w:tc>
        <w:tc>
          <w:tcPr>
            <w:tcW w:w="660" w:type="dxa"/>
            <w:vAlign w:val="bottom"/>
            <w:gridSpan w:val="2"/>
          </w:tcPr>
          <w:p>
            <w:pPr>
              <w:jc w:val="right"/>
              <w:ind w:right="28"/>
              <w:spacing w:after="0"/>
              <w:rPr>
                <w:sz w:val="20"/>
                <w:szCs w:val="20"/>
                <w:color w:val="auto"/>
              </w:rPr>
            </w:pPr>
            <w:r>
              <w:rPr>
                <w:rFonts w:ascii="Arial" w:cs="Arial" w:eastAsia="Arial" w:hAnsi="Arial"/>
                <w:sz w:val="14"/>
                <w:szCs w:val="14"/>
                <w:color w:val="auto"/>
                <w:w w:val="99"/>
              </w:rPr>
              <w:t>$ 60,614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28"/>
              <w:spacing w:after="0"/>
              <w:rPr>
                <w:sz w:val="20"/>
                <w:szCs w:val="20"/>
                <w:color w:val="auto"/>
              </w:rPr>
            </w:pPr>
            <w:r>
              <w:rPr>
                <w:rFonts w:ascii="Arial" w:cs="Arial" w:eastAsia="Arial" w:hAnsi="Arial"/>
                <w:sz w:val="14"/>
                <w:szCs w:val="14"/>
                <w:color w:val="auto"/>
                <w:w w:val="96"/>
              </w:rPr>
              <w:t>$1,075,187</w:t>
            </w:r>
          </w:p>
        </w:tc>
        <w:tc>
          <w:tcPr>
            <w:tcW w:w="120" w:type="dxa"/>
            <w:vAlign w:val="bottom"/>
          </w:tcPr>
          <w:p>
            <w:pPr>
              <w:spacing w:after="0"/>
              <w:rPr>
                <w:sz w:val="20"/>
                <w:szCs w:val="20"/>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w w:val="94"/>
              </w:rPr>
              <w:t>$7,358,277</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w w:val="91"/>
              </w:rPr>
              <w:t>$ (6,781,509)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(336,736)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8,961</w:t>
            </w:r>
          </w:p>
        </w:tc>
        <w:tc>
          <w:tcPr>
            <w:tcW w:w="100" w:type="dxa"/>
            <w:vAlign w:val="bottom"/>
          </w:tcPr>
          <w:p>
            <w:pPr>
              <w:spacing w:after="0"/>
              <w:rPr>
                <w:sz w:val="20"/>
                <w:szCs w:val="20"/>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  1,684,081</w:t>
            </w:r>
          </w:p>
        </w:tc>
        <w:tc>
          <w:tcPr>
            <w:tcW w:w="0" w:type="dxa"/>
            <w:vAlign w:val="bottom"/>
          </w:tcPr>
          <w:p>
            <w:pPr>
              <w:spacing w:after="0"/>
              <w:rPr>
                <w:sz w:val="1"/>
                <w:szCs w:val="1"/>
                <w:color w:val="auto"/>
              </w:rPr>
            </w:pP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89"/>
              </w:rPr>
              <w:t>Class B</w:t>
            </w: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Additional</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Treasury</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11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2"/>
              </w:rPr>
              <w:t>Noncontrolling</w:t>
            </w:r>
          </w:p>
        </w:tc>
        <w:tc>
          <w:tcPr>
            <w:tcW w:w="90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82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6"/>
              </w:rPr>
              <w:t>Preferred</w:t>
            </w:r>
          </w:p>
        </w:tc>
        <w:tc>
          <w:tcPr>
            <w:tcW w:w="8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Common</w:t>
            </w:r>
          </w:p>
        </w:tc>
        <w:tc>
          <w:tcPr>
            <w:tcW w:w="20" w:type="dxa"/>
            <w:vAlign w:val="bottom"/>
          </w:tcPr>
          <w:p>
            <w:pPr>
              <w:spacing w:after="0"/>
              <w:rPr>
                <w:sz w:val="12"/>
                <w:szCs w:val="12"/>
                <w:color w:val="auto"/>
              </w:rPr>
            </w:pPr>
          </w:p>
        </w:tc>
        <w:tc>
          <w:tcPr>
            <w:tcW w:w="740" w:type="dxa"/>
            <w:vAlign w:val="bottom"/>
            <w:gridSpan w:val="3"/>
          </w:tcPr>
          <w:p>
            <w:pPr>
              <w:jc w:val="center"/>
              <w:ind w:right="100"/>
              <w:spacing w:after="0" w:line="145" w:lineRule="exact"/>
              <w:rPr>
                <w:sz w:val="20"/>
                <w:szCs w:val="20"/>
                <w:color w:val="auto"/>
              </w:rPr>
            </w:pPr>
            <w:r>
              <w:rPr>
                <w:rFonts w:ascii="Arial" w:cs="Arial" w:eastAsia="Arial" w:hAnsi="Arial"/>
                <w:sz w:val="14"/>
                <w:szCs w:val="14"/>
                <w:b w:val="1"/>
                <w:bCs w:val="1"/>
                <w:color w:val="auto"/>
                <w:w w:val="92"/>
              </w:rPr>
              <w:t>Common</w:t>
            </w:r>
          </w:p>
        </w:tc>
        <w:tc>
          <w:tcPr>
            <w:tcW w:w="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Retained</w:t>
            </w: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1"/>
              </w:rPr>
              <w:t>Comprehensive</w:t>
            </w:r>
          </w:p>
        </w:tc>
        <w:tc>
          <w:tcPr>
            <w:tcW w:w="1120" w:type="dxa"/>
            <w:vAlign w:val="bottom"/>
            <w:gridSpan w:val="3"/>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 w:type="dxa"/>
            <w:vAlign w:val="bottom"/>
            <w:gridSpan w:val="3"/>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Stock</w:t>
            </w:r>
          </w:p>
        </w:tc>
        <w:tc>
          <w:tcPr>
            <w:tcW w:w="20" w:type="dxa"/>
            <w:vAlign w:val="bottom"/>
          </w:tcPr>
          <w:p>
            <w:pPr>
              <w:spacing w:after="0"/>
              <w:rPr>
                <w:sz w:val="12"/>
                <w:szCs w:val="12"/>
                <w:color w:val="auto"/>
              </w:rPr>
            </w:pPr>
          </w:p>
        </w:tc>
        <w:tc>
          <w:tcPr>
            <w:tcW w:w="90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Paid-in</w:t>
            </w:r>
          </w:p>
        </w:tc>
        <w:tc>
          <w:tcPr>
            <w:tcW w:w="900" w:type="dxa"/>
            <w:vAlign w:val="bottom"/>
            <w:gridSpan w:val="2"/>
            <w:vMerge w:val="continue"/>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Income (Loss)</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Interests in</w:t>
            </w: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62"/>
        </w:trPr>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4"/>
                <w:szCs w:val="14"/>
                <w:color w:val="auto"/>
              </w:rPr>
            </w:pPr>
          </w:p>
        </w:tc>
        <w:tc>
          <w:tcPr>
            <w:tcW w:w="7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Pr>
          <w:p>
            <w:pPr>
              <w:spacing w:after="0"/>
              <w:rPr>
                <w:sz w:val="14"/>
                <w:szCs w:val="14"/>
                <w:color w:val="auto"/>
              </w:rPr>
            </w:pPr>
          </w:p>
        </w:tc>
        <w:tc>
          <w:tcPr>
            <w:tcW w:w="9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38"/>
        </w:trPr>
        <w:tc>
          <w:tcPr>
            <w:tcW w:w="140" w:type="dxa"/>
            <w:vAlign w:val="bottom"/>
          </w:tcPr>
          <w:p>
            <w:pPr>
              <w:spacing w:after="0"/>
              <w:rPr>
                <w:sz w:val="20"/>
                <w:szCs w:val="20"/>
                <w:color w:val="auto"/>
              </w:rPr>
            </w:pPr>
          </w:p>
        </w:tc>
        <w:tc>
          <w:tcPr>
            <w:tcW w:w="6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299,281</w:t>
            </w:r>
          </w:p>
        </w:tc>
        <w:tc>
          <w:tcPr>
            <w:tcW w:w="100" w:type="dxa"/>
            <w:vAlign w:val="bottom"/>
          </w:tcPr>
          <w:p>
            <w:pPr>
              <w:spacing w:after="0"/>
              <w:rPr>
                <w:sz w:val="20"/>
                <w:szCs w:val="20"/>
                <w:color w:val="auto"/>
              </w:rPr>
            </w:pPr>
          </w:p>
        </w:tc>
        <w:tc>
          <w:tcPr>
            <w:tcW w:w="660" w:type="dxa"/>
            <w:vAlign w:val="bottom"/>
            <w:gridSpan w:val="2"/>
          </w:tcPr>
          <w:p>
            <w:pPr>
              <w:jc w:val="center"/>
              <w:ind w:left="8"/>
              <w:spacing w:after="0"/>
              <w:rPr>
                <w:sz w:val="20"/>
                <w:szCs w:val="20"/>
                <w:color w:val="auto"/>
              </w:rPr>
            </w:pPr>
            <w:r>
              <w:rPr>
                <w:rFonts w:ascii="Arial" w:cs="Arial" w:eastAsia="Arial" w:hAnsi="Arial"/>
                <w:sz w:val="14"/>
                <w:szCs w:val="14"/>
                <w:color w:val="auto"/>
                <w:w w:val="88"/>
              </w:rPr>
              <w:t>60,620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28"/>
              <w:spacing w:after="0"/>
              <w:rPr>
                <w:sz w:val="20"/>
                <w:szCs w:val="20"/>
                <w:color w:val="auto"/>
              </w:rPr>
            </w:pPr>
            <w:r>
              <w:rPr>
                <w:rFonts w:ascii="Arial" w:cs="Arial" w:eastAsia="Arial" w:hAnsi="Arial"/>
                <w:sz w:val="14"/>
                <w:szCs w:val="14"/>
                <w:color w:val="auto"/>
              </w:rPr>
              <w:t>924,978</w:t>
            </w:r>
          </w:p>
        </w:tc>
        <w:tc>
          <w:tcPr>
            <w:tcW w:w="120" w:type="dxa"/>
            <w:vAlign w:val="bottom"/>
          </w:tcPr>
          <w:p>
            <w:pPr>
              <w:spacing w:after="0"/>
              <w:rPr>
                <w:sz w:val="20"/>
                <w:szCs w:val="20"/>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6,371,082</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(6,426,877)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(313,746)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16,227</w:t>
            </w:r>
          </w:p>
        </w:tc>
        <w:tc>
          <w:tcPr>
            <w:tcW w:w="100" w:type="dxa"/>
            <w:vAlign w:val="bottom"/>
          </w:tcPr>
          <w:p>
            <w:pPr>
              <w:spacing w:after="0"/>
              <w:rPr>
                <w:sz w:val="20"/>
                <w:szCs w:val="20"/>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931,565</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577,058</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(3,020)</w:t>
            </w:r>
          </w:p>
        </w:tc>
        <w:tc>
          <w:tcPr>
            <w:tcW w:w="10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574,038</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(6,416)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666</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(5,750)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-2281555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-1938655</wp:posOffset>
            </wp:positionV>
            <wp:extent cx="7246620" cy="2228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-1543685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-334645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7620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58" w:lineRule="exact"/>
        <w:rPr>
          <w:sz w:val="20"/>
          <w:szCs w:val="20"/>
          <w:color w:val="auto"/>
        </w:rPr>
      </w:pPr>
    </w:p>
    <w:p>
      <w:pPr>
        <w:sectPr>
          <w:pgSz w:w="11900" w:h="16838" w:orient="portrait"/>
          <w:cols w:equalWidth="0" w:num="2">
            <w:col w:w="2680" w:space="200"/>
            <w:col w:w="8540"/>
          </w:cols>
          <w:pgMar w:left="240" w:top="555" w:right="2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2880" w:type="dxa"/>
            <w:vAlign w:val="bottom"/>
          </w:tcPr>
          <w:p>
            <w:pPr>
              <w:ind w:left="280"/>
              <w:spacing w:after="0"/>
              <w:rPr>
                <w:sz w:val="20"/>
                <w:szCs w:val="20"/>
                <w:color w:val="auto"/>
              </w:rPr>
            </w:pPr>
            <w:r>
              <w:rPr>
                <w:rFonts w:ascii="Arial" w:cs="Arial" w:eastAsia="Arial" w:hAnsi="Arial"/>
                <w:sz w:val="14"/>
                <w:szCs w:val="14"/>
                <w:color w:val="auto"/>
              </w:rPr>
              <w:t>Common Stock, $1.312 per share</w:t>
            </w: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(196,410)</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(196,410)</w:t>
            </w:r>
          </w:p>
        </w:tc>
      </w:tr>
      <w:tr>
        <w:trPr>
          <w:trHeight w:val="256"/>
        </w:trPr>
        <w:tc>
          <w:tcPr>
            <w:tcW w:w="2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w w:val="98"/>
                <w:shd w:val="clear" w:color="auto" w:fill="CCEEFF"/>
              </w:rPr>
              <w:t>Class B Common Stock, $1.192 per share</w:t>
            </w:r>
          </w:p>
        </w:tc>
        <w:tc>
          <w:tcPr>
            <w:tcW w:w="2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(72,259)</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(72,259)</w:t>
            </w:r>
          </w:p>
        </w:tc>
      </w:tr>
      <w:tr>
        <w:trPr>
          <w:trHeight w:val="264"/>
        </w:trPr>
        <w:tc>
          <w:tcPr>
            <w:tcW w:w="2880" w:type="dxa"/>
            <w:vAlign w:val="bottom"/>
          </w:tcPr>
          <w:p>
            <w:pPr>
              <w:ind w:left="40"/>
              <w:spacing w:after="0"/>
              <w:rPr>
                <w:sz w:val="20"/>
                <w:szCs w:val="20"/>
                <w:color w:val="auto"/>
              </w:rPr>
            </w:pPr>
            <w:r>
              <w:rPr>
                <w:rFonts w:ascii="Arial" w:cs="Arial" w:eastAsia="Arial" w:hAnsi="Arial"/>
                <w:sz w:val="14"/>
                <w:szCs w:val="14"/>
                <w:color w:val="auto"/>
              </w:rPr>
              <w:t>Stock-based compensation</w:t>
            </w: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24,076</w:t>
            </w: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24,076</w:t>
            </w:r>
          </w:p>
        </w:tc>
      </w:tr>
      <w:tr>
        <w:trPr>
          <w:trHeight w:val="163"/>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w w:val="99"/>
              </w:rPr>
              <w:t>Exercise of stock options and incentive-based</w:t>
            </w:r>
          </w:p>
        </w:tc>
        <w:tc>
          <w:tcPr>
            <w:tcW w:w="2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94"/>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transactions</w:t>
            </w:r>
          </w:p>
        </w:tc>
        <w:tc>
          <w:tcPr>
            <w:tcW w:w="2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(9,008)</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17,230</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8,222</w:t>
            </w:r>
          </w:p>
        </w:tc>
      </w:tr>
      <w:tr>
        <w:trPr>
          <w:trHeight w:val="264"/>
        </w:trPr>
        <w:tc>
          <w:tcPr>
            <w:tcW w:w="2880" w:type="dxa"/>
            <w:vAlign w:val="bottom"/>
          </w:tcPr>
          <w:p>
            <w:pPr>
              <w:ind w:left="40"/>
              <w:spacing w:after="0"/>
              <w:rPr>
                <w:sz w:val="20"/>
                <w:szCs w:val="20"/>
                <w:color w:val="auto"/>
              </w:rPr>
            </w:pPr>
            <w:r>
              <w:rPr>
                <w:rFonts w:ascii="Arial" w:cs="Arial" w:eastAsia="Arial" w:hAnsi="Arial"/>
                <w:sz w:val="14"/>
                <w:szCs w:val="14"/>
                <w:color w:val="auto"/>
              </w:rPr>
              <w:t>Repurchase of common stock</w:t>
            </w: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(199,665)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(199,665)</w:t>
            </w:r>
          </w:p>
        </w:tc>
      </w:tr>
      <w:tr>
        <w:trPr>
          <w:trHeight w:val="163"/>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Reclassification of tax effects relating to U.S.</w:t>
            </w:r>
          </w:p>
        </w:tc>
        <w:tc>
          <w:tcPr>
            <w:tcW w:w="2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88"/>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tax reform</w:t>
            </w:r>
          </w:p>
        </w:tc>
        <w:tc>
          <w:tcPr>
            <w:tcW w:w="26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47,656</w:t>
            </w:r>
          </w:p>
        </w:tc>
        <w:tc>
          <w:tcPr>
            <w:tcW w:w="100" w:type="dxa"/>
            <w:vAlign w:val="bottom"/>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(47,656)</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2880" w:type="dxa"/>
            <w:vAlign w:val="bottom"/>
          </w:tcPr>
          <w:p>
            <w:pPr>
              <w:ind w:left="40"/>
              <w:spacing w:after="0"/>
              <w:rPr>
                <w:sz w:val="20"/>
                <w:szCs w:val="20"/>
                <w:color w:val="auto"/>
              </w:rPr>
            </w:pPr>
            <w:r>
              <w:rPr>
                <w:rFonts w:ascii="Arial" w:cs="Arial" w:eastAsia="Arial" w:hAnsi="Arial"/>
                <w:sz w:val="14"/>
                <w:szCs w:val="14"/>
                <w:b w:val="1"/>
                <w:bCs w:val="1"/>
                <w:color w:val="auto"/>
              </w:rPr>
              <w:t>Balance, July 1, 2018</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56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w w:val="93"/>
              </w:rPr>
              <w:t>$ 299,281</w:t>
            </w:r>
          </w:p>
        </w:tc>
        <w:tc>
          <w:tcPr>
            <w:tcW w:w="120" w:type="dxa"/>
            <w:vAlign w:val="bottom"/>
          </w:tcPr>
          <w:p>
            <w:pPr>
              <w:spacing w:after="0"/>
              <w:rPr>
                <w:sz w:val="21"/>
                <w:szCs w:val="21"/>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w w:val="95"/>
              </w:rPr>
              <w:t>$ 60,620</w:t>
            </w:r>
          </w:p>
        </w:tc>
        <w:tc>
          <w:tcPr>
            <w:tcW w:w="10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w w:val="99"/>
              </w:rPr>
              <w:t>$  940,046</w:t>
            </w:r>
          </w:p>
        </w:tc>
        <w:tc>
          <w:tcPr>
            <w:tcW w:w="12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w w:val="94"/>
              </w:rPr>
              <w:t>$6,727,127</w:t>
            </w: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w w:val="91"/>
              </w:rPr>
              <w:t>$ (6,609,312)</w:t>
            </w:r>
          </w:p>
        </w:tc>
        <w:tc>
          <w:tcPr>
            <w:tcW w:w="120" w:type="dxa"/>
            <w:vAlign w:val="bottom"/>
          </w:tcPr>
          <w:p>
            <w:pPr>
              <w:spacing w:after="0"/>
              <w:rPr>
                <w:sz w:val="21"/>
                <w:szCs w:val="21"/>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(367,818)</w:t>
            </w:r>
          </w:p>
        </w:tc>
        <w:tc>
          <w:tcPr>
            <w:tcW w:w="100" w:type="dxa"/>
            <w:vAlign w:val="bottom"/>
          </w:tcPr>
          <w:p>
            <w:pPr>
              <w:spacing w:after="0"/>
              <w:rPr>
                <w:sz w:val="21"/>
                <w:szCs w:val="21"/>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13,873</w:t>
            </w:r>
          </w:p>
        </w:tc>
        <w:tc>
          <w:tcPr>
            <w:tcW w:w="10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  1,063,817</w:t>
            </w:r>
          </w:p>
        </w:tc>
      </w:tr>
      <w:tr>
        <w:trPr>
          <w:trHeight w:val="20"/>
        </w:trPr>
        <w:tc>
          <w:tcPr>
            <w:tcW w:w="28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55" w:right="239" w:bottom="1440" w:gutter="0" w:footer="0" w:header="0"/>
          <w:type w:val="continuous"/>
        </w:sectPr>
      </w:pPr>
    </w:p>
    <w:bookmarkStart w:id="8" w:name="page9"/>
    <w:bookmarkEnd w:id="8"/>
    <w:p>
      <w:pPr>
        <w:jc w:val="center"/>
        <w:ind w:right="-19"/>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UNAUDITED CONSOLIDATED FINANCIAL STATEMENTS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unaudited consolidated financial statements provided in this report include the accounts of The Hershey Company (the “Company,” “Hershey,” “we” or “us”) and our majority-owned subsidiaries and entities in which we have a controlling financial interest after the elimination of intercompany accounts and transactions. We have a controlling financial interest if we own a majority of the outstanding voting common stock and the noncontrolling shareholders do not have substantive participating rights, or we have significant control over an entity through contractual or economic interests in which we are the primary beneficiary.</w:t>
      </w:r>
    </w:p>
    <w:p>
      <w:pPr>
        <w:spacing w:after="0" w:line="134" w:lineRule="exact"/>
        <w:rPr>
          <w:sz w:val="20"/>
          <w:szCs w:val="20"/>
          <w:color w:val="auto"/>
        </w:rPr>
      </w:pPr>
    </w:p>
    <w:p>
      <w:pPr>
        <w:ind w:right="440"/>
        <w:spacing w:after="0" w:line="257" w:lineRule="auto"/>
        <w:rPr>
          <w:sz w:val="20"/>
          <w:szCs w:val="20"/>
          <w:color w:val="auto"/>
        </w:rPr>
      </w:pPr>
      <w:r>
        <w:rPr>
          <w:rFonts w:ascii="Arial" w:cs="Arial" w:eastAsia="Arial" w:hAnsi="Arial"/>
          <w:sz w:val="18"/>
          <w:szCs w:val="18"/>
          <w:color w:val="auto"/>
        </w:rPr>
        <w:t>The financial statements have been prepared in accordance with accounting principles generally accepted in the United States of America (“GAAP”) for interim financial reporting and with the rules and regulations for reporting on Form 10-Q. Accordingly, they do not contain certain information and disclosures required by GAAP for comprehensive financial statements. The financial statements reflect all adjustments (consisting of normal recurring adjustments) which are, in our opinion, necessary for a fair presentation of the results of operations, financial position, and cash flows for the indicated periods.</w:t>
      </w:r>
    </w:p>
    <w:p>
      <w:pPr>
        <w:spacing w:after="0" w:line="5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Operating results for the quarter ended June 30, 2019 may not be indicative of the results that may be expected for the year ending December 31, 2019 because of seasonal effects on our business. These financial statements should be read in conjunction with our Annual Report on Form 10-K for the year ended December 31, 2018 (our “2018 Annual Report on Form 10-K”), which provides a more complete understanding of our accounting policies, financial position, operating results and other matters.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In February 2016, the Financial Accounting Standards Board ("FASB") issued Accounting Standards Update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This ASU requires lessees to recognize most leases on their balance sheets as lease liabilities with corresponding right-of-use ("ROU") assets. The Company adopted the standard as of January 1, 2019, using a modified retrospective approach and applying the standard’s transition provisions at January 1, 2019, the effective date.</w:t>
      </w:r>
    </w:p>
    <w:p>
      <w:pPr>
        <w:spacing w:after="0" w:line="13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elected the package of practical expedients permitted under the transition guidance, which among other things, allows us to carryforward the historical lease classification. In addition, we made accounting policy elections to combine the lease and non-lease components for asset categories that support selling, marketing and general administrative activities. These asset categories comprise the majority of our leases. Finally, we made elections to exclude from balance sheet reporting those leases with initial terms of 12 months or less.</w:t>
      </w:r>
    </w:p>
    <w:p>
      <w:pPr>
        <w:spacing w:after="0" w:line="13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Adoption of the new standard resulted in the recording of operating lease ROU assets and lease liabilities of $227,258 and $216,966, respectively, with the difference largely due to prepaid and deferred rent that were reclassified to the ROU asset value. In addition, we derecognized a build-to-suit arrangement in accordance with the transition requirements, which resulted in an adjustment to retained earnings of $3,913. The standard did not materially affect our consolidated net income or cash flows. See Note 7 for further details.</w:t>
      </w:r>
    </w:p>
    <w:p>
      <w:pPr>
        <w:spacing w:after="0" w:line="13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In August 2017, the FASB issued ASU No. 2017-12, </w:t>
      </w:r>
      <w:r>
        <w:rPr>
          <w:rFonts w:ascii="Arial" w:cs="Arial" w:eastAsia="Arial" w:hAnsi="Arial"/>
          <w:sz w:val="18"/>
          <w:szCs w:val="18"/>
          <w:i w:val="1"/>
          <w:iCs w:val="1"/>
          <w:color w:val="auto"/>
        </w:rPr>
        <w:t>Derivatives and Hedging (Topic 815): Targeted Improvements to Accounting for Hedging Activities</w:t>
      </w:r>
      <w:r>
        <w:rPr>
          <w:rFonts w:ascii="Arial" w:cs="Arial" w:eastAsia="Arial" w:hAnsi="Arial"/>
          <w:sz w:val="18"/>
          <w:szCs w:val="18"/>
          <w:color w:val="auto"/>
        </w:rPr>
        <w:t>, which amends ASC 815. The purpose of this ASU is to better align accounting rules with a company’s risk management activities and financial reporting for hedging relationships, better reflect economic results of hedging in financial statements, simplify hedge accounting requirements and improve the disclosures of hedging arrangements. We adopted the provisions of this ASU in the first quarter of 2019 using a modified retrospective approach. Adoption of the new standard did not have a material impact on our consolidated financial statements.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15" w:right="239" w:bottom="1440" w:gutter="0" w:footer="0" w:header="0"/>
        </w:sectPr>
      </w:pPr>
    </w:p>
    <w:bookmarkStart w:id="9" w:name="page10"/>
    <w:bookmarkEnd w:id="9"/>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UNAUDITED CONSOLIDATED FINANCIAL STATEMENTS—(Continued)</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9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In June 2018, the FASB issued ASU No. 2018-07, </w:t>
      </w:r>
      <w:r>
        <w:rPr>
          <w:rFonts w:ascii="Arial" w:cs="Arial" w:eastAsia="Arial" w:hAnsi="Arial"/>
          <w:sz w:val="18"/>
          <w:szCs w:val="18"/>
          <w:i w:val="1"/>
          <w:iCs w:val="1"/>
          <w:color w:val="auto"/>
        </w:rPr>
        <w:t>Compensation – Stock Compensation (Topic 718), Improvements to Nonemployee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w:t>
      </w:r>
      <w:r>
        <w:rPr>
          <w:rFonts w:ascii="Arial" w:cs="Arial" w:eastAsia="Arial" w:hAnsi="Arial"/>
          <w:sz w:val="18"/>
          <w:szCs w:val="18"/>
          <w:color w:val="auto"/>
        </w:rPr>
        <w:t>This ASU is intended to simplify aspects of share-based compensation issued to non-employees by making the guidance consistent with</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for employee share-based compensation. We adopted the provisions of this ASU in the first quarter of 2019. Adoption of the new standard did not have a material impact on our consolidated financial statements.</w:t>
      </w:r>
    </w:p>
    <w:p>
      <w:pPr>
        <w:spacing w:after="0" w:line="13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 xml:space="preserve">In February 2018, the FASB issued ASU No. 2018-02, </w:t>
      </w:r>
      <w:r>
        <w:rPr>
          <w:rFonts w:ascii="Arial" w:cs="Arial" w:eastAsia="Arial" w:hAnsi="Arial"/>
          <w:sz w:val="16"/>
          <w:szCs w:val="16"/>
          <w:i w:val="1"/>
          <w:iCs w:val="1"/>
          <w:color w:val="auto"/>
        </w:rPr>
        <w:t>Income Statement-Reporting Comprehensive Income (Topic 220): Reclassification of Certain Tax</w:t>
      </w:r>
      <w:r>
        <w:rPr>
          <w:rFonts w:ascii="Arial" w:cs="Arial" w:eastAsia="Arial" w:hAnsi="Arial"/>
          <w:sz w:val="16"/>
          <w:szCs w:val="16"/>
          <w:color w:val="auto"/>
        </w:rPr>
        <w:t xml:space="preserve"> </w:t>
      </w:r>
      <w:r>
        <w:rPr>
          <w:rFonts w:ascii="Arial" w:cs="Arial" w:eastAsia="Arial" w:hAnsi="Arial"/>
          <w:sz w:val="16"/>
          <w:szCs w:val="16"/>
          <w:i w:val="1"/>
          <w:iCs w:val="1"/>
          <w:color w:val="auto"/>
        </w:rPr>
        <w:t>Effects from Accumulated Other Comprehensive Income</w:t>
      </w:r>
      <w:r>
        <w:rPr>
          <w:rFonts w:ascii="Arial" w:cs="Arial" w:eastAsia="Arial" w:hAnsi="Arial"/>
          <w:sz w:val="16"/>
          <w:szCs w:val="16"/>
          <w:color w:val="auto"/>
        </w:rPr>
        <w:t>. This ASU permits a company to reclassify the income tax effects of the 2017 Tax Cuts and Jobs Act</w:t>
      </w:r>
      <w:r>
        <w:rPr>
          <w:rFonts w:ascii="Arial" w:cs="Arial" w:eastAsia="Arial" w:hAnsi="Arial"/>
          <w:sz w:val="16"/>
          <w:szCs w:val="16"/>
          <w:i w:val="1"/>
          <w:iCs w:val="1"/>
          <w:color w:val="auto"/>
        </w:rPr>
        <w:t xml:space="preserve"> </w:t>
      </w:r>
      <w:r>
        <w:rPr>
          <w:rFonts w:ascii="Arial" w:cs="Arial" w:eastAsia="Arial" w:hAnsi="Arial"/>
          <w:sz w:val="16"/>
          <w:szCs w:val="16"/>
          <w:color w:val="auto"/>
        </w:rPr>
        <w:t>(“U.S. tax reform”) on items within AOCI to retained earnings. We adopted the provisions of this ASU in the first quarter of 2018. We elected to reclassify the income tax effects of U.S. tax reform from items in AOCI as of January 1, 2018 so that the tax effects of items within AOCI are reflected at the appropriate tax rate. The impact of the reclassification resulted in a $47,656 decrease to AOCI and a corresponding increase to retained earnings.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7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This ASU modifies the measurement of expected credit losses of certain financial instruments. ASU 2016-13 is effective for annual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beginning after December 15, 2019 and interim periods within those annual periods. The amendments in this ASU should be applied on a modified retrospective basis to all periods presented. We are currently evaluating the effect that ASU 2016-13 will have on our consolidated financial statements and related disclosures.</w:t>
      </w:r>
    </w:p>
    <w:p>
      <w:pPr>
        <w:spacing w:after="0" w:line="13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 xml:space="preserve">In August 2018, the FASB issued ASU No. 2018-13, </w:t>
      </w:r>
      <w:r>
        <w:rPr>
          <w:rFonts w:ascii="Arial" w:cs="Arial" w:eastAsia="Arial" w:hAnsi="Arial"/>
          <w:sz w:val="16"/>
          <w:szCs w:val="16"/>
          <w:i w:val="1"/>
          <w:iCs w:val="1"/>
          <w:color w:val="auto"/>
        </w:rPr>
        <w:t>Fair Value Measurement (Topic 820), Disclosure Framework-Changes to the Disclosure Requirements</w:t>
      </w:r>
      <w:r>
        <w:rPr>
          <w:rFonts w:ascii="Arial" w:cs="Arial" w:eastAsia="Arial" w:hAnsi="Arial"/>
          <w:sz w:val="16"/>
          <w:szCs w:val="16"/>
          <w:color w:val="auto"/>
        </w:rPr>
        <w:t xml:space="preserve"> </w:t>
      </w:r>
      <w:r>
        <w:rPr>
          <w:rFonts w:ascii="Arial" w:cs="Arial" w:eastAsia="Arial" w:hAnsi="Arial"/>
          <w:sz w:val="16"/>
          <w:szCs w:val="16"/>
          <w:i w:val="1"/>
          <w:iCs w:val="1"/>
          <w:color w:val="auto"/>
        </w:rPr>
        <w:t>for Fair Value Measurement</w:t>
      </w:r>
      <w:r>
        <w:rPr>
          <w:rFonts w:ascii="Arial" w:cs="Arial" w:eastAsia="Arial" w:hAnsi="Arial"/>
          <w:sz w:val="16"/>
          <w:szCs w:val="16"/>
          <w:color w:val="auto"/>
        </w:rPr>
        <w:t>. This ASU modifies the disclosure requirements for fair value measurements by removing, modifying or adding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disclosures. ASU 2018-13 is effective for annual periods beginning after December 15, 2019 and interim periods within those annual periods, with early adoption permitted. The amendments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We are currently evaluating the effect that ASU 2018-13 will have on our consolidated financial statements and related disclosures.</w:t>
      </w:r>
    </w:p>
    <w:p>
      <w:pPr>
        <w:spacing w:after="0" w:line="113"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 xml:space="preserve">In August 2018, the FASB issued ASU No. 2018-14, </w:t>
      </w:r>
      <w:r>
        <w:rPr>
          <w:rFonts w:ascii="Arial" w:cs="Arial" w:eastAsia="Arial" w:hAnsi="Arial"/>
          <w:sz w:val="18"/>
          <w:szCs w:val="18"/>
          <w:i w:val="1"/>
          <w:iCs w:val="1"/>
          <w:color w:val="auto"/>
        </w:rPr>
        <w:t>Compensation—Retirement Benefits—Defined Benefit Plans—General (Topic 715-20):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Framework—Changes to the Disclosure Requirements for Defined Benefit Plans</w:t>
      </w:r>
      <w:r>
        <w:rPr>
          <w:rFonts w:ascii="Arial" w:cs="Arial" w:eastAsia="Arial" w:hAnsi="Arial"/>
          <w:sz w:val="18"/>
          <w:szCs w:val="18"/>
          <w:color w:val="auto"/>
        </w:rPr>
        <w:t>, which modifies the disclosure requirements for defined benefit pension</w:t>
      </w:r>
      <w:r>
        <w:rPr>
          <w:rFonts w:ascii="Arial" w:cs="Arial" w:eastAsia="Arial" w:hAnsi="Arial"/>
          <w:sz w:val="18"/>
          <w:szCs w:val="18"/>
          <w:i w:val="1"/>
          <w:iCs w:val="1"/>
          <w:color w:val="auto"/>
        </w:rPr>
        <w:t xml:space="preserve"> </w:t>
      </w:r>
      <w:r>
        <w:rPr>
          <w:rFonts w:ascii="Arial" w:cs="Arial" w:eastAsia="Arial" w:hAnsi="Arial"/>
          <w:sz w:val="18"/>
          <w:szCs w:val="18"/>
          <w:color w:val="auto"/>
        </w:rPr>
        <w:t>plans and other post-retirement plans. ASU 2018-14 is effective for annual periods beginning after December 15, 2020, with early adoption permitted. The amendments in this ASU should be applied on a retrospective basis to all periods presented. We are currently evaluating the effect that ASU 2018-14 will have on our consolidated financial statements and related disclosures.</w:t>
      </w:r>
    </w:p>
    <w:p>
      <w:pPr>
        <w:spacing w:after="0" w:line="13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In August 2018, the FASB issued ASU No. 2018-15, </w:t>
      </w:r>
      <w:r>
        <w:rPr>
          <w:rFonts w:ascii="Arial" w:cs="Arial" w:eastAsia="Arial" w:hAnsi="Arial"/>
          <w:sz w:val="17"/>
          <w:szCs w:val="17"/>
          <w:i w:val="1"/>
          <w:iCs w:val="1"/>
          <w:color w:val="auto"/>
        </w:rPr>
        <w:t>Intangibles-Goodwill and Other-Internal-Use Software (Subtopic 350-40), Customer's Accounting for</w:t>
      </w:r>
      <w:r>
        <w:rPr>
          <w:rFonts w:ascii="Arial" w:cs="Arial" w:eastAsia="Arial" w:hAnsi="Arial"/>
          <w:sz w:val="17"/>
          <w:szCs w:val="17"/>
          <w:color w:val="auto"/>
        </w:rPr>
        <w:t xml:space="preserve"> </w:t>
      </w:r>
      <w:r>
        <w:rPr>
          <w:rFonts w:ascii="Arial" w:cs="Arial" w:eastAsia="Arial" w:hAnsi="Arial"/>
          <w:sz w:val="17"/>
          <w:szCs w:val="17"/>
          <w:i w:val="1"/>
          <w:iCs w:val="1"/>
          <w:color w:val="auto"/>
        </w:rPr>
        <w:t>Implementation Costs Incurred in a Cloud Computing Arrangement that is a Service Contract</w:t>
      </w:r>
      <w:r>
        <w:rPr>
          <w:rFonts w:ascii="Arial" w:cs="Arial" w:eastAsia="Arial" w:hAnsi="Arial"/>
          <w:sz w:val="17"/>
          <w:szCs w:val="17"/>
          <w:color w:val="auto"/>
        </w:rPr>
        <w:t>. This ASU aligns the requirements for capitalizing</w:t>
      </w:r>
      <w:r>
        <w:rPr>
          <w:rFonts w:ascii="Arial" w:cs="Arial" w:eastAsia="Arial" w:hAnsi="Arial"/>
          <w:sz w:val="17"/>
          <w:szCs w:val="17"/>
          <w:i w:val="1"/>
          <w:iCs w:val="1"/>
          <w:color w:val="auto"/>
        </w:rPr>
        <w:t xml:space="preserve"> </w:t>
      </w:r>
      <w:r>
        <w:rPr>
          <w:rFonts w:ascii="Arial" w:cs="Arial" w:eastAsia="Arial" w:hAnsi="Arial"/>
          <w:sz w:val="17"/>
          <w:szCs w:val="17"/>
          <w:color w:val="auto"/>
        </w:rPr>
        <w:t>implementation costs incurred in a hosting arrangement that is a service contract with the requirements for capitalizing implementation costs incurred to develop or obtain internal-use software (and hosting arrangements that include an internal-use software license). ASU 2018-15 is effective for annual periods beginning after December 15, 2019 and interim periods within those annual periods, with early adoption permitted. The amendments in this ASU should be applied either retrospectively or prospectively to all implementation costs incurred after the date of adoption. We are currently evaluating the effect that ASU 2018-15 will have on our consolidated financial statements and related disclosures.</w:t>
      </w:r>
    </w:p>
    <w:p>
      <w:pPr>
        <w:spacing w:after="0" w:line="12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No other new accounting pronouncement issued or effective during the fiscal year had or is expected to have a material impact on our consolidated financial statements or disclosures.</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115" w:right="299" w:bottom="1440" w:gutter="0" w:footer="0" w:header="0"/>
        </w:sectPr>
      </w:pPr>
    </w:p>
    <w:bookmarkStart w:id="10" w:name="page11"/>
    <w:bookmarkEnd w:id="10"/>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1"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UNAUDITED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BUSINESS ACQUISITIONS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Activity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Pirate Brands</w:t>
      </w:r>
    </w:p>
    <w:p>
      <w:pPr>
        <w:spacing w:after="0" w:line="9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On October 17, 2018, we completed the acquisition of Pirate Brands, which includes the </w:t>
      </w:r>
      <w:r>
        <w:rPr>
          <w:rFonts w:ascii="Arial" w:cs="Arial" w:eastAsia="Arial" w:hAnsi="Arial"/>
          <w:sz w:val="18"/>
          <w:szCs w:val="18"/>
          <w:i w:val="1"/>
          <w:iCs w:val="1"/>
          <w:color w:val="auto"/>
        </w:rPr>
        <w:t>Pirate's Booty</w:t>
      </w:r>
      <w:r>
        <w:rPr>
          <w:rFonts w:ascii="Arial" w:cs="Arial" w:eastAsia="Arial" w:hAnsi="Arial"/>
          <w:sz w:val="18"/>
          <w:szCs w:val="18"/>
          <w:color w:val="auto"/>
        </w:rPr>
        <w:t xml:space="preserve">, </w:t>
      </w:r>
      <w:r>
        <w:rPr>
          <w:rFonts w:ascii="Arial" w:cs="Arial" w:eastAsia="Arial" w:hAnsi="Arial"/>
          <w:sz w:val="18"/>
          <w:szCs w:val="18"/>
          <w:i w:val="1"/>
          <w:iCs w:val="1"/>
          <w:color w:val="auto"/>
        </w:rPr>
        <w:t>Smart Puffs</w:t>
      </w:r>
      <w:r>
        <w:rPr>
          <w:rFonts w:ascii="Arial" w:cs="Arial" w:eastAsia="Arial" w:hAnsi="Arial"/>
          <w:sz w:val="18"/>
          <w:szCs w:val="18"/>
          <w:color w:val="auto"/>
        </w:rPr>
        <w:t xml:space="preserve"> and </w:t>
      </w:r>
      <w:r>
        <w:rPr>
          <w:rFonts w:ascii="Arial" w:cs="Arial" w:eastAsia="Arial" w:hAnsi="Arial"/>
          <w:sz w:val="18"/>
          <w:szCs w:val="18"/>
          <w:i w:val="1"/>
          <w:iCs w:val="1"/>
          <w:color w:val="auto"/>
        </w:rPr>
        <w:t>Original Tings</w:t>
      </w:r>
      <w:r>
        <w:rPr>
          <w:rFonts w:ascii="Arial" w:cs="Arial" w:eastAsia="Arial" w:hAnsi="Arial"/>
          <w:sz w:val="18"/>
          <w:szCs w:val="18"/>
          <w:color w:val="auto"/>
        </w:rPr>
        <w:t xml:space="preserve"> brands, from B&amp;G Foods, Inc. Pirate Brands offers baked, trans fat free and gluten free snacks and is available in a wide range of food distribution channels in the United States. The purchase consideration for Pirate Brands totaled $423,002 and consisted of short-term borrowings and cash on hand. Acquisition-related costs for the Pirate Brands acquisition were immaterial.</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acquisition has been accounted for as a purchase and, accordingly, Pirate Brands' results of operations have been included within the North America segment results in our consolidated financial statements since the date of acquisition. The purchase price allocation presented below has been finalized as of the end of the fourth quarter of 2018. The purchase consideration was allocated to assets acquired and liabilities assumed based on their respective fair values as follows: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4,663</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Plant, property and equipment, net</w:t>
            </w:r>
          </w:p>
        </w:tc>
        <w:tc>
          <w:tcPr>
            <w:tcW w:w="8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48</w:t>
            </w:r>
          </w:p>
        </w:tc>
      </w:tr>
      <w:tr>
        <w:trPr>
          <w:trHeight w:val="27"/>
        </w:trPr>
        <w:tc>
          <w:tcPr>
            <w:tcW w:w="9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8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129,991</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Other intangible assets</w:t>
            </w:r>
          </w:p>
        </w:tc>
        <w:tc>
          <w:tcPr>
            <w:tcW w:w="8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289,300</w:t>
            </w:r>
          </w:p>
        </w:tc>
      </w:tr>
      <w:tr>
        <w:trPr>
          <w:trHeight w:val="27"/>
        </w:trPr>
        <w:tc>
          <w:tcPr>
            <w:tcW w:w="9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8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57"/>
        </w:trPr>
        <w:tc>
          <w:tcPr>
            <w:tcW w:w="9140" w:type="dxa"/>
            <w:vAlign w:val="bottom"/>
          </w:tcPr>
          <w:p>
            <w:pPr>
              <w:ind w:left="380"/>
              <w:spacing w:after="0"/>
              <w:rPr>
                <w:sz w:val="20"/>
                <w:szCs w:val="20"/>
                <w:color w:val="auto"/>
              </w:rPr>
            </w:pPr>
            <w:r>
              <w:rPr>
                <w:rFonts w:ascii="Arial" w:cs="Arial" w:eastAsia="Arial" w:hAnsi="Arial"/>
                <w:sz w:val="18"/>
                <w:szCs w:val="18"/>
                <w:color w:val="auto"/>
              </w:rPr>
              <w:t>Net assets acquired</w:t>
            </w:r>
          </w:p>
        </w:tc>
        <w:tc>
          <w:tcPr>
            <w:tcW w:w="86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423,002</w:t>
            </w:r>
          </w:p>
        </w:tc>
      </w:tr>
      <w:tr>
        <w:trPr>
          <w:trHeight w:val="20"/>
        </w:trPr>
        <w:tc>
          <w:tcPr>
            <w:tcW w:w="9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Goodwill was determined as the excess of the purchase price over the fair value of the net assets acquired (including the identifiable intangible assets). The goodwill derived from this acquisition is expected to be deductible for tax purposes and reflects the value of leveraging the Company's resources to expand the distribution locations and customer base for the Pirate Brands' products.</w:t>
      </w:r>
    </w:p>
    <w:p>
      <w:pPr>
        <w:spacing w:after="0" w:line="18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Other intangible assets includes trademarks valued at $272,000 and customer relationships valued at $17,300. Trademarks were assigned estimated useful lives of 45 years and customer relationships were assigned estimated useful lives ranging from 16 to 18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Amplify Snack Brands, Inc.</w:t>
      </w:r>
    </w:p>
    <w:p>
      <w:pPr>
        <w:spacing w:after="0" w:line="225"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 xml:space="preserve">On January 31, 2018, we completed the acquisition of all of the outstanding shares of Amplify Snack Brands, Inc. (“Amplify”), previously a publicly traded company based in Austin, Texas that owns several popular better-for-you snack brands such as </w:t>
      </w:r>
      <w:r>
        <w:rPr>
          <w:rFonts w:ascii="Arial" w:cs="Arial" w:eastAsia="Arial" w:hAnsi="Arial"/>
          <w:sz w:val="17"/>
          <w:szCs w:val="17"/>
          <w:i w:val="1"/>
          <w:iCs w:val="1"/>
          <w:color w:val="auto"/>
        </w:rPr>
        <w:t>SkinnyPop</w:t>
      </w:r>
      <w:r>
        <w:rPr>
          <w:rFonts w:ascii="Arial" w:cs="Arial" w:eastAsia="Arial" w:hAnsi="Arial"/>
          <w:sz w:val="17"/>
          <w:szCs w:val="17"/>
          <w:color w:val="auto"/>
        </w:rPr>
        <w:t xml:space="preserve">, </w:t>
      </w:r>
      <w:r>
        <w:rPr>
          <w:rFonts w:ascii="Arial" w:cs="Arial" w:eastAsia="Arial" w:hAnsi="Arial"/>
          <w:sz w:val="17"/>
          <w:szCs w:val="17"/>
          <w:i w:val="1"/>
          <w:iCs w:val="1"/>
          <w:color w:val="auto"/>
        </w:rPr>
        <w:t>Oatmega</w:t>
      </w:r>
      <w:r>
        <w:rPr>
          <w:rFonts w:ascii="Arial" w:cs="Arial" w:eastAsia="Arial" w:hAnsi="Arial"/>
          <w:sz w:val="17"/>
          <w:szCs w:val="17"/>
          <w:color w:val="auto"/>
        </w:rPr>
        <w:t xml:space="preserve"> and </w:t>
      </w:r>
      <w:r>
        <w:rPr>
          <w:rFonts w:ascii="Arial" w:cs="Arial" w:eastAsia="Arial" w:hAnsi="Arial"/>
          <w:sz w:val="17"/>
          <w:szCs w:val="17"/>
          <w:i w:val="1"/>
          <w:iCs w:val="1"/>
          <w:color w:val="auto"/>
        </w:rPr>
        <w:t>Paqui</w:t>
      </w:r>
      <w:r>
        <w:rPr>
          <w:rFonts w:ascii="Arial" w:cs="Arial" w:eastAsia="Arial" w:hAnsi="Arial"/>
          <w:sz w:val="17"/>
          <w:szCs w:val="17"/>
          <w:color w:val="auto"/>
        </w:rPr>
        <w:t xml:space="preserve">. Amplify's anchor brand, </w:t>
      </w:r>
      <w:r>
        <w:rPr>
          <w:rFonts w:ascii="Arial" w:cs="Arial" w:eastAsia="Arial" w:hAnsi="Arial"/>
          <w:sz w:val="17"/>
          <w:szCs w:val="17"/>
          <w:i w:val="1"/>
          <w:iCs w:val="1"/>
          <w:color w:val="auto"/>
        </w:rPr>
        <w:t>SkinnyPop</w:t>
      </w:r>
      <w:r>
        <w:rPr>
          <w:rFonts w:ascii="Arial" w:cs="Arial" w:eastAsia="Arial" w:hAnsi="Arial"/>
          <w:sz w:val="17"/>
          <w:szCs w:val="17"/>
          <w:color w:val="auto"/>
        </w:rPr>
        <w:t>, is a market-leading ready-to-eat popcorn brand and is available in a wide range of food distribution channels in the United States. Total</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consideration of $968,781 included payment of $12.00 per share for Amplify's outstanding common stock (for a total of $907,766), as well as payment of Amplify's transaction related expenses, including accelerated equity compensation, consultant fees and other deal costs. The business enables us to capture more consumer snacking occasions by contributing a new portfolio of brands.</w:t>
      </w:r>
    </w:p>
    <w:p>
      <w:pPr>
        <w:spacing w:after="0" w:line="17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acquisition has been accounted for as a purchase and, accordingly, Amplify's results of operations have been included within the North America segment results in our consolidated financial statements since the date of acquisition. The purchase price allocation presented below has been finalized as of the end of the fourth quarter of 2018. The purchase consideration, net of cash acquired totaling $53,324, was allocated to assets acquired and liabilities assumed based on their respective fair values as follows: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18" w:right="239" w:bottom="1440" w:gutter="0" w:footer="0" w:header="0"/>
        </w:sectPr>
      </w:pPr>
    </w:p>
    <w:bookmarkStart w:id="11" w:name="page12"/>
    <w:bookmarkEnd w:id="11"/>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UNAUDITED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8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40,763</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82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34,593</w:t>
            </w:r>
          </w:p>
        </w:tc>
      </w:tr>
      <w:tr>
        <w:trPr>
          <w:trHeight w:val="27"/>
        </w:trPr>
        <w:tc>
          <w:tcPr>
            <w:tcW w:w="9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Plant, property and equipment, net</w:t>
            </w:r>
          </w:p>
        </w:tc>
        <w:tc>
          <w:tcPr>
            <w:tcW w:w="8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67,989</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Goodwill</w:t>
            </w:r>
          </w:p>
        </w:tc>
        <w:tc>
          <w:tcPr>
            <w:tcW w:w="82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966,389</w:t>
            </w:r>
          </w:p>
        </w:tc>
      </w:tr>
      <w:tr>
        <w:trPr>
          <w:trHeight w:val="27"/>
        </w:trPr>
        <w:tc>
          <w:tcPr>
            <w:tcW w:w="9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w:t>
            </w:r>
          </w:p>
        </w:tc>
        <w:tc>
          <w:tcPr>
            <w:tcW w:w="8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682,000</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82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1,049</w:t>
            </w:r>
          </w:p>
        </w:tc>
      </w:tr>
      <w:tr>
        <w:trPr>
          <w:trHeight w:val="27"/>
        </w:trPr>
        <w:tc>
          <w:tcPr>
            <w:tcW w:w="9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8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(32,394)</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Accrued liabilities</w:t>
            </w:r>
          </w:p>
        </w:tc>
        <w:tc>
          <w:tcPr>
            <w:tcW w:w="8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(132,519)</w:t>
            </w:r>
          </w:p>
        </w:tc>
      </w:tr>
      <w:tr>
        <w:trPr>
          <w:trHeight w:val="27"/>
        </w:trPr>
        <w:tc>
          <w:tcPr>
            <w:tcW w:w="9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debt</w:t>
            </w:r>
          </w:p>
        </w:tc>
        <w:tc>
          <w:tcPr>
            <w:tcW w:w="8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(610,844)</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8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(2,931)</w:t>
            </w:r>
          </w:p>
        </w:tc>
      </w:tr>
      <w:tr>
        <w:trPr>
          <w:trHeight w:val="27"/>
        </w:trPr>
        <w:tc>
          <w:tcPr>
            <w:tcW w:w="9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deferred income taxes</w:t>
            </w:r>
          </w:p>
        </w:tc>
        <w:tc>
          <w:tcPr>
            <w:tcW w:w="8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(93,489)</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8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(5,149)</w:t>
            </w:r>
          </w:p>
        </w:tc>
      </w:tr>
      <w:tr>
        <w:trPr>
          <w:trHeight w:val="27"/>
        </w:trPr>
        <w:tc>
          <w:tcPr>
            <w:tcW w:w="91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9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assets acquired</w:t>
            </w:r>
          </w:p>
        </w:tc>
        <w:tc>
          <w:tcPr>
            <w:tcW w:w="82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915,457</w:t>
            </w:r>
          </w:p>
        </w:tc>
      </w:tr>
      <w:tr>
        <w:trPr>
          <w:trHeight w:val="20"/>
        </w:trPr>
        <w:tc>
          <w:tcPr>
            <w:tcW w:w="9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In connection with the acquisition, the Company agreed to pay in full all outstanding debt owed by Amplify under its existing credit agreement as of January 31, 2018, as well as the amount due under Amplify's existing tax receivable obligation. The Company funded the acquisition and repayment of the acquired debt utilizing proceeds from the issuance of commercial paper.</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Goodwill was determined as the excess of the purchase price over the fair value of the net assets acquired (including the identifiable intangible assets) and is not expected to be deductible for tax purposes. The goodwill that resulted from the acquisition is attributable primarily to cost-reduction synergies as Amplify leverages Hershey's resources, expertise and capability-building.</w:t>
      </w:r>
    </w:p>
    <w:p>
      <w:pPr>
        <w:spacing w:after="0" w:line="181"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Other intangible assets includes trademarks valued at $648,000 and customer relationships valued at $34,000. Trademarks were assigned estimated useful lives ranging from 28 to 38 years and customer relationships were assigned estimated useful lives ranging from 14 to 18 years.</w:t>
      </w:r>
    </w:p>
    <w:p>
      <w:pPr>
        <w:spacing w:after="0" w:line="14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 incurred acquisition-related costs of $20,577 related to the acquisition of Amplify, the majority of which were incurred during the first quarter of 2018. Acquisition-related costs consisted primarily of legal fees, consultant fees, valuation fees and other deal costs and are recorded in the selling, marketing and administrative expense caption within the Consolidated Statements of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 AND INTANGIBLE ASSETS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value of goodwill by reportable segment for the six months ended June 30, 2019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2"/>
          </w:tcPr>
          <w:p>
            <w:pPr>
              <w:ind w:left="280"/>
              <w:spacing w:after="0"/>
              <w:rPr>
                <w:sz w:val="20"/>
                <w:szCs w:val="20"/>
                <w:color w:val="auto"/>
              </w:rPr>
            </w:pPr>
            <w:r>
              <w:rPr>
                <w:rFonts w:ascii="Arial" w:cs="Arial" w:eastAsia="Arial" w:hAnsi="Arial"/>
                <w:sz w:val="16"/>
                <w:szCs w:val="16"/>
                <w:b w:val="1"/>
                <w:bCs w:val="1"/>
                <w:color w:val="auto"/>
              </w:rPr>
              <w:t>North America</w:t>
            </w:r>
          </w:p>
        </w:tc>
        <w:tc>
          <w:tcPr>
            <w:tcW w:w="180" w:type="dxa"/>
            <w:vAlign w:val="bottom"/>
          </w:tcPr>
          <w:p>
            <w:pPr>
              <w:spacing w:after="0"/>
              <w:rPr>
                <w:sz w:val="18"/>
                <w:szCs w:val="18"/>
                <w:color w:val="auto"/>
              </w:rPr>
            </w:pPr>
          </w:p>
        </w:tc>
        <w:tc>
          <w:tcPr>
            <w:tcW w:w="1860" w:type="dxa"/>
            <w:vAlign w:val="bottom"/>
            <w:gridSpan w:val="2"/>
          </w:tcPr>
          <w:p>
            <w:pPr>
              <w:ind w:left="40"/>
              <w:spacing w:after="0"/>
              <w:rPr>
                <w:sz w:val="20"/>
                <w:szCs w:val="20"/>
                <w:color w:val="auto"/>
              </w:rPr>
            </w:pPr>
            <w:r>
              <w:rPr>
                <w:rFonts w:ascii="Arial" w:cs="Arial" w:eastAsia="Arial" w:hAnsi="Arial"/>
                <w:sz w:val="16"/>
                <w:szCs w:val="16"/>
                <w:b w:val="1"/>
                <w:bCs w:val="1"/>
                <w:color w:val="auto"/>
              </w:rPr>
              <w:t>International and Other</w:t>
            </w:r>
          </w:p>
        </w:tc>
        <w:tc>
          <w:tcPr>
            <w:tcW w:w="460" w:type="dxa"/>
            <w:vAlign w:val="bottom"/>
          </w:tcPr>
          <w:p>
            <w:pPr>
              <w:spacing w:after="0"/>
              <w:rPr>
                <w:sz w:val="18"/>
                <w:szCs w:val="18"/>
                <w:color w:val="auto"/>
              </w:rPr>
            </w:pPr>
          </w:p>
        </w:tc>
        <w:tc>
          <w:tcPr>
            <w:tcW w:w="1480" w:type="dxa"/>
            <w:vAlign w:val="bottom"/>
          </w:tcPr>
          <w:p>
            <w:pPr>
              <w:jc w:val="right"/>
              <w:ind w:right="692"/>
              <w:spacing w:after="0"/>
              <w:rPr>
                <w:sz w:val="20"/>
                <w:szCs w:val="20"/>
                <w:color w:val="auto"/>
              </w:rPr>
            </w:pPr>
            <w:r>
              <w:rPr>
                <w:rFonts w:ascii="Arial" w:cs="Arial" w:eastAsia="Arial" w:hAnsi="Arial"/>
                <w:sz w:val="16"/>
                <w:szCs w:val="16"/>
                <w:b w:val="1"/>
                <w:bCs w:val="1"/>
                <w:color w:val="auto"/>
              </w:rPr>
              <w:t>Total</w:t>
            </w:r>
          </w:p>
        </w:tc>
      </w:tr>
      <w:tr>
        <w:trPr>
          <w:trHeight w:val="33"/>
        </w:trPr>
        <w:tc>
          <w:tcPr>
            <w:tcW w:w="5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1,782,845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18,258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1,801,103</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180" w:type="dxa"/>
            <w:vAlign w:val="bottom"/>
          </w:tcPr>
          <w:p>
            <w:pPr>
              <w:spacing w:after="0"/>
              <w:rPr>
                <w:sz w:val="21"/>
                <w:szCs w:val="21"/>
                <w:color w:val="auto"/>
              </w:rPr>
            </w:pPr>
          </w:p>
        </w:tc>
        <w:tc>
          <w:tcPr>
            <w:tcW w:w="1780" w:type="dxa"/>
            <w:vAlign w:val="bottom"/>
          </w:tcPr>
          <w:p>
            <w:pPr>
              <w:jc w:val="right"/>
              <w:ind w:right="12"/>
              <w:spacing w:after="0"/>
              <w:rPr>
                <w:sz w:val="20"/>
                <w:szCs w:val="20"/>
                <w:color w:val="auto"/>
              </w:rPr>
            </w:pPr>
            <w:r>
              <w:rPr>
                <w:rFonts w:ascii="Arial" w:cs="Arial" w:eastAsia="Arial" w:hAnsi="Arial"/>
                <w:sz w:val="18"/>
                <w:szCs w:val="18"/>
                <w:color w:val="auto"/>
              </w:rPr>
              <w:t>4,535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12"/>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4,852</w:t>
            </w:r>
          </w:p>
        </w:tc>
      </w:tr>
      <w:tr>
        <w:trPr>
          <w:trHeight w:val="27"/>
        </w:trPr>
        <w:tc>
          <w:tcPr>
            <w:tcW w:w="5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1,787,380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18,575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1,805,955</w:t>
            </w:r>
          </w:p>
        </w:tc>
      </w:tr>
      <w:tr>
        <w:trPr>
          <w:trHeight w:val="20"/>
        </w:trPr>
        <w:tc>
          <w:tcPr>
            <w:tcW w:w="5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878"/>
        </w:trPr>
        <w:tc>
          <w:tcPr>
            <w:tcW w:w="5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jc w:val="right"/>
              <w:ind w:right="145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115" w:right="239" w:bottom="1440" w:gutter="0" w:footer="0" w:header="0"/>
        </w:sectPr>
      </w:pPr>
    </w:p>
    <w:bookmarkStart w:id="12" w:name="page13"/>
    <w:bookmarkEnd w:id="12"/>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1"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UNAUDITED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gross carrying amount and accumulated amortization for each major class of intangible asset: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40" w:type="dxa"/>
            <w:vAlign w:val="bottom"/>
            <w:gridSpan w:val="5"/>
          </w:tcPr>
          <w:p>
            <w:pPr>
              <w:ind w:left="980"/>
              <w:spacing w:after="0"/>
              <w:rPr>
                <w:sz w:val="20"/>
                <w:szCs w:val="20"/>
                <w:color w:val="auto"/>
              </w:rPr>
            </w:pPr>
            <w:r>
              <w:rPr>
                <w:rFonts w:ascii="Arial" w:cs="Arial" w:eastAsia="Arial" w:hAnsi="Arial"/>
                <w:sz w:val="16"/>
                <w:szCs w:val="16"/>
                <w:b w:val="1"/>
                <w:bCs w:val="1"/>
                <w:color w:val="auto"/>
              </w:rPr>
              <w:t>June 30, 2019</w:t>
            </w:r>
          </w:p>
        </w:tc>
        <w:tc>
          <w:tcPr>
            <w:tcW w:w="160" w:type="dxa"/>
            <w:vAlign w:val="bottom"/>
          </w:tcPr>
          <w:p>
            <w:pPr>
              <w:spacing w:after="0"/>
              <w:rPr>
                <w:sz w:val="18"/>
                <w:szCs w:val="18"/>
                <w:color w:val="auto"/>
              </w:rPr>
            </w:pPr>
          </w:p>
        </w:tc>
        <w:tc>
          <w:tcPr>
            <w:tcW w:w="3020" w:type="dxa"/>
            <w:vAlign w:val="bottom"/>
            <w:gridSpan w:val="4"/>
          </w:tcPr>
          <w:p>
            <w:pPr>
              <w:jc w:val="right"/>
              <w:ind w:right="833"/>
              <w:spacing w:after="0"/>
              <w:rPr>
                <w:sz w:val="20"/>
                <w:szCs w:val="20"/>
                <w:color w:val="auto"/>
              </w:rPr>
            </w:pPr>
            <w:r>
              <w:rPr>
                <w:rFonts w:ascii="Arial" w:cs="Arial" w:eastAsia="Arial" w:hAnsi="Arial"/>
                <w:sz w:val="16"/>
                <w:szCs w:val="16"/>
                <w:b w:val="1"/>
                <w:bCs w:val="1"/>
                <w:color w:val="auto"/>
              </w:rPr>
              <w:t>December 31, 2018</w:t>
            </w:r>
          </w:p>
        </w:tc>
      </w:tr>
      <w:tr>
        <w:trPr>
          <w:trHeight w:val="33"/>
        </w:trPr>
        <w:tc>
          <w:tcPr>
            <w:tcW w:w="49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ind w:right="133"/>
              <w:spacing w:after="0"/>
              <w:rPr>
                <w:sz w:val="20"/>
                <w:szCs w:val="20"/>
                <w:color w:val="auto"/>
              </w:rPr>
            </w:pPr>
            <w:r>
              <w:rPr>
                <w:rFonts w:ascii="Arial" w:cs="Arial" w:eastAsia="Arial" w:hAnsi="Arial"/>
                <w:sz w:val="16"/>
                <w:szCs w:val="16"/>
                <w:b w:val="1"/>
                <w:bCs w:val="1"/>
                <w:color w:val="auto"/>
                <w:w w:val="94"/>
              </w:rPr>
              <w:t>Gross Carrying</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ind w:left="120"/>
              <w:spacing w:after="0"/>
              <w:rPr>
                <w:sz w:val="20"/>
                <w:szCs w:val="20"/>
                <w:color w:val="auto"/>
              </w:rPr>
            </w:pPr>
            <w:r>
              <w:rPr>
                <w:rFonts w:ascii="Arial" w:cs="Arial" w:eastAsia="Arial" w:hAnsi="Arial"/>
                <w:sz w:val="16"/>
                <w:szCs w:val="16"/>
                <w:b w:val="1"/>
                <w:bCs w:val="1"/>
                <w:color w:val="auto"/>
              </w:rPr>
              <w:t>Accumulated</w:t>
            </w:r>
          </w:p>
        </w:tc>
        <w:tc>
          <w:tcPr>
            <w:tcW w:w="160" w:type="dxa"/>
            <w:vAlign w:val="bottom"/>
          </w:tcPr>
          <w:p>
            <w:pPr>
              <w:spacing w:after="0"/>
              <w:rPr>
                <w:sz w:val="18"/>
                <w:szCs w:val="18"/>
                <w:color w:val="auto"/>
              </w:rPr>
            </w:pPr>
          </w:p>
        </w:tc>
        <w:tc>
          <w:tcPr>
            <w:tcW w:w="1320" w:type="dxa"/>
            <w:vAlign w:val="bottom"/>
          </w:tcPr>
          <w:p>
            <w:pPr>
              <w:jc w:val="right"/>
              <w:ind w:right="113"/>
              <w:spacing w:after="0"/>
              <w:rPr>
                <w:sz w:val="20"/>
                <w:szCs w:val="20"/>
                <w:color w:val="auto"/>
              </w:rPr>
            </w:pPr>
            <w:r>
              <w:rPr>
                <w:rFonts w:ascii="Arial" w:cs="Arial" w:eastAsia="Arial" w:hAnsi="Arial"/>
                <w:sz w:val="16"/>
                <w:szCs w:val="16"/>
                <w:b w:val="1"/>
                <w:bCs w:val="1"/>
                <w:color w:val="auto"/>
                <w:w w:val="94"/>
              </w:rPr>
              <w:t>Gross Carrying</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ind w:right="253"/>
              <w:spacing w:after="0"/>
              <w:rPr>
                <w:sz w:val="20"/>
                <w:szCs w:val="20"/>
                <w:color w:val="auto"/>
              </w:rPr>
            </w:pPr>
            <w:r>
              <w:rPr>
                <w:rFonts w:ascii="Arial" w:cs="Arial" w:eastAsia="Arial" w:hAnsi="Arial"/>
                <w:sz w:val="16"/>
                <w:szCs w:val="16"/>
                <w:b w:val="1"/>
                <w:bCs w:val="1"/>
                <w:color w:val="auto"/>
                <w:w w:val="99"/>
              </w:rPr>
              <w:t>Accumulated</w:t>
            </w:r>
          </w:p>
        </w:tc>
      </w:tr>
      <w:tr>
        <w:trPr>
          <w:trHeight w:val="210"/>
        </w:trPr>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ind w:right="393"/>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ind w:left="120"/>
              <w:spacing w:after="0"/>
              <w:rPr>
                <w:sz w:val="20"/>
                <w:szCs w:val="20"/>
                <w:color w:val="auto"/>
              </w:rPr>
            </w:pPr>
            <w:r>
              <w:rPr>
                <w:rFonts w:ascii="Arial" w:cs="Arial" w:eastAsia="Arial" w:hAnsi="Arial"/>
                <w:sz w:val="16"/>
                <w:szCs w:val="16"/>
                <w:b w:val="1"/>
                <w:bCs w:val="1"/>
                <w:color w:val="auto"/>
              </w:rPr>
              <w:t>Amortization</w:t>
            </w:r>
          </w:p>
        </w:tc>
        <w:tc>
          <w:tcPr>
            <w:tcW w:w="160" w:type="dxa"/>
            <w:vAlign w:val="bottom"/>
          </w:tcPr>
          <w:p>
            <w:pPr>
              <w:spacing w:after="0"/>
              <w:rPr>
                <w:sz w:val="18"/>
                <w:szCs w:val="18"/>
                <w:color w:val="auto"/>
              </w:rPr>
            </w:pPr>
          </w:p>
        </w:tc>
        <w:tc>
          <w:tcPr>
            <w:tcW w:w="1320" w:type="dxa"/>
            <w:vAlign w:val="bottom"/>
          </w:tcPr>
          <w:p>
            <w:pPr>
              <w:jc w:val="right"/>
              <w:ind w:right="373"/>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ind w:right="253"/>
              <w:spacing w:after="0"/>
              <w:rPr>
                <w:sz w:val="20"/>
                <w:szCs w:val="20"/>
                <w:color w:val="auto"/>
              </w:rPr>
            </w:pPr>
            <w:r>
              <w:rPr>
                <w:rFonts w:ascii="Arial" w:cs="Arial" w:eastAsia="Arial" w:hAnsi="Arial"/>
                <w:sz w:val="16"/>
                <w:szCs w:val="16"/>
                <w:b w:val="1"/>
                <w:bCs w:val="1"/>
                <w:color w:val="auto"/>
              </w:rPr>
              <w:t>Amortization</w:t>
            </w:r>
          </w:p>
        </w:tc>
      </w:tr>
      <w:tr>
        <w:trPr>
          <w:trHeight w:val="33"/>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subject to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360"/>
              <w:spacing w:after="0"/>
              <w:rPr>
                <w:sz w:val="20"/>
                <w:szCs w:val="20"/>
                <w:color w:val="auto"/>
              </w:rPr>
            </w:pPr>
            <w:r>
              <w:rPr>
                <w:rFonts w:ascii="Arial" w:cs="Arial" w:eastAsia="Arial" w:hAnsi="Arial"/>
                <w:sz w:val="18"/>
                <w:szCs w:val="18"/>
                <w:color w:val="auto"/>
              </w:rPr>
              <w:t>Trademarks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1,175,847</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(79,057)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1,173,770</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(60,995)</w:t>
            </w: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Customer-related</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165,319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163,860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(33,516)</w:t>
            </w:r>
          </w:p>
        </w:tc>
      </w:tr>
      <w:tr>
        <w:trPr>
          <w:trHeight w:val="243"/>
        </w:trPr>
        <w:tc>
          <w:tcPr>
            <w:tcW w:w="4920" w:type="dxa"/>
            <w:vAlign w:val="bottom"/>
          </w:tcPr>
          <w:p>
            <w:pPr>
              <w:ind w:left="360"/>
              <w:spacing w:after="0"/>
              <w:rPr>
                <w:sz w:val="20"/>
                <w:szCs w:val="20"/>
                <w:color w:val="auto"/>
              </w:rPr>
            </w:pPr>
            <w:r>
              <w:rPr>
                <w:rFonts w:ascii="Arial" w:cs="Arial" w:eastAsia="Arial" w:hAnsi="Arial"/>
                <w:sz w:val="18"/>
                <w:szCs w:val="18"/>
                <w:color w:val="auto"/>
              </w:rPr>
              <w:t>Patents</w:t>
            </w:r>
          </w:p>
        </w:tc>
        <w:tc>
          <w:tcPr>
            <w:tcW w:w="18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16,647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(16,281)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16,306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(15,772)</w:t>
            </w:r>
          </w:p>
        </w:tc>
      </w:tr>
      <w:tr>
        <w:trPr>
          <w:trHeight w:val="27"/>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1,357,813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(134,709)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1,353,936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(110,283)</w:t>
            </w:r>
          </w:p>
        </w:tc>
      </w:tr>
      <w:tr>
        <w:trPr>
          <w:trHeight w:val="324"/>
        </w:trPr>
        <w:tc>
          <w:tcPr>
            <w:tcW w:w="4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not subject to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360"/>
              <w:spacing w:after="0"/>
              <w:rPr>
                <w:sz w:val="20"/>
                <w:szCs w:val="20"/>
                <w:color w:val="auto"/>
              </w:rPr>
            </w:pPr>
            <w:r>
              <w:rPr>
                <w:rFonts w:ascii="Arial" w:cs="Arial" w:eastAsia="Arial" w:hAnsi="Arial"/>
                <w:sz w:val="18"/>
                <w:szCs w:val="18"/>
                <w:color w:val="auto"/>
              </w:rPr>
              <w:t>Trademarks</w:t>
            </w:r>
          </w:p>
        </w:tc>
        <w:tc>
          <w:tcPr>
            <w:tcW w:w="18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34,764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34,639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intangible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1,257,868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1,278,292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r>
      <w:tr>
        <w:trPr>
          <w:trHeight w:val="20"/>
        </w:trPr>
        <w:tc>
          <w:tcPr>
            <w:tcW w:w="4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Total amortization expense for the three months ended June 30, 2019 and July 1, 2018 was $12,672 and $9,834, respectively. Total amortization expense for the six months ended June 30, 2019 and July 1, 2018 was $24,910 and $18,285, respectively.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SHORT AND LONG-TERM DEBT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Short-term Debt</w:t>
      </w:r>
    </w:p>
    <w:p>
      <w:pPr>
        <w:spacing w:after="0" w:line="94"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As a source of short-term financing, we utilize cash on hand and commercial paper or bank loans with an original maturity of three months or less. As of June 30, 2019, we maintained a $1.4 billion unsecured revolving credit facility. On July 2, 2019, we terminated this facility, which was scheduled to expire in November 2020, and entered into a new unsecured revolving credit facility. The new facility allows the Company to borrow up to $1.5 billion with the option to increase borrowings by an additional $500 million with the consent of the lenders. This facility is scheduled to expire on July 2, 2024, however, we may extend the termination date for up to two additional one-year periods upon notice to the administrative agent under the facility.</w:t>
      </w:r>
    </w:p>
    <w:p>
      <w:pPr>
        <w:spacing w:after="0" w:line="37"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The credit agreement contains certain financial and other covenants, customary representations, warranties and events of default. As of June 30, 2019, we were in compliance with all covenants pertaining to the credit agreement, and we had no significant compensating balance agreements that legally restricted these funds. For more information, refer to the Consolidated Financial Statements included in our 2018 Annual Report on Form 10-K.</w:t>
      </w:r>
    </w:p>
    <w:p>
      <w:pPr>
        <w:spacing w:after="0" w:line="93"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In addition to the revolving credit facility, we maintain lines of credit with domestic and international commercial banks. We had short-term foreign bank loans against these lines of credit for $135,778 at June 30, 2019 and $113,189 at December 31, 2018. Commitment fees relating to our revolving credit facility and lines of credit are not material.</w:t>
      </w:r>
    </w:p>
    <w:p>
      <w:pPr>
        <w:spacing w:after="0" w:line="12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At June 30, 2019, we had outstanding commercial paper totaling $751,001, at a weighted average interest rate of 2.4%. At December 31, 2018, we had outstanding commercial paper totaling $1,084,740, at a weighted average interest rate of 2.4%.</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18" w:right="239" w:bottom="1440" w:gutter="0" w:footer="0" w:header="0"/>
        </w:sectPr>
      </w:pPr>
    </w:p>
    <w:bookmarkStart w:id="13" w:name="page14"/>
    <w:bookmarkEnd w:id="13"/>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1"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UNAUDITED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 2019</w:t>
            </w:r>
          </w:p>
        </w:tc>
        <w:tc>
          <w:tcPr>
            <w:tcW w:w="520" w:type="dxa"/>
            <w:vAlign w:val="bottom"/>
          </w:tcPr>
          <w:p>
            <w:pPr>
              <w:spacing w:after="0"/>
              <w:rPr>
                <w:sz w:val="18"/>
                <w:szCs w:val="18"/>
                <w:color w:val="auto"/>
              </w:rPr>
            </w:pPr>
          </w:p>
        </w:tc>
        <w:tc>
          <w:tcPr>
            <w:tcW w:w="1420" w:type="dxa"/>
            <w:vAlign w:val="bottom"/>
          </w:tcPr>
          <w:p>
            <w:pPr>
              <w:jc w:val="right"/>
              <w:ind w:right="11"/>
              <w:spacing w:after="0"/>
              <w:rPr>
                <w:sz w:val="20"/>
                <w:szCs w:val="20"/>
                <w:color w:val="auto"/>
              </w:rPr>
            </w:pPr>
            <w:r>
              <w:rPr>
                <w:rFonts w:ascii="Arial" w:cs="Arial" w:eastAsia="Arial" w:hAnsi="Arial"/>
                <w:sz w:val="16"/>
                <w:szCs w:val="16"/>
                <w:b w:val="1"/>
                <w:bCs w:val="1"/>
                <w:color w:val="auto"/>
                <w:w w:val="90"/>
              </w:rPr>
              <w:t>December 31, 2018</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2.90% Notes due 2020</w:t>
            </w:r>
          </w:p>
        </w:tc>
        <w:tc>
          <w:tcPr>
            <w:tcW w:w="3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350,000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4.125% Notes due 2020</w:t>
            </w:r>
          </w:p>
        </w:tc>
        <w:tc>
          <w:tcPr>
            <w:tcW w:w="3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350,000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3.10% Notes due 2021</w:t>
            </w:r>
          </w:p>
        </w:tc>
        <w:tc>
          <w:tcPr>
            <w:tcW w:w="3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350,000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8.8% Debentures due 2021</w:t>
            </w:r>
          </w:p>
        </w:tc>
        <w:tc>
          <w:tcPr>
            <w:tcW w:w="3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84,715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84,715</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3.375% Notes due 2023</w:t>
            </w:r>
          </w:p>
        </w:tc>
        <w:tc>
          <w:tcPr>
            <w:tcW w:w="3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500,000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2.625% Notes due 2023</w:t>
            </w:r>
          </w:p>
        </w:tc>
        <w:tc>
          <w:tcPr>
            <w:tcW w:w="3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3.20% Notes due 2025</w:t>
            </w:r>
          </w:p>
        </w:tc>
        <w:tc>
          <w:tcPr>
            <w:tcW w:w="3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2.30% Notes due 2026</w:t>
            </w:r>
          </w:p>
        </w:tc>
        <w:tc>
          <w:tcPr>
            <w:tcW w:w="3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7.2% Debentures due 2027</w:t>
            </w:r>
          </w:p>
        </w:tc>
        <w:tc>
          <w:tcPr>
            <w:tcW w:w="3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193,639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193,639</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3.375% Notes due 2046</w:t>
            </w:r>
          </w:p>
        </w:tc>
        <w:tc>
          <w:tcPr>
            <w:tcW w:w="3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Finance lease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79,218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101,980</w:t>
            </w:r>
          </w:p>
        </w:tc>
        <w:tc>
          <w:tcPr>
            <w:tcW w:w="0" w:type="dxa"/>
            <w:vAlign w:val="bottom"/>
          </w:tcPr>
          <w:p>
            <w:pPr>
              <w:spacing w:after="0"/>
              <w:rPr>
                <w:sz w:val="1"/>
                <w:szCs w:val="1"/>
                <w:color w:val="auto"/>
              </w:rPr>
            </w:pPr>
          </w:p>
        </w:tc>
      </w:tr>
      <w:tr>
        <w:trPr>
          <w:trHeight w:val="243"/>
        </w:trPr>
        <w:tc>
          <w:tcPr>
            <w:tcW w:w="7440" w:type="dxa"/>
            <w:vAlign w:val="bottom"/>
            <w:gridSpan w:val="7"/>
          </w:tcPr>
          <w:p>
            <w:pPr>
              <w:ind w:left="40"/>
              <w:spacing w:after="0"/>
              <w:rPr>
                <w:sz w:val="20"/>
                <w:szCs w:val="20"/>
                <w:color w:val="auto"/>
              </w:rPr>
            </w:pPr>
            <w:r>
              <w:rPr>
                <w:rFonts w:ascii="Arial" w:cs="Arial" w:eastAsia="Arial" w:hAnsi="Arial"/>
                <w:sz w:val="18"/>
                <w:szCs w:val="18"/>
                <w:color w:val="auto"/>
              </w:rPr>
              <w:t>Net impact of interest rate swaps, debt issuance costs and unamortized debt discounts</w:t>
            </w:r>
          </w:p>
        </w:tc>
        <w:tc>
          <w:tcPr>
            <w:tcW w:w="3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(16,343)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(20,667)</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3,241,229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3,259,667</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Less—current portion</w:t>
            </w:r>
          </w:p>
        </w:tc>
        <w:tc>
          <w:tcPr>
            <w:tcW w:w="3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353,186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5,387</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portion</w:t>
            </w:r>
          </w:p>
        </w:tc>
        <w:tc>
          <w:tcPr>
            <w:tcW w:w="3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2,888,043</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3,254,280</w:t>
            </w: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8"/>
                <w:szCs w:val="18"/>
                <w:b w:val="1"/>
                <w:bCs w:val="1"/>
                <w:color w:val="auto"/>
              </w:rPr>
              <w:t>Interest Expense</w:t>
            </w:r>
          </w:p>
        </w:tc>
        <w:tc>
          <w:tcPr>
            <w:tcW w:w="3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33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40" w:type="dxa"/>
            <w:vAlign w:val="bottom"/>
          </w:tcPr>
          <w:p>
            <w:pPr>
              <w:spacing w:after="0"/>
              <w:rPr>
                <w:sz w:val="20"/>
                <w:szCs w:val="20"/>
                <w:color w:val="auto"/>
              </w:rPr>
            </w:pPr>
            <w:r>
              <w:rPr>
                <w:rFonts w:ascii="Arial" w:cs="Arial" w:eastAsia="Arial" w:hAnsi="Arial"/>
                <w:sz w:val="18"/>
                <w:szCs w:val="18"/>
                <w:color w:val="auto"/>
                <w:w w:val="90"/>
              </w:rPr>
              <w:t>Net interest expense consists of the following:</w:t>
            </w:r>
          </w:p>
        </w:tc>
        <w:tc>
          <w:tcPr>
            <w:tcW w:w="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33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4"/>
          </w:tcPr>
          <w:p>
            <w:pPr>
              <w:jc w:val="right"/>
              <w:ind w:right="125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1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8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 2019</w:t>
            </w:r>
          </w:p>
        </w:tc>
        <w:tc>
          <w:tcPr>
            <w:tcW w:w="320" w:type="dxa"/>
            <w:vAlign w:val="bottom"/>
          </w:tcPr>
          <w:p>
            <w:pPr>
              <w:spacing w:after="0"/>
              <w:rPr>
                <w:sz w:val="20"/>
                <w:szCs w:val="20"/>
                <w:color w:val="auto"/>
              </w:rPr>
            </w:pPr>
          </w:p>
        </w:tc>
        <w:tc>
          <w:tcPr>
            <w:tcW w:w="1700" w:type="dxa"/>
            <w:vAlign w:val="bottom"/>
            <w:gridSpan w:val="2"/>
          </w:tcPr>
          <w:p>
            <w:pPr>
              <w:ind w:left="220"/>
              <w:spacing w:after="0"/>
              <w:rPr>
                <w:sz w:val="20"/>
                <w:szCs w:val="20"/>
                <w:color w:val="auto"/>
              </w:rPr>
            </w:pPr>
            <w:r>
              <w:rPr>
                <w:rFonts w:ascii="Arial" w:cs="Arial" w:eastAsia="Arial" w:hAnsi="Arial"/>
                <w:sz w:val="16"/>
                <w:szCs w:val="16"/>
                <w:b w:val="1"/>
                <w:bCs w:val="1"/>
                <w:color w:val="auto"/>
              </w:rPr>
              <w:t>July 1, 2018</w:t>
            </w:r>
          </w:p>
        </w:tc>
        <w:tc>
          <w:tcPr>
            <w:tcW w:w="320" w:type="dxa"/>
            <w:vAlign w:val="bottom"/>
          </w:tcPr>
          <w:p>
            <w:pPr>
              <w:spacing w:after="0"/>
              <w:rPr>
                <w:sz w:val="20"/>
                <w:szCs w:val="20"/>
                <w:color w:val="auto"/>
              </w:rPr>
            </w:pPr>
          </w:p>
        </w:tc>
        <w:tc>
          <w:tcPr>
            <w:tcW w:w="172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 2019</w:t>
            </w:r>
          </w:p>
        </w:tc>
        <w:tc>
          <w:tcPr>
            <w:tcW w:w="520" w:type="dxa"/>
            <w:vAlign w:val="bottom"/>
          </w:tcPr>
          <w:p>
            <w:pPr>
              <w:spacing w:after="0"/>
              <w:rPr>
                <w:sz w:val="20"/>
                <w:szCs w:val="20"/>
                <w:color w:val="auto"/>
              </w:rPr>
            </w:pPr>
          </w:p>
        </w:tc>
        <w:tc>
          <w:tcPr>
            <w:tcW w:w="1420" w:type="dxa"/>
            <w:vAlign w:val="bottom"/>
          </w:tcPr>
          <w:p>
            <w:pPr>
              <w:jc w:val="right"/>
              <w:ind w:right="471"/>
              <w:spacing w:after="0"/>
              <w:rPr>
                <w:sz w:val="20"/>
                <w:szCs w:val="20"/>
                <w:color w:val="auto"/>
              </w:rPr>
            </w:pPr>
            <w:r>
              <w:rPr>
                <w:rFonts w:ascii="Arial" w:cs="Arial" w:eastAsia="Arial" w:hAnsi="Arial"/>
                <w:sz w:val="16"/>
                <w:szCs w:val="16"/>
                <w:b w:val="1"/>
                <w:bCs w:val="1"/>
                <w:color w:val="auto"/>
                <w:w w:val="93"/>
              </w:rPr>
              <w:t>July 1, 2018</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39,192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79,855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70,951</w:t>
            </w:r>
          </w:p>
        </w:tc>
        <w:tc>
          <w:tcPr>
            <w:tcW w:w="0" w:type="dxa"/>
            <w:vAlign w:val="bottom"/>
          </w:tcPr>
          <w:p>
            <w:pPr>
              <w:spacing w:after="0"/>
              <w:rPr>
                <w:sz w:val="1"/>
                <w:szCs w:val="1"/>
                <w:color w:val="auto"/>
              </w:rPr>
            </w:pPr>
          </w:p>
        </w:tc>
      </w:tr>
      <w:tr>
        <w:trPr>
          <w:trHeight w:val="243"/>
        </w:trPr>
        <w:tc>
          <w:tcPr>
            <w:tcW w:w="3340" w:type="dxa"/>
            <w:vAlign w:val="bottom"/>
          </w:tcPr>
          <w:p>
            <w:pPr>
              <w:spacing w:after="0"/>
              <w:rPr>
                <w:sz w:val="20"/>
                <w:szCs w:val="20"/>
                <w:color w:val="auto"/>
              </w:rPr>
            </w:pPr>
            <w:r>
              <w:rPr>
                <w:rFonts w:ascii="Arial" w:cs="Arial" w:eastAsia="Arial" w:hAnsi="Arial"/>
                <w:sz w:val="18"/>
                <w:szCs w:val="18"/>
                <w:color w:val="auto"/>
              </w:rPr>
              <w:t>Capitalized interest</w:t>
            </w:r>
          </w:p>
        </w:tc>
        <w:tc>
          <w:tcPr>
            <w:tcW w:w="3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(1,391)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(2,648)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(2,633)</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37,801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77,207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68,318</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(4,025)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(1,812)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(5,973)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(4,027)</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33,776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34,952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71,234</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64,291</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 INSTRUMENTS</w:t>
      </w:r>
    </w:p>
    <w:p>
      <w:pPr>
        <w:spacing w:after="0" w:line="175"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We are exposed to market risks arising principally from changes in foreign currency exchange rates, interest rates and commodity prices. We use certain derivative instruments to manage these risks. These include interest rate swaps to manage interest rate risk, foreign currency forward exchange contracts to manage foreign currency exchange rate risk, and commodities futures and options contracts to manage commodity market price risk exposures.</w:t>
      </w:r>
    </w:p>
    <w:p>
      <w:pPr>
        <w:spacing w:after="0" w:line="9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entering into these contracts, we have assumed the risk that might arise from the possible inability of counterparties to meet the terms of their contracts. We mitigate this risk by entering into exchanged-traded contracts with collateral posting requirements and/or by performing financial assessments prior to contract execution, conducting periodic evaluations of counterparty performance and maintaining a diverse portfolio of qualified counterparties. We do not expect any significant losses from counterparty defaults.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94"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We enter into commodities futures and options contracts and other commodity derivative instruments to reduce the effect of future price fluctuations associated with the purchase of raw materials, energy requirements and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18" w:right="239" w:bottom="1440" w:gutter="0" w:footer="0" w:header="0"/>
        </w:sectPr>
      </w:pPr>
    </w:p>
    <w:bookmarkStart w:id="14" w:name="page15"/>
    <w:bookmarkEnd w:id="14"/>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1"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UNAUDITED CONSOLIDATED FINANCIAL STATEMENTS—(Continued)</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transportation services. We generally hedge commodity price risks for 3- to 24-month periods. Our open commodity derivative contracts had a notional value of $734,733 as of June 30, 2019 and $693,463 as of December 31, 2018.</w:t>
      </w:r>
    </w:p>
    <w:p>
      <w:pPr>
        <w:spacing w:after="0" w:line="3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Derivatives used to manage commodity price risk are not designated for hedge accounting treatment. Therefore, the changes in fair value of these derivatives are recorded as incurred within cost of sales. As discussed in Note 13, we define our segment income to exclude gains and losses on commodity derivatives until the related inventory is sold, at which time the related gains and losses are reflected within segment income. This enables us to continue to align the derivative gains and losses with the underlying economic exposure being hedged and thereby eliminate the mark-to-market volatility within our reported segment income.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Price Risk</w:t>
      </w:r>
    </w:p>
    <w:p>
      <w:pPr>
        <w:spacing w:after="0" w:line="9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are exposed to foreign currency exchange rate risk related to our international operations, including non-functional currency intercompany debt and other non-functional currency transactions of certain subsidiaries. Principal currencies hedged include the euro, Canadian dollar, Japanese yen, British pound, Brazilian real, Malaysian ringgit and Mexican Peso. We typically utilize foreign currency forward exchange contracts to hedge these exposures for periods ranging from 3 to 12 months. The contracts are either designated as cash flow hedges or are undesignated. The net notional amount of foreign exchange contracts accounted for as cash flow hedges was $99,496 at June 30, 2019 and $29,458 at December 31, 2018. The effective portion of the changes in fair value on these contracts is recorded in other comprehensive income and reclassified into earnings in the same period in which the hedged transactions affect earnings. The net notional amount of foreign exchange contracts that are not designated as accounting hedges was $32,938 at June 30, 2019 and $11,072 at December 31, 2018. The change in fair value on these instruments is recorded directly in cost of sales or selling, marketing and administrative expense, depending on the nature of the underlying exposure.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manage our targeted mix of fixed and floating rate debt with debt issuances and by entering into fixed-to-floating interest rate swaps in order to mitigate fluctuations in earnings and cash flows that may result from interest rate volatility. These swaps are designated as fair value hedges, for which the gain or loss on the derivative and the offsetting loss or gain on the hedged item are recognized in current earnings as interest expense (income), net. We had one interest rate derivative instrument in a fair value hedging relationship with a notional amount of $350,000 at June 30, 2019 and December 31, 2018.</w:t>
      </w:r>
    </w:p>
    <w:p>
      <w:pPr>
        <w:spacing w:after="0" w:line="4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order to manage interest rate exposure, in previous years we utilized interest rate swap agreements to protect against unfavorable interest rate changes relating to forecasted debt transactions. These swaps, which were settled upon issuance of the related debt, were designated as cash flow hedges and the gains and losses that were deferred in other comprehensive income are being recognized as an adjustment to interest expense over the same period that the hedged interest payments affect earnings.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Price Risk</w:t>
      </w:r>
    </w:p>
    <w:p>
      <w:pPr>
        <w:spacing w:after="0" w:line="9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are exposed to market price changes in certain broad market indices related to our deferred compensation obligations to our employees. To mitigate this risk, we use equity swap contracts to hedge the portion of the exposure that is linked to market-level equity returns. These contracts are not designated as hedges for accounting purposes and are entered into for periods of 3 to 12 months. The change in fair value of these derivatives is recorded in selling, marketing and administrative expense, together with the change in the related liabilities. The notional amount of the contracts outstanding at June 30, 2019 and December 31, 2018 was $26,708 and $33,168, respectively.</w:t>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118" w:right="279" w:bottom="1440" w:gutter="0" w:footer="0" w:header="0"/>
        </w:sectPr>
      </w:pPr>
    </w:p>
    <w:bookmarkStart w:id="15" w:name="page16"/>
    <w:bookmarkEnd w:id="15"/>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UNAUDITED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classification of derivative assets and liabilities within the Consolidated Balance Sheets as of June 30, 2019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40" w:type="dxa"/>
            <w:vAlign w:val="bottom"/>
            <w:gridSpan w:val="5"/>
          </w:tcPr>
          <w:p>
            <w:pPr>
              <w:ind w:left="820"/>
              <w:spacing w:after="0"/>
              <w:rPr>
                <w:sz w:val="20"/>
                <w:szCs w:val="20"/>
                <w:color w:val="auto"/>
              </w:rPr>
            </w:pPr>
            <w:r>
              <w:rPr>
                <w:rFonts w:ascii="Arial" w:cs="Arial" w:eastAsia="Arial" w:hAnsi="Arial"/>
                <w:sz w:val="18"/>
                <w:szCs w:val="18"/>
                <w:b w:val="1"/>
                <w:bCs w:val="1"/>
                <w:color w:val="auto"/>
              </w:rPr>
              <w:t>June 30, 2019</w:t>
            </w:r>
          </w:p>
        </w:tc>
        <w:tc>
          <w:tcPr>
            <w:tcW w:w="280" w:type="dxa"/>
            <w:vAlign w:val="bottom"/>
          </w:tcPr>
          <w:p>
            <w:pPr>
              <w:spacing w:after="0"/>
              <w:rPr>
                <w:sz w:val="20"/>
                <w:szCs w:val="20"/>
                <w:color w:val="auto"/>
              </w:rPr>
            </w:pPr>
          </w:p>
        </w:tc>
        <w:tc>
          <w:tcPr>
            <w:tcW w:w="290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December 31, 2018</w:t>
            </w:r>
          </w:p>
        </w:tc>
      </w:tr>
      <w:tr>
        <w:trPr>
          <w:trHeight w:val="27"/>
        </w:trPr>
        <w:tc>
          <w:tcPr>
            <w:tcW w:w="49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4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gridSpan w:val="2"/>
          </w:tcPr>
          <w:p>
            <w:pPr>
              <w:ind w:left="180"/>
              <w:spacing w:after="0"/>
              <w:rPr>
                <w:sz w:val="20"/>
                <w:szCs w:val="20"/>
                <w:color w:val="auto"/>
              </w:rPr>
            </w:pPr>
            <w:r>
              <w:rPr>
                <w:rFonts w:ascii="Arial" w:cs="Arial" w:eastAsia="Arial" w:hAnsi="Arial"/>
                <w:sz w:val="18"/>
                <w:szCs w:val="18"/>
                <w:b w:val="1"/>
                <w:bCs w:val="1"/>
                <w:color w:val="auto"/>
              </w:rPr>
              <w:t>Assets (1)</w:t>
            </w:r>
          </w:p>
        </w:tc>
        <w:tc>
          <w:tcPr>
            <w:tcW w:w="18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 (1)</w:t>
            </w:r>
          </w:p>
        </w:tc>
        <w:tc>
          <w:tcPr>
            <w:tcW w:w="280" w:type="dxa"/>
            <w:vAlign w:val="bottom"/>
          </w:tcPr>
          <w:p>
            <w:pPr>
              <w:spacing w:after="0"/>
              <w:rPr>
                <w:sz w:val="20"/>
                <w:szCs w:val="20"/>
                <w:color w:val="auto"/>
              </w:rPr>
            </w:pPr>
          </w:p>
        </w:tc>
        <w:tc>
          <w:tcPr>
            <w:tcW w:w="1420" w:type="dxa"/>
            <w:vAlign w:val="bottom"/>
            <w:gridSpan w:val="2"/>
          </w:tcPr>
          <w:p>
            <w:pPr>
              <w:ind w:left="160"/>
              <w:spacing w:after="0"/>
              <w:rPr>
                <w:sz w:val="20"/>
                <w:szCs w:val="20"/>
                <w:color w:val="auto"/>
              </w:rPr>
            </w:pPr>
            <w:r>
              <w:rPr>
                <w:rFonts w:ascii="Arial" w:cs="Arial" w:eastAsia="Arial" w:hAnsi="Arial"/>
                <w:sz w:val="18"/>
                <w:szCs w:val="18"/>
                <w:b w:val="1"/>
                <w:bCs w:val="1"/>
                <w:color w:val="auto"/>
              </w:rPr>
              <w:t>Assets (1)</w:t>
            </w:r>
          </w:p>
        </w:tc>
        <w:tc>
          <w:tcPr>
            <w:tcW w:w="180" w:type="dxa"/>
            <w:vAlign w:val="bottom"/>
          </w:tcPr>
          <w:p>
            <w:pPr>
              <w:spacing w:after="0"/>
              <w:rPr>
                <w:sz w:val="20"/>
                <w:szCs w:val="20"/>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Liabilities (1)</w:t>
            </w:r>
          </w:p>
        </w:tc>
      </w:tr>
      <w:tr>
        <w:trPr>
          <w:trHeight w:val="27"/>
        </w:trPr>
        <w:tc>
          <w:tcPr>
            <w:tcW w:w="49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7"/>
              </w:rPr>
              <w:t>Derivatives designated as cash flow hedging instruments:</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Foreign exchange contracts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2,397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3,394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485</w:t>
            </w:r>
          </w:p>
        </w:tc>
      </w:tr>
      <w:tr>
        <w:trPr>
          <w:trHeight w:val="27"/>
        </w:trPr>
        <w:tc>
          <w:tcPr>
            <w:tcW w:w="4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9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w w:val="98"/>
              </w:rPr>
              <w:t>Derivatives designated as fair value hedging instruments:</w:t>
            </w: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4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4,832</w:t>
            </w:r>
          </w:p>
        </w:tc>
      </w:tr>
      <w:tr>
        <w:trPr>
          <w:trHeight w:val="324"/>
        </w:trPr>
        <w:tc>
          <w:tcPr>
            <w:tcW w:w="4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Commodities futures and options (2)</w:t>
            </w:r>
          </w:p>
        </w:tc>
        <w:tc>
          <w:tcPr>
            <w:tcW w:w="28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6,509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7,230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262</w:t>
            </w:r>
          </w:p>
        </w:tc>
      </w:tr>
      <w:tr>
        <w:trPr>
          <w:trHeight w:val="27"/>
        </w:trPr>
        <w:tc>
          <w:tcPr>
            <w:tcW w:w="4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 derivatives</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4,736</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Foreign exchange contracts</w:t>
            </w:r>
          </w:p>
        </w:tc>
        <w:tc>
          <w:tcPr>
            <w:tcW w:w="28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484</w:t>
            </w:r>
          </w:p>
        </w:tc>
      </w:tr>
      <w:tr>
        <w:trPr>
          <w:trHeight w:val="27"/>
        </w:trPr>
        <w:tc>
          <w:tcPr>
            <w:tcW w:w="49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49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7,160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5,482</w:t>
            </w:r>
          </w:p>
        </w:tc>
      </w:tr>
      <w:tr>
        <w:trPr>
          <w:trHeight w:val="25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1,739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9,557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10,694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10,799</w:t>
            </w:r>
          </w:p>
        </w:tc>
      </w:tr>
      <w:tr>
        <w:trPr>
          <w:trHeight w:val="20"/>
        </w:trPr>
        <w:tc>
          <w:tcPr>
            <w:tcW w:w="4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500" w:right="220" w:hanging="330"/>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Derivatives assets are classified on our balance sheet within prepaid expenses and other as well as other assets. Derivative liabilities are classified on our balance sheet within accrued liabilities and other long-term liabilities.</w:t>
      </w:r>
    </w:p>
    <w:p>
      <w:pPr>
        <w:spacing w:after="0" w:line="8" w:lineRule="exact"/>
        <w:rPr>
          <w:rFonts w:ascii="Arial" w:cs="Arial" w:eastAsia="Arial" w:hAnsi="Arial"/>
          <w:sz w:val="18"/>
          <w:szCs w:val="18"/>
          <w:color w:val="auto"/>
        </w:rPr>
      </w:pPr>
    </w:p>
    <w:p>
      <w:pPr>
        <w:ind w:left="500" w:right="280" w:hanging="330"/>
        <w:spacing w:after="0" w:line="25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of June 30, 2019, amounts reflected on a net basis in liabilities were assets of $49,752 and liabilities of $56,261, which are associated with cash transfers receivable or payable on commodities futures contracts reflecting the change in quoted market prices on the last trading day for the period. The comparable amounts reflected on a net basis in assets at December 31, 2018 were assets of $63,978 and liabilities of $57,351. At June 30, 2019 and December 31, 2018, the remaining amount reflected in assets and liabilities related to the fair value of other non-exchange traded derivative instruments,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Statement Impact of Derivative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effect of derivative instruments on the Consolidated Statements of Income for the three months ended June 30, 2019 and July 1, 2018 was as follows:</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88"/>
              </w:rPr>
              <w:t>Non-designated Hedges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60" w:type="dxa"/>
            <w:vAlign w:val="bottom"/>
            <w:gridSpan w:val="4"/>
          </w:tcPr>
          <w:p>
            <w:pPr>
              <w:jc w:val="right"/>
              <w:ind w:right="491"/>
              <w:spacing w:after="0"/>
              <w:rPr>
                <w:sz w:val="20"/>
                <w:szCs w:val="20"/>
                <w:color w:val="auto"/>
              </w:rPr>
            </w:pPr>
            <w:r>
              <w:rPr>
                <w:rFonts w:ascii="Arial" w:cs="Arial" w:eastAsia="Arial" w:hAnsi="Arial"/>
                <w:sz w:val="16"/>
                <w:szCs w:val="16"/>
                <w:b w:val="1"/>
                <w:bCs w:val="1"/>
                <w:color w:val="auto"/>
              </w:rPr>
              <w:t>Cash Flow Hedges</w:t>
            </w: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4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3"/>
          </w:tcPr>
          <w:p>
            <w:pPr>
              <w:spacing w:after="0"/>
              <w:rPr>
                <w:sz w:val="2"/>
                <w:szCs w:val="2"/>
                <w:color w:val="auto"/>
              </w:rPr>
            </w:pPr>
          </w:p>
        </w:tc>
      </w:tr>
      <w:tr>
        <w:trPr>
          <w:trHeight w:val="209"/>
        </w:trPr>
        <w:tc>
          <w:tcPr>
            <w:tcW w:w="4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87"/>
              </w:rPr>
              <w:t>Gains (losses) recognized in</w:t>
            </w:r>
          </w:p>
        </w:tc>
        <w:tc>
          <w:tcPr>
            <w:tcW w:w="2480" w:type="dxa"/>
            <w:vAlign w:val="bottom"/>
            <w:gridSpan w:val="5"/>
          </w:tcPr>
          <w:p>
            <w:pPr>
              <w:ind w:left="40"/>
              <w:spacing w:after="0"/>
              <w:rPr>
                <w:sz w:val="20"/>
                <w:szCs w:val="20"/>
                <w:color w:val="auto"/>
              </w:rPr>
            </w:pPr>
            <w:r>
              <w:rPr>
                <w:rFonts w:ascii="Arial" w:cs="Arial" w:eastAsia="Arial" w:hAnsi="Arial"/>
                <w:sz w:val="16"/>
                <w:szCs w:val="16"/>
                <w:b w:val="1"/>
                <w:bCs w:val="1"/>
                <w:color w:val="auto"/>
                <w:w w:val="92"/>
              </w:rPr>
              <w:t>Gains (losses) recognized in other</w:t>
            </w:r>
          </w:p>
        </w:tc>
        <w:tc>
          <w:tcPr>
            <w:tcW w:w="120" w:type="dxa"/>
            <w:vAlign w:val="bottom"/>
          </w:tcPr>
          <w:p>
            <w:pPr>
              <w:spacing w:after="0"/>
              <w:rPr>
                <w:sz w:val="18"/>
                <w:szCs w:val="18"/>
                <w:color w:val="auto"/>
              </w:rPr>
            </w:pPr>
          </w:p>
        </w:tc>
        <w:tc>
          <w:tcPr>
            <w:tcW w:w="226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w w:val="88"/>
              </w:rPr>
              <w:t>Gains (losses) reclassified from</w:t>
            </w:r>
          </w:p>
        </w:tc>
      </w:tr>
      <w:tr>
        <w:trPr>
          <w:trHeight w:val="210"/>
        </w:trPr>
        <w:tc>
          <w:tcPr>
            <w:tcW w:w="4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left="573"/>
              <w:spacing w:after="0"/>
              <w:rPr>
                <w:sz w:val="20"/>
                <w:szCs w:val="20"/>
                <w:color w:val="auto"/>
              </w:rPr>
            </w:pPr>
            <w:r>
              <w:rPr>
                <w:rFonts w:ascii="Arial" w:cs="Arial" w:eastAsia="Arial" w:hAnsi="Arial"/>
                <w:sz w:val="16"/>
                <w:szCs w:val="16"/>
                <w:b w:val="1"/>
                <w:bCs w:val="1"/>
                <w:color w:val="auto"/>
                <w:w w:val="92"/>
              </w:rPr>
              <w:t>income (a)</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5"/>
          </w:tcPr>
          <w:p>
            <w:pPr>
              <w:ind w:left="100"/>
              <w:spacing w:after="0"/>
              <w:rPr>
                <w:sz w:val="20"/>
                <w:szCs w:val="20"/>
                <w:color w:val="auto"/>
              </w:rPr>
            </w:pPr>
            <w:r>
              <w:rPr>
                <w:rFonts w:ascii="Arial" w:cs="Arial" w:eastAsia="Arial" w:hAnsi="Arial"/>
                <w:sz w:val="16"/>
                <w:szCs w:val="16"/>
                <w:b w:val="1"/>
                <w:bCs w:val="1"/>
                <w:color w:val="auto"/>
                <w:w w:val="99"/>
              </w:rPr>
              <w:t>comprehensive income (“OCI”)</w:t>
            </w:r>
          </w:p>
        </w:tc>
        <w:tc>
          <w:tcPr>
            <w:tcW w:w="2380" w:type="dxa"/>
            <w:vAlign w:val="bottom"/>
            <w:gridSpan w:val="4"/>
          </w:tcPr>
          <w:p>
            <w:pPr>
              <w:ind w:left="40"/>
              <w:spacing w:after="0"/>
              <w:rPr>
                <w:sz w:val="20"/>
                <w:szCs w:val="20"/>
                <w:color w:val="auto"/>
              </w:rPr>
            </w:pPr>
            <w:r>
              <w:rPr>
                <w:rFonts w:ascii="Arial" w:cs="Arial" w:eastAsia="Arial" w:hAnsi="Arial"/>
                <w:sz w:val="16"/>
                <w:szCs w:val="16"/>
                <w:b w:val="1"/>
                <w:bCs w:val="1"/>
                <w:color w:val="auto"/>
                <w:w w:val="92"/>
              </w:rPr>
              <w:t>accumulated OCI into income (b)</w:t>
            </w:r>
          </w:p>
        </w:tc>
      </w:tr>
      <w:tr>
        <w:trPr>
          <w:trHeight w:val="33"/>
        </w:trPr>
        <w:tc>
          <w:tcPr>
            <w:tcW w:w="4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426"/>
        </w:trPr>
        <w:tc>
          <w:tcPr>
            <w:tcW w:w="4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ind w:right="373"/>
              <w:spacing w:after="0"/>
              <w:rPr>
                <w:sz w:val="20"/>
                <w:szCs w:val="20"/>
                <w:color w:val="auto"/>
              </w:rPr>
            </w:pPr>
            <w:r>
              <w:rPr>
                <w:rFonts w:ascii="Arial" w:cs="Arial" w:eastAsia="Arial" w:hAnsi="Arial"/>
                <w:sz w:val="18"/>
                <w:szCs w:val="18"/>
                <w:b w:val="1"/>
                <w:bCs w:val="1"/>
                <w:color w:val="auto"/>
              </w:rPr>
              <w:t>2019</w:t>
            </w:r>
          </w:p>
        </w:tc>
        <w:tc>
          <w:tcPr>
            <w:tcW w:w="380" w:type="dxa"/>
            <w:vAlign w:val="bottom"/>
          </w:tcPr>
          <w:p>
            <w:pPr>
              <w:spacing w:after="0"/>
              <w:rPr>
                <w:sz w:val="24"/>
                <w:szCs w:val="24"/>
                <w:color w:val="auto"/>
              </w:rPr>
            </w:pPr>
          </w:p>
        </w:tc>
        <w:tc>
          <w:tcPr>
            <w:tcW w:w="8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320" w:type="dxa"/>
            <w:vAlign w:val="bottom"/>
          </w:tcPr>
          <w:p>
            <w:pPr>
              <w:spacing w:after="0"/>
              <w:rPr>
                <w:sz w:val="24"/>
                <w:szCs w:val="24"/>
                <w:color w:val="auto"/>
              </w:rPr>
            </w:pPr>
          </w:p>
        </w:tc>
        <w:tc>
          <w:tcPr>
            <w:tcW w:w="880" w:type="dxa"/>
            <w:vAlign w:val="bottom"/>
          </w:tcPr>
          <w:p>
            <w:pPr>
              <w:jc w:val="right"/>
              <w:ind w:right="311"/>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ind w:right="331"/>
              <w:spacing w:after="0"/>
              <w:rPr>
                <w:sz w:val="20"/>
                <w:szCs w:val="20"/>
                <w:color w:val="auto"/>
              </w:rPr>
            </w:pPr>
            <w:r>
              <w:rPr>
                <w:rFonts w:ascii="Arial" w:cs="Arial" w:eastAsia="Arial" w:hAnsi="Arial"/>
                <w:sz w:val="18"/>
                <w:szCs w:val="18"/>
                <w:b w:val="1"/>
                <w:bCs w:val="1"/>
                <w:color w:val="auto"/>
              </w:rPr>
              <w:t>2019</w:t>
            </w:r>
          </w:p>
        </w:tc>
        <w:tc>
          <w:tcPr>
            <w:tcW w:w="320" w:type="dxa"/>
            <w:vAlign w:val="bottom"/>
          </w:tcPr>
          <w:p>
            <w:pPr>
              <w:spacing w:after="0"/>
              <w:rPr>
                <w:sz w:val="24"/>
                <w:szCs w:val="24"/>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r>
      <w:tr>
        <w:trPr>
          <w:trHeight w:val="27"/>
        </w:trPr>
        <w:tc>
          <w:tcPr>
            <w:tcW w:w="4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Commodities futures and options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55,531</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Foreign exchange contracts</w:t>
            </w:r>
          </w:p>
        </w:tc>
        <w:tc>
          <w:tcPr>
            <w:tcW w:w="2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(526)</w:t>
            </w:r>
          </w:p>
        </w:tc>
        <w:tc>
          <w:tcPr>
            <w:tcW w:w="38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(2,547)</w:t>
            </w:r>
          </w:p>
        </w:tc>
        <w:tc>
          <w:tcPr>
            <w:tcW w:w="32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3,559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975</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7"/>
        </w:trPr>
        <w:tc>
          <w:tcPr>
            <w:tcW w:w="4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(2,370)</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(2,370)</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Deferred compensation derivatives</w:t>
            </w:r>
          </w:p>
        </w:tc>
        <w:tc>
          <w:tcPr>
            <w:tcW w:w="2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(2,070)</w:t>
            </w:r>
          </w:p>
        </w:tc>
        <w:tc>
          <w:tcPr>
            <w:tcW w:w="38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1,199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52,935</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1,519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(2,547)</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3,559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(1,395)</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(2,463)</w:t>
            </w:r>
          </w:p>
        </w:tc>
      </w:tr>
      <w:tr>
        <w:trPr>
          <w:trHeight w:val="20"/>
        </w:trPr>
        <w:tc>
          <w:tcPr>
            <w:tcW w:w="4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662"/>
        </w:trPr>
        <w:tc>
          <w:tcPr>
            <w:tcW w:w="4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jc w:val="right"/>
              <w:ind w:right="570"/>
              <w:spacing w:after="0"/>
              <w:rPr>
                <w:sz w:val="20"/>
                <w:szCs w:val="20"/>
                <w:color w:val="auto"/>
              </w:rPr>
            </w:pPr>
            <w:r>
              <w:rPr>
                <w:rFonts w:ascii="Arial" w:cs="Arial" w:eastAsia="Arial" w:hAnsi="Arial"/>
                <w:sz w:val="18"/>
                <w:szCs w:val="18"/>
                <w:color w:val="auto"/>
                <w:w w:val="79"/>
              </w:rPr>
              <w:t>16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20"/>
          </w:cols>
          <w:pgMar w:left="240" w:top="116" w:right="239" w:bottom="1440" w:gutter="0" w:footer="0" w:header="0"/>
        </w:sectPr>
      </w:pPr>
    </w:p>
    <w:bookmarkStart w:id="16" w:name="page17"/>
    <w:bookmarkEnd w:id="16"/>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UNAUDITED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color w:val="auto"/>
        </w:rPr>
        <w:t>The effect of derivative instruments on the Consolidated Statements of Income for the six months ended June 30, 2019 and July 1, 2018 was as follows:</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88"/>
              </w:rPr>
              <w:t>Non-designated Hedges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60" w:type="dxa"/>
            <w:vAlign w:val="bottom"/>
            <w:gridSpan w:val="4"/>
          </w:tcPr>
          <w:p>
            <w:pPr>
              <w:jc w:val="right"/>
              <w:ind w:right="491"/>
              <w:spacing w:after="0"/>
              <w:rPr>
                <w:sz w:val="20"/>
                <w:szCs w:val="20"/>
                <w:color w:val="auto"/>
              </w:rPr>
            </w:pPr>
            <w:r>
              <w:rPr>
                <w:rFonts w:ascii="Arial" w:cs="Arial" w:eastAsia="Arial" w:hAnsi="Arial"/>
                <w:sz w:val="16"/>
                <w:szCs w:val="16"/>
                <w:b w:val="1"/>
                <w:bCs w:val="1"/>
                <w:color w:val="auto"/>
              </w:rPr>
              <w:t>Cash Flow Hedges</w:t>
            </w: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4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3"/>
          </w:tcPr>
          <w:p>
            <w:pPr>
              <w:spacing w:after="0"/>
              <w:rPr>
                <w:sz w:val="2"/>
                <w:szCs w:val="2"/>
                <w:color w:val="auto"/>
              </w:rPr>
            </w:pPr>
          </w:p>
        </w:tc>
      </w:tr>
      <w:tr>
        <w:trPr>
          <w:trHeight w:val="209"/>
        </w:trPr>
        <w:tc>
          <w:tcPr>
            <w:tcW w:w="4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87"/>
              </w:rPr>
              <w:t>Gains (losses) recognized in</w:t>
            </w:r>
          </w:p>
        </w:tc>
        <w:tc>
          <w:tcPr>
            <w:tcW w:w="2480" w:type="dxa"/>
            <w:vAlign w:val="bottom"/>
            <w:gridSpan w:val="5"/>
          </w:tcPr>
          <w:p>
            <w:pPr>
              <w:ind w:left="40"/>
              <w:spacing w:after="0"/>
              <w:rPr>
                <w:sz w:val="20"/>
                <w:szCs w:val="20"/>
                <w:color w:val="auto"/>
              </w:rPr>
            </w:pPr>
            <w:r>
              <w:rPr>
                <w:rFonts w:ascii="Arial" w:cs="Arial" w:eastAsia="Arial" w:hAnsi="Arial"/>
                <w:sz w:val="16"/>
                <w:szCs w:val="16"/>
                <w:b w:val="1"/>
                <w:bCs w:val="1"/>
                <w:color w:val="auto"/>
                <w:w w:val="92"/>
              </w:rPr>
              <w:t>Gains (losses) recognized in other</w:t>
            </w:r>
          </w:p>
        </w:tc>
        <w:tc>
          <w:tcPr>
            <w:tcW w:w="120" w:type="dxa"/>
            <w:vAlign w:val="bottom"/>
          </w:tcPr>
          <w:p>
            <w:pPr>
              <w:spacing w:after="0"/>
              <w:rPr>
                <w:sz w:val="18"/>
                <w:szCs w:val="18"/>
                <w:color w:val="auto"/>
              </w:rPr>
            </w:pPr>
          </w:p>
        </w:tc>
        <w:tc>
          <w:tcPr>
            <w:tcW w:w="226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w w:val="88"/>
              </w:rPr>
              <w:t>Gains (losses) reclassified from</w:t>
            </w:r>
          </w:p>
        </w:tc>
      </w:tr>
      <w:tr>
        <w:trPr>
          <w:trHeight w:val="210"/>
        </w:trPr>
        <w:tc>
          <w:tcPr>
            <w:tcW w:w="4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left="533"/>
              <w:spacing w:after="0"/>
              <w:rPr>
                <w:sz w:val="20"/>
                <w:szCs w:val="20"/>
                <w:color w:val="auto"/>
              </w:rPr>
            </w:pPr>
            <w:r>
              <w:rPr>
                <w:rFonts w:ascii="Arial" w:cs="Arial" w:eastAsia="Arial" w:hAnsi="Arial"/>
                <w:sz w:val="16"/>
                <w:szCs w:val="16"/>
                <w:b w:val="1"/>
                <w:bCs w:val="1"/>
                <w:color w:val="auto"/>
                <w:w w:val="92"/>
              </w:rPr>
              <w:t>income (a)</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5"/>
          </w:tcPr>
          <w:p>
            <w:pPr>
              <w:ind w:left="100"/>
              <w:spacing w:after="0"/>
              <w:rPr>
                <w:sz w:val="20"/>
                <w:szCs w:val="20"/>
                <w:color w:val="auto"/>
              </w:rPr>
            </w:pPr>
            <w:r>
              <w:rPr>
                <w:rFonts w:ascii="Arial" w:cs="Arial" w:eastAsia="Arial" w:hAnsi="Arial"/>
                <w:sz w:val="16"/>
                <w:szCs w:val="16"/>
                <w:b w:val="1"/>
                <w:bCs w:val="1"/>
                <w:color w:val="auto"/>
                <w:w w:val="99"/>
              </w:rPr>
              <w:t>comprehensive income (“OCI”)</w:t>
            </w:r>
          </w:p>
        </w:tc>
        <w:tc>
          <w:tcPr>
            <w:tcW w:w="2380" w:type="dxa"/>
            <w:vAlign w:val="bottom"/>
            <w:gridSpan w:val="4"/>
          </w:tcPr>
          <w:p>
            <w:pPr>
              <w:ind w:left="40"/>
              <w:spacing w:after="0"/>
              <w:rPr>
                <w:sz w:val="20"/>
                <w:szCs w:val="20"/>
                <w:color w:val="auto"/>
              </w:rPr>
            </w:pPr>
            <w:r>
              <w:rPr>
                <w:rFonts w:ascii="Arial" w:cs="Arial" w:eastAsia="Arial" w:hAnsi="Arial"/>
                <w:sz w:val="16"/>
                <w:szCs w:val="16"/>
                <w:b w:val="1"/>
                <w:bCs w:val="1"/>
                <w:color w:val="auto"/>
                <w:w w:val="92"/>
              </w:rPr>
              <w:t>accumulated OCI into income (b)</w:t>
            </w:r>
          </w:p>
        </w:tc>
      </w:tr>
      <w:tr>
        <w:trPr>
          <w:trHeight w:val="33"/>
        </w:trPr>
        <w:tc>
          <w:tcPr>
            <w:tcW w:w="4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426"/>
        </w:trPr>
        <w:tc>
          <w:tcPr>
            <w:tcW w:w="4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ind w:right="373"/>
              <w:spacing w:after="0"/>
              <w:rPr>
                <w:sz w:val="20"/>
                <w:szCs w:val="20"/>
                <w:color w:val="auto"/>
              </w:rPr>
            </w:pPr>
            <w:r>
              <w:rPr>
                <w:rFonts w:ascii="Arial" w:cs="Arial" w:eastAsia="Arial" w:hAnsi="Arial"/>
                <w:sz w:val="18"/>
                <w:szCs w:val="18"/>
                <w:b w:val="1"/>
                <w:bCs w:val="1"/>
                <w:color w:val="auto"/>
              </w:rPr>
              <w:t>2019</w:t>
            </w:r>
          </w:p>
        </w:tc>
        <w:tc>
          <w:tcPr>
            <w:tcW w:w="420" w:type="dxa"/>
            <w:vAlign w:val="bottom"/>
          </w:tcPr>
          <w:p>
            <w:pPr>
              <w:spacing w:after="0"/>
              <w:rPr>
                <w:sz w:val="24"/>
                <w:szCs w:val="24"/>
                <w:color w:val="auto"/>
              </w:rPr>
            </w:pPr>
          </w:p>
        </w:tc>
        <w:tc>
          <w:tcPr>
            <w:tcW w:w="800" w:type="dxa"/>
            <w:vAlign w:val="bottom"/>
          </w:tcPr>
          <w:p>
            <w:pPr>
              <w:jc w:val="right"/>
              <w:ind w:right="310"/>
              <w:spacing w:after="0"/>
              <w:rPr>
                <w:sz w:val="20"/>
                <w:szCs w:val="20"/>
                <w:color w:val="auto"/>
              </w:rPr>
            </w:pPr>
            <w:r>
              <w:rPr>
                <w:rFonts w:ascii="Arial" w:cs="Arial" w:eastAsia="Arial" w:hAnsi="Arial"/>
                <w:sz w:val="18"/>
                <w:szCs w:val="18"/>
                <w:b w:val="1"/>
                <w:bCs w:val="1"/>
                <w:color w:val="auto"/>
                <w:w w:val="94"/>
              </w:rPr>
              <w:t>2018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320" w:type="dxa"/>
            <w:vAlign w:val="bottom"/>
          </w:tcPr>
          <w:p>
            <w:pPr>
              <w:spacing w:after="0"/>
              <w:rPr>
                <w:sz w:val="24"/>
                <w:szCs w:val="24"/>
                <w:color w:val="auto"/>
              </w:rPr>
            </w:pPr>
          </w:p>
        </w:tc>
        <w:tc>
          <w:tcPr>
            <w:tcW w:w="880" w:type="dxa"/>
            <w:vAlign w:val="bottom"/>
          </w:tcPr>
          <w:p>
            <w:pPr>
              <w:jc w:val="right"/>
              <w:ind w:right="311"/>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ind w:right="331"/>
              <w:spacing w:after="0"/>
              <w:rPr>
                <w:sz w:val="20"/>
                <w:szCs w:val="20"/>
                <w:color w:val="auto"/>
              </w:rPr>
            </w:pPr>
            <w:r>
              <w:rPr>
                <w:rFonts w:ascii="Arial" w:cs="Arial" w:eastAsia="Arial" w:hAnsi="Arial"/>
                <w:sz w:val="18"/>
                <w:szCs w:val="18"/>
                <w:b w:val="1"/>
                <w:bCs w:val="1"/>
                <w:color w:val="auto"/>
              </w:rPr>
              <w:t>2019</w:t>
            </w:r>
          </w:p>
        </w:tc>
        <w:tc>
          <w:tcPr>
            <w:tcW w:w="320" w:type="dxa"/>
            <w:vAlign w:val="bottom"/>
          </w:tcPr>
          <w:p>
            <w:pPr>
              <w:spacing w:after="0"/>
              <w:rPr>
                <w:sz w:val="24"/>
                <w:szCs w:val="24"/>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r>
      <w:tr>
        <w:trPr>
          <w:trHeight w:val="27"/>
        </w:trPr>
        <w:tc>
          <w:tcPr>
            <w:tcW w:w="4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Commodities futures and options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28,890</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66,773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Foreign exchange contracts</w:t>
            </w:r>
          </w:p>
        </w:tc>
        <w:tc>
          <w:tcPr>
            <w:tcW w:w="2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(311)</w:t>
            </w:r>
          </w:p>
        </w:tc>
        <w:tc>
          <w:tcPr>
            <w:tcW w:w="4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(3,336)</w:t>
            </w:r>
          </w:p>
        </w:tc>
        <w:tc>
          <w:tcPr>
            <w:tcW w:w="32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7,804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1,906</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43</w:t>
            </w:r>
          </w:p>
        </w:tc>
      </w:tr>
      <w:tr>
        <w:trPr>
          <w:trHeight w:val="27"/>
        </w:trPr>
        <w:tc>
          <w:tcPr>
            <w:tcW w:w="4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(4,739)</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(4,766)</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Deferred compensation derivatives</w:t>
            </w:r>
          </w:p>
        </w:tc>
        <w:tc>
          <w:tcPr>
            <w:tcW w:w="200" w:type="dxa"/>
            <w:vAlign w:val="bottom"/>
          </w:tcPr>
          <w:p>
            <w:pPr>
              <w:spacing w:after="0"/>
              <w:rPr>
                <w:sz w:val="21"/>
                <w:szCs w:val="21"/>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973</w:t>
            </w:r>
          </w:p>
        </w:tc>
        <w:tc>
          <w:tcPr>
            <w:tcW w:w="4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29,552</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67,564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(3,336)</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7,804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(2,833)</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(4,723)</w:t>
            </w:r>
          </w:p>
        </w:tc>
      </w:tr>
      <w:tr>
        <w:trPr>
          <w:trHeight w:val="20"/>
        </w:trPr>
        <w:tc>
          <w:tcPr>
            <w:tcW w:w="4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340" w:right="220" w:hanging="332"/>
        <w:spacing w:after="0" w:line="264"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Gains (losses) recognized in income for non-designated commodities futures and options contracts were included in cost of sales. Gains (losses) recognized in income for non-designated foreign currency forward exchange contracts and deferred compensation derivatives were included in selling, marketing and administrative expenses.</w:t>
      </w:r>
    </w:p>
    <w:p>
      <w:pPr>
        <w:spacing w:after="0" w:line="19" w:lineRule="exact"/>
        <w:rPr>
          <w:rFonts w:ascii="Arial" w:cs="Arial" w:eastAsia="Arial" w:hAnsi="Arial"/>
          <w:sz w:val="18"/>
          <w:szCs w:val="18"/>
          <w:color w:val="auto"/>
        </w:rPr>
      </w:pPr>
    </w:p>
    <w:p>
      <w:pPr>
        <w:ind w:left="340" w:right="1000" w:hanging="332"/>
        <w:spacing w:after="0" w:line="342"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Gains (losses) reclassified from AOCI into income for foreign currency forward exchange contracts were included in selling, marketing and administrative expenses. Losses reclassified from AOCI into income for interest rate swap agreements were included in interest expense.</w:t>
      </w:r>
    </w:p>
    <w:p>
      <w:pPr>
        <w:spacing w:after="0" w:line="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amount of pretax net losses on derivative instruments, including interest rate swap agreements and foreign currency forward exchange contracts expected to be reclassified into earnings in the next 12 months was approximately $11,810 as of June 30, 2019. This amount is primarily associated with interest rate swap agreements.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Hedging Relationships</w:t>
      </w:r>
    </w:p>
    <w:p>
      <w:pPr>
        <w:spacing w:after="0" w:line="9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following table presents amounts that were recorded on the balance sheet related to cumulative basis adjustments for interest rate swap derivatives designated as fair value accounting hedges as of June 30, 2019 and December 31, 2018.</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40" w:type="dxa"/>
            <w:vAlign w:val="bottom"/>
            <w:gridSpan w:val="2"/>
          </w:tcPr>
          <w:p>
            <w:pPr>
              <w:ind w:left="40"/>
              <w:spacing w:after="0"/>
              <w:rPr>
                <w:sz w:val="20"/>
                <w:szCs w:val="20"/>
                <w:color w:val="auto"/>
              </w:rPr>
            </w:pPr>
            <w:r>
              <w:rPr>
                <w:rFonts w:ascii="Arial" w:cs="Arial" w:eastAsia="Arial" w:hAnsi="Arial"/>
                <w:sz w:val="16"/>
                <w:szCs w:val="16"/>
                <w:b w:val="1"/>
                <w:bCs w:val="1"/>
                <w:color w:val="auto"/>
                <w:w w:val="97"/>
              </w:rPr>
              <w:t>Line Item in the Consolidated Balance Sheet</w:t>
            </w:r>
          </w:p>
        </w:tc>
        <w:tc>
          <w:tcPr>
            <w:tcW w:w="300" w:type="dxa"/>
            <w:vAlign w:val="bottom"/>
          </w:tcPr>
          <w:p>
            <w:pPr>
              <w:spacing w:after="0"/>
              <w:rPr>
                <w:sz w:val="17"/>
                <w:szCs w:val="17"/>
                <w:color w:val="auto"/>
              </w:rPr>
            </w:pPr>
          </w:p>
        </w:tc>
        <w:tc>
          <w:tcPr>
            <w:tcW w:w="3800" w:type="dxa"/>
            <w:vAlign w:val="bottom"/>
            <w:gridSpan w:val="5"/>
          </w:tcPr>
          <w:p>
            <w:pPr>
              <w:ind w:left="880"/>
              <w:spacing w:after="0"/>
              <w:rPr>
                <w:sz w:val="20"/>
                <w:szCs w:val="20"/>
                <w:color w:val="auto"/>
              </w:rPr>
            </w:pPr>
            <w:r>
              <w:rPr>
                <w:rFonts w:ascii="Arial" w:cs="Arial" w:eastAsia="Arial" w:hAnsi="Arial"/>
                <w:sz w:val="16"/>
                <w:szCs w:val="16"/>
                <w:b w:val="1"/>
                <w:bCs w:val="1"/>
                <w:color w:val="auto"/>
              </w:rPr>
              <w:t>Carrying Amount of the</w:t>
            </w:r>
          </w:p>
        </w:tc>
        <w:tc>
          <w:tcPr>
            <w:tcW w:w="3980" w:type="dxa"/>
            <w:vAlign w:val="bottom"/>
            <w:gridSpan w:val="5"/>
          </w:tcPr>
          <w:p>
            <w:pPr>
              <w:jc w:val="right"/>
              <w:spacing w:after="0"/>
              <w:rPr>
                <w:sz w:val="20"/>
                <w:szCs w:val="20"/>
                <w:color w:val="auto"/>
              </w:rPr>
            </w:pPr>
            <w:r>
              <w:rPr>
                <w:rFonts w:ascii="Arial" w:cs="Arial" w:eastAsia="Arial" w:hAnsi="Arial"/>
                <w:sz w:val="16"/>
                <w:szCs w:val="16"/>
                <w:b w:val="1"/>
                <w:bCs w:val="1"/>
                <w:color w:val="auto"/>
                <w:w w:val="95"/>
              </w:rPr>
              <w:t>Cumulative Amount of Fair Value Hedging Adjustment</w:t>
            </w:r>
          </w:p>
        </w:tc>
      </w:tr>
      <w:tr>
        <w:trPr>
          <w:trHeight w:val="210"/>
        </w:trPr>
        <w:tc>
          <w:tcPr>
            <w:tcW w:w="3340" w:type="dxa"/>
            <w:vAlign w:val="bottom"/>
            <w:gridSpan w:val="2"/>
          </w:tcPr>
          <w:p>
            <w:pPr>
              <w:ind w:left="40"/>
              <w:spacing w:after="0"/>
              <w:rPr>
                <w:sz w:val="20"/>
                <w:szCs w:val="20"/>
                <w:color w:val="auto"/>
              </w:rPr>
            </w:pPr>
            <w:r>
              <w:rPr>
                <w:rFonts w:ascii="Arial" w:cs="Arial" w:eastAsia="Arial" w:hAnsi="Arial"/>
                <w:sz w:val="16"/>
                <w:szCs w:val="16"/>
                <w:b w:val="1"/>
                <w:bCs w:val="1"/>
                <w:color w:val="auto"/>
              </w:rPr>
              <w:t>in Which the Hedged Item is Included</w:t>
            </w:r>
          </w:p>
        </w:tc>
        <w:tc>
          <w:tcPr>
            <w:tcW w:w="300" w:type="dxa"/>
            <w:vAlign w:val="bottom"/>
          </w:tcPr>
          <w:p>
            <w:pPr>
              <w:spacing w:after="0"/>
              <w:rPr>
                <w:sz w:val="18"/>
                <w:szCs w:val="18"/>
                <w:color w:val="auto"/>
              </w:rPr>
            </w:pPr>
          </w:p>
        </w:tc>
        <w:tc>
          <w:tcPr>
            <w:tcW w:w="3800" w:type="dxa"/>
            <w:vAlign w:val="bottom"/>
            <w:gridSpan w:val="5"/>
          </w:tcPr>
          <w:p>
            <w:pPr>
              <w:ind w:left="860"/>
              <w:spacing w:after="0"/>
              <w:rPr>
                <w:sz w:val="20"/>
                <w:szCs w:val="20"/>
                <w:color w:val="auto"/>
              </w:rPr>
            </w:pPr>
            <w:r>
              <w:rPr>
                <w:rFonts w:ascii="Arial" w:cs="Arial" w:eastAsia="Arial" w:hAnsi="Arial"/>
                <w:sz w:val="16"/>
                <w:szCs w:val="16"/>
                <w:b w:val="1"/>
                <w:bCs w:val="1"/>
                <w:color w:val="auto"/>
              </w:rPr>
              <w:t>Hedged Asset/(Liability)</w:t>
            </w:r>
          </w:p>
        </w:tc>
        <w:tc>
          <w:tcPr>
            <w:tcW w:w="3980" w:type="dxa"/>
            <w:vAlign w:val="bottom"/>
            <w:gridSpan w:val="5"/>
          </w:tcPr>
          <w:p>
            <w:pPr>
              <w:jc w:val="right"/>
              <w:ind w:right="54"/>
              <w:spacing w:after="0"/>
              <w:rPr>
                <w:sz w:val="20"/>
                <w:szCs w:val="20"/>
                <w:color w:val="auto"/>
              </w:rPr>
            </w:pPr>
            <w:r>
              <w:rPr>
                <w:rFonts w:ascii="Arial" w:cs="Arial" w:eastAsia="Arial" w:hAnsi="Arial"/>
                <w:sz w:val="16"/>
                <w:szCs w:val="16"/>
                <w:b w:val="1"/>
                <w:bCs w:val="1"/>
                <w:color w:val="auto"/>
                <w:w w:val="96"/>
              </w:rPr>
              <w:t>Included in the Carrying Amount Assets/(Liabilities)</w:t>
            </w:r>
          </w:p>
        </w:tc>
      </w:tr>
      <w:tr>
        <w:trPr>
          <w:trHeight w:val="33"/>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1"/>
        </w:trPr>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8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 2019</w:t>
            </w:r>
          </w:p>
        </w:tc>
        <w:tc>
          <w:tcPr>
            <w:tcW w:w="200" w:type="dxa"/>
            <w:vAlign w:val="bottom"/>
          </w:tcPr>
          <w:p>
            <w:pPr>
              <w:spacing w:after="0"/>
              <w:rPr>
                <w:sz w:val="20"/>
                <w:szCs w:val="20"/>
                <w:color w:val="auto"/>
              </w:rPr>
            </w:pPr>
          </w:p>
        </w:tc>
        <w:tc>
          <w:tcPr>
            <w:tcW w:w="182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 2018</w:t>
            </w:r>
          </w:p>
        </w:tc>
        <w:tc>
          <w:tcPr>
            <w:tcW w:w="1540" w:type="dxa"/>
            <w:vAlign w:val="bottom"/>
          </w:tcPr>
          <w:p>
            <w:pPr>
              <w:jc w:val="right"/>
              <w:ind w:right="17"/>
              <w:spacing w:after="0"/>
              <w:rPr>
                <w:sz w:val="20"/>
                <w:szCs w:val="20"/>
                <w:color w:val="auto"/>
              </w:rPr>
            </w:pPr>
            <w:r>
              <w:rPr>
                <w:rFonts w:ascii="Arial" w:cs="Arial" w:eastAsia="Arial" w:hAnsi="Arial"/>
                <w:sz w:val="16"/>
                <w:szCs w:val="16"/>
                <w:b w:val="1"/>
                <w:bCs w:val="1"/>
                <w:color w:val="auto"/>
              </w:rPr>
              <w:t>June 30, 2019</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jc w:val="right"/>
              <w:ind w:right="234"/>
              <w:spacing w:after="0"/>
              <w:rPr>
                <w:sz w:val="20"/>
                <w:szCs w:val="20"/>
                <w:color w:val="auto"/>
              </w:rPr>
            </w:pPr>
            <w:r>
              <w:rPr>
                <w:rFonts w:ascii="Arial" w:cs="Arial" w:eastAsia="Arial" w:hAnsi="Arial"/>
                <w:sz w:val="16"/>
                <w:szCs w:val="16"/>
                <w:b w:val="1"/>
                <w:bCs w:val="1"/>
                <w:color w:val="auto"/>
                <w:w w:val="95"/>
              </w:rPr>
              <w:t>December 31, 2018</w:t>
            </w:r>
          </w:p>
        </w:tc>
      </w:tr>
      <w:tr>
        <w:trPr>
          <w:trHeight w:val="33"/>
        </w:trPr>
        <w:tc>
          <w:tcPr>
            <w:tcW w:w="32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7"/>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(349,974)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(354,832)</w:t>
            </w: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jc w:val="right"/>
              <w:ind w:right="1337"/>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(4,832)</w:t>
            </w:r>
          </w:p>
        </w:tc>
      </w:tr>
      <w:tr>
        <w:trPr>
          <w:trHeight w:val="27"/>
        </w:trPr>
        <w:tc>
          <w:tcPr>
            <w:tcW w:w="3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r>
    </w:tbl>
    <w:p>
      <w:pPr>
        <w:spacing w:after="0" w:line="283"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For the three months ended June 30, 2019 and July 1, 2018, we recognized net incremental interest expense of $584 and $153, respectively, relating to our fixed-to-floating interest swap arrangements. For the six months ended June 30, 2019 and July 1, 2018, we recognized net incremental interest expense of $1,214 and a net benefit to interest expense of $125 relating to our fixed-to-floating interest swap arrangements.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9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Accounting guidance on fair value measurements requires that financial assets and liabilities be classified and disclosed in one of the following categories of the fair value hierarchy:</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Based on unadjusted quoted prices for identical assets or liabilities in an active market.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Based on observable market-based inputs or unobservable inputs that are corroborated by market data.</w:t>
      </w:r>
    </w:p>
    <w:p>
      <w:pPr>
        <w:spacing w:after="0" w:line="63" w:lineRule="exact"/>
        <w:rPr>
          <w:sz w:val="20"/>
          <w:szCs w:val="20"/>
          <w:color w:val="auto"/>
        </w:rPr>
      </w:pPr>
    </w:p>
    <w:p>
      <w:pPr>
        <w:ind w:left="40" w:right="2960"/>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Based on unobservable inputs that reflect the entity's own assumptions about the assumptions that a market</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would use in pricing the asset or liability.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16" w:right="239" w:bottom="1440" w:gutter="0" w:footer="0" w:header="0"/>
        </w:sectPr>
      </w:pPr>
    </w:p>
    <w:bookmarkStart w:id="17" w:name="page18"/>
    <w:bookmarkEnd w:id="17"/>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UNAUDITED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any level 3 financial assets or liabilities, nor were there any transfers between levels during the periods presented.</w:t>
      </w:r>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presents assets and liabilities that were measured at fair value in the Consolidated Balance Sheet on a recurring basis as of June 30, 2019 and December 31, 2018:</w:t>
      </w:r>
    </w:p>
    <w:p>
      <w:pPr>
        <w:spacing w:after="0" w:line="112" w:lineRule="exact"/>
        <w:rPr>
          <w:sz w:val="20"/>
          <w:szCs w:val="20"/>
          <w:color w:val="auto"/>
        </w:rPr>
      </w:pPr>
    </w:p>
    <w:p>
      <w:pPr>
        <w:ind w:left="7300"/>
        <w:spacing w:after="0"/>
        <w:rPr>
          <w:sz w:val="20"/>
          <w:szCs w:val="20"/>
          <w:color w:val="auto"/>
        </w:rPr>
      </w:pPr>
      <w:r>
        <w:rPr>
          <w:rFonts w:ascii="Arial" w:cs="Arial" w:eastAsia="Arial" w:hAnsi="Arial"/>
          <w:sz w:val="18"/>
          <w:szCs w:val="18"/>
          <w:b w:val="1"/>
          <w:bCs w:val="1"/>
          <w:color w:val="auto"/>
        </w:rPr>
        <w:t>Assets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34290</wp:posOffset>
            </wp:positionV>
            <wp:extent cx="43567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35673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Level 2</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b w:val="1"/>
                <w:bCs w:val="1"/>
                <w:color w:val="auto"/>
              </w:rPr>
              <w:t>Level 3</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530"/>
              <w:spacing w:after="0"/>
              <w:rPr>
                <w:sz w:val="20"/>
                <w:szCs w:val="20"/>
                <w:color w:val="auto"/>
              </w:rPr>
            </w:pPr>
            <w:r>
              <w:rPr>
                <w:rFonts w:ascii="Arial" w:cs="Arial" w:eastAsia="Arial" w:hAnsi="Arial"/>
                <w:sz w:val="18"/>
                <w:szCs w:val="18"/>
                <w:b w:val="1"/>
                <w:bCs w:val="1"/>
                <w:color w:val="auto"/>
              </w:rPr>
              <w:t>Total</w:t>
            </w:r>
          </w:p>
        </w:tc>
      </w:tr>
      <w:tr>
        <w:trPr>
          <w:trHeight w:val="27"/>
        </w:trPr>
        <w:tc>
          <w:tcPr>
            <w:tcW w:w="45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June 30, 2019:</w:t>
            </w: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Derivative Instruments:</w:t>
            </w:r>
          </w:p>
        </w:tc>
        <w:tc>
          <w:tcPr>
            <w:tcW w:w="1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4560" w:type="dxa"/>
            <w:vAlign w:val="bottom"/>
          </w:tcPr>
          <w:p>
            <w:pPr>
              <w:ind w:left="380"/>
              <w:spacing w:after="0"/>
              <w:rPr>
                <w:sz w:val="20"/>
                <w:szCs w:val="20"/>
                <w:color w:val="auto"/>
              </w:rPr>
            </w:pPr>
            <w:r>
              <w:rPr>
                <w:rFonts w:ascii="Arial" w:cs="Arial" w:eastAsia="Arial" w:hAnsi="Arial"/>
                <w:sz w:val="18"/>
                <w:szCs w:val="18"/>
                <w:color w:val="auto"/>
              </w:rPr>
              <w:t>Foreign exchange contracts (1)</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1220" w:type="dxa"/>
            <w:vAlign w:val="bottom"/>
          </w:tcPr>
          <w:p>
            <w:pPr>
              <w:jc w:val="right"/>
              <w:ind w:right="1010"/>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66</w:t>
            </w:r>
          </w:p>
        </w:tc>
      </w:tr>
      <w:tr>
        <w:trPr>
          <w:trHeight w:val="27"/>
        </w:trPr>
        <w:tc>
          <w:tcPr>
            <w:tcW w:w="4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 agreements (2)</w:t>
            </w: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r>
      <w:tr>
        <w:trPr>
          <w:trHeight w:val="243"/>
        </w:trPr>
        <w:tc>
          <w:tcPr>
            <w:tcW w:w="4560" w:type="dxa"/>
            <w:vAlign w:val="bottom"/>
          </w:tcPr>
          <w:p>
            <w:pPr>
              <w:ind w:left="380"/>
              <w:spacing w:after="0"/>
              <w:rPr>
                <w:sz w:val="20"/>
                <w:szCs w:val="20"/>
                <w:color w:val="auto"/>
              </w:rPr>
            </w:pPr>
            <w:r>
              <w:rPr>
                <w:rFonts w:ascii="Arial" w:cs="Arial" w:eastAsia="Arial" w:hAnsi="Arial"/>
                <w:sz w:val="18"/>
                <w:szCs w:val="18"/>
                <w:color w:val="auto"/>
              </w:rPr>
              <w:t>Deferred compensation derivatives (3)</w:t>
            </w:r>
          </w:p>
        </w:tc>
        <w:tc>
          <w:tcPr>
            <w:tcW w:w="110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973</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973</w:t>
            </w:r>
          </w:p>
        </w:tc>
      </w:tr>
      <w:tr>
        <w:trPr>
          <w:trHeight w:val="27"/>
        </w:trPr>
        <w:tc>
          <w:tcPr>
            <w:tcW w:w="4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Commodities futures and options (4)</w:t>
            </w: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674</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674</w:t>
            </w:r>
          </w:p>
        </w:tc>
      </w:tr>
      <w:tr>
        <w:trPr>
          <w:trHeight w:val="243"/>
        </w:trPr>
        <w:tc>
          <w:tcPr>
            <w:tcW w:w="4560" w:type="dxa"/>
            <w:vAlign w:val="bottom"/>
          </w:tcPr>
          <w:p>
            <w:pPr>
              <w:ind w:left="180"/>
              <w:spacing w:after="0"/>
              <w:rPr>
                <w:sz w:val="20"/>
                <w:szCs w:val="20"/>
                <w:color w:val="auto"/>
              </w:rPr>
            </w:pPr>
            <w:r>
              <w:rPr>
                <w:rFonts w:ascii="Arial" w:cs="Arial" w:eastAsia="Arial" w:hAnsi="Arial"/>
                <w:sz w:val="18"/>
                <w:szCs w:val="18"/>
                <w:color w:val="auto"/>
              </w:rPr>
              <w:t>Liabilities:</w:t>
            </w:r>
          </w:p>
        </w:tc>
        <w:tc>
          <w:tcPr>
            <w:tcW w:w="1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exchange contracts (1)</w:t>
            </w: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3,048</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3,048</w:t>
            </w:r>
          </w:p>
        </w:tc>
      </w:tr>
      <w:tr>
        <w:trPr>
          <w:trHeight w:val="243"/>
        </w:trPr>
        <w:tc>
          <w:tcPr>
            <w:tcW w:w="4560" w:type="dxa"/>
            <w:vAlign w:val="bottom"/>
          </w:tcPr>
          <w:p>
            <w:pPr>
              <w:ind w:left="380"/>
              <w:spacing w:after="0"/>
              <w:rPr>
                <w:sz w:val="20"/>
                <w:szCs w:val="20"/>
                <w:color w:val="auto"/>
              </w:rPr>
            </w:pPr>
            <w:r>
              <w:rPr>
                <w:rFonts w:ascii="Arial" w:cs="Arial" w:eastAsia="Arial" w:hAnsi="Arial"/>
                <w:sz w:val="18"/>
                <w:szCs w:val="18"/>
                <w:color w:val="auto"/>
              </w:rPr>
              <w:t>Commodities futures and options (4)</w:t>
            </w:r>
          </w:p>
        </w:tc>
        <w:tc>
          <w:tcPr>
            <w:tcW w:w="11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6,509</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21"/>
                <w:szCs w:val="21"/>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6,509</w:t>
            </w:r>
          </w:p>
        </w:tc>
      </w:tr>
      <w:tr>
        <w:trPr>
          <w:trHeight w:val="27"/>
        </w:trPr>
        <w:tc>
          <w:tcPr>
            <w:tcW w:w="4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2018:</w:t>
            </w: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4560" w:type="dxa"/>
            <w:vAlign w:val="bottom"/>
          </w:tcPr>
          <w:p>
            <w:pPr>
              <w:ind w:left="180"/>
              <w:spacing w:after="0"/>
              <w:rPr>
                <w:sz w:val="20"/>
                <w:szCs w:val="20"/>
                <w:color w:val="auto"/>
              </w:rPr>
            </w:pPr>
            <w:r>
              <w:rPr>
                <w:rFonts w:ascii="Arial" w:cs="Arial" w:eastAsia="Arial" w:hAnsi="Arial"/>
                <w:sz w:val="18"/>
                <w:szCs w:val="18"/>
                <w:color w:val="auto"/>
              </w:rPr>
              <w:t>Assets:</w:t>
            </w:r>
          </w:p>
        </w:tc>
        <w:tc>
          <w:tcPr>
            <w:tcW w:w="1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exchange contracts (1)</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3,464</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3,464</w:t>
            </w:r>
          </w:p>
        </w:tc>
      </w:tr>
      <w:tr>
        <w:trPr>
          <w:trHeight w:val="243"/>
        </w:trPr>
        <w:tc>
          <w:tcPr>
            <w:tcW w:w="4560" w:type="dxa"/>
            <w:vAlign w:val="bottom"/>
          </w:tcPr>
          <w:p>
            <w:pPr>
              <w:ind w:left="380"/>
              <w:spacing w:after="0"/>
              <w:rPr>
                <w:sz w:val="20"/>
                <w:szCs w:val="20"/>
                <w:color w:val="auto"/>
              </w:rPr>
            </w:pPr>
            <w:r>
              <w:rPr>
                <w:rFonts w:ascii="Arial" w:cs="Arial" w:eastAsia="Arial" w:hAnsi="Arial"/>
                <w:sz w:val="18"/>
                <w:szCs w:val="18"/>
                <w:color w:val="auto"/>
              </w:rPr>
              <w:t>Commodities futures and options (4)</w:t>
            </w:r>
          </w:p>
        </w:tc>
        <w:tc>
          <w:tcPr>
            <w:tcW w:w="11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7,230</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21"/>
                <w:szCs w:val="21"/>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7,230</w:t>
            </w:r>
          </w:p>
        </w:tc>
      </w:tr>
      <w:tr>
        <w:trPr>
          <w:trHeight w:val="27"/>
        </w:trPr>
        <w:tc>
          <w:tcPr>
            <w:tcW w:w="4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Liabilities:</w:t>
            </w: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4560" w:type="dxa"/>
            <w:vAlign w:val="bottom"/>
          </w:tcPr>
          <w:p>
            <w:pPr>
              <w:ind w:left="380"/>
              <w:spacing w:after="0"/>
              <w:rPr>
                <w:sz w:val="20"/>
                <w:szCs w:val="20"/>
                <w:color w:val="auto"/>
              </w:rPr>
            </w:pPr>
            <w:r>
              <w:rPr>
                <w:rFonts w:ascii="Arial" w:cs="Arial" w:eastAsia="Arial" w:hAnsi="Arial"/>
                <w:sz w:val="18"/>
                <w:szCs w:val="18"/>
                <w:color w:val="auto"/>
              </w:rPr>
              <w:t>Foreign exchange contracts (1)</w:t>
            </w:r>
          </w:p>
        </w:tc>
        <w:tc>
          <w:tcPr>
            <w:tcW w:w="110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969</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969</w:t>
            </w:r>
          </w:p>
        </w:tc>
      </w:tr>
      <w:tr>
        <w:trPr>
          <w:trHeight w:val="27"/>
        </w:trPr>
        <w:tc>
          <w:tcPr>
            <w:tcW w:w="4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 agreements (2)</w:t>
            </w: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4,832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4,832</w:t>
            </w:r>
          </w:p>
        </w:tc>
      </w:tr>
      <w:tr>
        <w:trPr>
          <w:trHeight w:val="243"/>
        </w:trPr>
        <w:tc>
          <w:tcPr>
            <w:tcW w:w="4560" w:type="dxa"/>
            <w:vAlign w:val="bottom"/>
          </w:tcPr>
          <w:p>
            <w:pPr>
              <w:ind w:left="380"/>
              <w:spacing w:after="0"/>
              <w:rPr>
                <w:sz w:val="20"/>
                <w:szCs w:val="20"/>
                <w:color w:val="auto"/>
              </w:rPr>
            </w:pPr>
            <w:r>
              <w:rPr>
                <w:rFonts w:ascii="Arial" w:cs="Arial" w:eastAsia="Arial" w:hAnsi="Arial"/>
                <w:sz w:val="18"/>
                <w:szCs w:val="18"/>
                <w:color w:val="auto"/>
              </w:rPr>
              <w:t>Deferred compensation derivatives (3)</w:t>
            </w:r>
          </w:p>
        </w:tc>
        <w:tc>
          <w:tcPr>
            <w:tcW w:w="110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4,736</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4,736</w:t>
            </w:r>
          </w:p>
        </w:tc>
      </w:tr>
      <w:tr>
        <w:trPr>
          <w:trHeight w:val="27"/>
        </w:trPr>
        <w:tc>
          <w:tcPr>
            <w:tcW w:w="4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4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Commodities futures and options (4)</w:t>
            </w:r>
          </w:p>
        </w:tc>
        <w:tc>
          <w:tcPr>
            <w:tcW w:w="110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spacing w:after="0"/>
              <w:rPr>
                <w:sz w:val="21"/>
                <w:szCs w:val="21"/>
                <w:color w:val="auto"/>
              </w:rPr>
            </w:pPr>
          </w:p>
        </w:tc>
        <w:tc>
          <w:tcPr>
            <w:tcW w:w="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262</w:t>
            </w:r>
          </w:p>
        </w:tc>
      </w:tr>
      <w:tr>
        <w:trPr>
          <w:trHeight w:val="27"/>
        </w:trPr>
        <w:tc>
          <w:tcPr>
            <w:tcW w:w="45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ind w:left="660" w:right="180" w:hanging="328"/>
        <w:spacing w:after="0" w:line="286"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fair value of foreign currency forward exchange contracts is the difference between the contract and current market foreign currency exchange rates at the end of the period. We estimate the fair value of foreign currency forward exchange contracts on a quarterly basis by obtaining market quotes of spot and forward rates for contracts with similar terms, adjusted where necessary for maturity differences.</w:t>
      </w:r>
    </w:p>
    <w:p>
      <w:pPr>
        <w:spacing w:after="0" w:line="84" w:lineRule="exact"/>
        <w:rPr>
          <w:rFonts w:ascii="Arial" w:cs="Arial" w:eastAsia="Arial" w:hAnsi="Arial"/>
          <w:sz w:val="17"/>
          <w:szCs w:val="17"/>
          <w:color w:val="auto"/>
        </w:rPr>
      </w:pPr>
    </w:p>
    <w:p>
      <w:pPr>
        <w:ind w:left="660" w:right="2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fair value of interest rate swap agreements represents the difference in the present value of cash flows calculated at the contracted interest rates and at current market interest rates at the end of the period. We calculate the fair value of interest rate swap agreements quarterly based on the quoted market price for the same or similar financial instruments.</w:t>
      </w:r>
    </w:p>
    <w:p>
      <w:pPr>
        <w:spacing w:after="0" w:line="10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fair value of deferred compensation derivatives is based on quoted prices for market interest rates and a broad market equity index.</w:t>
      </w:r>
    </w:p>
    <w:p>
      <w:pPr>
        <w:spacing w:after="0" w:line="155"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fair value of commodities futures and options contracts is based on quoted market prices.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Instruments</w:t>
      </w:r>
    </w:p>
    <w:p>
      <w:pPr>
        <w:spacing w:after="0" w:line="14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carrying amounts of cash and cash equivalents, accounts receivable, accounts payable and short-term debt approximated fair values as of June 30, 2019 and December 31, 2018 because of the relatively short maturity of these instruments.</w:t>
      </w:r>
    </w:p>
    <w:p>
      <w:pPr>
        <w:spacing w:after="0" w:line="89"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The estimated fair value of our long-term debt is based on quoted market prices for similar debt issues and is, therefore, classified as Level 2 within the valuation hierarchy. The fair values and carrying values of long-term debt, including the current portion, were as follows: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16" w:right="239" w:bottom="1440" w:gutter="0" w:footer="0" w:header="0"/>
        </w:sectPr>
      </w:pPr>
    </w:p>
    <w:bookmarkStart w:id="18" w:name="page19"/>
    <w:bookmarkEnd w:id="18"/>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UNAUDITED CONSOLIDATED FINANCIAL STATEMENTS—(Continued)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0" w:type="dxa"/>
            <w:vAlign w:val="bottom"/>
          </w:tcPr>
          <w:p>
            <w:pPr>
              <w:spacing w:after="0"/>
              <w:rPr>
                <w:sz w:val="20"/>
                <w:szCs w:val="20"/>
                <w:color w:val="auto"/>
              </w:rPr>
            </w:pPr>
          </w:p>
        </w:tc>
        <w:tc>
          <w:tcPr>
            <w:tcW w:w="6640" w:type="dxa"/>
            <w:vAlign w:val="bottom"/>
            <w:gridSpan w:val="10"/>
          </w:tcPr>
          <w:p>
            <w:pPr>
              <w:ind w:left="340"/>
              <w:spacing w:after="0"/>
              <w:rPr>
                <w:sz w:val="20"/>
                <w:szCs w:val="20"/>
                <w:color w:val="auto"/>
              </w:rPr>
            </w:pPr>
            <w:r>
              <w:rPr>
                <w:rFonts w:ascii="Arial" w:cs="Arial" w:eastAsia="Arial" w:hAnsi="Arial"/>
                <w:sz w:val="18"/>
                <w:szCs w:val="18"/>
                <w:b w:val="1"/>
                <w:bCs w:val="1"/>
                <w:color w:val="auto"/>
              </w:rPr>
              <w:t>(amounts in thousands, except share data or if otherwise indicated)</w:t>
            </w:r>
          </w:p>
        </w:tc>
        <w:tc>
          <w:tcPr>
            <w:tcW w:w="2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601"/>
        </w:trPr>
        <w:tc>
          <w:tcPr>
            <w:tcW w:w="2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40" w:type="dxa"/>
            <w:vAlign w:val="bottom"/>
            <w:gridSpan w:val="5"/>
          </w:tcPr>
          <w:p>
            <w:pPr>
              <w:ind w:left="1320"/>
              <w:spacing w:after="0"/>
              <w:rPr>
                <w:sz w:val="20"/>
                <w:szCs w:val="20"/>
                <w:color w:val="auto"/>
              </w:rPr>
            </w:pPr>
            <w:r>
              <w:rPr>
                <w:rFonts w:ascii="Arial" w:cs="Arial" w:eastAsia="Arial" w:hAnsi="Arial"/>
                <w:sz w:val="18"/>
                <w:szCs w:val="18"/>
                <w:b w:val="1"/>
                <w:bCs w:val="1"/>
                <w:color w:val="auto"/>
              </w:rPr>
              <w:t>Fair Value</w:t>
            </w:r>
          </w:p>
        </w:tc>
        <w:tc>
          <w:tcPr>
            <w:tcW w:w="320" w:type="dxa"/>
            <w:vAlign w:val="bottom"/>
          </w:tcPr>
          <w:p>
            <w:pPr>
              <w:spacing w:after="0"/>
              <w:rPr>
                <w:sz w:val="24"/>
                <w:szCs w:val="24"/>
                <w:color w:val="auto"/>
              </w:rPr>
            </w:pPr>
          </w:p>
        </w:tc>
        <w:tc>
          <w:tcPr>
            <w:tcW w:w="3740" w:type="dxa"/>
            <w:vAlign w:val="bottom"/>
            <w:gridSpan w:val="4"/>
          </w:tcPr>
          <w:p>
            <w:pPr>
              <w:jc w:val="right"/>
              <w:ind w:right="1332"/>
              <w:spacing w:after="0"/>
              <w:rPr>
                <w:sz w:val="20"/>
                <w:szCs w:val="20"/>
                <w:color w:val="auto"/>
              </w:rPr>
            </w:pPr>
            <w:r>
              <w:rPr>
                <w:rFonts w:ascii="Arial" w:cs="Arial" w:eastAsia="Arial" w:hAnsi="Arial"/>
                <w:sz w:val="18"/>
                <w:szCs w:val="18"/>
                <w:b w:val="1"/>
                <w:bCs w:val="1"/>
                <w:color w:val="auto"/>
              </w:rPr>
              <w:t>Carrying Value</w:t>
            </w:r>
          </w:p>
        </w:tc>
      </w:tr>
      <w:tr>
        <w:trPr>
          <w:trHeight w:val="27"/>
        </w:trPr>
        <w:tc>
          <w:tcPr>
            <w:tcW w:w="2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1"/>
        </w:trPr>
        <w:tc>
          <w:tcPr>
            <w:tcW w:w="2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 2019</w:t>
            </w:r>
          </w:p>
        </w:tc>
        <w:tc>
          <w:tcPr>
            <w:tcW w:w="220" w:type="dxa"/>
            <w:vAlign w:val="bottom"/>
          </w:tcPr>
          <w:p>
            <w:pPr>
              <w:spacing w:after="0"/>
              <w:rPr>
                <w:sz w:val="20"/>
                <w:szCs w:val="20"/>
                <w:color w:val="auto"/>
              </w:rPr>
            </w:pPr>
          </w:p>
        </w:tc>
        <w:tc>
          <w:tcPr>
            <w:tcW w:w="186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 2018</w:t>
            </w:r>
          </w:p>
        </w:tc>
        <w:tc>
          <w:tcPr>
            <w:tcW w:w="320" w:type="dxa"/>
            <w:vAlign w:val="bottom"/>
          </w:tcPr>
          <w:p>
            <w:pPr>
              <w:spacing w:after="0"/>
              <w:rPr>
                <w:sz w:val="20"/>
                <w:szCs w:val="20"/>
                <w:color w:val="auto"/>
              </w:rPr>
            </w:pPr>
          </w:p>
        </w:tc>
        <w:tc>
          <w:tcPr>
            <w:tcW w:w="176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 2019</w:t>
            </w:r>
          </w:p>
        </w:tc>
        <w:tc>
          <w:tcPr>
            <w:tcW w:w="220" w:type="dxa"/>
            <w:vAlign w:val="bottom"/>
          </w:tcPr>
          <w:p>
            <w:pPr>
              <w:spacing w:after="0"/>
              <w:rPr>
                <w:sz w:val="20"/>
                <w:szCs w:val="20"/>
                <w:color w:val="auto"/>
              </w:rPr>
            </w:pPr>
          </w:p>
        </w:tc>
        <w:tc>
          <w:tcPr>
            <w:tcW w:w="1760" w:type="dxa"/>
            <w:vAlign w:val="bottom"/>
          </w:tcPr>
          <w:p>
            <w:pPr>
              <w:jc w:val="right"/>
              <w:ind w:right="252"/>
              <w:spacing w:after="0"/>
              <w:rPr>
                <w:sz w:val="20"/>
                <w:szCs w:val="20"/>
                <w:color w:val="auto"/>
              </w:rPr>
            </w:pPr>
            <w:r>
              <w:rPr>
                <w:rFonts w:ascii="Arial" w:cs="Arial" w:eastAsia="Arial" w:hAnsi="Arial"/>
                <w:sz w:val="16"/>
                <w:szCs w:val="16"/>
                <w:b w:val="1"/>
                <w:bCs w:val="1"/>
                <w:color w:val="auto"/>
                <w:w w:val="97"/>
              </w:rPr>
              <w:t>December 31, 2018</w:t>
            </w:r>
          </w:p>
        </w:tc>
      </w:tr>
      <w:tr>
        <w:trPr>
          <w:trHeight w:val="33"/>
        </w:trPr>
        <w:tc>
          <w:tcPr>
            <w:tcW w:w="28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portion of long-term debt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354,634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353,186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5,387</w:t>
            </w:r>
          </w:p>
        </w:tc>
      </w:tr>
      <w:tr>
        <w:trPr>
          <w:trHeight w:val="243"/>
        </w:trPr>
        <w:tc>
          <w:tcPr>
            <w:tcW w:w="280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3,000,018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3,228,877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2,888,043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60" w:type="dxa"/>
            <w:vAlign w:val="bottom"/>
          </w:tcPr>
          <w:p>
            <w:pPr>
              <w:jc w:val="right"/>
              <w:ind w:right="12"/>
              <w:spacing w:after="0"/>
              <w:rPr>
                <w:sz w:val="20"/>
                <w:szCs w:val="20"/>
                <w:color w:val="auto"/>
              </w:rPr>
            </w:pPr>
            <w:r>
              <w:rPr>
                <w:rFonts w:ascii="Arial" w:cs="Arial" w:eastAsia="Arial" w:hAnsi="Arial"/>
                <w:sz w:val="18"/>
                <w:szCs w:val="18"/>
                <w:color w:val="auto"/>
              </w:rPr>
              <w:t>3,254,280</w:t>
            </w:r>
          </w:p>
        </w:tc>
      </w:tr>
      <w:tr>
        <w:trPr>
          <w:trHeight w:val="27"/>
        </w:trPr>
        <w:tc>
          <w:tcPr>
            <w:tcW w:w="28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57"/>
        </w:trPr>
        <w:tc>
          <w:tcPr>
            <w:tcW w:w="2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3,354,652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3,234,264</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3,241,229</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3,259,667</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Fair Value Measurements</w:t>
      </w:r>
    </w:p>
    <w:p>
      <w:pPr>
        <w:spacing w:after="0" w:line="148"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In addition to assets and liabilities that are recorded at fair value on a recurring basis, GAAP requires that, under certain circumstances, we also record assets and liabilities at fair value on a nonrecurring basis.</w:t>
      </w:r>
    </w:p>
    <w:p>
      <w:pPr>
        <w:spacing w:after="0" w:line="8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During the second quarter of 2019, we recorded impairment charges totaling $4,741. These charges are predominantly comprised of select land that has not yet met the held for sale criteria. Additionally, included within our impairment charges is a contingency, that arose after the divestiture of Tyrrells in July 2018. We have recorded a liability for the settlement payment, which we expect to pay in 2019.</w:t>
      </w:r>
    </w:p>
    <w:p>
      <w:pPr>
        <w:spacing w:after="0" w:line="10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connection with the acquisitions of Amplify in the first quarter of 2018 and Pirate Brands in the fourth quarter of 2018, as discussed in Note 2, we used various valuation techniques to determine fair value, with the primary techniques being discounted cash flow analysis, relief-from-royalty, and a form of the multi-period excess earnings valuation approaches, which use significant unobservable inputs, or Level 3 inputs, as defined by the fair value hierarchy. In connection with disposal groups previously classified as held for sale, during the second quarter of 2018, we recorded impairment charges totaling $27,168 to adjust the long-lived asset values within the Shanghai Golden Monkey ("SGM") and Tyrrells disposal groups. These charges represented the excess of the disposal groups' carrying values, including the related currency translation adjustment amounts to be realized upon completion of the sales, over the estimated fair values less costs to sell for the respective businesses. The fair values of the disposal groups were supported by the sales prices agreed with the third-party buyers. In July 2018, we sold the SGM and Tyrrells businesses.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25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lease office and retail space, warehouse and distribution facilities, land, vehicles, and equipment. We determine if an agreement is or contains a lease at inception. Leases with an initial term of 12 months or less are not recorded on the balance sheet.</w:t>
      </w:r>
    </w:p>
    <w:p>
      <w:pPr>
        <w:spacing w:after="0" w:line="19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Right-of-use ("ROU") assets represent our right to use an underlying asset for the lease term and lease liabilities represent our obligation to make lease payments arising from the lease. ROU assets and liabilities are based on the estimated present value of lease payments over the lease term and are recognized at the lease commencement date.</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As most of our leases do not provide an implicit rate, we use our estimated incremental borrowing rate in determining the present value of lease payments.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estimated incremental borrowing rate is derived from information available at the lease commencement date.</w:t>
      </w:r>
    </w:p>
    <w:p>
      <w:pPr>
        <w:spacing w:after="0" w:line="23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lease terms may include options to extend or terminate the lease when it is reasonably certain that we will exercise that option. A limited number of our lease agreements include rental payments adjusted periodically for inflation. Our lease agreements generally do not contain residual value guarantees or material restrictive covenants.</w:t>
      </w:r>
    </w:p>
    <w:p>
      <w:pPr>
        <w:spacing w:after="0" w:line="208"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For real estate, equipment and vehicles that support selling, marketing and general administrative activities the Company accounts for the lease and non-lease components as a single lease component. These asset categories comprise the majority of our leases. The lease and non-lease components of real estate and equipment leases supporting production activities are not accounted for as a single lease component. Consideration for such contracts are allocated to the lease component and non-lease components based upon relative standalone prices either observable or estimated if observable prices are not readily available.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16" w:right="239" w:bottom="1440" w:gutter="0" w:footer="0" w:header="0"/>
        </w:sectPr>
      </w:pPr>
    </w:p>
    <w:bookmarkStart w:id="19" w:name="page20"/>
    <w:bookmarkEnd w:id="19"/>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UNAUDITED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Three Months Ended</w:t>
            </w:r>
          </w:p>
        </w:tc>
        <w:tc>
          <w:tcPr>
            <w:tcW w:w="300" w:type="dxa"/>
            <w:vAlign w:val="bottom"/>
          </w:tcPr>
          <w:p>
            <w:pPr>
              <w:spacing w:after="0"/>
              <w:rPr>
                <w:sz w:val="18"/>
                <w:szCs w:val="18"/>
                <w:color w:val="auto"/>
              </w:rPr>
            </w:pPr>
          </w:p>
        </w:tc>
        <w:tc>
          <w:tcPr>
            <w:tcW w:w="1980" w:type="dxa"/>
            <w:vAlign w:val="bottom"/>
          </w:tcPr>
          <w:p>
            <w:pPr>
              <w:jc w:val="right"/>
              <w:ind w:right="413"/>
              <w:spacing w:after="0"/>
              <w:rPr>
                <w:sz w:val="20"/>
                <w:szCs w:val="20"/>
                <w:color w:val="auto"/>
              </w:rPr>
            </w:pPr>
            <w:r>
              <w:rPr>
                <w:rFonts w:ascii="Arial" w:cs="Arial" w:eastAsia="Arial" w:hAnsi="Arial"/>
                <w:sz w:val="16"/>
                <w:szCs w:val="16"/>
                <w:b w:val="1"/>
                <w:bCs w:val="1"/>
                <w:color w:val="auto"/>
              </w:rPr>
              <w:t>Six Months Ended</w:t>
            </w: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6"/>
                <w:szCs w:val="16"/>
                <w:b w:val="1"/>
                <w:bCs w:val="1"/>
                <w:color w:val="auto"/>
              </w:rPr>
              <w:t>Lease expense</w:t>
            </w:r>
          </w:p>
        </w:tc>
        <w:tc>
          <w:tcPr>
            <w:tcW w:w="3520" w:type="dxa"/>
            <w:vAlign w:val="bottom"/>
            <w:gridSpan w:val="2"/>
          </w:tcPr>
          <w:p>
            <w:pPr>
              <w:ind w:left="20"/>
              <w:spacing w:after="0"/>
              <w:rPr>
                <w:sz w:val="20"/>
                <w:szCs w:val="20"/>
                <w:color w:val="auto"/>
              </w:rPr>
            </w:pPr>
            <w:r>
              <w:rPr>
                <w:rFonts w:ascii="Arial" w:cs="Arial" w:eastAsia="Arial" w:hAnsi="Arial"/>
                <w:sz w:val="16"/>
                <w:szCs w:val="16"/>
                <w:b w:val="1"/>
                <w:bCs w:val="1"/>
                <w:color w:val="auto"/>
              </w:rPr>
              <w:t>Classification</w:t>
            </w:r>
          </w:p>
        </w:tc>
        <w:tc>
          <w:tcPr>
            <w:tcW w:w="260" w:type="dxa"/>
            <w:vAlign w:val="bottom"/>
          </w:tcPr>
          <w:p>
            <w:pPr>
              <w:spacing w:after="0"/>
              <w:rPr>
                <w:sz w:val="23"/>
                <w:szCs w:val="23"/>
                <w:color w:val="auto"/>
              </w:rPr>
            </w:pPr>
          </w:p>
        </w:tc>
        <w:tc>
          <w:tcPr>
            <w:tcW w:w="21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June 30, 2019</w:t>
            </w:r>
          </w:p>
        </w:tc>
        <w:tc>
          <w:tcPr>
            <w:tcW w:w="300" w:type="dxa"/>
            <w:vAlign w:val="bottom"/>
          </w:tcPr>
          <w:p>
            <w:pPr>
              <w:spacing w:after="0"/>
              <w:rPr>
                <w:sz w:val="23"/>
                <w:szCs w:val="23"/>
                <w:color w:val="auto"/>
              </w:rPr>
            </w:pPr>
          </w:p>
        </w:tc>
        <w:tc>
          <w:tcPr>
            <w:tcW w:w="1980" w:type="dxa"/>
            <w:vAlign w:val="bottom"/>
          </w:tcPr>
          <w:p>
            <w:pPr>
              <w:jc w:val="right"/>
              <w:ind w:right="593"/>
              <w:spacing w:after="0"/>
              <w:rPr>
                <w:sz w:val="20"/>
                <w:szCs w:val="20"/>
                <w:color w:val="auto"/>
              </w:rPr>
            </w:pPr>
            <w:r>
              <w:rPr>
                <w:rFonts w:ascii="Arial" w:cs="Arial" w:eastAsia="Arial" w:hAnsi="Arial"/>
                <w:sz w:val="16"/>
                <w:szCs w:val="16"/>
                <w:b w:val="1"/>
                <w:bCs w:val="1"/>
                <w:color w:val="auto"/>
              </w:rPr>
              <w:t>June 30, 2019</w:t>
            </w:r>
          </w:p>
        </w:tc>
      </w:tr>
      <w:tr>
        <w:trPr>
          <w:trHeight w:val="33"/>
        </w:trPr>
        <w:tc>
          <w:tcPr>
            <w:tcW w:w="3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4"/>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3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sales or SM&amp;A (1)</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10,273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20,487</w:t>
            </w:r>
          </w:p>
        </w:tc>
      </w:tr>
      <w:tr>
        <w:trPr>
          <w:trHeight w:val="243"/>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Finance lease cost:</w:t>
            </w:r>
          </w:p>
        </w:tc>
        <w:tc>
          <w:tcPr>
            <w:tcW w:w="3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tcPr>
          <w:p>
            <w:pPr>
              <w:spacing w:after="0"/>
              <w:rPr>
                <w:sz w:val="21"/>
                <w:szCs w:val="21"/>
                <w:color w:val="auto"/>
              </w:rPr>
            </w:pP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Amortization of ROU assets</w:t>
            </w:r>
          </w:p>
        </w:tc>
        <w:tc>
          <w:tcPr>
            <w:tcW w:w="3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 (1)</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1,884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3,818</w:t>
            </w:r>
          </w:p>
        </w:tc>
      </w:tr>
      <w:tr>
        <w:trPr>
          <w:trHeight w:val="243"/>
        </w:trPr>
        <w:tc>
          <w:tcPr>
            <w:tcW w:w="3220" w:type="dxa"/>
            <w:vAlign w:val="bottom"/>
            <w:gridSpan w:val="2"/>
          </w:tcPr>
          <w:p>
            <w:pPr>
              <w:ind w:left="180"/>
              <w:spacing w:after="0"/>
              <w:rPr>
                <w:sz w:val="20"/>
                <w:szCs w:val="20"/>
                <w:color w:val="auto"/>
              </w:rPr>
            </w:pPr>
            <w:r>
              <w:rPr>
                <w:rFonts w:ascii="Arial" w:cs="Arial" w:eastAsia="Arial" w:hAnsi="Arial"/>
                <w:sz w:val="18"/>
                <w:szCs w:val="18"/>
                <w:color w:val="auto"/>
              </w:rPr>
              <w:t>Interest on lease liabilities</w:t>
            </w:r>
          </w:p>
        </w:tc>
        <w:tc>
          <w:tcPr>
            <w:tcW w:w="3520" w:type="dxa"/>
            <w:vAlign w:val="bottom"/>
            <w:gridSpan w:val="2"/>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21"/>
                <w:szCs w:val="21"/>
                <w:color w:val="auto"/>
              </w:rPr>
            </w:pPr>
          </w:p>
        </w:tc>
        <w:tc>
          <w:tcPr>
            <w:tcW w:w="2020" w:type="dxa"/>
            <w:vAlign w:val="bottom"/>
          </w:tcPr>
          <w:p>
            <w:pPr>
              <w:jc w:val="right"/>
              <w:ind w:right="13"/>
              <w:spacing w:after="0"/>
              <w:rPr>
                <w:sz w:val="20"/>
                <w:szCs w:val="20"/>
                <w:color w:val="auto"/>
              </w:rPr>
            </w:pPr>
            <w:r>
              <w:rPr>
                <w:rFonts w:ascii="Arial" w:cs="Arial" w:eastAsia="Arial" w:hAnsi="Arial"/>
                <w:sz w:val="18"/>
                <w:szCs w:val="18"/>
                <w:color w:val="auto"/>
              </w:rPr>
              <w:t>1,112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tcPr>
          <w:p>
            <w:pPr>
              <w:jc w:val="right"/>
              <w:ind w:right="13"/>
              <w:spacing w:after="0"/>
              <w:rPr>
                <w:sz w:val="20"/>
                <w:szCs w:val="20"/>
                <w:color w:val="auto"/>
              </w:rPr>
            </w:pPr>
            <w:r>
              <w:rPr>
                <w:rFonts w:ascii="Arial" w:cs="Arial" w:eastAsia="Arial" w:hAnsi="Arial"/>
                <w:sz w:val="18"/>
                <w:szCs w:val="18"/>
                <w:color w:val="auto"/>
              </w:rPr>
              <w:t>2,213</w:t>
            </w:r>
          </w:p>
        </w:tc>
      </w:tr>
      <w:tr>
        <w:trPr>
          <w:trHeight w:val="27"/>
        </w:trPr>
        <w:tc>
          <w:tcPr>
            <w:tcW w:w="3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57"/>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lease cost (2)</w:t>
            </w:r>
          </w:p>
        </w:tc>
        <w:tc>
          <w:tcPr>
            <w:tcW w:w="3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13,269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26,518</w:t>
            </w:r>
          </w:p>
        </w:tc>
      </w:tr>
      <w:tr>
        <w:trPr>
          <w:trHeight w:val="20"/>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500" w:hanging="330"/>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Supply chain-related amounts were included in cost of sales.</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lease cost does not include short-term leases, variable lease costs or sublease income, all of which are immaterial.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our lease terms and discount rates were as follows:</w:t>
      </w:r>
    </w:p>
    <w:p>
      <w:pPr>
        <w:spacing w:after="0" w:line="185" w:lineRule="exact"/>
        <w:rPr>
          <w:sz w:val="20"/>
          <w:szCs w:val="20"/>
          <w:color w:val="auto"/>
        </w:rPr>
      </w:pPr>
    </w:p>
    <w:p>
      <w:pPr>
        <w:ind w:left="9720"/>
        <w:spacing w:after="0"/>
        <w:rPr>
          <w:sz w:val="20"/>
          <w:szCs w:val="20"/>
          <w:color w:val="auto"/>
        </w:rPr>
      </w:pPr>
      <w:r>
        <w:rPr>
          <w:rFonts w:ascii="Arial" w:cs="Arial" w:eastAsia="Arial" w:hAnsi="Arial"/>
          <w:sz w:val="16"/>
          <w:szCs w:val="16"/>
          <w:b w:val="1"/>
          <w:bCs w:val="1"/>
          <w:color w:val="auto"/>
        </w:rPr>
        <w:t>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80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Weighted-average remaining lease term (years)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Weighted-average discount rate</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Finance leases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Supplemental balance sheet information related to leases were as follows:</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13.9</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31.6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3.8%</w:t>
      </w:r>
    </w:p>
    <w:p>
      <w:pPr>
        <w:spacing w:after="0" w:line="6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5.9%</w:t>
      </w:r>
    </w:p>
    <w:p>
      <w:pPr>
        <w:spacing w:after="0" w:line="852" w:lineRule="exact"/>
        <w:rPr>
          <w:sz w:val="20"/>
          <w:szCs w:val="20"/>
          <w:color w:val="auto"/>
        </w:rPr>
      </w:pPr>
    </w:p>
    <w:p>
      <w:pPr>
        <w:sectPr>
          <w:pgSz w:w="11900" w:h="16838" w:orient="portrait"/>
          <w:cols w:equalWidth="0" w:num="2">
            <w:col w:w="10200" w:space="720"/>
            <w:col w:w="500"/>
          </w:cols>
          <w:pgMar w:left="240" w:top="115" w:right="239" w:bottom="1440" w:gutter="0" w:footer="0" w:header="0"/>
          <w:type w:val="continuous"/>
        </w:sectPr>
      </w:pPr>
    </w:p>
    <w:p>
      <w:pPr>
        <w:spacing w:after="0" w:line="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Leases</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Assets</w:t>
      </w:r>
    </w:p>
    <w:p>
      <w:pPr>
        <w:spacing w:after="0" w:line="6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Operating lease ROU assets</w:t>
      </w:r>
    </w:p>
    <w:p>
      <w:pPr>
        <w:spacing w:after="0" w:line="387" w:lineRule="exact"/>
        <w:rPr>
          <w:sz w:val="20"/>
          <w:szCs w:val="20"/>
          <w:color w:val="auto"/>
        </w:rPr>
      </w:pPr>
    </w:p>
    <w:p>
      <w:pPr>
        <w:ind w:left="180"/>
        <w:spacing w:after="0"/>
        <w:rPr>
          <w:sz w:val="20"/>
          <w:szCs w:val="20"/>
          <w:color w:val="auto"/>
        </w:rPr>
      </w:pPr>
      <w:r>
        <w:rPr>
          <w:rFonts w:ascii="Arial" w:cs="Arial" w:eastAsia="Arial" w:hAnsi="Arial"/>
          <w:sz w:val="15"/>
          <w:szCs w:val="15"/>
          <w:color w:val="auto"/>
        </w:rPr>
        <w:t>Finance lease ROU assets, at cost</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Accumulated amortization</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7"/>
          <w:szCs w:val="17"/>
          <w:color w:val="auto"/>
        </w:rPr>
        <w:t>Finance lease ROU assets, net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Classification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37465</wp:posOffset>
            </wp:positionV>
            <wp:extent cx="7246620" cy="180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Other assets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31750</wp:posOffset>
            </wp:positionV>
            <wp:extent cx="7246620" cy="2057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46355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Accumulated depreciation</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Property, 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39370</wp:posOffset>
            </wp:positionV>
            <wp:extent cx="7246620" cy="2057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440" w:type="dxa"/>
            <w:vAlign w:val="bottom"/>
          </w:tcPr>
          <w:p>
            <w:pPr>
              <w:spacing w:after="0"/>
              <w:rPr>
                <w:sz w:val="18"/>
                <w:szCs w:val="18"/>
                <w:color w:val="auto"/>
              </w:rPr>
            </w:pPr>
          </w:p>
        </w:tc>
        <w:tc>
          <w:tcPr>
            <w:tcW w:w="1960" w:type="dxa"/>
            <w:vAlign w:val="bottom"/>
          </w:tcPr>
          <w:p>
            <w:pPr>
              <w:jc w:val="right"/>
              <w:ind w:right="632"/>
              <w:spacing w:after="0"/>
              <w:rPr>
                <w:sz w:val="20"/>
                <w:szCs w:val="20"/>
                <w:color w:val="auto"/>
              </w:rPr>
            </w:pPr>
            <w:r>
              <w:rPr>
                <w:rFonts w:ascii="Arial" w:cs="Arial" w:eastAsia="Arial" w:hAnsi="Arial"/>
                <w:sz w:val="16"/>
                <w:szCs w:val="16"/>
                <w:b w:val="1"/>
                <w:bCs w:val="1"/>
                <w:color w:val="auto"/>
              </w:rPr>
              <w:t>June 30, 2019</w:t>
            </w:r>
          </w:p>
        </w:tc>
      </w:tr>
      <w:tr>
        <w:trPr>
          <w:trHeight w:val="33"/>
        </w:trPr>
        <w:tc>
          <w:tcPr>
            <w:tcW w:w="4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507"/>
        </w:trPr>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ind w:right="12"/>
              <w:spacing w:after="0"/>
              <w:rPr>
                <w:sz w:val="20"/>
                <w:szCs w:val="20"/>
                <w:color w:val="auto"/>
              </w:rPr>
            </w:pPr>
            <w:r>
              <w:rPr>
                <w:rFonts w:ascii="Arial" w:cs="Arial" w:eastAsia="Arial" w:hAnsi="Arial"/>
                <w:sz w:val="18"/>
                <w:szCs w:val="18"/>
                <w:color w:val="auto"/>
              </w:rPr>
              <w:t>232,034</w:t>
            </w:r>
          </w:p>
        </w:tc>
      </w:tr>
      <w:tr>
        <w:trPr>
          <w:trHeight w:val="594"/>
        </w:trPr>
        <w:tc>
          <w:tcPr>
            <w:tcW w:w="440" w:type="dxa"/>
            <w:vAlign w:val="bottom"/>
          </w:tcPr>
          <w:p>
            <w:pPr>
              <w:spacing w:after="0"/>
              <w:rPr>
                <w:sz w:val="24"/>
                <w:szCs w:val="24"/>
                <w:color w:val="auto"/>
              </w:rPr>
            </w:pPr>
          </w:p>
        </w:tc>
        <w:tc>
          <w:tcPr>
            <w:tcW w:w="1960" w:type="dxa"/>
            <w:vAlign w:val="bottom"/>
          </w:tcPr>
          <w:p>
            <w:pPr>
              <w:jc w:val="right"/>
              <w:ind w:right="12"/>
              <w:spacing w:after="0"/>
              <w:rPr>
                <w:sz w:val="20"/>
                <w:szCs w:val="20"/>
                <w:color w:val="auto"/>
              </w:rPr>
            </w:pPr>
            <w:r>
              <w:rPr>
                <w:rFonts w:ascii="Arial" w:cs="Arial" w:eastAsia="Arial" w:hAnsi="Arial"/>
                <w:sz w:val="18"/>
                <w:szCs w:val="18"/>
                <w:color w:val="auto"/>
              </w:rPr>
              <w:t>100,501</w:t>
            </w:r>
          </w:p>
        </w:tc>
      </w:tr>
      <w:tr>
        <w:trPr>
          <w:trHeight w:val="270"/>
        </w:trPr>
        <w:tc>
          <w:tcPr>
            <w:tcW w:w="440" w:type="dxa"/>
            <w:vAlign w:val="bottom"/>
          </w:tcPr>
          <w:p>
            <w:pPr>
              <w:spacing w:after="0"/>
              <w:rPr>
                <w:sz w:val="23"/>
                <w:szCs w:val="23"/>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(3,502)</w:t>
            </w:r>
          </w:p>
        </w:tc>
      </w:tr>
      <w:tr>
        <w:trPr>
          <w:trHeight w:val="27"/>
        </w:trPr>
        <w:tc>
          <w:tcPr>
            <w:tcW w:w="4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37"/>
        </w:trPr>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ind w:right="12"/>
              <w:spacing w:after="0"/>
              <w:rPr>
                <w:sz w:val="20"/>
                <w:szCs w:val="20"/>
                <w:color w:val="auto"/>
              </w:rPr>
            </w:pPr>
            <w:r>
              <w:rPr>
                <w:rFonts w:ascii="Arial" w:cs="Arial" w:eastAsia="Arial" w:hAnsi="Arial"/>
                <w:sz w:val="18"/>
                <w:szCs w:val="18"/>
                <w:color w:val="auto"/>
              </w:rPr>
              <w:t>96,999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222885</wp:posOffset>
            </wp:positionV>
            <wp:extent cx="15176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3440" w:space="720"/>
            <w:col w:w="4140" w:space="720"/>
            <w:col w:w="2400"/>
          </w:cols>
          <w:pgMar w:left="240" w:top="115" w:right="239" w:bottom="1440" w:gutter="0" w:footer="0" w:header="0"/>
          <w:type w:val="continuous"/>
        </w:sectPr>
      </w:pPr>
    </w:p>
    <w:p>
      <w:pPr>
        <w:spacing w:after="0" w:line="19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leased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2228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39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Current</w:t>
      </w:r>
    </w:p>
    <w:p>
      <w:pPr>
        <w:spacing w:after="0" w:line="63" w:lineRule="exact"/>
        <w:rPr>
          <w:sz w:val="20"/>
          <w:szCs w:val="20"/>
          <w:color w:val="auto"/>
        </w:rPr>
      </w:pPr>
    </w:p>
    <w:p>
      <w:pPr>
        <w:ind w:left="280"/>
        <w:spacing w:after="0"/>
        <w:tabs>
          <w:tab w:leader="none" w:pos="4140" w:val="left"/>
        </w:tabs>
        <w:rPr>
          <w:sz w:val="20"/>
          <w:szCs w:val="20"/>
          <w:color w:val="auto"/>
        </w:rPr>
      </w:pPr>
      <w:r>
        <w:rPr>
          <w:rFonts w:ascii="Arial" w:cs="Arial" w:eastAsia="Arial" w:hAnsi="Arial"/>
          <w:sz w:val="18"/>
          <w:szCs w:val="18"/>
          <w:color w:val="auto"/>
        </w:rPr>
        <w:t>Operating</w:t>
      </w:r>
      <w:r>
        <w:rPr>
          <w:sz w:val="20"/>
          <w:szCs w:val="20"/>
          <w:color w:val="auto"/>
        </w:rPr>
        <w:tab/>
      </w:r>
      <w:r>
        <w:rPr>
          <w:rFonts w:ascii="Arial" w:cs="Arial" w:eastAsia="Arial" w:hAnsi="Arial"/>
          <w:sz w:val="18"/>
          <w:szCs w:val="18"/>
          <w:color w:val="auto"/>
        </w:rPr>
        <w:t>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tabs>
          <w:tab w:leader="none" w:pos="4140" w:val="left"/>
        </w:tabs>
        <w:rPr>
          <w:sz w:val="20"/>
          <w:szCs w:val="20"/>
          <w:color w:val="auto"/>
        </w:rPr>
      </w:pPr>
      <w:r>
        <w:rPr>
          <w:rFonts w:ascii="Arial" w:cs="Arial" w:eastAsia="Arial" w:hAnsi="Arial"/>
          <w:sz w:val="16"/>
          <w:szCs w:val="16"/>
          <w:color w:val="auto"/>
        </w:rPr>
        <w:t>Finance</w:t>
      </w:r>
      <w:r>
        <w:rPr>
          <w:sz w:val="20"/>
          <w:szCs w:val="20"/>
          <w:color w:val="auto"/>
        </w:rPr>
        <w:tab/>
      </w:r>
      <w:r>
        <w:rPr>
          <w:rFonts w:ascii="Arial" w:cs="Arial" w:eastAsia="Arial" w:hAnsi="Arial"/>
          <w:sz w:val="16"/>
          <w:szCs w:val="16"/>
          <w:color w:val="auto"/>
        </w:rPr>
        <w:t>Current portion of long-term debt</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tabs>
          <w:tab w:leader="none" w:pos="4140" w:val="left"/>
        </w:tabs>
        <w:rPr>
          <w:sz w:val="20"/>
          <w:szCs w:val="20"/>
          <w:color w:val="auto"/>
        </w:rPr>
      </w:pPr>
      <w:r>
        <w:rPr>
          <w:rFonts w:ascii="Arial" w:cs="Arial" w:eastAsia="Arial" w:hAnsi="Arial"/>
          <w:sz w:val="18"/>
          <w:szCs w:val="18"/>
          <w:color w:val="auto"/>
        </w:rPr>
        <w:t>Operating</w:t>
      </w:r>
      <w:r>
        <w:rPr>
          <w:sz w:val="20"/>
          <w:szCs w:val="20"/>
          <w:color w:val="auto"/>
        </w:rPr>
        <w:tab/>
      </w:r>
      <w:r>
        <w:rPr>
          <w:rFonts w:ascii="Arial" w:cs="Arial" w:eastAsia="Arial" w:hAnsi="Arial"/>
          <w:sz w:val="18"/>
          <w:szCs w:val="18"/>
          <w:color w:val="auto"/>
        </w:rPr>
        <w:t>Other long-term liabilities</w:t>
      </w:r>
    </w:p>
    <w:p>
      <w:pPr>
        <w:spacing w:after="0" w:line="63" w:lineRule="exact"/>
        <w:rPr>
          <w:sz w:val="20"/>
          <w:szCs w:val="20"/>
          <w:color w:val="auto"/>
        </w:rPr>
      </w:pPr>
    </w:p>
    <w:p>
      <w:pPr>
        <w:ind w:left="280"/>
        <w:spacing w:after="0"/>
        <w:tabs>
          <w:tab w:leader="none" w:pos="4140" w:val="left"/>
        </w:tabs>
        <w:rPr>
          <w:sz w:val="20"/>
          <w:szCs w:val="20"/>
          <w:color w:val="auto"/>
        </w:rPr>
      </w:pPr>
      <w:r>
        <w:rPr>
          <w:rFonts w:ascii="Arial" w:cs="Arial" w:eastAsia="Arial" w:hAnsi="Arial"/>
          <w:sz w:val="18"/>
          <w:szCs w:val="18"/>
          <w:color w:val="auto"/>
        </w:rPr>
        <w:t>Finance</w:t>
      </w:r>
      <w:r>
        <w:rPr>
          <w:sz w:val="20"/>
          <w:szCs w:val="20"/>
          <w:color w:val="auto"/>
        </w:rPr>
        <w:tab/>
      </w:r>
      <w:r>
        <w:rPr>
          <w:rFonts w:ascii="Arial" w:cs="Arial" w:eastAsia="Arial" w:hAnsi="Arial"/>
          <w:sz w:val="18"/>
          <w:szCs w:val="18"/>
          <w:color w:val="auto"/>
        </w:rPr>
        <w:t>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85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lease liabilities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329,033</w:t>
            </w:r>
          </w:p>
        </w:tc>
      </w:tr>
      <w:tr>
        <w:trPr>
          <w:trHeight w:val="27"/>
        </w:trPr>
        <w:tc>
          <w:tcPr>
            <w:tcW w:w="9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28,603</w:t>
            </w:r>
          </w:p>
        </w:tc>
      </w:tr>
      <w:tr>
        <w:trPr>
          <w:trHeight w:val="270"/>
        </w:trPr>
        <w:tc>
          <w:tcPr>
            <w:tcW w:w="92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3,820</w:t>
            </w:r>
          </w:p>
        </w:tc>
      </w:tr>
      <w:tr>
        <w:trPr>
          <w:trHeight w:val="540"/>
        </w:trPr>
        <w:tc>
          <w:tcPr>
            <w:tcW w:w="920" w:type="dxa"/>
            <w:vAlign w:val="bottom"/>
          </w:tcPr>
          <w:p>
            <w:pPr>
              <w:spacing w:after="0"/>
              <w:rPr>
                <w:sz w:val="24"/>
                <w:szCs w:val="24"/>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194,665</w:t>
            </w:r>
          </w:p>
        </w:tc>
      </w:tr>
      <w:tr>
        <w:trPr>
          <w:trHeight w:val="270"/>
        </w:trPr>
        <w:tc>
          <w:tcPr>
            <w:tcW w:w="92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75,398</w:t>
            </w:r>
          </w:p>
        </w:tc>
      </w:tr>
      <w:tr>
        <w:trPr>
          <w:trHeight w:val="27"/>
        </w:trPr>
        <w:tc>
          <w:tcPr>
            <w:tcW w:w="9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302,486</w:t>
            </w:r>
          </w:p>
        </w:tc>
      </w:tr>
      <w:tr>
        <w:trPr>
          <w:trHeight w:val="27"/>
        </w:trPr>
        <w:tc>
          <w:tcPr>
            <w:tcW w:w="9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300" w:space="720"/>
            <w:col w:w="2400"/>
          </w:cols>
          <w:pgMar w:left="240" w:top="11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15" w:right="239" w:bottom="1440" w:gutter="0" w:footer="0" w:header="0"/>
          <w:type w:val="continuous"/>
        </w:sectPr>
      </w:pPr>
    </w:p>
    <w:bookmarkStart w:id="20" w:name="page21"/>
    <w:bookmarkEnd w:id="20"/>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UNAUDITED CONSOLIDATED FINANCIAL STATEMENTS—(Continued)</w:t>
      </w:r>
    </w:p>
    <w:p>
      <w:pPr>
        <w:spacing w:after="0" w:line="2"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The maturity of our lease liabilities as of June 30, 2019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60" w:type="dxa"/>
            <w:vAlign w:val="bottom"/>
            <w:gridSpan w:val="2"/>
          </w:tcPr>
          <w:p>
            <w:pPr>
              <w:ind w:left="260"/>
              <w:spacing w:after="0"/>
              <w:rPr>
                <w:sz w:val="20"/>
                <w:szCs w:val="20"/>
                <w:color w:val="auto"/>
              </w:rPr>
            </w:pPr>
            <w:r>
              <w:rPr>
                <w:rFonts w:ascii="Arial" w:cs="Arial" w:eastAsia="Arial" w:hAnsi="Arial"/>
                <w:sz w:val="16"/>
                <w:szCs w:val="16"/>
                <w:b w:val="1"/>
                <w:bCs w:val="1"/>
                <w:color w:val="auto"/>
              </w:rPr>
              <w:t>Operating leases</w:t>
            </w:r>
          </w:p>
        </w:tc>
        <w:tc>
          <w:tcPr>
            <w:tcW w:w="400" w:type="dxa"/>
            <w:vAlign w:val="bottom"/>
          </w:tcPr>
          <w:p>
            <w:pPr>
              <w:spacing w:after="0"/>
              <w:rPr>
                <w:sz w:val="18"/>
                <w:szCs w:val="18"/>
                <w:color w:val="auto"/>
              </w:rPr>
            </w:pPr>
          </w:p>
        </w:tc>
        <w:tc>
          <w:tcPr>
            <w:tcW w:w="2080" w:type="dxa"/>
            <w:vAlign w:val="bottom"/>
            <w:gridSpan w:val="2"/>
          </w:tcPr>
          <w:p>
            <w:pPr>
              <w:ind w:left="300"/>
              <w:spacing w:after="0"/>
              <w:rPr>
                <w:sz w:val="20"/>
                <w:szCs w:val="20"/>
                <w:color w:val="auto"/>
              </w:rPr>
            </w:pPr>
            <w:r>
              <w:rPr>
                <w:rFonts w:ascii="Arial" w:cs="Arial" w:eastAsia="Arial" w:hAnsi="Arial"/>
                <w:sz w:val="16"/>
                <w:szCs w:val="16"/>
                <w:b w:val="1"/>
                <w:bCs w:val="1"/>
                <w:color w:val="auto"/>
              </w:rPr>
              <w:t>Finance leases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jc w:val="right"/>
              <w:ind w:right="932"/>
              <w:spacing w:after="0"/>
              <w:rPr>
                <w:sz w:val="20"/>
                <w:szCs w:val="20"/>
                <w:color w:val="auto"/>
              </w:rPr>
            </w:pPr>
            <w:r>
              <w:rPr>
                <w:rFonts w:ascii="Arial" w:cs="Arial" w:eastAsia="Arial" w:hAnsi="Arial"/>
                <w:sz w:val="16"/>
                <w:szCs w:val="16"/>
                <w:b w:val="1"/>
                <w:bCs w:val="1"/>
                <w:color w:val="auto"/>
              </w:rPr>
              <w:t>Total</w:t>
            </w:r>
          </w:p>
        </w:tc>
      </w:tr>
      <w:tr>
        <w:trPr>
          <w:trHeight w:val="33"/>
        </w:trPr>
        <w:tc>
          <w:tcPr>
            <w:tcW w:w="40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 (remaining of year)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19,036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22,931</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2020</w:t>
            </w:r>
          </w:p>
        </w:tc>
        <w:tc>
          <w:tcPr>
            <w:tcW w:w="380" w:type="dxa"/>
            <w:vAlign w:val="bottom"/>
          </w:tcPr>
          <w:p>
            <w:pPr>
              <w:spacing w:after="0"/>
              <w:rPr>
                <w:sz w:val="21"/>
                <w:szCs w:val="21"/>
                <w:color w:val="auto"/>
              </w:rPr>
            </w:pPr>
          </w:p>
        </w:tc>
        <w:tc>
          <w:tcPr>
            <w:tcW w:w="2040" w:type="dxa"/>
            <w:vAlign w:val="bottom"/>
          </w:tcPr>
          <w:p>
            <w:pPr>
              <w:jc w:val="right"/>
              <w:ind w:right="11"/>
              <w:spacing w:after="0"/>
              <w:rPr>
                <w:sz w:val="20"/>
                <w:szCs w:val="20"/>
                <w:color w:val="auto"/>
              </w:rPr>
            </w:pPr>
            <w:r>
              <w:rPr>
                <w:rFonts w:ascii="Arial" w:cs="Arial" w:eastAsia="Arial" w:hAnsi="Arial"/>
                <w:sz w:val="18"/>
                <w:szCs w:val="18"/>
                <w:color w:val="auto"/>
              </w:rPr>
              <w:t>33,087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980" w:type="dxa"/>
            <w:vAlign w:val="bottom"/>
          </w:tcPr>
          <w:p>
            <w:pPr>
              <w:jc w:val="right"/>
              <w:ind w:right="11"/>
              <w:spacing w:after="0"/>
              <w:rPr>
                <w:sz w:val="20"/>
                <w:szCs w:val="20"/>
                <w:color w:val="auto"/>
              </w:rPr>
            </w:pPr>
            <w:r>
              <w:rPr>
                <w:rFonts w:ascii="Arial" w:cs="Arial" w:eastAsia="Arial" w:hAnsi="Arial"/>
                <w:sz w:val="18"/>
                <w:szCs w:val="18"/>
                <w:color w:val="auto"/>
              </w:rPr>
              <w:t>6,980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40,067</w:t>
            </w:r>
          </w:p>
        </w:tc>
      </w:tr>
      <w:tr>
        <w:trPr>
          <w:trHeight w:val="27"/>
        </w:trPr>
        <w:tc>
          <w:tcPr>
            <w:tcW w:w="4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3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29,094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34,840</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2022</w:t>
            </w:r>
          </w:p>
        </w:tc>
        <w:tc>
          <w:tcPr>
            <w:tcW w:w="380" w:type="dxa"/>
            <w:vAlign w:val="bottom"/>
          </w:tcPr>
          <w:p>
            <w:pPr>
              <w:spacing w:after="0"/>
              <w:rPr>
                <w:sz w:val="21"/>
                <w:szCs w:val="21"/>
                <w:color w:val="auto"/>
              </w:rPr>
            </w:pPr>
          </w:p>
        </w:tc>
        <w:tc>
          <w:tcPr>
            <w:tcW w:w="2040" w:type="dxa"/>
            <w:vAlign w:val="bottom"/>
          </w:tcPr>
          <w:p>
            <w:pPr>
              <w:jc w:val="right"/>
              <w:ind w:right="11"/>
              <w:spacing w:after="0"/>
              <w:rPr>
                <w:sz w:val="20"/>
                <w:szCs w:val="20"/>
                <w:color w:val="auto"/>
              </w:rPr>
            </w:pPr>
            <w:r>
              <w:rPr>
                <w:rFonts w:ascii="Arial" w:cs="Arial" w:eastAsia="Arial" w:hAnsi="Arial"/>
                <w:sz w:val="18"/>
                <w:szCs w:val="18"/>
                <w:color w:val="auto"/>
              </w:rPr>
              <w:t>15,795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980" w:type="dxa"/>
            <w:vAlign w:val="bottom"/>
          </w:tcPr>
          <w:p>
            <w:pPr>
              <w:jc w:val="right"/>
              <w:ind w:right="11"/>
              <w:spacing w:after="0"/>
              <w:rPr>
                <w:sz w:val="20"/>
                <w:szCs w:val="20"/>
                <w:color w:val="auto"/>
              </w:rPr>
            </w:pPr>
            <w:r>
              <w:rPr>
                <w:rFonts w:ascii="Arial" w:cs="Arial" w:eastAsia="Arial" w:hAnsi="Arial"/>
                <w:sz w:val="18"/>
                <w:szCs w:val="18"/>
                <w:color w:val="auto"/>
              </w:rPr>
              <w:t>4,642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20,437</w:t>
            </w:r>
          </w:p>
        </w:tc>
      </w:tr>
      <w:tr>
        <w:trPr>
          <w:trHeight w:val="27"/>
        </w:trPr>
        <w:tc>
          <w:tcPr>
            <w:tcW w:w="4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3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13,807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18,420</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80" w:type="dxa"/>
            <w:vAlign w:val="bottom"/>
          </w:tcPr>
          <w:p>
            <w:pPr>
              <w:spacing w:after="0"/>
              <w:rPr>
                <w:sz w:val="21"/>
                <w:szCs w:val="21"/>
                <w:color w:val="auto"/>
              </w:rPr>
            </w:pPr>
          </w:p>
        </w:tc>
        <w:tc>
          <w:tcPr>
            <w:tcW w:w="2040" w:type="dxa"/>
            <w:vAlign w:val="bottom"/>
          </w:tcPr>
          <w:p>
            <w:pPr>
              <w:jc w:val="right"/>
              <w:ind w:right="11"/>
              <w:spacing w:after="0"/>
              <w:rPr>
                <w:sz w:val="20"/>
                <w:szCs w:val="20"/>
                <w:color w:val="auto"/>
              </w:rPr>
            </w:pPr>
            <w:r>
              <w:rPr>
                <w:rFonts w:ascii="Arial" w:cs="Arial" w:eastAsia="Arial" w:hAnsi="Arial"/>
                <w:sz w:val="18"/>
                <w:szCs w:val="18"/>
                <w:color w:val="auto"/>
              </w:rPr>
              <w:t>185,742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980" w:type="dxa"/>
            <w:vAlign w:val="bottom"/>
          </w:tcPr>
          <w:p>
            <w:pPr>
              <w:jc w:val="right"/>
              <w:ind w:right="11"/>
              <w:spacing w:after="0"/>
              <w:rPr>
                <w:sz w:val="20"/>
                <w:szCs w:val="20"/>
                <w:color w:val="auto"/>
              </w:rPr>
            </w:pPr>
            <w:r>
              <w:rPr>
                <w:rFonts w:ascii="Arial" w:cs="Arial" w:eastAsia="Arial" w:hAnsi="Arial"/>
                <w:sz w:val="18"/>
                <w:szCs w:val="18"/>
                <w:color w:val="auto"/>
              </w:rPr>
              <w:t>170,193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355,935</w:t>
            </w:r>
          </w:p>
        </w:tc>
      </w:tr>
      <w:tr>
        <w:trPr>
          <w:trHeight w:val="27"/>
        </w:trPr>
        <w:tc>
          <w:tcPr>
            <w:tcW w:w="40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lease payments</w:t>
            </w:r>
          </w:p>
        </w:tc>
        <w:tc>
          <w:tcPr>
            <w:tcW w:w="3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296,561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196,069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492,630</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Less: Imputed interest</w:t>
            </w:r>
          </w:p>
        </w:tc>
        <w:tc>
          <w:tcPr>
            <w:tcW w:w="380" w:type="dxa"/>
            <w:vAlign w:val="bottom"/>
          </w:tcPr>
          <w:p>
            <w:pPr>
              <w:spacing w:after="0"/>
              <w:rPr>
                <w:sz w:val="21"/>
                <w:szCs w:val="21"/>
                <w:color w:val="auto"/>
              </w:rPr>
            </w:pPr>
          </w:p>
        </w:tc>
        <w:tc>
          <w:tcPr>
            <w:tcW w:w="2040" w:type="dxa"/>
            <w:vAlign w:val="bottom"/>
          </w:tcPr>
          <w:p>
            <w:pPr>
              <w:jc w:val="right"/>
              <w:ind w:right="11"/>
              <w:spacing w:after="0"/>
              <w:rPr>
                <w:sz w:val="20"/>
                <w:szCs w:val="20"/>
                <w:color w:val="auto"/>
              </w:rPr>
            </w:pPr>
            <w:r>
              <w:rPr>
                <w:rFonts w:ascii="Arial" w:cs="Arial" w:eastAsia="Arial" w:hAnsi="Arial"/>
                <w:sz w:val="18"/>
                <w:szCs w:val="18"/>
                <w:color w:val="auto"/>
              </w:rPr>
              <w:t>73,293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980" w:type="dxa"/>
            <w:vAlign w:val="bottom"/>
          </w:tcPr>
          <w:p>
            <w:pPr>
              <w:jc w:val="right"/>
              <w:ind w:right="11"/>
              <w:spacing w:after="0"/>
              <w:rPr>
                <w:sz w:val="20"/>
                <w:szCs w:val="20"/>
                <w:color w:val="auto"/>
              </w:rPr>
            </w:pPr>
            <w:r>
              <w:rPr>
                <w:rFonts w:ascii="Arial" w:cs="Arial" w:eastAsia="Arial" w:hAnsi="Arial"/>
                <w:sz w:val="18"/>
                <w:szCs w:val="18"/>
                <w:color w:val="auto"/>
              </w:rPr>
              <w:t>116,851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190,144</w:t>
            </w:r>
          </w:p>
        </w:tc>
      </w:tr>
      <w:tr>
        <w:trPr>
          <w:trHeight w:val="27"/>
        </w:trPr>
        <w:tc>
          <w:tcPr>
            <w:tcW w:w="40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lease liabilities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223,268</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79,218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shd w:val="clear" w:color="auto" w:fill="CCEEFF"/>
          </w:tcPr>
          <w:p>
            <w:pPr>
              <w:spacing w:after="0"/>
              <w:rPr>
                <w:sz w:val="22"/>
                <w:szCs w:val="22"/>
                <w:color w:val="auto"/>
              </w:rPr>
            </w:pPr>
          </w:p>
        </w:tc>
        <w:tc>
          <w:tcPr>
            <w:tcW w:w="1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302,486</w:t>
            </w:r>
          </w:p>
        </w:tc>
      </w:tr>
      <w:tr>
        <w:trPr>
          <w:trHeight w:val="20"/>
        </w:trPr>
        <w:tc>
          <w:tcPr>
            <w:tcW w:w="4000" w:type="dxa"/>
            <w:vAlign w:val="bottom"/>
          </w:tcPr>
          <w:p>
            <w:pPr>
              <w:spacing w:after="0" w:line="20" w:lineRule="exact"/>
              <w:rPr>
                <w:sz w:val="1"/>
                <w:szCs w:val="1"/>
                <w:color w:val="auto"/>
              </w:rPr>
            </w:pPr>
          </w:p>
        </w:tc>
        <w:tc>
          <w:tcPr>
            <w:tcW w:w="24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635"/>
        </w:trPr>
        <w:tc>
          <w:tcPr>
            <w:tcW w:w="6540" w:type="dxa"/>
            <w:vAlign w:val="bottom"/>
            <w:gridSpan w:val="4"/>
          </w:tcPr>
          <w:p>
            <w:pPr>
              <w:spacing w:after="0"/>
              <w:rPr>
                <w:sz w:val="20"/>
                <w:szCs w:val="20"/>
                <w:color w:val="auto"/>
              </w:rPr>
            </w:pPr>
            <w:r>
              <w:rPr>
                <w:rFonts w:ascii="Arial" w:cs="Arial" w:eastAsia="Arial" w:hAnsi="Arial"/>
                <w:sz w:val="18"/>
                <w:szCs w:val="18"/>
                <w:color w:val="auto"/>
              </w:rPr>
              <w:t>Supplemental cash flow and other information related to leases were as follows:</w:t>
            </w:r>
          </w:p>
        </w:tc>
        <w:tc>
          <w:tcPr>
            <w:tcW w:w="4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372"/>
        </w:trPr>
        <w:tc>
          <w:tcPr>
            <w:tcW w:w="4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jc w:val="right"/>
              <w:ind w:right="292"/>
              <w:spacing w:after="0"/>
              <w:rPr>
                <w:sz w:val="20"/>
                <w:szCs w:val="20"/>
                <w:color w:val="auto"/>
              </w:rPr>
            </w:pPr>
            <w:r>
              <w:rPr>
                <w:rFonts w:ascii="Arial" w:cs="Arial" w:eastAsia="Arial" w:hAnsi="Arial"/>
                <w:sz w:val="16"/>
                <w:szCs w:val="16"/>
                <w:b w:val="1"/>
                <w:bCs w:val="1"/>
                <w:color w:val="auto"/>
              </w:rPr>
              <w:t>Six Months Ended</w:t>
            </w:r>
          </w:p>
        </w:tc>
      </w:tr>
      <w:tr>
        <w:trPr>
          <w:trHeight w:val="270"/>
        </w:trPr>
        <w:tc>
          <w:tcPr>
            <w:tcW w:w="40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0" w:type="dxa"/>
            <w:vAlign w:val="bottom"/>
          </w:tcPr>
          <w:p>
            <w:pPr>
              <w:jc w:val="right"/>
              <w:ind w:right="472"/>
              <w:spacing w:after="0"/>
              <w:rPr>
                <w:sz w:val="20"/>
                <w:szCs w:val="20"/>
                <w:color w:val="auto"/>
              </w:rPr>
            </w:pPr>
            <w:r>
              <w:rPr>
                <w:rFonts w:ascii="Arial" w:cs="Arial" w:eastAsia="Arial" w:hAnsi="Arial"/>
                <w:sz w:val="16"/>
                <w:szCs w:val="16"/>
                <w:b w:val="1"/>
                <w:bCs w:val="1"/>
                <w:color w:val="auto"/>
              </w:rPr>
              <w:t>June 30, 2019</w:t>
            </w:r>
          </w:p>
        </w:tc>
      </w:tr>
      <w:tr>
        <w:trPr>
          <w:trHeight w:val="33"/>
        </w:trPr>
        <w:tc>
          <w:tcPr>
            <w:tcW w:w="6540" w:type="dxa"/>
            <w:vAlign w:val="bottom"/>
            <w:tcBorders>
              <w:bottom w:val="single" w:sz="8" w:color="CCEEFF"/>
            </w:tcBorders>
            <w:gridSpan w:val="4"/>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Operating cash flows from operating leases</w:t>
            </w:r>
          </w:p>
        </w:tc>
        <w:tc>
          <w:tcPr>
            <w:tcW w:w="3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19,142</w:t>
            </w:r>
          </w:p>
        </w:tc>
      </w:tr>
      <w:tr>
        <w:trPr>
          <w:trHeight w:val="27"/>
        </w:trPr>
        <w:tc>
          <w:tcPr>
            <w:tcW w:w="4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cash flows from finance leases</w:t>
            </w:r>
          </w:p>
        </w:tc>
        <w:tc>
          <w:tcPr>
            <w:tcW w:w="3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2,213</w:t>
            </w: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Financing cash flows from finance leases</w:t>
            </w:r>
          </w:p>
        </w:tc>
        <w:tc>
          <w:tcPr>
            <w:tcW w:w="3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1,920</w:t>
            </w:r>
          </w:p>
        </w:tc>
      </w:tr>
      <w:tr>
        <w:trPr>
          <w:trHeight w:val="27"/>
        </w:trPr>
        <w:tc>
          <w:tcPr>
            <w:tcW w:w="4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324"/>
        </w:trPr>
        <w:tc>
          <w:tcPr>
            <w:tcW w:w="40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w w:val="92"/>
              </w:rPr>
              <w:t>ROU assets obtained in exchange for lease liabilities:</w:t>
            </w:r>
          </w:p>
        </w:tc>
        <w:tc>
          <w:tcPr>
            <w:tcW w:w="3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leases</w:t>
            </w:r>
          </w:p>
        </w:tc>
        <w:tc>
          <w:tcPr>
            <w:tcW w:w="3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21,838</w:t>
            </w: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Finance leases</w:t>
            </w:r>
          </w:p>
        </w:tc>
        <w:tc>
          <w:tcPr>
            <w:tcW w:w="3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3,498</w:t>
            </w: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ASSETS AND LIABILITIES HELD FOR SALE</w:t>
      </w:r>
    </w:p>
    <w:p>
      <w:pPr>
        <w:spacing w:after="0" w:line="17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of June 30, 2019, the following disposal groups have been classified as held for sale, in each case stated at the lower of net book value or estimated sales value less costs to sell:</w:t>
      </w:r>
    </w:p>
    <w:p>
      <w:pPr>
        <w:spacing w:after="0" w:line="116" w:lineRule="exact"/>
        <w:rPr>
          <w:sz w:val="20"/>
          <w:szCs w:val="20"/>
          <w:color w:val="auto"/>
        </w:rPr>
      </w:pPr>
    </w:p>
    <w:p>
      <w:pPr>
        <w:ind w:left="660" w:right="4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Lotte Shanghai Foods Co., Ltd. joint venture, which was taken out of operation and classified as held for sale during the second quarter of 2018. We sold a portion of the joint venture's equipment in the third and fourth quarters of 2018, as well as the second quarter of 2019 and expect the sale of the remaining business to be completed during 2019.</w:t>
      </w:r>
    </w:p>
    <w:p>
      <w:pPr>
        <w:spacing w:after="0" w:line="127"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assets, which are predominantly comprised of select Pennsylvania facilities and land that met the held for sale criteria in the third quarter of 2018. We expect these long-lived assets to be sold during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amounts classified as assets and liabilities held for sale at June 30, 2019 include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Assets held for sale, included in prepaid expenses and other assets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60" w:type="dxa"/>
            <w:vAlign w:val="bottom"/>
          </w:tcPr>
          <w:p>
            <w:pPr>
              <w:ind w:left="180"/>
              <w:spacing w:after="0"/>
              <w:rPr>
                <w:sz w:val="20"/>
                <w:szCs w:val="20"/>
                <w:color w:val="auto"/>
              </w:rPr>
            </w:pPr>
            <w:r>
              <w:rPr>
                <w:rFonts w:ascii="Arial" w:cs="Arial" w:eastAsia="Arial" w:hAnsi="Arial"/>
                <w:sz w:val="18"/>
                <w:szCs w:val="18"/>
                <w:color w:val="auto"/>
              </w:rPr>
              <w:t>Property, plant and equipment, net</w:t>
            </w: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20,905</w:t>
            </w:r>
          </w:p>
        </w:tc>
      </w:tr>
      <w:tr>
        <w:trPr>
          <w:trHeight w:val="27"/>
        </w:trPr>
        <w:tc>
          <w:tcPr>
            <w:tcW w:w="9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8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2,434</w:t>
            </w:r>
          </w:p>
        </w:tc>
      </w:tr>
      <w:tr>
        <w:trPr>
          <w:trHeight w:val="237"/>
        </w:trPr>
        <w:tc>
          <w:tcPr>
            <w:tcW w:w="9260" w:type="dxa"/>
            <w:vAlign w:val="bottom"/>
          </w:tcPr>
          <w:p>
            <w:pPr>
              <w:spacing w:after="0"/>
              <w:rPr>
                <w:sz w:val="20"/>
                <w:szCs w:val="20"/>
                <w:color w:val="auto"/>
              </w:rPr>
            </w:pPr>
          </w:p>
        </w:tc>
        <w:tc>
          <w:tcPr>
            <w:tcW w:w="84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23,339</w:t>
            </w:r>
          </w:p>
        </w:tc>
      </w:tr>
      <w:tr>
        <w:trPr>
          <w:trHeight w:val="67"/>
        </w:trPr>
        <w:tc>
          <w:tcPr>
            <w:tcW w:w="9260" w:type="dxa"/>
            <w:vAlign w:val="bottom"/>
            <w:tcBorders>
              <w:bottom w:val="single" w:sz="8" w:color="CCEEFF"/>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r>
      <w:tr>
        <w:trPr>
          <w:trHeight w:val="210"/>
        </w:trPr>
        <w:tc>
          <w:tcPr>
            <w:tcW w:w="9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b w:val="1"/>
                <w:bCs w:val="1"/>
                <w:color w:val="auto"/>
              </w:rPr>
              <w:t>Liabilities held for sale, included in accrued liabilities</w:t>
            </w:r>
          </w:p>
        </w:tc>
        <w:tc>
          <w:tcPr>
            <w:tcW w:w="8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9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 and accrued liabilities</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w:t>
            </w:r>
          </w:p>
        </w:tc>
      </w:tr>
      <w:tr>
        <w:trPr>
          <w:trHeight w:val="237"/>
        </w:trPr>
        <w:tc>
          <w:tcPr>
            <w:tcW w:w="9260" w:type="dxa"/>
            <w:vAlign w:val="bottom"/>
          </w:tcPr>
          <w:p>
            <w:pPr>
              <w:spacing w:after="0"/>
              <w:rPr>
                <w:sz w:val="20"/>
                <w:szCs w:val="20"/>
                <w:color w:val="auto"/>
              </w:rPr>
            </w:pPr>
          </w:p>
        </w:tc>
        <w:tc>
          <w:tcPr>
            <w:tcW w:w="84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376</w:t>
            </w:r>
          </w:p>
        </w:tc>
      </w:tr>
      <w:tr>
        <w:trPr>
          <w:trHeight w:val="27"/>
        </w:trPr>
        <w:tc>
          <w:tcPr>
            <w:tcW w:w="92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9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5"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15" w:right="239" w:bottom="1440" w:gutter="0" w:footer="0" w:header="0"/>
          <w:type w:val="continuous"/>
        </w:sectPr>
      </w:pPr>
    </w:p>
    <w:bookmarkStart w:id="21" w:name="page22"/>
    <w:bookmarkEnd w:id="21"/>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1"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UNAUDITED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BUSINESS REALIGNMENT ACTIVITIES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We periodically undertake business realignment activities designed to increase our efficiency and focus our business in support of our key growth strategies.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Costs recorded during the three and six months ended June 30, 2019 and July 1, 2018 related to these activities were as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580" w:type="dxa"/>
            <w:vAlign w:val="bottom"/>
            <w:gridSpan w:val="5"/>
          </w:tcPr>
          <w:p>
            <w:pPr>
              <w:ind w:left="86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8"/>
                <w:szCs w:val="18"/>
                <w:color w:val="auto"/>
              </w:rPr>
            </w:pPr>
          </w:p>
        </w:tc>
        <w:tc>
          <w:tcPr>
            <w:tcW w:w="3480" w:type="dxa"/>
            <w:vAlign w:val="bottom"/>
            <w:gridSpan w:val="4"/>
          </w:tcPr>
          <w:p>
            <w:pPr>
              <w:jc w:val="right"/>
              <w:ind w:right="1151"/>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37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1"/>
        </w:trPr>
        <w:tc>
          <w:tcPr>
            <w:tcW w:w="3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 2019</w:t>
            </w:r>
          </w:p>
        </w:tc>
        <w:tc>
          <w:tcPr>
            <w:tcW w:w="300" w:type="dxa"/>
            <w:vAlign w:val="bottom"/>
          </w:tcPr>
          <w:p>
            <w:pPr>
              <w:spacing w:after="0"/>
              <w:rPr>
                <w:sz w:val="20"/>
                <w:szCs w:val="20"/>
                <w:color w:val="auto"/>
              </w:rPr>
            </w:pPr>
          </w:p>
        </w:tc>
        <w:tc>
          <w:tcPr>
            <w:tcW w:w="1620" w:type="dxa"/>
            <w:vAlign w:val="bottom"/>
            <w:gridSpan w:val="2"/>
          </w:tcPr>
          <w:p>
            <w:pPr>
              <w:ind w:left="200"/>
              <w:spacing w:after="0"/>
              <w:rPr>
                <w:sz w:val="20"/>
                <w:szCs w:val="20"/>
                <w:color w:val="auto"/>
              </w:rPr>
            </w:pPr>
            <w:r>
              <w:rPr>
                <w:rFonts w:ascii="Arial" w:cs="Arial" w:eastAsia="Arial" w:hAnsi="Arial"/>
                <w:sz w:val="16"/>
                <w:szCs w:val="16"/>
                <w:b w:val="1"/>
                <w:bCs w:val="1"/>
                <w:color w:val="auto"/>
              </w:rPr>
              <w:t>July 1, 2018</w:t>
            </w:r>
          </w:p>
        </w:tc>
        <w:tc>
          <w:tcPr>
            <w:tcW w:w="280" w:type="dxa"/>
            <w:vAlign w:val="bottom"/>
          </w:tcPr>
          <w:p>
            <w:pPr>
              <w:spacing w:after="0"/>
              <w:rPr>
                <w:sz w:val="20"/>
                <w:szCs w:val="20"/>
                <w:color w:val="auto"/>
              </w:rPr>
            </w:pPr>
          </w:p>
        </w:tc>
        <w:tc>
          <w:tcPr>
            <w:tcW w:w="166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 2019</w:t>
            </w:r>
          </w:p>
        </w:tc>
        <w:tc>
          <w:tcPr>
            <w:tcW w:w="300" w:type="dxa"/>
            <w:vAlign w:val="bottom"/>
          </w:tcPr>
          <w:p>
            <w:pPr>
              <w:spacing w:after="0"/>
              <w:rPr>
                <w:sz w:val="20"/>
                <w:szCs w:val="20"/>
                <w:color w:val="auto"/>
              </w:rPr>
            </w:pPr>
          </w:p>
        </w:tc>
        <w:tc>
          <w:tcPr>
            <w:tcW w:w="1520" w:type="dxa"/>
            <w:vAlign w:val="bottom"/>
          </w:tcPr>
          <w:p>
            <w:pPr>
              <w:jc w:val="right"/>
              <w:ind w:right="411"/>
              <w:spacing w:after="0"/>
              <w:rPr>
                <w:sz w:val="20"/>
                <w:szCs w:val="20"/>
                <w:color w:val="auto"/>
              </w:rPr>
            </w:pPr>
            <w:r>
              <w:rPr>
                <w:rFonts w:ascii="Arial" w:cs="Arial" w:eastAsia="Arial" w:hAnsi="Arial"/>
                <w:sz w:val="16"/>
                <w:szCs w:val="16"/>
                <w:b w:val="1"/>
                <w:bCs w:val="1"/>
                <w:color w:val="auto"/>
              </w:rPr>
              <w:t>July 1, 2018</w:t>
            </w:r>
          </w:p>
        </w:tc>
      </w:tr>
      <w:tr>
        <w:trPr>
          <w:trHeight w:val="33"/>
        </w:trPr>
        <w:tc>
          <w:tcPr>
            <w:tcW w:w="3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Margin for Growth Program:</w:t>
            </w: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280"/>
              <w:spacing w:after="0"/>
              <w:rPr>
                <w:sz w:val="20"/>
                <w:szCs w:val="20"/>
                <w:color w:val="auto"/>
              </w:rPr>
            </w:pPr>
            <w:r>
              <w:rPr>
                <w:rFonts w:ascii="Arial" w:cs="Arial" w:eastAsia="Arial" w:hAnsi="Arial"/>
                <w:sz w:val="18"/>
                <w:szCs w:val="18"/>
                <w:color w:val="auto"/>
              </w:rPr>
              <w:t>Severance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5,823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3,014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5,823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7,062</w:t>
            </w:r>
          </w:p>
        </w:tc>
      </w:tr>
      <w:tr>
        <w:trPr>
          <w:trHeight w:val="27"/>
        </w:trPr>
        <w:tc>
          <w:tcPr>
            <w:tcW w:w="3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Accelerated depreciation</w:t>
            </w:r>
          </w:p>
        </w:tc>
        <w:tc>
          <w:tcPr>
            <w:tcW w:w="3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7,244</w:t>
            </w:r>
          </w:p>
        </w:tc>
      </w:tr>
      <w:tr>
        <w:trPr>
          <w:trHeight w:val="243"/>
        </w:trPr>
        <w:tc>
          <w:tcPr>
            <w:tcW w:w="3780" w:type="dxa"/>
            <w:vAlign w:val="bottom"/>
          </w:tcPr>
          <w:p>
            <w:pPr>
              <w:ind w:left="280"/>
              <w:spacing w:after="0"/>
              <w:rPr>
                <w:sz w:val="20"/>
                <w:szCs w:val="20"/>
                <w:color w:val="auto"/>
              </w:rPr>
            </w:pPr>
            <w:r>
              <w:rPr>
                <w:rFonts w:ascii="Arial" w:cs="Arial" w:eastAsia="Arial" w:hAnsi="Arial"/>
                <w:sz w:val="18"/>
                <w:szCs w:val="18"/>
                <w:color w:val="auto"/>
              </w:rPr>
              <w:t>Other program costs</w:t>
            </w:r>
          </w:p>
        </w:tc>
        <w:tc>
          <w:tcPr>
            <w:tcW w:w="300" w:type="dxa"/>
            <w:vAlign w:val="bottom"/>
          </w:tcPr>
          <w:p>
            <w:pPr>
              <w:spacing w:after="0"/>
              <w:rPr>
                <w:sz w:val="21"/>
                <w:szCs w:val="21"/>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555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5,117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1,039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15,205</w:t>
            </w:r>
          </w:p>
        </w:tc>
      </w:tr>
      <w:tr>
        <w:trPr>
          <w:trHeight w:val="27"/>
        </w:trPr>
        <w:tc>
          <w:tcPr>
            <w:tcW w:w="3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Operational Optimization Program:</w:t>
            </w: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280"/>
              <w:spacing w:after="0"/>
              <w:rPr>
                <w:sz w:val="20"/>
                <w:szCs w:val="20"/>
                <w:color w:val="auto"/>
              </w:rPr>
            </w:pPr>
            <w:r>
              <w:rPr>
                <w:rFonts w:ascii="Arial" w:cs="Arial" w:eastAsia="Arial" w:hAnsi="Arial"/>
                <w:sz w:val="18"/>
                <w:szCs w:val="18"/>
                <w:color w:val="auto"/>
              </w:rPr>
              <w:t>Other program costs</w:t>
            </w:r>
          </w:p>
        </w:tc>
        <w:tc>
          <w:tcPr>
            <w:tcW w:w="30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1,736</w:t>
            </w:r>
          </w:p>
        </w:tc>
      </w:tr>
      <w:tr>
        <w:trPr>
          <w:trHeight w:val="27"/>
        </w:trPr>
        <w:tc>
          <w:tcPr>
            <w:tcW w:w="3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6,378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15,296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6,862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31,247</w:t>
            </w:r>
          </w:p>
        </w:tc>
      </w:tr>
      <w:tr>
        <w:trPr>
          <w:trHeight w:val="20"/>
        </w:trPr>
        <w:tc>
          <w:tcPr>
            <w:tcW w:w="3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Margin for Growth Program</w:t>
      </w:r>
    </w:p>
    <w:p>
      <w:pPr>
        <w:spacing w:after="0" w:line="9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the first quarter 2017, the Company's Board of Directors ("Board") unanimously approved several initiatives under a single program designed to drive continued net sales, operating income and earnings per-share diluted growth over the next several years. This program is focused on improving global efficiency and effectiveness, optimizing the Company’s supply chain, streamlining the Company’s operating model and reducing administrative expenses to generate long-term savings.</w:t>
      </w:r>
    </w:p>
    <w:p>
      <w:pPr>
        <w:spacing w:after="0" w:line="133"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originally estimated that the Margin for Growth Program would result in total pre-tax charges of $375,000 to $425,000, to be incurred from 2017 to 2019. The majority of the initiatives relating to the program have been executed, with the final initiatives to be completed over the next several months. To date, we have incurred pre-tax charges to execute the program totaling $343,157. This includes long-lived asset impairment charges of $208,712 related to the operations supporting our China business in 2017, as well as the $16,300 incremental impairment charge resulting from the sale of Shanghai Golden Monkey Food Joint Stock Co., Ltd. ("SGM"). In addition to the impairment charges, we have incurred employee separation costs of $53,755 and other business realignment costs of $64,390. We expect the remaining spending on this program to be minimal in 2019. The cash portion of the total program charges is estimated to be $101,000. The Company reduced its global workforce by approximately 15% as a result of this program, with a majority of the reductions coming from hourly headcount positions outside of the United States.</w:t>
      </w:r>
    </w:p>
    <w:p>
      <w:pPr>
        <w:spacing w:after="0" w:line="1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For the three and six months ended June 30, 2019, we recognized total costs associated with the Margin for Growth Program of $6,378 and $6,862, respectively. During 2018, we recognized total costs associated with the Margin for Growth Program of $14,658 and $29,511 for the three and six months ended July 1, 2018, respectively. These charges include employee severance, largely relating to initiatives to improve the cost structure of our China business and to further streamline our corporate operating model, as well as non-cash, asset-related incremental depreciation expense as part of optimizing the global supply chain. In addition, we incurred other program costs, which relate primarily to third-party charges in support of our initiative to improve global efficiency and effectiveness.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2016 Operational Optimization Program</w:t>
      </w:r>
    </w:p>
    <w:p>
      <w:pPr>
        <w:spacing w:after="0" w:line="9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In the second quarter of 2016, we commenced a program (the “Operational Optimization Program”) to optimize our production and supply chain network, which included select facility consolidations. The program encompassed the transition of our China chocolate and SGM operations into a united </w:t>
      </w:r>
      <w:r>
        <w:rPr>
          <w:rFonts w:ascii="Arial" w:cs="Arial" w:eastAsia="Arial" w:hAnsi="Arial"/>
          <w:sz w:val="18"/>
          <w:szCs w:val="18"/>
          <w:i w:val="1"/>
          <w:iCs w:val="1"/>
          <w:color w:val="auto"/>
        </w:rPr>
        <w:t>Golden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Hershey </w:t>
      </w:r>
      <w:r>
        <w:rPr>
          <w:rFonts w:ascii="Arial" w:cs="Arial" w:eastAsia="Arial" w:hAnsi="Arial"/>
          <w:sz w:val="18"/>
          <w:szCs w:val="18"/>
          <w:color w:val="auto"/>
        </w:rPr>
        <w:t>platform, including the integration of the China sales force, as well as workforce planning efforts and the consolidation of production within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facilities in China and North America. For the three and six months ended July 1, 2018, we incurred pre-tax costs totaling $638 and $1,736, respectively, relating primarily to third-party charges in support of our initiative to optimize our production and supply chain network. This program was completed in 2018.</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18" w:right="239" w:bottom="1440" w:gutter="0" w:footer="0" w:header="0"/>
        </w:sectPr>
      </w:pPr>
    </w:p>
    <w:bookmarkStart w:id="22" w:name="page23"/>
    <w:bookmarkEnd w:id="22"/>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UNAUDITED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Costs associated with business realignment activities are classified in our Consolidated Statements of Income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81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872"/>
              <w:spacing w:after="0"/>
              <w:rPr>
                <w:sz w:val="20"/>
                <w:szCs w:val="20"/>
                <w:color w:val="auto"/>
              </w:rPr>
            </w:pPr>
            <w:r>
              <w:rPr>
                <w:rFonts w:ascii="Arial" w:cs="Arial" w:eastAsia="Arial" w:hAnsi="Arial"/>
                <w:sz w:val="14"/>
                <w:szCs w:val="14"/>
                <w:b w:val="1"/>
                <w:bCs w:val="1"/>
                <w:color w:val="auto"/>
              </w:rPr>
              <w:t>Six Months Ended</w:t>
            </w:r>
          </w:p>
        </w:tc>
      </w:tr>
      <w:tr>
        <w:trPr>
          <w:trHeight w:val="237"/>
        </w:trPr>
        <w:tc>
          <w:tcPr>
            <w:tcW w:w="5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2019</w:t>
            </w:r>
          </w:p>
        </w:tc>
        <w:tc>
          <w:tcPr>
            <w:tcW w:w="220" w:type="dxa"/>
            <w:vAlign w:val="bottom"/>
          </w:tcPr>
          <w:p>
            <w:pPr>
              <w:spacing w:after="0"/>
              <w:rPr>
                <w:sz w:val="20"/>
                <w:szCs w:val="20"/>
                <w:color w:val="auto"/>
              </w:rPr>
            </w:pPr>
          </w:p>
        </w:tc>
        <w:tc>
          <w:tcPr>
            <w:tcW w:w="1360" w:type="dxa"/>
            <w:vAlign w:val="bottom"/>
            <w:gridSpan w:val="2"/>
          </w:tcPr>
          <w:p>
            <w:pPr>
              <w:ind w:left="120"/>
              <w:spacing w:after="0"/>
              <w:rPr>
                <w:sz w:val="20"/>
                <w:szCs w:val="20"/>
                <w:color w:val="auto"/>
              </w:rPr>
            </w:pPr>
            <w:r>
              <w:rPr>
                <w:rFonts w:ascii="Arial" w:cs="Arial" w:eastAsia="Arial" w:hAnsi="Arial"/>
                <w:sz w:val="16"/>
                <w:szCs w:val="16"/>
                <w:b w:val="1"/>
                <w:bCs w:val="1"/>
                <w:color w:val="auto"/>
              </w:rPr>
              <w:t>July 1, 2018</w:t>
            </w:r>
          </w:p>
        </w:tc>
        <w:tc>
          <w:tcPr>
            <w:tcW w:w="200" w:type="dxa"/>
            <w:vAlign w:val="bottom"/>
          </w:tcPr>
          <w:p>
            <w:pPr>
              <w:spacing w:after="0"/>
              <w:rPr>
                <w:sz w:val="20"/>
                <w:szCs w:val="20"/>
                <w:color w:val="auto"/>
              </w:rPr>
            </w:pPr>
          </w:p>
        </w:tc>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2019</w:t>
            </w:r>
          </w:p>
        </w:tc>
        <w:tc>
          <w:tcPr>
            <w:tcW w:w="220" w:type="dxa"/>
            <w:vAlign w:val="bottom"/>
          </w:tcPr>
          <w:p>
            <w:pPr>
              <w:spacing w:after="0"/>
              <w:rPr>
                <w:sz w:val="20"/>
                <w:szCs w:val="20"/>
                <w:color w:val="auto"/>
              </w:rPr>
            </w:pPr>
          </w:p>
        </w:tc>
        <w:tc>
          <w:tcPr>
            <w:tcW w:w="1260" w:type="dxa"/>
            <w:vAlign w:val="bottom"/>
          </w:tcPr>
          <w:p>
            <w:pPr>
              <w:jc w:val="right"/>
              <w:ind w:right="232"/>
              <w:spacing w:after="0"/>
              <w:rPr>
                <w:sz w:val="20"/>
                <w:szCs w:val="20"/>
                <w:color w:val="auto"/>
              </w:rPr>
            </w:pPr>
            <w:r>
              <w:rPr>
                <w:rFonts w:ascii="Arial" w:cs="Arial" w:eastAsia="Arial" w:hAnsi="Arial"/>
                <w:sz w:val="16"/>
                <w:szCs w:val="16"/>
                <w:b w:val="1"/>
                <w:bCs w:val="1"/>
                <w:color w:val="auto"/>
              </w:rPr>
              <w:t>July 1, 2018</w:t>
            </w:r>
          </w:p>
        </w:tc>
      </w:tr>
      <w:tr>
        <w:trPr>
          <w:trHeight w:val="33"/>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9,536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Selling, marketing and administrative expense</w:t>
            </w:r>
          </w:p>
        </w:tc>
        <w:tc>
          <w:tcPr>
            <w:tcW w:w="20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6,994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12,507</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realignment costs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6,140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6,202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9,204</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Costs associated with business realignment activities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6,378</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15,296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6,862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31,247</w:t>
            </w: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costs and related benefits of the Margin for Growth Program relate approximately 63% to the North America segment and 37% to the International and Other segment. However, segment operating results do not include these business realignment expenses because we evaluate segment performance excluding such costs.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liability activity for costs qualifying as exit and disposal costs for the six months ended June 30, 2019:</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ind w:right="612"/>
              <w:spacing w:after="0"/>
              <w:rPr>
                <w:sz w:val="20"/>
                <w:szCs w:val="20"/>
                <w:color w:val="auto"/>
              </w:rPr>
            </w:pPr>
            <w:r>
              <w:rPr>
                <w:rFonts w:ascii="Arial" w:cs="Arial" w:eastAsia="Arial" w:hAnsi="Arial"/>
                <w:sz w:val="16"/>
                <w:szCs w:val="16"/>
                <w:b w:val="1"/>
                <w:bCs w:val="1"/>
                <w:color w:val="auto"/>
              </w:rPr>
              <w:t>Total</w:t>
            </w:r>
          </w:p>
        </w:tc>
      </w:tr>
      <w:tr>
        <w:trPr>
          <w:trHeight w:val="33"/>
        </w:trPr>
        <w:tc>
          <w:tcPr>
            <w:tcW w:w="96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Liability balance at December 31, 2018</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14,605</w:t>
            </w: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auto"/>
              </w:rPr>
              <w:t>2019 business realignment charges (1)</w:t>
            </w:r>
          </w:p>
        </w:tc>
        <w:tc>
          <w:tcPr>
            <w:tcW w:w="400" w:type="dxa"/>
            <w:vAlign w:val="bottom"/>
          </w:tcPr>
          <w:p>
            <w:pPr>
              <w:spacing w:after="0"/>
              <w:rPr>
                <w:sz w:val="21"/>
                <w:szCs w:val="21"/>
                <w:color w:val="auto"/>
              </w:rPr>
            </w:pP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6,862</w:t>
            </w:r>
          </w:p>
        </w:tc>
      </w:tr>
      <w:tr>
        <w:trPr>
          <w:trHeight w:val="27"/>
        </w:trPr>
        <w:tc>
          <w:tcPr>
            <w:tcW w:w="9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payments</w:t>
            </w: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(8,489)</w:t>
            </w:r>
          </w:p>
        </w:tc>
      </w:tr>
      <w:tr>
        <w:trPr>
          <w:trHeight w:val="257"/>
        </w:trPr>
        <w:tc>
          <w:tcPr>
            <w:tcW w:w="9680" w:type="dxa"/>
            <w:vAlign w:val="bottom"/>
          </w:tcPr>
          <w:p>
            <w:pPr>
              <w:ind w:left="40"/>
              <w:spacing w:after="0"/>
              <w:rPr>
                <w:sz w:val="20"/>
                <w:szCs w:val="20"/>
                <w:color w:val="auto"/>
              </w:rPr>
            </w:pPr>
            <w:r>
              <w:rPr>
                <w:rFonts w:ascii="Arial" w:cs="Arial" w:eastAsia="Arial" w:hAnsi="Arial"/>
                <w:sz w:val="18"/>
                <w:szCs w:val="18"/>
                <w:color w:val="auto"/>
              </w:rPr>
              <w:t>Liability balance at June 30, 2019 (reported within accrued liabilities)</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12,978</w:t>
            </w:r>
          </w:p>
        </w:tc>
      </w:tr>
      <w:tr>
        <w:trPr>
          <w:trHeight w:val="20"/>
        </w:trPr>
        <w:tc>
          <w:tcPr>
            <w:tcW w:w="96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500" w:hanging="330"/>
        <w:spacing w:after="0"/>
        <w:tabs>
          <w:tab w:leader="none" w:pos="5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costs reflected in the liability roll-forward represent employee-related and certain third-party service provider charges.</w:t>
      </w:r>
    </w:p>
    <w:p>
      <w:pPr>
        <w:spacing w:after="0" w:line="248" w:lineRule="exact"/>
        <w:rPr>
          <w:rFonts w:ascii="Arial" w:cs="Arial" w:eastAsia="Arial" w:hAnsi="Arial"/>
          <w:sz w:val="18"/>
          <w:szCs w:val="18"/>
          <w:color w:val="auto"/>
        </w:rPr>
      </w:pPr>
    </w:p>
    <w:p>
      <w:pPr>
        <w:ind w:left="280" w:hanging="272"/>
        <w:spacing w:after="0"/>
        <w:tabs>
          <w:tab w:leader="none" w:pos="2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majority of our taxable income is generated in the U.S. and taxed at the U.S. statutory rate of 21%. The effective tax rates for the six months ended June 30, 2019 and July 1, 2018 were 18.7% and 19.1%, respectively. Relative to the statutory rate, the 2019 effective tax rate was impacted by a change to foreign valuation allowances, the benefit of ASU 2016-09 for accounting of employee share-based payment, and investment tax credits, which were partially offset by state taxes.</w:t>
      </w:r>
    </w:p>
    <w:p>
      <w:pPr>
        <w:spacing w:after="0" w:line="133"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Hershey and its subsidiaries file tax returns in the U.S., including various state and local returns, and in other foreign jurisdictions. We believe adequate provision has been made for all income tax uncertainties. We are routinely audited by taxing authorities in our filing jurisdictions, and a number of these audits are currently underway. We reasonably expect reductions in the liability for unrecognized tax benefits of approximately $11,267 within the next 12 months because of the expiration of statutes of limitations and settlements of tax audits.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 Tax Cuts and Jobs Act of 2017</w:t>
      </w:r>
    </w:p>
    <w:p>
      <w:pPr>
        <w:spacing w:after="0" w:line="25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U.S. Tax Cuts and Jobs Act, enacted in December 2017 (“U.S. tax reform”), significantly changed U.S. corporate income tax laws by, among other things, reducing the U.S. corporate income tax rate to 21% starting in 2018 and creating a territorial tax system with a one-time mandatory tax on previously deferred foreign earnings of U.S. subsidiaries. Under GAAP (specifically, ASC Topic 740), the effects of changes in tax rates and laws on deferred tax balances are recognized in the period in which the new legislation is enacted.</w:t>
      </w:r>
    </w:p>
    <w:p>
      <w:pPr>
        <w:spacing w:after="0" w:line="133"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During the fourth quarter of 2017, we recorded a net provisional charge of $32.5 million, which included the estimated impact of the one-time mandatory tax on previously deferred earnings of non-U.S. subsidiaries offset in part by the benefit from revaluation of net deferred tax liabilities based on the new lower corporate income tax rate. During 2018, we recorded net benefits totaling $19.5 million as measurement period adjustments to the net provisional charge. The accounting for income tax effects of U.S. tax reform is complete based on additional tax regulations available as of December 31, 2018.</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15" w:right="239" w:bottom="1440" w:gutter="0" w:footer="0" w:header="0"/>
        </w:sectPr>
      </w:pPr>
    </w:p>
    <w:bookmarkStart w:id="23" w:name="page24"/>
    <w:bookmarkEnd w:id="23"/>
    <w:p>
      <w:pPr>
        <w:jc w:val="center"/>
        <w:ind w:left="32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20"/>
        <w:spacing w:after="0"/>
        <w:rPr>
          <w:sz w:val="20"/>
          <w:szCs w:val="20"/>
          <w:color w:val="auto"/>
        </w:rPr>
      </w:pPr>
      <w:r>
        <w:rPr>
          <w:rFonts w:ascii="Arial" w:cs="Arial" w:eastAsia="Arial" w:hAnsi="Arial"/>
          <w:sz w:val="20"/>
          <w:szCs w:val="20"/>
          <w:b w:val="1"/>
          <w:bCs w:val="1"/>
          <w:color w:val="auto"/>
        </w:rPr>
        <w:t>NOTES TO UNAUDITED CONSOLIDATED FINANCIAL STATEMENTS—(Continued)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PENSION AND OTHER POST-RETIREMENT BENEFIT PLANS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Periodic Benefit Cost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benefit cost for the three months ended June 30, 2019 and July 1, 2018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580" w:type="dxa"/>
            <w:vAlign w:val="bottom"/>
            <w:gridSpan w:val="5"/>
          </w:tcPr>
          <w:p>
            <w:pPr>
              <w:ind w:left="1060"/>
              <w:spacing w:after="0"/>
              <w:rPr>
                <w:sz w:val="20"/>
                <w:szCs w:val="20"/>
                <w:color w:val="auto"/>
              </w:rPr>
            </w:pPr>
            <w:r>
              <w:rPr>
                <w:rFonts w:ascii="Arial" w:cs="Arial" w:eastAsia="Arial" w:hAnsi="Arial"/>
                <w:sz w:val="16"/>
                <w:szCs w:val="16"/>
                <w:b w:val="1"/>
                <w:bCs w:val="1"/>
                <w:color w:val="auto"/>
              </w:rPr>
              <w:t>Pension Benefits</w:t>
            </w:r>
          </w:p>
        </w:tc>
        <w:tc>
          <w:tcPr>
            <w:tcW w:w="340" w:type="dxa"/>
            <w:vAlign w:val="bottom"/>
          </w:tcPr>
          <w:p>
            <w:pPr>
              <w:spacing w:after="0"/>
              <w:rPr>
                <w:sz w:val="18"/>
                <w:szCs w:val="18"/>
                <w:color w:val="auto"/>
              </w:rPr>
            </w:pPr>
          </w:p>
        </w:tc>
        <w:tc>
          <w:tcPr>
            <w:tcW w:w="2120" w:type="dxa"/>
            <w:vAlign w:val="bottom"/>
            <w:gridSpan w:val="3"/>
          </w:tcPr>
          <w:p>
            <w:pPr>
              <w:jc w:val="right"/>
              <w:spacing w:after="0"/>
              <w:rPr>
                <w:sz w:val="20"/>
                <w:szCs w:val="20"/>
                <w:color w:val="auto"/>
              </w:rPr>
            </w:pPr>
            <w:r>
              <w:rPr>
                <w:rFonts w:ascii="Arial" w:cs="Arial" w:eastAsia="Arial" w:hAnsi="Arial"/>
                <w:sz w:val="16"/>
                <w:szCs w:val="16"/>
                <w:b w:val="1"/>
                <w:bCs w:val="1"/>
                <w:color w:val="auto"/>
              </w:rPr>
              <w:t>Other Benefits</w:t>
            </w:r>
          </w:p>
        </w:tc>
        <w:tc>
          <w:tcPr>
            <w:tcW w:w="1360" w:type="dxa"/>
            <w:vAlign w:val="bottom"/>
          </w:tcPr>
          <w:p>
            <w:pPr>
              <w:spacing w:after="0"/>
              <w:rPr>
                <w:sz w:val="18"/>
                <w:szCs w:val="18"/>
                <w:color w:val="auto"/>
              </w:rPr>
            </w:pPr>
          </w:p>
        </w:tc>
      </w:tr>
      <w:tr>
        <w:trPr>
          <w:trHeight w:val="33"/>
        </w:trPr>
        <w:tc>
          <w:tcPr>
            <w:tcW w:w="3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gridSpan w:val="5"/>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gridSpan w:val="4"/>
          </w:tcPr>
          <w:p>
            <w:pPr>
              <w:spacing w:after="0"/>
              <w:rPr>
                <w:sz w:val="2"/>
                <w:szCs w:val="2"/>
                <w:color w:val="auto"/>
              </w:rPr>
            </w:pPr>
          </w:p>
        </w:tc>
      </w:tr>
      <w:tr>
        <w:trPr>
          <w:trHeight w:val="231"/>
        </w:trPr>
        <w:tc>
          <w:tcPr>
            <w:tcW w:w="3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580" w:type="dxa"/>
            <w:vAlign w:val="bottom"/>
            <w:gridSpan w:val="5"/>
          </w:tcPr>
          <w:p>
            <w:pPr>
              <w:ind w:left="840"/>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20"/>
                <w:szCs w:val="20"/>
                <w:color w:val="auto"/>
              </w:rPr>
            </w:pPr>
          </w:p>
        </w:tc>
        <w:tc>
          <w:tcPr>
            <w:tcW w:w="3480" w:type="dxa"/>
            <w:vAlign w:val="bottom"/>
            <w:gridSpan w:val="4"/>
          </w:tcPr>
          <w:p>
            <w:pPr>
              <w:jc w:val="right"/>
              <w:ind w:right="1071"/>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3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1"/>
        </w:trPr>
        <w:tc>
          <w:tcPr>
            <w:tcW w:w="3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30, 2019</w:t>
            </w:r>
          </w:p>
        </w:tc>
        <w:tc>
          <w:tcPr>
            <w:tcW w:w="360" w:type="dxa"/>
            <w:vAlign w:val="bottom"/>
          </w:tcPr>
          <w:p>
            <w:pPr>
              <w:spacing w:after="0"/>
              <w:rPr>
                <w:sz w:val="20"/>
                <w:szCs w:val="20"/>
                <w:color w:val="auto"/>
              </w:rPr>
            </w:pPr>
          </w:p>
        </w:tc>
        <w:tc>
          <w:tcPr>
            <w:tcW w:w="1580" w:type="dxa"/>
            <w:vAlign w:val="bottom"/>
            <w:gridSpan w:val="2"/>
          </w:tcPr>
          <w:p>
            <w:pPr>
              <w:ind w:left="140"/>
              <w:spacing w:after="0"/>
              <w:rPr>
                <w:sz w:val="20"/>
                <w:szCs w:val="20"/>
                <w:color w:val="auto"/>
              </w:rPr>
            </w:pPr>
            <w:r>
              <w:rPr>
                <w:rFonts w:ascii="Arial" w:cs="Arial" w:eastAsia="Arial" w:hAnsi="Arial"/>
                <w:sz w:val="16"/>
                <w:szCs w:val="16"/>
                <w:b w:val="1"/>
                <w:bCs w:val="1"/>
                <w:color w:val="auto"/>
              </w:rPr>
              <w:t>July 1, 2018</w:t>
            </w:r>
          </w:p>
        </w:tc>
        <w:tc>
          <w:tcPr>
            <w:tcW w:w="340" w:type="dxa"/>
            <w:vAlign w:val="bottom"/>
          </w:tcPr>
          <w:p>
            <w:pPr>
              <w:spacing w:after="0"/>
              <w:rPr>
                <w:sz w:val="20"/>
                <w:szCs w:val="20"/>
                <w:color w:val="auto"/>
              </w:rPr>
            </w:pPr>
          </w:p>
        </w:tc>
        <w:tc>
          <w:tcPr>
            <w:tcW w:w="162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30, 2019</w:t>
            </w:r>
          </w:p>
        </w:tc>
        <w:tc>
          <w:tcPr>
            <w:tcW w:w="500" w:type="dxa"/>
            <w:vAlign w:val="bottom"/>
          </w:tcPr>
          <w:p>
            <w:pPr>
              <w:spacing w:after="0"/>
              <w:rPr>
                <w:sz w:val="20"/>
                <w:szCs w:val="20"/>
                <w:color w:val="auto"/>
              </w:rPr>
            </w:pPr>
          </w:p>
        </w:tc>
        <w:tc>
          <w:tcPr>
            <w:tcW w:w="1360" w:type="dxa"/>
            <w:vAlign w:val="bottom"/>
          </w:tcPr>
          <w:p>
            <w:pPr>
              <w:jc w:val="right"/>
              <w:ind w:right="431"/>
              <w:spacing w:after="0"/>
              <w:rPr>
                <w:sz w:val="20"/>
                <w:szCs w:val="20"/>
                <w:color w:val="auto"/>
              </w:rPr>
            </w:pPr>
            <w:r>
              <w:rPr>
                <w:rFonts w:ascii="Arial" w:cs="Arial" w:eastAsia="Arial" w:hAnsi="Arial"/>
                <w:sz w:val="16"/>
                <w:szCs w:val="16"/>
                <w:b w:val="1"/>
                <w:bCs w:val="1"/>
                <w:color w:val="auto"/>
                <w:w w:val="91"/>
              </w:rPr>
              <w:t>July 1, 2018</w:t>
            </w:r>
          </w:p>
        </w:tc>
      </w:tr>
      <w:tr>
        <w:trPr>
          <w:trHeight w:val="33"/>
        </w:trPr>
        <w:tc>
          <w:tcPr>
            <w:tcW w:w="3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5,210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w:t>
            </w: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32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9,150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7,827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1,959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1,732</w:t>
            </w:r>
          </w:p>
        </w:tc>
      </w:tr>
      <w:tr>
        <w:trPr>
          <w:trHeight w:val="27"/>
        </w:trPr>
        <w:tc>
          <w:tcPr>
            <w:tcW w:w="3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(13,493)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Amortization of prior service (credit) cost</w:t>
            </w:r>
          </w:p>
        </w:tc>
        <w:tc>
          <w:tcPr>
            <w:tcW w:w="3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(1,808)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209</w:t>
            </w:r>
          </w:p>
        </w:tc>
      </w:tr>
      <w:tr>
        <w:trPr>
          <w:trHeight w:val="27"/>
        </w:trPr>
        <w:tc>
          <w:tcPr>
            <w:tcW w:w="3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net loss (gain)</w:t>
            </w:r>
          </w:p>
        </w:tc>
        <w:tc>
          <w:tcPr>
            <w:tcW w:w="3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8,421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6,884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3580" w:type="dxa"/>
            <w:vAlign w:val="bottom"/>
          </w:tcPr>
          <w:p>
            <w:pPr>
              <w:ind w:left="40"/>
              <w:spacing w:after="0"/>
              <w:rPr>
                <w:sz w:val="20"/>
                <w:szCs w:val="20"/>
                <w:color w:val="auto"/>
              </w:rPr>
            </w:pPr>
            <w:r>
              <w:rPr>
                <w:rFonts w:ascii="Arial" w:cs="Arial" w:eastAsia="Arial" w:hAnsi="Arial"/>
                <w:sz w:val="18"/>
                <w:szCs w:val="18"/>
                <w:color w:val="auto"/>
              </w:rPr>
              <w:t>Total net periodic benefit cost</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7,480</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3,484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2,103</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1,999</w:t>
            </w:r>
          </w:p>
        </w:tc>
      </w:tr>
      <w:tr>
        <w:trPr>
          <w:trHeight w:val="20"/>
        </w:trPr>
        <w:tc>
          <w:tcPr>
            <w:tcW w:w="3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520"/>
        <w:spacing w:after="0" w:line="286" w:lineRule="auto"/>
        <w:rPr>
          <w:sz w:val="20"/>
          <w:szCs w:val="20"/>
          <w:color w:val="auto"/>
        </w:rPr>
      </w:pPr>
      <w:r>
        <w:rPr>
          <w:rFonts w:ascii="Arial" w:cs="Arial" w:eastAsia="Arial" w:hAnsi="Arial"/>
          <w:sz w:val="17"/>
          <w:szCs w:val="17"/>
          <w:color w:val="auto"/>
        </w:rPr>
        <w:t>We made contributions of $272 and $3,986 to the pension plans and other benefits plans, respectively, during the second quarter of 2019. In the second quarter of 2018, we made contributions of $296 and $6,334 to our pension plans and other benefit plans, respectively. The contributions in 2019 and 2018 also included benefit payments from our non-qualified pension plans and post-retirement benefit plans.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benefit cost for the six months ended June 30, 2019 and July 1, 2018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580" w:type="dxa"/>
            <w:vAlign w:val="bottom"/>
            <w:gridSpan w:val="5"/>
          </w:tcPr>
          <w:p>
            <w:pPr>
              <w:ind w:left="1060"/>
              <w:spacing w:after="0"/>
              <w:rPr>
                <w:sz w:val="20"/>
                <w:szCs w:val="20"/>
                <w:color w:val="auto"/>
              </w:rPr>
            </w:pPr>
            <w:r>
              <w:rPr>
                <w:rFonts w:ascii="Arial" w:cs="Arial" w:eastAsia="Arial" w:hAnsi="Arial"/>
                <w:sz w:val="16"/>
                <w:szCs w:val="16"/>
                <w:b w:val="1"/>
                <w:bCs w:val="1"/>
                <w:color w:val="auto"/>
              </w:rPr>
              <w:t>Pension Benefits</w:t>
            </w:r>
          </w:p>
        </w:tc>
        <w:tc>
          <w:tcPr>
            <w:tcW w:w="340" w:type="dxa"/>
            <w:vAlign w:val="bottom"/>
          </w:tcPr>
          <w:p>
            <w:pPr>
              <w:spacing w:after="0"/>
              <w:rPr>
                <w:sz w:val="18"/>
                <w:szCs w:val="18"/>
                <w:color w:val="auto"/>
              </w:rPr>
            </w:pPr>
          </w:p>
        </w:tc>
        <w:tc>
          <w:tcPr>
            <w:tcW w:w="2120" w:type="dxa"/>
            <w:vAlign w:val="bottom"/>
            <w:gridSpan w:val="3"/>
          </w:tcPr>
          <w:p>
            <w:pPr>
              <w:jc w:val="right"/>
              <w:spacing w:after="0"/>
              <w:rPr>
                <w:sz w:val="20"/>
                <w:szCs w:val="20"/>
                <w:color w:val="auto"/>
              </w:rPr>
            </w:pPr>
            <w:r>
              <w:rPr>
                <w:rFonts w:ascii="Arial" w:cs="Arial" w:eastAsia="Arial" w:hAnsi="Arial"/>
                <w:sz w:val="16"/>
                <w:szCs w:val="16"/>
                <w:b w:val="1"/>
                <w:bCs w:val="1"/>
                <w:color w:val="auto"/>
              </w:rPr>
              <w:t>Other Benefits</w:t>
            </w:r>
          </w:p>
        </w:tc>
        <w:tc>
          <w:tcPr>
            <w:tcW w:w="1360" w:type="dxa"/>
            <w:vAlign w:val="bottom"/>
          </w:tcPr>
          <w:p>
            <w:pPr>
              <w:spacing w:after="0"/>
              <w:rPr>
                <w:sz w:val="18"/>
                <w:szCs w:val="18"/>
                <w:color w:val="auto"/>
              </w:rPr>
            </w:pPr>
          </w:p>
        </w:tc>
      </w:tr>
      <w:tr>
        <w:trPr>
          <w:trHeight w:val="33"/>
        </w:trPr>
        <w:tc>
          <w:tcPr>
            <w:tcW w:w="3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gridSpan w:val="5"/>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gridSpan w:val="4"/>
          </w:tcPr>
          <w:p>
            <w:pPr>
              <w:spacing w:after="0"/>
              <w:rPr>
                <w:sz w:val="2"/>
                <w:szCs w:val="2"/>
                <w:color w:val="auto"/>
              </w:rPr>
            </w:pPr>
          </w:p>
        </w:tc>
      </w:tr>
      <w:tr>
        <w:trPr>
          <w:trHeight w:val="231"/>
        </w:trPr>
        <w:tc>
          <w:tcPr>
            <w:tcW w:w="3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580" w:type="dxa"/>
            <w:vAlign w:val="bottom"/>
            <w:gridSpan w:val="5"/>
          </w:tcPr>
          <w:p>
            <w:pPr>
              <w:ind w:left="940"/>
              <w:spacing w:after="0"/>
              <w:rPr>
                <w:sz w:val="20"/>
                <w:szCs w:val="20"/>
                <w:color w:val="auto"/>
              </w:rPr>
            </w:pPr>
            <w:r>
              <w:rPr>
                <w:rFonts w:ascii="Arial" w:cs="Arial" w:eastAsia="Arial" w:hAnsi="Arial"/>
                <w:sz w:val="16"/>
                <w:szCs w:val="16"/>
                <w:b w:val="1"/>
                <w:bCs w:val="1"/>
                <w:color w:val="auto"/>
              </w:rPr>
              <w:t>Six Months Ended</w:t>
            </w:r>
          </w:p>
        </w:tc>
        <w:tc>
          <w:tcPr>
            <w:tcW w:w="340" w:type="dxa"/>
            <w:vAlign w:val="bottom"/>
          </w:tcPr>
          <w:p>
            <w:pPr>
              <w:spacing w:after="0"/>
              <w:rPr>
                <w:sz w:val="20"/>
                <w:szCs w:val="20"/>
                <w:color w:val="auto"/>
              </w:rPr>
            </w:pPr>
          </w:p>
        </w:tc>
        <w:tc>
          <w:tcPr>
            <w:tcW w:w="3480" w:type="dxa"/>
            <w:vAlign w:val="bottom"/>
            <w:gridSpan w:val="4"/>
          </w:tcPr>
          <w:p>
            <w:pPr>
              <w:jc w:val="right"/>
              <w:ind w:right="1171"/>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3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1"/>
        </w:trPr>
        <w:tc>
          <w:tcPr>
            <w:tcW w:w="3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30, 2019</w:t>
            </w:r>
          </w:p>
        </w:tc>
        <w:tc>
          <w:tcPr>
            <w:tcW w:w="360" w:type="dxa"/>
            <w:vAlign w:val="bottom"/>
          </w:tcPr>
          <w:p>
            <w:pPr>
              <w:spacing w:after="0"/>
              <w:rPr>
                <w:sz w:val="20"/>
                <w:szCs w:val="20"/>
                <w:color w:val="auto"/>
              </w:rPr>
            </w:pPr>
          </w:p>
        </w:tc>
        <w:tc>
          <w:tcPr>
            <w:tcW w:w="1580" w:type="dxa"/>
            <w:vAlign w:val="bottom"/>
            <w:gridSpan w:val="2"/>
          </w:tcPr>
          <w:p>
            <w:pPr>
              <w:ind w:left="140"/>
              <w:spacing w:after="0"/>
              <w:rPr>
                <w:sz w:val="20"/>
                <w:szCs w:val="20"/>
                <w:color w:val="auto"/>
              </w:rPr>
            </w:pPr>
            <w:r>
              <w:rPr>
                <w:rFonts w:ascii="Arial" w:cs="Arial" w:eastAsia="Arial" w:hAnsi="Arial"/>
                <w:sz w:val="16"/>
                <w:szCs w:val="16"/>
                <w:b w:val="1"/>
                <w:bCs w:val="1"/>
                <w:color w:val="auto"/>
              </w:rPr>
              <w:t>July 1, 2018</w:t>
            </w:r>
          </w:p>
        </w:tc>
        <w:tc>
          <w:tcPr>
            <w:tcW w:w="340" w:type="dxa"/>
            <w:vAlign w:val="bottom"/>
          </w:tcPr>
          <w:p>
            <w:pPr>
              <w:spacing w:after="0"/>
              <w:rPr>
                <w:sz w:val="20"/>
                <w:szCs w:val="20"/>
                <w:color w:val="auto"/>
              </w:rPr>
            </w:pPr>
          </w:p>
        </w:tc>
        <w:tc>
          <w:tcPr>
            <w:tcW w:w="162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30, 2019</w:t>
            </w:r>
          </w:p>
        </w:tc>
        <w:tc>
          <w:tcPr>
            <w:tcW w:w="500" w:type="dxa"/>
            <w:vAlign w:val="bottom"/>
          </w:tcPr>
          <w:p>
            <w:pPr>
              <w:spacing w:after="0"/>
              <w:rPr>
                <w:sz w:val="20"/>
                <w:szCs w:val="20"/>
                <w:color w:val="auto"/>
              </w:rPr>
            </w:pPr>
          </w:p>
        </w:tc>
        <w:tc>
          <w:tcPr>
            <w:tcW w:w="1360" w:type="dxa"/>
            <w:vAlign w:val="bottom"/>
          </w:tcPr>
          <w:p>
            <w:pPr>
              <w:jc w:val="right"/>
              <w:ind w:right="431"/>
              <w:spacing w:after="0"/>
              <w:rPr>
                <w:sz w:val="20"/>
                <w:szCs w:val="20"/>
                <w:color w:val="auto"/>
              </w:rPr>
            </w:pPr>
            <w:r>
              <w:rPr>
                <w:rFonts w:ascii="Arial" w:cs="Arial" w:eastAsia="Arial" w:hAnsi="Arial"/>
                <w:sz w:val="16"/>
                <w:szCs w:val="16"/>
                <w:b w:val="1"/>
                <w:bCs w:val="1"/>
                <w:color w:val="auto"/>
                <w:w w:val="91"/>
              </w:rPr>
              <w:t>July 1, 2018</w:t>
            </w:r>
          </w:p>
        </w:tc>
      </w:tr>
      <w:tr>
        <w:trPr>
          <w:trHeight w:val="33"/>
        </w:trPr>
        <w:tc>
          <w:tcPr>
            <w:tcW w:w="3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10,417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w:t>
            </w: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32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18,306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15,666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3,918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3,464</w:t>
            </w:r>
          </w:p>
        </w:tc>
      </w:tr>
      <w:tr>
        <w:trPr>
          <w:trHeight w:val="27"/>
        </w:trPr>
        <w:tc>
          <w:tcPr>
            <w:tcW w:w="3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(26,989)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Amortization of prior service (credit) cost</w:t>
            </w:r>
          </w:p>
        </w:tc>
        <w:tc>
          <w:tcPr>
            <w:tcW w:w="3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(3,617)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(3,598)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418</w:t>
            </w:r>
          </w:p>
        </w:tc>
      </w:tr>
      <w:tr>
        <w:trPr>
          <w:trHeight w:val="27"/>
        </w:trPr>
        <w:tc>
          <w:tcPr>
            <w:tcW w:w="3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net loss (gain)</w:t>
            </w:r>
          </w:p>
        </w:tc>
        <w:tc>
          <w:tcPr>
            <w:tcW w:w="3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16,841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13,371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3580" w:type="dxa"/>
            <w:vAlign w:val="bottom"/>
          </w:tcPr>
          <w:p>
            <w:pPr>
              <w:ind w:left="40"/>
              <w:spacing w:after="0"/>
              <w:rPr>
                <w:sz w:val="20"/>
                <w:szCs w:val="20"/>
                <w:color w:val="auto"/>
              </w:rPr>
            </w:pPr>
            <w:r>
              <w:rPr>
                <w:rFonts w:ascii="Arial" w:cs="Arial" w:eastAsia="Arial" w:hAnsi="Arial"/>
                <w:sz w:val="18"/>
                <w:szCs w:val="18"/>
                <w:color w:val="auto"/>
              </w:rPr>
              <w:t>Total net periodic benefit cost</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14,958</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6,580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4,207</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3,998</w:t>
            </w:r>
          </w:p>
        </w:tc>
      </w:tr>
      <w:tr>
        <w:trPr>
          <w:trHeight w:val="20"/>
        </w:trPr>
        <w:tc>
          <w:tcPr>
            <w:tcW w:w="3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We made contributions of $1,170 and $7,749 to the pension plans and other benefits plans, respectively, during the first six months of 2019. In the first six months of 2018, we made contributions of $1,301 and $12,778 to our pension plans and other benefit plans, respectively. The contributions in 2019 and 2018 also included benefit payments from our non-qualified pension plans and post-retirement benefit plans.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 COMPENSATION PLANS</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various stock-based compensation programs under which awards, including stock options, performance stock units (“PSUs”) and performance stock, stock appreciation rights, restricted stock units (“RSUs”) and restricted stock may be granted to employees, non-employee directors and certain service providers upon whom the successful conduct of our business is dependent. These programs and the accounting treatment related thereto are described in Note 10 to the Consolidated Financial Statements included in our 2018 Annual Report on Form 10-K.</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15" w:right="259" w:bottom="1440" w:gutter="0" w:footer="0" w:header="0"/>
        </w:sectPr>
      </w:pPr>
    </w:p>
    <w:bookmarkStart w:id="24" w:name="page25"/>
    <w:bookmarkEnd w:id="24"/>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UNAUDITED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9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For the periods presented, compensation expense for all types of stock-based compensation programs and the related income tax benefit recognized were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20" w:type="dxa"/>
            <w:vAlign w:val="bottom"/>
            <w:gridSpan w:val="5"/>
          </w:tcPr>
          <w:p>
            <w:pPr>
              <w:ind w:left="78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8"/>
                <w:szCs w:val="18"/>
                <w:color w:val="auto"/>
              </w:rPr>
            </w:pPr>
          </w:p>
        </w:tc>
        <w:tc>
          <w:tcPr>
            <w:tcW w:w="3120" w:type="dxa"/>
            <w:vAlign w:val="bottom"/>
            <w:gridSpan w:val="4"/>
          </w:tcPr>
          <w:p>
            <w:pPr>
              <w:jc w:val="right"/>
              <w:ind w:right="893"/>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45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1"/>
        </w:trPr>
        <w:tc>
          <w:tcPr>
            <w:tcW w:w="4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30, 2019</w:t>
            </w:r>
          </w:p>
        </w:tc>
        <w:tc>
          <w:tcPr>
            <w:tcW w:w="260" w:type="dxa"/>
            <w:vAlign w:val="bottom"/>
          </w:tcPr>
          <w:p>
            <w:pPr>
              <w:spacing w:after="0"/>
              <w:rPr>
                <w:sz w:val="20"/>
                <w:szCs w:val="20"/>
                <w:color w:val="auto"/>
              </w:rPr>
            </w:pPr>
          </w:p>
        </w:tc>
        <w:tc>
          <w:tcPr>
            <w:tcW w:w="1460" w:type="dxa"/>
            <w:vAlign w:val="bottom"/>
            <w:gridSpan w:val="2"/>
          </w:tcPr>
          <w:p>
            <w:pPr>
              <w:ind w:left="140"/>
              <w:spacing w:after="0"/>
              <w:rPr>
                <w:sz w:val="20"/>
                <w:szCs w:val="20"/>
                <w:color w:val="auto"/>
              </w:rPr>
            </w:pPr>
            <w:r>
              <w:rPr>
                <w:rFonts w:ascii="Arial" w:cs="Arial" w:eastAsia="Arial" w:hAnsi="Arial"/>
                <w:sz w:val="16"/>
                <w:szCs w:val="16"/>
                <w:b w:val="1"/>
                <w:bCs w:val="1"/>
                <w:color w:val="auto"/>
              </w:rPr>
              <w:t>July 1, 2018</w:t>
            </w:r>
          </w:p>
        </w:tc>
        <w:tc>
          <w:tcPr>
            <w:tcW w:w="240" w:type="dxa"/>
            <w:vAlign w:val="bottom"/>
          </w:tcPr>
          <w:p>
            <w:pPr>
              <w:spacing w:after="0"/>
              <w:rPr>
                <w:sz w:val="20"/>
                <w:szCs w:val="20"/>
                <w:color w:val="auto"/>
              </w:rPr>
            </w:pPr>
          </w:p>
        </w:tc>
        <w:tc>
          <w:tcPr>
            <w:tcW w:w="150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30, 2019</w:t>
            </w:r>
          </w:p>
        </w:tc>
        <w:tc>
          <w:tcPr>
            <w:tcW w:w="260" w:type="dxa"/>
            <w:vAlign w:val="bottom"/>
          </w:tcPr>
          <w:p>
            <w:pPr>
              <w:spacing w:after="0"/>
              <w:rPr>
                <w:sz w:val="20"/>
                <w:szCs w:val="20"/>
                <w:color w:val="auto"/>
              </w:rPr>
            </w:pPr>
          </w:p>
        </w:tc>
        <w:tc>
          <w:tcPr>
            <w:tcW w:w="1360" w:type="dxa"/>
            <w:vAlign w:val="bottom"/>
          </w:tcPr>
          <w:p>
            <w:pPr>
              <w:jc w:val="right"/>
              <w:ind w:right="313"/>
              <w:spacing w:after="0"/>
              <w:rPr>
                <w:sz w:val="20"/>
                <w:szCs w:val="20"/>
                <w:color w:val="auto"/>
              </w:rPr>
            </w:pPr>
            <w:r>
              <w:rPr>
                <w:rFonts w:ascii="Arial" w:cs="Arial" w:eastAsia="Arial" w:hAnsi="Arial"/>
                <w:sz w:val="16"/>
                <w:szCs w:val="16"/>
                <w:b w:val="1"/>
                <w:bCs w:val="1"/>
                <w:color w:val="auto"/>
              </w:rPr>
              <w:t>July 1, 2018</w:t>
            </w:r>
          </w:p>
        </w:tc>
      </w:tr>
      <w:tr>
        <w:trPr>
          <w:trHeight w:val="33"/>
        </w:trPr>
        <w:tc>
          <w:tcPr>
            <w:tcW w:w="4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Pre-tax compensation expense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13,156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23,712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23,546</w:t>
            </w: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Related income tax benefit</w:t>
            </w:r>
          </w:p>
        </w:tc>
        <w:tc>
          <w:tcPr>
            <w:tcW w:w="22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2,160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2,364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4,482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4,968</w:t>
            </w:r>
          </w:p>
        </w:tc>
      </w:tr>
    </w:tbl>
    <w:p>
      <w:pPr>
        <w:spacing w:after="0" w:line="39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Compensation costs for stock compensation plans are primarily included in selling, marketing and administrative expense. As of June 30, 2019, total stock-based compensation cost related to non-vested awards not yet recognized was $76,244 and the weighted-average period over which this amount is expected to be recognized was approximately 2.2 years.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activity relating to grants of stock options for the period ended June 30, 2019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8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Weighted-Average</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Weighted-Average</w:t>
            </w: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8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Exercise Price (per</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200" w:type="dxa"/>
            <w:vAlign w:val="bottom"/>
          </w:tcPr>
          <w:p>
            <w:pPr>
              <w:spacing w:after="0"/>
              <w:rPr>
                <w:sz w:val="18"/>
                <w:szCs w:val="18"/>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b w:val="1"/>
                <w:bCs w:val="1"/>
                <w:color w:val="auto"/>
                <w:w w:val="91"/>
              </w:rPr>
              <w:t>Aggregate Intrinsic</w:t>
            </w:r>
          </w:p>
        </w:tc>
      </w:tr>
      <w:tr>
        <w:trPr>
          <w:trHeight w:val="234"/>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Stock Options</w:t>
            </w:r>
          </w:p>
        </w:tc>
        <w:tc>
          <w:tcPr>
            <w:tcW w:w="1560" w:type="dxa"/>
            <w:vAlign w:val="bottom"/>
          </w:tcPr>
          <w:p>
            <w:pPr>
              <w:jc w:val="right"/>
              <w:ind w:right="430"/>
              <w:spacing w:after="0"/>
              <w:rPr>
                <w:sz w:val="20"/>
                <w:szCs w:val="20"/>
                <w:color w:val="auto"/>
              </w:rPr>
            </w:pPr>
            <w:r>
              <w:rPr>
                <w:rFonts w:ascii="Arial" w:cs="Arial" w:eastAsia="Arial" w:hAnsi="Arial"/>
                <w:sz w:val="18"/>
                <w:szCs w:val="18"/>
                <w:b w:val="1"/>
                <w:bCs w:val="1"/>
                <w:color w:val="auto"/>
              </w:rPr>
              <w:t>Shares</w:t>
            </w:r>
          </w:p>
        </w:tc>
        <w:tc>
          <w:tcPr>
            <w:tcW w:w="1680" w:type="dxa"/>
            <w:vAlign w:val="bottom"/>
          </w:tcPr>
          <w:p>
            <w:pPr>
              <w:jc w:val="center"/>
              <w:ind w:right="10"/>
              <w:spacing w:after="0"/>
              <w:rPr>
                <w:sz w:val="20"/>
                <w:szCs w:val="20"/>
                <w:color w:val="auto"/>
              </w:rPr>
            </w:pPr>
            <w:r>
              <w:rPr>
                <w:rFonts w:ascii="Arial" w:cs="Arial" w:eastAsia="Arial" w:hAnsi="Arial"/>
                <w:sz w:val="18"/>
                <w:szCs w:val="18"/>
                <w:b w:val="1"/>
                <w:bCs w:val="1"/>
                <w:color w:val="auto"/>
                <w:w w:val="85"/>
              </w:rPr>
              <w:t>share)</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2"/>
              </w:rPr>
              <w:t>Contractual Term</w:t>
            </w:r>
          </w:p>
        </w:tc>
        <w:tc>
          <w:tcPr>
            <w:tcW w:w="200" w:type="dxa"/>
            <w:vAlign w:val="bottom"/>
          </w:tcPr>
          <w:p>
            <w:pPr>
              <w:spacing w:after="0"/>
              <w:rPr>
                <w:sz w:val="20"/>
                <w:szCs w:val="20"/>
                <w:color w:val="auto"/>
              </w:rPr>
            </w:pPr>
          </w:p>
        </w:tc>
        <w:tc>
          <w:tcPr>
            <w:tcW w:w="1640" w:type="dxa"/>
            <w:vAlign w:val="bottom"/>
          </w:tcPr>
          <w:p>
            <w:pPr>
              <w:jc w:val="right"/>
              <w:ind w:right="570"/>
              <w:spacing w:after="0"/>
              <w:rPr>
                <w:sz w:val="20"/>
                <w:szCs w:val="20"/>
                <w:color w:val="auto"/>
              </w:rPr>
            </w:pPr>
            <w:r>
              <w:rPr>
                <w:rFonts w:ascii="Arial" w:cs="Arial" w:eastAsia="Arial" w:hAnsi="Arial"/>
                <w:sz w:val="18"/>
                <w:szCs w:val="18"/>
                <w:b w:val="1"/>
                <w:bCs w:val="1"/>
                <w:color w:val="auto"/>
              </w:rPr>
              <w:t>Value</w:t>
            </w:r>
          </w:p>
        </w:tc>
      </w:tr>
      <w:tr>
        <w:trPr>
          <w:trHeight w:val="27"/>
        </w:trPr>
        <w:tc>
          <w:tcPr>
            <w:tcW w:w="47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beginning of year</w:t>
            </w: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5,394,382</w:t>
            </w: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$94.28</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5.6 years</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1,640</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$109.74</w:t>
            </w:r>
          </w:p>
        </w:tc>
        <w:tc>
          <w:tcPr>
            <w:tcW w:w="1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(2,001,947)</w:t>
            </w: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$88.01</w:t>
            </w:r>
          </w:p>
        </w:tc>
        <w:tc>
          <w:tcPr>
            <w:tcW w:w="16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(63,264)</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$101.62</w:t>
            </w:r>
          </w:p>
        </w:tc>
        <w:tc>
          <w:tcPr>
            <w:tcW w:w="1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June 30, 2019</w:t>
            </w:r>
          </w:p>
        </w:tc>
        <w:tc>
          <w:tcPr>
            <w:tcW w:w="15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3,330,811</w:t>
            </w: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$97.91</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5.7 years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120,304</w:t>
            </w:r>
          </w:p>
        </w:tc>
      </w:tr>
      <w:tr>
        <w:trPr>
          <w:trHeight w:val="20"/>
        </w:trPr>
        <w:tc>
          <w:tcPr>
            <w:tcW w:w="47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51"/>
        </w:trPr>
        <w:tc>
          <w:tcPr>
            <w:tcW w:w="4700" w:type="dxa"/>
            <w:vAlign w:val="bottom"/>
          </w:tcPr>
          <w:p>
            <w:pPr>
              <w:ind w:left="40"/>
              <w:spacing w:after="0"/>
              <w:rPr>
                <w:sz w:val="20"/>
                <w:szCs w:val="20"/>
                <w:color w:val="auto"/>
              </w:rPr>
            </w:pPr>
            <w:r>
              <w:rPr>
                <w:rFonts w:ascii="Arial" w:cs="Arial" w:eastAsia="Arial" w:hAnsi="Arial"/>
                <w:sz w:val="18"/>
                <w:szCs w:val="18"/>
                <w:color w:val="auto"/>
              </w:rPr>
              <w:t>Options exercisable as of June 30, 2019</w:t>
            </w:r>
          </w:p>
        </w:tc>
        <w:tc>
          <w:tcPr>
            <w:tcW w:w="15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2,244,965</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$96.41</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4.6 years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84,449</w:t>
            </w:r>
          </w:p>
        </w:tc>
      </w:tr>
      <w:tr>
        <w:trPr>
          <w:trHeight w:val="20"/>
        </w:trPr>
        <w:tc>
          <w:tcPr>
            <w:tcW w:w="47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350"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weighted-average fair value of options granted was $15.25 and $15.57 per share for the periods ended June 30, 2019 and July 1, 2018, respectively. The fair value was estimated on the date of grant using a Black-Scholes option-pricing model and the following weighted-average assumptions: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80" w:type="dxa"/>
            <w:vAlign w:val="bottom"/>
          </w:tcPr>
          <w:p>
            <w:pPr>
              <w:spacing w:after="0"/>
              <w:rPr>
                <w:sz w:val="18"/>
                <w:szCs w:val="18"/>
                <w:color w:val="auto"/>
              </w:rPr>
            </w:pPr>
          </w:p>
        </w:tc>
        <w:tc>
          <w:tcPr>
            <w:tcW w:w="3440" w:type="dxa"/>
            <w:vAlign w:val="bottom"/>
            <w:gridSpan w:val="3"/>
          </w:tcPr>
          <w:p>
            <w:pPr>
              <w:jc w:val="right"/>
              <w:ind w:right="992"/>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7980" w:type="dxa"/>
            <w:vAlign w:val="bottom"/>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1"/>
        </w:trPr>
        <w:tc>
          <w:tcPr>
            <w:tcW w:w="7980" w:type="dxa"/>
            <w:vAlign w:val="bottom"/>
          </w:tcPr>
          <w:p>
            <w:pPr>
              <w:spacing w:after="0"/>
              <w:rPr>
                <w:sz w:val="20"/>
                <w:szCs w:val="20"/>
                <w:color w:val="auto"/>
              </w:rPr>
            </w:pPr>
          </w:p>
        </w:tc>
        <w:tc>
          <w:tcPr>
            <w:tcW w:w="1780" w:type="dxa"/>
            <w:vAlign w:val="bottom"/>
            <w:gridSpan w:val="2"/>
          </w:tcPr>
          <w:p>
            <w:pPr>
              <w:ind w:left="360"/>
              <w:spacing w:after="0"/>
              <w:rPr>
                <w:sz w:val="20"/>
                <w:szCs w:val="20"/>
                <w:color w:val="auto"/>
              </w:rPr>
            </w:pPr>
            <w:r>
              <w:rPr>
                <w:rFonts w:ascii="Arial" w:cs="Arial" w:eastAsia="Arial" w:hAnsi="Arial"/>
                <w:sz w:val="16"/>
                <w:szCs w:val="16"/>
                <w:b w:val="1"/>
                <w:bCs w:val="1"/>
                <w:color w:val="auto"/>
              </w:rPr>
              <w:t>June 30, 2019</w:t>
            </w:r>
          </w:p>
        </w:tc>
        <w:tc>
          <w:tcPr>
            <w:tcW w:w="1660" w:type="dxa"/>
            <w:vAlign w:val="bottom"/>
          </w:tcPr>
          <w:p>
            <w:pPr>
              <w:jc w:val="right"/>
              <w:ind w:right="332"/>
              <w:spacing w:after="0"/>
              <w:rPr>
                <w:sz w:val="20"/>
                <w:szCs w:val="20"/>
                <w:color w:val="auto"/>
              </w:rPr>
            </w:pPr>
            <w:r>
              <w:rPr>
                <w:rFonts w:ascii="Arial" w:cs="Arial" w:eastAsia="Arial" w:hAnsi="Arial"/>
                <w:sz w:val="16"/>
                <w:szCs w:val="16"/>
                <w:b w:val="1"/>
                <w:bCs w:val="1"/>
                <w:color w:val="auto"/>
              </w:rPr>
              <w:t>July 1, 2018</w:t>
            </w:r>
          </w:p>
        </w:tc>
      </w:tr>
      <w:tr>
        <w:trPr>
          <w:trHeight w:val="33"/>
        </w:trPr>
        <w:tc>
          <w:tcPr>
            <w:tcW w:w="798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yields</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168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7"/>
        </w:trPr>
        <w:tc>
          <w:tcPr>
            <w:tcW w:w="79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rates</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Expected term in years</w:t>
            </w:r>
          </w:p>
        </w:tc>
        <w:tc>
          <w:tcPr>
            <w:tcW w:w="1680" w:type="dxa"/>
            <w:vAlign w:val="bottom"/>
          </w:tcPr>
          <w:p>
            <w:pPr>
              <w:jc w:val="right"/>
              <w:ind w:right="113"/>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660" w:type="dxa"/>
            <w:vAlign w:val="bottom"/>
          </w:tcPr>
          <w:p>
            <w:pPr>
              <w:jc w:val="right"/>
              <w:ind w:right="92"/>
              <w:spacing w:after="0"/>
              <w:rPr>
                <w:sz w:val="20"/>
                <w:szCs w:val="20"/>
                <w:color w:val="auto"/>
              </w:rPr>
            </w:pPr>
            <w:r>
              <w:rPr>
                <w:rFonts w:ascii="Arial" w:cs="Arial" w:eastAsia="Arial" w:hAnsi="Arial"/>
                <w:sz w:val="18"/>
                <w:szCs w:val="18"/>
                <w:color w:val="auto"/>
              </w:rPr>
              <w:t>6.6</w:t>
            </w: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The total intrinsic value of options exercised was $67,117 and $12,386 for the periods ended June 30, 2019 and July 1, 2018, respectively.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15" w:right="239" w:bottom="1440" w:gutter="0" w:footer="0" w:header="0"/>
        </w:sectPr>
      </w:pPr>
    </w:p>
    <w:bookmarkStart w:id="25" w:name="page26"/>
    <w:bookmarkEnd w:id="25"/>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UNAUDITED CONSOLIDATED FINANCIAL STATEMENTS—(Continued)</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Stock Units and Restricted Stock Units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activity relating to grants of PSUs and RSUs for the period ended June 30, 2019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Performance Stock Units and Restricted Stock Units</w:t>
            </w:r>
          </w:p>
        </w:tc>
        <w:tc>
          <w:tcPr>
            <w:tcW w:w="100" w:type="dxa"/>
            <w:vAlign w:val="bottom"/>
            <w:vMerge w:val="restart"/>
          </w:tcPr>
          <w:p>
            <w:pPr>
              <w:spacing w:after="0"/>
              <w:rPr>
                <w:sz w:val="14"/>
                <w:szCs w:val="14"/>
                <w:color w:val="auto"/>
              </w:rPr>
            </w:pPr>
          </w:p>
        </w:tc>
        <w:tc>
          <w:tcPr>
            <w:tcW w:w="178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Number of units</w:t>
            </w:r>
          </w:p>
        </w:tc>
        <w:tc>
          <w:tcPr>
            <w:tcW w:w="100" w:type="dxa"/>
            <w:vAlign w:val="bottom"/>
          </w:tcPr>
          <w:p>
            <w:pPr>
              <w:spacing w:after="0"/>
              <w:rPr>
                <w:sz w:val="14"/>
                <w:szCs w:val="14"/>
                <w:color w:val="auto"/>
              </w:rPr>
            </w:pPr>
          </w:p>
        </w:tc>
        <w:tc>
          <w:tcPr>
            <w:tcW w:w="3600" w:type="dxa"/>
            <w:vAlign w:val="bottom"/>
          </w:tcPr>
          <w:p>
            <w:pPr>
              <w:jc w:val="right"/>
              <w:ind w:right="488"/>
              <w:spacing w:after="0"/>
              <w:rPr>
                <w:sz w:val="20"/>
                <w:szCs w:val="20"/>
                <w:color w:val="auto"/>
              </w:rPr>
            </w:pPr>
            <w:r>
              <w:rPr>
                <w:rFonts w:ascii="Arial" w:cs="Arial" w:eastAsia="Arial" w:hAnsi="Arial"/>
                <w:sz w:val="14"/>
                <w:szCs w:val="14"/>
                <w:b w:val="1"/>
                <w:bCs w:val="1"/>
                <w:color w:val="auto"/>
              </w:rPr>
              <w:t>Weighted-average grant date fair value</w:t>
            </w:r>
          </w:p>
        </w:tc>
        <w:tc>
          <w:tcPr>
            <w:tcW w:w="0" w:type="dxa"/>
            <w:vAlign w:val="bottom"/>
          </w:tcPr>
          <w:p>
            <w:pPr>
              <w:spacing w:after="0"/>
              <w:rPr>
                <w:sz w:val="1"/>
                <w:szCs w:val="1"/>
                <w:color w:val="auto"/>
              </w:rPr>
            </w:pPr>
          </w:p>
        </w:tc>
      </w:tr>
      <w:tr>
        <w:trPr>
          <w:trHeight w:val="192"/>
        </w:trPr>
        <w:tc>
          <w:tcPr>
            <w:tcW w:w="5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b w:val="1"/>
                <w:bCs w:val="1"/>
                <w:color w:val="auto"/>
              </w:rPr>
              <w:t>for equity awards (per unit)</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beginning of year</w:t>
            </w:r>
          </w:p>
        </w:tc>
        <w:tc>
          <w:tcPr>
            <w:tcW w:w="17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999,018</w:t>
            </w:r>
          </w:p>
        </w:tc>
        <w:tc>
          <w:tcPr>
            <w:tcW w:w="3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$101.57</w:t>
            </w:r>
          </w:p>
        </w:tc>
        <w:tc>
          <w:tcPr>
            <w:tcW w:w="0" w:type="dxa"/>
            <w:vAlign w:val="bottom"/>
          </w:tcPr>
          <w:p>
            <w:pPr>
              <w:spacing w:after="0"/>
              <w:rPr>
                <w:sz w:val="1"/>
                <w:szCs w:val="1"/>
                <w:color w:val="auto"/>
              </w:rPr>
            </w:pPr>
          </w:p>
        </w:tc>
      </w:tr>
      <w:tr>
        <w:trPr>
          <w:trHeight w:val="243"/>
        </w:trPr>
        <w:tc>
          <w:tcPr>
            <w:tcW w:w="58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780" w:type="dxa"/>
            <w:vAlign w:val="bottom"/>
          </w:tcPr>
          <w:p>
            <w:pPr>
              <w:jc w:val="right"/>
              <w:ind w:right="113"/>
              <w:spacing w:after="0"/>
              <w:rPr>
                <w:sz w:val="20"/>
                <w:szCs w:val="20"/>
                <w:color w:val="auto"/>
              </w:rPr>
            </w:pPr>
            <w:r>
              <w:rPr>
                <w:rFonts w:ascii="Arial" w:cs="Arial" w:eastAsia="Arial" w:hAnsi="Arial"/>
                <w:sz w:val="18"/>
                <w:szCs w:val="18"/>
                <w:color w:val="auto"/>
              </w:rPr>
              <w:t>442,672</w:t>
            </w:r>
          </w:p>
        </w:tc>
        <w:tc>
          <w:tcPr>
            <w:tcW w:w="3700" w:type="dxa"/>
            <w:vAlign w:val="bottom"/>
            <w:gridSpan w:val="2"/>
          </w:tcPr>
          <w:p>
            <w:pPr>
              <w:jc w:val="right"/>
              <w:spacing w:after="0"/>
              <w:rPr>
                <w:sz w:val="20"/>
                <w:szCs w:val="20"/>
                <w:color w:val="auto"/>
              </w:rPr>
            </w:pPr>
            <w:r>
              <w:rPr>
                <w:rFonts w:ascii="Arial" w:cs="Arial" w:eastAsia="Arial" w:hAnsi="Arial"/>
                <w:sz w:val="18"/>
                <w:szCs w:val="18"/>
                <w:color w:val="auto"/>
              </w:rPr>
              <w:t>$113.71</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Performance assumption change (1)</w:t>
            </w:r>
          </w:p>
        </w:tc>
        <w:tc>
          <w:tcPr>
            <w:tcW w:w="17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53,544</w:t>
            </w:r>
          </w:p>
        </w:tc>
        <w:tc>
          <w:tcPr>
            <w:tcW w:w="3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$138.83</w:t>
            </w:r>
          </w:p>
        </w:tc>
        <w:tc>
          <w:tcPr>
            <w:tcW w:w="0" w:type="dxa"/>
            <w:vAlign w:val="bottom"/>
          </w:tcPr>
          <w:p>
            <w:pPr>
              <w:spacing w:after="0"/>
              <w:rPr>
                <w:sz w:val="1"/>
                <w:szCs w:val="1"/>
                <w:color w:val="auto"/>
              </w:rPr>
            </w:pPr>
          </w:p>
        </w:tc>
      </w:tr>
      <w:tr>
        <w:trPr>
          <w:trHeight w:val="243"/>
        </w:trPr>
        <w:tc>
          <w:tcPr>
            <w:tcW w:w="5840" w:type="dxa"/>
            <w:vAlign w:val="bottom"/>
            <w:gridSpan w:val="2"/>
          </w:tcPr>
          <w:p>
            <w:pPr>
              <w:spacing w:after="0"/>
              <w:rPr>
                <w:sz w:val="20"/>
                <w:szCs w:val="20"/>
                <w:color w:val="auto"/>
              </w:rPr>
            </w:pPr>
            <w:r>
              <w:rPr>
                <w:rFonts w:ascii="Arial" w:cs="Arial" w:eastAsia="Arial" w:hAnsi="Arial"/>
                <w:sz w:val="18"/>
                <w:szCs w:val="18"/>
                <w:color w:val="auto"/>
              </w:rPr>
              <w:t>Vested</w:t>
            </w:r>
          </w:p>
        </w:tc>
        <w:tc>
          <w:tcPr>
            <w:tcW w:w="1780" w:type="dxa"/>
            <w:vAlign w:val="bottom"/>
          </w:tcPr>
          <w:p>
            <w:pPr>
              <w:jc w:val="right"/>
              <w:ind w:right="53"/>
              <w:spacing w:after="0"/>
              <w:rPr>
                <w:sz w:val="20"/>
                <w:szCs w:val="20"/>
                <w:color w:val="auto"/>
              </w:rPr>
            </w:pPr>
            <w:r>
              <w:rPr>
                <w:rFonts w:ascii="Arial" w:cs="Arial" w:eastAsia="Arial" w:hAnsi="Arial"/>
                <w:sz w:val="18"/>
                <w:szCs w:val="18"/>
                <w:color w:val="auto"/>
              </w:rPr>
              <w:t>(372,037)</w:t>
            </w:r>
          </w:p>
        </w:tc>
        <w:tc>
          <w:tcPr>
            <w:tcW w:w="3700" w:type="dxa"/>
            <w:vAlign w:val="bottom"/>
            <w:gridSpan w:val="2"/>
          </w:tcPr>
          <w:p>
            <w:pPr>
              <w:jc w:val="right"/>
              <w:spacing w:after="0"/>
              <w:rPr>
                <w:sz w:val="20"/>
                <w:szCs w:val="20"/>
                <w:color w:val="auto"/>
              </w:rPr>
            </w:pPr>
            <w:r>
              <w:rPr>
                <w:rFonts w:ascii="Arial" w:cs="Arial" w:eastAsia="Arial" w:hAnsi="Arial"/>
                <w:sz w:val="18"/>
                <w:szCs w:val="18"/>
                <w:color w:val="auto"/>
              </w:rPr>
              <w:t>$99.00</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7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(55,481)</w:t>
            </w:r>
          </w:p>
        </w:tc>
        <w:tc>
          <w:tcPr>
            <w:tcW w:w="3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$108.73</w:t>
            </w:r>
          </w:p>
        </w:tc>
        <w:tc>
          <w:tcPr>
            <w:tcW w:w="0" w:type="dxa"/>
            <w:vAlign w:val="bottom"/>
          </w:tcPr>
          <w:p>
            <w:pPr>
              <w:spacing w:after="0"/>
              <w:rPr>
                <w:sz w:val="1"/>
                <w:szCs w:val="1"/>
                <w:color w:val="auto"/>
              </w:rPr>
            </w:pPr>
          </w:p>
        </w:tc>
      </w:tr>
      <w:tr>
        <w:trPr>
          <w:trHeight w:val="257"/>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Outstanding as of June 30, 2019</w:t>
            </w:r>
          </w:p>
        </w:tc>
        <w:tc>
          <w:tcPr>
            <w:tcW w:w="178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color w:val="auto"/>
              </w:rPr>
              <w:t>1,067,716</w:t>
            </w:r>
          </w:p>
        </w:tc>
        <w:tc>
          <w:tcPr>
            <w:tcW w:w="3700" w:type="dxa"/>
            <w:vAlign w:val="bottom"/>
            <w:gridSpan w:val="2"/>
          </w:tcPr>
          <w:p>
            <w:pPr>
              <w:jc w:val="right"/>
              <w:spacing w:after="0"/>
              <w:rPr>
                <w:sz w:val="20"/>
                <w:szCs w:val="20"/>
                <w:color w:val="auto"/>
              </w:rPr>
            </w:pPr>
            <w:r>
              <w:rPr>
                <w:rFonts w:ascii="Arial" w:cs="Arial" w:eastAsia="Arial" w:hAnsi="Arial"/>
                <w:sz w:val="18"/>
                <w:szCs w:val="18"/>
                <w:color w:val="auto"/>
              </w:rPr>
              <w:t>$109.19</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(1)  Reflects the net number of PSUs above and below target levels based on the performance metrics.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sets forth information about the fair value of the PSUs and RSUs granted for potential future distribution to employees and non-employee directors. In addition, the table provides assumptions used to determine the fair value of the market-based total shareholder return component using the Monte Carlo simulation model on the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73025</wp:posOffset>
            </wp:positionV>
            <wp:extent cx="216090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60" w:type="dxa"/>
            <w:vAlign w:val="bottom"/>
            <w:gridSpan w:val="4"/>
          </w:tcPr>
          <w:p>
            <w:pPr>
              <w:jc w:val="right"/>
              <w:ind w:right="971"/>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30, 2019</w:t>
            </w:r>
          </w:p>
        </w:tc>
        <w:tc>
          <w:tcPr>
            <w:tcW w:w="260" w:type="dxa"/>
            <w:vAlign w:val="bottom"/>
          </w:tcPr>
          <w:p>
            <w:pPr>
              <w:spacing w:after="0"/>
              <w:rPr>
                <w:sz w:val="20"/>
                <w:szCs w:val="20"/>
                <w:color w:val="auto"/>
              </w:rPr>
            </w:pPr>
          </w:p>
        </w:tc>
        <w:tc>
          <w:tcPr>
            <w:tcW w:w="1380" w:type="dxa"/>
            <w:vAlign w:val="bottom"/>
          </w:tcPr>
          <w:p>
            <w:pPr>
              <w:jc w:val="right"/>
              <w:ind w:right="331"/>
              <w:spacing w:after="0"/>
              <w:rPr>
                <w:sz w:val="20"/>
                <w:szCs w:val="20"/>
                <w:color w:val="auto"/>
              </w:rPr>
            </w:pPr>
            <w:r>
              <w:rPr>
                <w:rFonts w:ascii="Arial" w:cs="Arial" w:eastAsia="Arial" w:hAnsi="Arial"/>
                <w:sz w:val="16"/>
                <w:szCs w:val="16"/>
                <w:b w:val="1"/>
                <w:bCs w:val="1"/>
                <w:color w:val="auto"/>
              </w:rPr>
              <w:t>July 1, 2018</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Units granted</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442,672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361,068</w:t>
            </w:r>
          </w:p>
        </w:tc>
        <w:tc>
          <w:tcPr>
            <w:tcW w:w="0" w:type="dxa"/>
            <w:vAlign w:val="bottom"/>
          </w:tcPr>
          <w:p>
            <w:pPr>
              <w:spacing w:after="0"/>
              <w:rPr>
                <w:sz w:val="1"/>
                <w:szCs w:val="1"/>
                <w:color w:val="auto"/>
              </w:rPr>
            </w:pPr>
          </w:p>
        </w:tc>
      </w:tr>
      <w:tr>
        <w:trPr>
          <w:trHeight w:val="243"/>
        </w:trPr>
        <w:tc>
          <w:tcPr>
            <w:tcW w:w="7900" w:type="dxa"/>
            <w:vAlign w:val="bottom"/>
          </w:tcPr>
          <w:p>
            <w:pPr>
              <w:spacing w:after="0"/>
              <w:rPr>
                <w:sz w:val="20"/>
                <w:szCs w:val="20"/>
                <w:color w:val="auto"/>
              </w:rPr>
            </w:pPr>
            <w:r>
              <w:rPr>
                <w:rFonts w:ascii="Arial" w:cs="Arial" w:eastAsia="Arial" w:hAnsi="Arial"/>
                <w:sz w:val="18"/>
                <w:szCs w:val="18"/>
                <w:color w:val="auto"/>
              </w:rPr>
              <w:t>Weighted-average fair value at date of grant</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vMerge w:val="restart"/>
          </w:tcPr>
          <w:p>
            <w:pPr>
              <w:jc w:val="right"/>
              <w:ind w:right="93"/>
              <w:spacing w:after="0"/>
              <w:rPr>
                <w:sz w:val="20"/>
                <w:szCs w:val="20"/>
                <w:color w:val="auto"/>
              </w:rPr>
            </w:pPr>
            <w:r>
              <w:rPr>
                <w:rFonts w:ascii="Arial" w:cs="Arial" w:eastAsia="Arial" w:hAnsi="Arial"/>
                <w:sz w:val="18"/>
                <w:szCs w:val="18"/>
                <w:color w:val="auto"/>
              </w:rPr>
              <w:t>113.71</w:t>
            </w:r>
          </w:p>
        </w:tc>
        <w:tc>
          <w:tcPr>
            <w:tcW w:w="120" w:type="dxa"/>
            <w:vAlign w:val="bottom"/>
          </w:tcPr>
          <w:p>
            <w:pPr>
              <w:spacing w:after="0"/>
              <w:rPr>
                <w:sz w:val="21"/>
                <w:szCs w:val="21"/>
                <w:color w:val="auto"/>
              </w:rPr>
            </w:pP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vMerge w:val="restart"/>
          </w:tcPr>
          <w:p>
            <w:pPr>
              <w:jc w:val="right"/>
              <w:ind w:right="111"/>
              <w:spacing w:after="0"/>
              <w:rPr>
                <w:sz w:val="20"/>
                <w:szCs w:val="20"/>
                <w:color w:val="auto"/>
              </w:rPr>
            </w:pPr>
            <w:r>
              <w:rPr>
                <w:rFonts w:ascii="Arial" w:cs="Arial" w:eastAsia="Arial" w:hAnsi="Arial"/>
                <w:sz w:val="18"/>
                <w:szCs w:val="18"/>
                <w:color w:val="auto"/>
              </w:rPr>
              <w:t>97.92</w:t>
            </w:r>
          </w:p>
        </w:tc>
        <w:tc>
          <w:tcPr>
            <w:tcW w:w="0" w:type="dxa"/>
            <w:vAlign w:val="bottom"/>
          </w:tcPr>
          <w:p>
            <w:pPr>
              <w:spacing w:after="0"/>
              <w:rPr>
                <w:sz w:val="1"/>
                <w:szCs w:val="1"/>
                <w:color w:val="auto"/>
              </w:rPr>
            </w:pPr>
          </w:p>
        </w:tc>
      </w:tr>
      <w:tr>
        <w:trPr>
          <w:trHeight w:val="81"/>
        </w:trPr>
        <w:tc>
          <w:tcPr>
            <w:tcW w:w="790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4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Monte Carlo simulation assumptions:</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360"/>
              <w:spacing w:after="0"/>
              <w:rPr>
                <w:sz w:val="20"/>
                <w:szCs w:val="20"/>
                <w:color w:val="auto"/>
              </w:rPr>
            </w:pPr>
            <w:r>
              <w:rPr>
                <w:rFonts w:ascii="Arial" w:cs="Arial" w:eastAsia="Arial" w:hAnsi="Arial"/>
                <w:sz w:val="18"/>
                <w:szCs w:val="18"/>
                <w:color w:val="auto"/>
              </w:rPr>
              <w:t>Estimated values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48.40</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29.17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Dividend yields</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7900" w:type="dxa"/>
            <w:vAlign w:val="bottom"/>
          </w:tcPr>
          <w:p>
            <w:pPr>
              <w:ind w:left="360"/>
              <w:spacing w:after="0"/>
              <w:rPr>
                <w:sz w:val="20"/>
                <w:szCs w:val="20"/>
                <w:color w:val="auto"/>
              </w:rPr>
            </w:pPr>
            <w:r>
              <w:rPr>
                <w:rFonts w:ascii="Arial" w:cs="Arial" w:eastAsia="Arial" w:hAnsi="Arial"/>
                <w:sz w:val="18"/>
                <w:szCs w:val="18"/>
                <w:color w:val="auto"/>
              </w:rPr>
              <w:t>Expected volatility</w:t>
            </w: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shares vested totaled $40,163 and $19,740 for the periods ended June 30, 2019 and July 1, 2018, respectively.</w:t>
      </w:r>
    </w:p>
    <w:p>
      <w:pPr>
        <w:spacing w:after="0" w:line="171" w:lineRule="exact"/>
        <w:rPr>
          <w:sz w:val="20"/>
          <w:szCs w:val="20"/>
          <w:color w:val="auto"/>
        </w:rPr>
      </w:pPr>
    </w:p>
    <w:p>
      <w:pPr>
        <w:jc w:val="both"/>
        <w:ind w:right="160"/>
        <w:spacing w:after="0" w:line="277" w:lineRule="auto"/>
        <w:rPr>
          <w:sz w:val="20"/>
          <w:szCs w:val="20"/>
          <w:color w:val="auto"/>
        </w:rPr>
      </w:pPr>
      <w:r>
        <w:rPr>
          <w:rFonts w:ascii="Arial" w:cs="Arial" w:eastAsia="Arial" w:hAnsi="Arial"/>
          <w:sz w:val="18"/>
          <w:szCs w:val="18"/>
          <w:color w:val="auto"/>
        </w:rPr>
        <w:t>Deferred PSUs, deferred RSUs and deferred stock units representing directors’ fees totaled 338,651 units as of June 30, 2019. Each unit is equivalent to one share of the Company’s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INFORMATION</w:t>
      </w:r>
    </w:p>
    <w:p>
      <w:pPr>
        <w:spacing w:after="0" w:line="9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Our organizational structure is designed to ensure continued focus on North America, coupled with an emphasis on profitable growth in our focus international markets. Our business is organized around geographic regions, which enables us to build processes for repeatable success in our global markets. As a result, we have defined our operating segments on a geographic basis, as this aligns with how our Chief Operating Decision Maker (“CODM”) manages our business, including resource allocation and performance assessment. Our North America business, which generates approximately 89% of our consolidated revenue, is our only reportable segment. None of our other operating segments meet the quantitative thresholds to qualify as reportable segments; therefore, these operating segments are combined and disclosed below as International and Other.</w:t>
      </w:r>
    </w:p>
    <w:p>
      <w:pPr>
        <w:spacing w:after="0" w:line="120" w:lineRule="exact"/>
        <w:rPr>
          <w:sz w:val="20"/>
          <w:szCs w:val="20"/>
          <w:color w:val="auto"/>
        </w:rPr>
      </w:pPr>
    </w:p>
    <w:p>
      <w:pPr>
        <w:ind w:left="660" w:right="180" w:hanging="328"/>
        <w:spacing w:after="0" w:line="266" w:lineRule="auto"/>
        <w:tabs>
          <w:tab w:leader="none" w:pos="66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North America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segment is responsible for our traditional chocolate and non-chocolate confectionery market position, as well as our grocery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growing snacks market positions, in the United States and Canada. This includes developing and growing our business in chocolate and non-chocolate confectionery, pantry, food service and other snacking product lines.</w:t>
      </w:r>
    </w:p>
    <w:p>
      <w:pPr>
        <w:spacing w:after="0" w:line="122" w:lineRule="exact"/>
        <w:rPr>
          <w:rFonts w:ascii="Arial" w:cs="Arial" w:eastAsia="Arial" w:hAnsi="Arial"/>
          <w:sz w:val="18"/>
          <w:szCs w:val="18"/>
          <w:b w:val="1"/>
          <w:bCs w:val="1"/>
          <w:i w:val="1"/>
          <w:iCs w:val="1"/>
          <w:color w:val="auto"/>
        </w:rPr>
      </w:pPr>
    </w:p>
    <w:p>
      <w:pPr>
        <w:ind w:left="660" w:right="20" w:hanging="328"/>
        <w:spacing w:after="0" w:line="314" w:lineRule="auto"/>
        <w:tabs>
          <w:tab w:leader="none" w:pos="660" w:val="left"/>
        </w:tabs>
        <w:numPr>
          <w:ilvl w:val="0"/>
          <w:numId w:val="1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International and Other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International and Other is a combination of all other operating segments that are not individually material, including those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geographic regions where we operate outside of North America. We currently have operations and manufacture product in China, Mexico, Brazil, India and Malaysia, primarily for consumers in these regions, and also distribute and sell confectionery products in export markets</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15" w:right="259" w:bottom="1440" w:gutter="0" w:footer="0" w:header="0"/>
        </w:sectPr>
      </w:pPr>
    </w:p>
    <w:bookmarkStart w:id="26" w:name="page27"/>
    <w:bookmarkEnd w:id="26"/>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UNAUDITED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25" w:lineRule="exact"/>
        <w:rPr>
          <w:sz w:val="20"/>
          <w:szCs w:val="20"/>
          <w:color w:val="auto"/>
        </w:rPr>
      </w:pPr>
    </w:p>
    <w:p>
      <w:pPr>
        <w:ind w:left="660" w:right="140"/>
        <w:spacing w:after="0" w:line="336" w:lineRule="auto"/>
        <w:rPr>
          <w:sz w:val="20"/>
          <w:szCs w:val="20"/>
          <w:color w:val="auto"/>
        </w:rPr>
      </w:pPr>
      <w:r>
        <w:rPr>
          <w:rFonts w:ascii="Arial" w:cs="Arial" w:eastAsia="Arial" w:hAnsi="Arial"/>
          <w:sz w:val="17"/>
          <w:szCs w:val="17"/>
          <w:color w:val="auto"/>
        </w:rPr>
        <w:t>of Asia, Latin America, Middle East, Europe, Africa and other regions. This segment also includes our global retail operations, including Hershey's Chocolate World stores in Hershey, Pennsylvania, New York City, Las Vegas, Niagara Falls (Ontario) and Singapore, as well as operations associated with licensing the use of certain of the Company's trademarks and products to third parties around the world.</w:t>
      </w:r>
    </w:p>
    <w:p>
      <w:pPr>
        <w:spacing w:after="0" w:line="84"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For segment reporting purposes, we use “segment income” to evaluate segment performance and allocate resources. Segment income excludes unallocated general corporate administrative expenses, unallocated mark-to-market gains and losses on commodity derivatives, business realignment and impairment charges, acquisition-related costs and other unusual gains or losses that are not part of our measurement of segment performance. These items of our operating income are managed centrally at the corporate level and are excluded from the measure of segment income reviewed by the CODM as well the measure of segment performance used for incentive compensation purposes.</w:t>
      </w:r>
    </w:p>
    <w:p>
      <w:pPr>
        <w:spacing w:after="0" w:line="11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discussed in Note 5, derivatives used to manage commodity price risk are not designated for hedge accounting treatment. These derivatives are recognized at fair market value with the resulting realized and unrealized (gains) losses recognized in unallocated derivative (gains) losses outside of the reporting segment results until the related inventory is sold, at which time the related gains and losses are reallocated to segment income. This enables us to align the derivative gains and losses with the underlying economic exposure being hedged and thereby eliminate the mark-to-market volatility within our reported segment income.</w:t>
      </w:r>
    </w:p>
    <w:p>
      <w:pPr>
        <w:spacing w:after="0" w:line="13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Certain manufacturing, warehousing, distribution and other activities supporting our global operations are integrated to maximize efficiency and productivity. As a result, assets and capital expenditures are not managed on a segment basis and are not included in the information reported to the CODM for the purpose of evaluating performance or allocating resources. We disclose depreciation and amortization that is generated by segment-specific assets, since these amounts are included within the measure of segment income reported to the CODM.</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Our segment net sales and earnings were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60" w:type="dxa"/>
            <w:vAlign w:val="bottom"/>
            <w:gridSpan w:val="5"/>
          </w:tcPr>
          <w:p>
            <w:pPr>
              <w:ind w:left="68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8"/>
                <w:szCs w:val="18"/>
                <w:color w:val="auto"/>
              </w:rPr>
            </w:pPr>
          </w:p>
        </w:tc>
        <w:tc>
          <w:tcPr>
            <w:tcW w:w="3040" w:type="dxa"/>
            <w:vAlign w:val="bottom"/>
            <w:gridSpan w:val="4"/>
          </w:tcPr>
          <w:p>
            <w:pPr>
              <w:jc w:val="right"/>
              <w:ind w:right="911"/>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4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1"/>
        </w:trPr>
        <w:tc>
          <w:tcPr>
            <w:tcW w:w="4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30, 2019</w:t>
            </w:r>
          </w:p>
        </w:tc>
        <w:tc>
          <w:tcPr>
            <w:tcW w:w="260" w:type="dxa"/>
            <w:vAlign w:val="bottom"/>
          </w:tcPr>
          <w:p>
            <w:pPr>
              <w:spacing w:after="0"/>
              <w:rPr>
                <w:sz w:val="20"/>
                <w:szCs w:val="20"/>
                <w:color w:val="auto"/>
              </w:rPr>
            </w:pPr>
          </w:p>
        </w:tc>
        <w:tc>
          <w:tcPr>
            <w:tcW w:w="1440" w:type="dxa"/>
            <w:vAlign w:val="bottom"/>
            <w:gridSpan w:val="2"/>
          </w:tcPr>
          <w:p>
            <w:pPr>
              <w:ind w:left="120"/>
              <w:spacing w:after="0"/>
              <w:rPr>
                <w:sz w:val="20"/>
                <w:szCs w:val="20"/>
                <w:color w:val="auto"/>
              </w:rPr>
            </w:pPr>
            <w:r>
              <w:rPr>
                <w:rFonts w:ascii="Arial" w:cs="Arial" w:eastAsia="Arial" w:hAnsi="Arial"/>
                <w:sz w:val="16"/>
                <w:szCs w:val="16"/>
                <w:b w:val="1"/>
                <w:bCs w:val="1"/>
                <w:color w:val="auto"/>
              </w:rPr>
              <w:t>July 1, 2018</w:t>
            </w:r>
          </w:p>
        </w:tc>
        <w:tc>
          <w:tcPr>
            <w:tcW w:w="220" w:type="dxa"/>
            <w:vAlign w:val="bottom"/>
          </w:tcPr>
          <w:p>
            <w:pPr>
              <w:spacing w:after="0"/>
              <w:rPr>
                <w:sz w:val="20"/>
                <w:szCs w:val="20"/>
                <w:color w:val="auto"/>
              </w:rPr>
            </w:pPr>
          </w:p>
        </w:tc>
        <w:tc>
          <w:tcPr>
            <w:tcW w:w="146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30, 2019</w:t>
            </w:r>
          </w:p>
        </w:tc>
        <w:tc>
          <w:tcPr>
            <w:tcW w:w="240" w:type="dxa"/>
            <w:vAlign w:val="bottom"/>
          </w:tcPr>
          <w:p>
            <w:pPr>
              <w:spacing w:after="0"/>
              <w:rPr>
                <w:sz w:val="20"/>
                <w:szCs w:val="20"/>
                <w:color w:val="auto"/>
              </w:rPr>
            </w:pPr>
          </w:p>
        </w:tc>
        <w:tc>
          <w:tcPr>
            <w:tcW w:w="1340" w:type="dxa"/>
            <w:vAlign w:val="bottom"/>
          </w:tcPr>
          <w:p>
            <w:pPr>
              <w:jc w:val="right"/>
              <w:ind w:right="291"/>
              <w:spacing w:after="0"/>
              <w:rPr>
                <w:sz w:val="20"/>
                <w:szCs w:val="20"/>
                <w:color w:val="auto"/>
              </w:rPr>
            </w:pPr>
            <w:r>
              <w:rPr>
                <w:rFonts w:ascii="Arial" w:cs="Arial" w:eastAsia="Arial" w:hAnsi="Arial"/>
                <w:sz w:val="16"/>
                <w:szCs w:val="16"/>
                <w:b w:val="1"/>
                <w:bCs w:val="1"/>
                <w:color w:val="auto"/>
              </w:rPr>
              <w:t>July 1, 2018</w:t>
            </w:r>
          </w:p>
        </w:tc>
      </w:tr>
      <w:tr>
        <w:trPr>
          <w:trHeight w:val="33"/>
        </w:trPr>
        <w:tc>
          <w:tcPr>
            <w:tcW w:w="4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780" w:type="dxa"/>
            <w:vAlign w:val="bottom"/>
          </w:tcPr>
          <w:p>
            <w:pPr>
              <w:ind w:left="200"/>
              <w:spacing w:after="0"/>
              <w:rPr>
                <w:sz w:val="20"/>
                <w:szCs w:val="20"/>
                <w:color w:val="auto"/>
              </w:rPr>
            </w:pPr>
            <w:r>
              <w:rPr>
                <w:rFonts w:ascii="Arial" w:cs="Arial" w:eastAsia="Arial" w:hAnsi="Arial"/>
                <w:sz w:val="18"/>
                <w:szCs w:val="18"/>
                <w:color w:val="auto"/>
              </w:rPr>
              <w:t>North America</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1"/>
              <w:spacing w:after="0"/>
              <w:rPr>
                <w:sz w:val="20"/>
                <w:szCs w:val="20"/>
                <w:color w:val="auto"/>
              </w:rPr>
            </w:pPr>
            <w:r>
              <w:rPr>
                <w:rFonts w:ascii="Arial" w:cs="Arial" w:eastAsia="Arial" w:hAnsi="Arial"/>
                <w:sz w:val="18"/>
                <w:szCs w:val="18"/>
                <w:color w:val="auto"/>
              </w:rPr>
              <w:t>1,568,040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91"/>
              <w:spacing w:after="0"/>
              <w:rPr>
                <w:sz w:val="20"/>
                <w:szCs w:val="20"/>
                <w:color w:val="auto"/>
              </w:rPr>
            </w:pPr>
            <w:r>
              <w:rPr>
                <w:rFonts w:ascii="Arial" w:cs="Arial" w:eastAsia="Arial" w:hAnsi="Arial"/>
                <w:sz w:val="18"/>
                <w:szCs w:val="18"/>
                <w:color w:val="auto"/>
              </w:rPr>
              <w:t>1,559,952</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11"/>
              <w:spacing w:after="0"/>
              <w:rPr>
                <w:sz w:val="20"/>
                <w:szCs w:val="20"/>
                <w:color w:val="auto"/>
              </w:rPr>
            </w:pPr>
            <w:r>
              <w:rPr>
                <w:rFonts w:ascii="Arial" w:cs="Arial" w:eastAsia="Arial" w:hAnsi="Arial"/>
                <w:sz w:val="18"/>
                <w:szCs w:val="18"/>
                <w:color w:val="auto"/>
              </w:rPr>
              <w:t>3,374,998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3,311,640</w:t>
            </w:r>
          </w:p>
        </w:tc>
      </w:tr>
      <w:tr>
        <w:trPr>
          <w:trHeight w:val="27"/>
        </w:trPr>
        <w:tc>
          <w:tcPr>
            <w:tcW w:w="4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International and Other</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199,177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191,663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408,707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411,934</w:t>
            </w:r>
          </w:p>
        </w:tc>
      </w:tr>
      <w:tr>
        <w:trPr>
          <w:trHeight w:val="297"/>
        </w:trPr>
        <w:tc>
          <w:tcPr>
            <w:tcW w:w="4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1,767,217</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1,751,615</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3,783,705</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3,723,574</w:t>
            </w:r>
          </w:p>
        </w:tc>
      </w:tr>
      <w:tr>
        <w:trPr>
          <w:trHeight w:val="311"/>
        </w:trPr>
        <w:tc>
          <w:tcPr>
            <w:tcW w:w="47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Segment income:</w:t>
            </w: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4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North America</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470,898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443,859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1,035,659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978,285</w:t>
            </w:r>
          </w:p>
        </w:tc>
      </w:tr>
      <w:tr>
        <w:trPr>
          <w:trHeight w:val="243"/>
        </w:trPr>
        <w:tc>
          <w:tcPr>
            <w:tcW w:w="4780" w:type="dxa"/>
            <w:vAlign w:val="bottom"/>
          </w:tcPr>
          <w:p>
            <w:pPr>
              <w:ind w:left="200"/>
              <w:spacing w:after="0"/>
              <w:rPr>
                <w:sz w:val="20"/>
                <w:szCs w:val="20"/>
                <w:color w:val="auto"/>
              </w:rPr>
            </w:pPr>
            <w:r>
              <w:rPr>
                <w:rFonts w:ascii="Arial" w:cs="Arial" w:eastAsia="Arial" w:hAnsi="Arial"/>
                <w:sz w:val="18"/>
                <w:szCs w:val="18"/>
                <w:color w:val="auto"/>
              </w:rPr>
              <w:t>International and Other</w:t>
            </w:r>
          </w:p>
        </w:tc>
        <w:tc>
          <w:tcPr>
            <w:tcW w:w="220" w:type="dxa"/>
            <w:vAlign w:val="bottom"/>
          </w:tcPr>
          <w:p>
            <w:pPr>
              <w:spacing w:after="0"/>
              <w:rPr>
                <w:sz w:val="21"/>
                <w:szCs w:val="21"/>
                <w:color w:val="auto"/>
              </w:rPr>
            </w:pPr>
          </w:p>
        </w:tc>
        <w:tc>
          <w:tcPr>
            <w:tcW w:w="1360" w:type="dxa"/>
            <w:vAlign w:val="bottom"/>
          </w:tcPr>
          <w:p>
            <w:pPr>
              <w:jc w:val="right"/>
              <w:ind w:right="111"/>
              <w:spacing w:after="0"/>
              <w:rPr>
                <w:sz w:val="20"/>
                <w:szCs w:val="20"/>
                <w:color w:val="auto"/>
              </w:rPr>
            </w:pPr>
            <w:r>
              <w:rPr>
                <w:rFonts w:ascii="Arial" w:cs="Arial" w:eastAsia="Arial" w:hAnsi="Arial"/>
                <w:sz w:val="18"/>
                <w:szCs w:val="18"/>
                <w:color w:val="auto"/>
              </w:rPr>
              <w:t>21,944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91"/>
              <w:spacing w:after="0"/>
              <w:rPr>
                <w:sz w:val="20"/>
                <w:szCs w:val="20"/>
                <w:color w:val="auto"/>
              </w:rPr>
            </w:pPr>
            <w:r>
              <w:rPr>
                <w:rFonts w:ascii="Arial" w:cs="Arial" w:eastAsia="Arial" w:hAnsi="Arial"/>
                <w:sz w:val="18"/>
                <w:szCs w:val="18"/>
                <w:color w:val="auto"/>
              </w:rPr>
              <w:t>16,627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11"/>
              <w:spacing w:after="0"/>
              <w:rPr>
                <w:sz w:val="20"/>
                <w:szCs w:val="20"/>
                <w:color w:val="auto"/>
              </w:rPr>
            </w:pPr>
            <w:r>
              <w:rPr>
                <w:rFonts w:ascii="Arial" w:cs="Arial" w:eastAsia="Arial" w:hAnsi="Arial"/>
                <w:sz w:val="18"/>
                <w:szCs w:val="18"/>
                <w:color w:val="auto"/>
              </w:rPr>
              <w:t>42,187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34,307</w:t>
            </w:r>
          </w:p>
        </w:tc>
      </w:tr>
      <w:tr>
        <w:trPr>
          <w:trHeight w:val="27"/>
        </w:trPr>
        <w:tc>
          <w:tcPr>
            <w:tcW w:w="4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segment income</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492,842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460,486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1,077,846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1,012,592</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Unallocated corporate expense (1)</w:t>
            </w:r>
          </w:p>
        </w:tc>
        <w:tc>
          <w:tcPr>
            <w:tcW w:w="220" w:type="dxa"/>
            <w:vAlign w:val="bottom"/>
          </w:tcPr>
          <w:p>
            <w:pPr>
              <w:spacing w:after="0"/>
              <w:rPr>
                <w:sz w:val="21"/>
                <w:szCs w:val="21"/>
                <w:color w:val="auto"/>
              </w:rPr>
            </w:pPr>
          </w:p>
        </w:tc>
        <w:tc>
          <w:tcPr>
            <w:tcW w:w="1360" w:type="dxa"/>
            <w:vAlign w:val="bottom"/>
          </w:tcPr>
          <w:p>
            <w:pPr>
              <w:jc w:val="right"/>
              <w:ind w:right="111"/>
              <w:spacing w:after="0"/>
              <w:rPr>
                <w:sz w:val="20"/>
                <w:szCs w:val="20"/>
                <w:color w:val="auto"/>
              </w:rPr>
            </w:pPr>
            <w:r>
              <w:rPr>
                <w:rFonts w:ascii="Arial" w:cs="Arial" w:eastAsia="Arial" w:hAnsi="Arial"/>
                <w:sz w:val="18"/>
                <w:szCs w:val="18"/>
                <w:color w:val="auto"/>
              </w:rPr>
              <w:t>122,879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91"/>
              <w:spacing w:after="0"/>
              <w:rPr>
                <w:sz w:val="20"/>
                <w:szCs w:val="20"/>
                <w:color w:val="auto"/>
              </w:rPr>
            </w:pPr>
            <w:r>
              <w:rPr>
                <w:rFonts w:ascii="Arial" w:cs="Arial" w:eastAsia="Arial" w:hAnsi="Arial"/>
                <w:sz w:val="18"/>
                <w:szCs w:val="18"/>
                <w:color w:val="auto"/>
              </w:rPr>
              <w:t>121,006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11"/>
              <w:spacing w:after="0"/>
              <w:rPr>
                <w:sz w:val="20"/>
                <w:szCs w:val="20"/>
                <w:color w:val="auto"/>
              </w:rPr>
            </w:pPr>
            <w:r>
              <w:rPr>
                <w:rFonts w:ascii="Arial" w:cs="Arial" w:eastAsia="Arial" w:hAnsi="Arial"/>
                <w:sz w:val="18"/>
                <w:szCs w:val="18"/>
                <w:color w:val="auto"/>
              </w:rPr>
              <w:t>237,383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244,973</w:t>
            </w:r>
          </w:p>
        </w:tc>
      </w:tr>
      <w:tr>
        <w:trPr>
          <w:trHeight w:val="27"/>
        </w:trPr>
        <w:tc>
          <w:tcPr>
            <w:tcW w:w="4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Unallocated mark-to-market gains on commodity 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(53,552)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(20,831)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(25,585)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(117,081)</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Long-lived asset impairment charges</w:t>
            </w:r>
          </w:p>
        </w:tc>
        <w:tc>
          <w:tcPr>
            <w:tcW w:w="220" w:type="dxa"/>
            <w:vAlign w:val="bottom"/>
          </w:tcPr>
          <w:p>
            <w:pPr>
              <w:spacing w:after="0"/>
              <w:rPr>
                <w:sz w:val="21"/>
                <w:szCs w:val="21"/>
                <w:color w:val="auto"/>
              </w:rPr>
            </w:pPr>
          </w:p>
        </w:tc>
        <w:tc>
          <w:tcPr>
            <w:tcW w:w="1360" w:type="dxa"/>
            <w:vAlign w:val="bottom"/>
          </w:tcPr>
          <w:p>
            <w:pPr>
              <w:jc w:val="right"/>
              <w:ind w:right="111"/>
              <w:spacing w:after="0"/>
              <w:rPr>
                <w:sz w:val="20"/>
                <w:szCs w:val="20"/>
                <w:color w:val="auto"/>
              </w:rPr>
            </w:pPr>
            <w:r>
              <w:rPr>
                <w:rFonts w:ascii="Arial" w:cs="Arial" w:eastAsia="Arial" w:hAnsi="Arial"/>
                <w:sz w:val="18"/>
                <w:szCs w:val="18"/>
                <w:color w:val="auto"/>
              </w:rPr>
              <w:t>4,741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91"/>
              <w:spacing w:after="0"/>
              <w:rPr>
                <w:sz w:val="20"/>
                <w:szCs w:val="20"/>
                <w:color w:val="auto"/>
              </w:rPr>
            </w:pPr>
            <w:r>
              <w:rPr>
                <w:rFonts w:ascii="Arial" w:cs="Arial" w:eastAsia="Arial" w:hAnsi="Arial"/>
                <w:sz w:val="18"/>
                <w:szCs w:val="18"/>
                <w:color w:val="auto"/>
              </w:rPr>
              <w:t>27,168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11"/>
              <w:spacing w:after="0"/>
              <w:rPr>
                <w:sz w:val="20"/>
                <w:szCs w:val="20"/>
                <w:color w:val="auto"/>
              </w:rPr>
            </w:pPr>
            <w:r>
              <w:rPr>
                <w:rFonts w:ascii="Arial" w:cs="Arial" w:eastAsia="Arial" w:hAnsi="Arial"/>
                <w:sz w:val="18"/>
                <w:szCs w:val="18"/>
                <w:color w:val="auto"/>
              </w:rPr>
              <w:t>4,741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27,168</w:t>
            </w:r>
          </w:p>
        </w:tc>
      </w:tr>
      <w:tr>
        <w:trPr>
          <w:trHeight w:val="27"/>
        </w:trPr>
        <w:tc>
          <w:tcPr>
            <w:tcW w:w="4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associated with business realignment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6,378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15,296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6,862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31,247</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Acquisition-related costs</w:t>
            </w:r>
          </w:p>
        </w:tc>
        <w:tc>
          <w:tcPr>
            <w:tcW w:w="220" w:type="dxa"/>
            <w:vAlign w:val="bottom"/>
          </w:tcPr>
          <w:p>
            <w:pPr>
              <w:spacing w:after="0"/>
              <w:rPr>
                <w:sz w:val="21"/>
                <w:szCs w:val="21"/>
                <w:color w:val="auto"/>
              </w:rPr>
            </w:pPr>
          </w:p>
        </w:tc>
        <w:tc>
          <w:tcPr>
            <w:tcW w:w="1360" w:type="dxa"/>
            <w:vAlign w:val="bottom"/>
          </w:tcPr>
          <w:p>
            <w:pPr>
              <w:jc w:val="right"/>
              <w:ind w:right="111"/>
              <w:spacing w:after="0"/>
              <w:rPr>
                <w:sz w:val="20"/>
                <w:szCs w:val="20"/>
                <w:color w:val="auto"/>
              </w:rPr>
            </w:pPr>
            <w:r>
              <w:rPr>
                <w:rFonts w:ascii="Arial" w:cs="Arial" w:eastAsia="Arial" w:hAnsi="Arial"/>
                <w:sz w:val="18"/>
                <w:szCs w:val="18"/>
                <w:color w:val="auto"/>
              </w:rPr>
              <w:t>2,326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91"/>
              <w:spacing w:after="0"/>
              <w:rPr>
                <w:sz w:val="20"/>
                <w:szCs w:val="20"/>
                <w:color w:val="auto"/>
              </w:rPr>
            </w:pPr>
            <w:r>
              <w:rPr>
                <w:rFonts w:ascii="Arial" w:cs="Arial" w:eastAsia="Arial" w:hAnsi="Arial"/>
                <w:sz w:val="18"/>
                <w:szCs w:val="18"/>
                <w:color w:val="auto"/>
              </w:rPr>
              <w:t>4,781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11"/>
              <w:spacing w:after="0"/>
              <w:rPr>
                <w:sz w:val="20"/>
                <w:szCs w:val="20"/>
                <w:color w:val="auto"/>
              </w:rPr>
            </w:pPr>
            <w:r>
              <w:rPr>
                <w:rFonts w:ascii="Arial" w:cs="Arial" w:eastAsia="Arial" w:hAnsi="Arial"/>
                <w:sz w:val="18"/>
                <w:szCs w:val="18"/>
                <w:color w:val="auto"/>
              </w:rPr>
              <w:t>5,506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32,707</w:t>
            </w:r>
          </w:p>
        </w:tc>
      </w:tr>
      <w:tr>
        <w:trPr>
          <w:trHeight w:val="27"/>
        </w:trPr>
        <w:tc>
          <w:tcPr>
            <w:tcW w:w="4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licensing rights</w:t>
            </w: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(2,658)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(2,658)</w:t>
            </w:r>
          </w:p>
        </w:tc>
      </w:tr>
      <w:tr>
        <w:trPr>
          <w:trHeight w:val="237"/>
        </w:trPr>
        <w:tc>
          <w:tcPr>
            <w:tcW w:w="478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2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410,070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315,724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848,939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796,236</w:t>
            </w:r>
          </w:p>
        </w:tc>
      </w:tr>
      <w:tr>
        <w:trPr>
          <w:trHeight w:val="27"/>
        </w:trPr>
        <w:tc>
          <w:tcPr>
            <w:tcW w:w="4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33,776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34,952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71,234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64,291</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21"/>
                <w:szCs w:val="21"/>
                <w:color w:val="auto"/>
              </w:rPr>
            </w:pPr>
          </w:p>
        </w:tc>
        <w:tc>
          <w:tcPr>
            <w:tcW w:w="1360" w:type="dxa"/>
            <w:vAlign w:val="bottom"/>
          </w:tcPr>
          <w:p>
            <w:pPr>
              <w:jc w:val="right"/>
              <w:ind w:right="111"/>
              <w:spacing w:after="0"/>
              <w:rPr>
                <w:sz w:val="20"/>
                <w:szCs w:val="20"/>
                <w:color w:val="auto"/>
              </w:rPr>
            </w:pPr>
            <w:r>
              <w:rPr>
                <w:rFonts w:ascii="Arial" w:cs="Arial" w:eastAsia="Arial" w:hAnsi="Arial"/>
                <w:sz w:val="18"/>
                <w:szCs w:val="18"/>
                <w:color w:val="auto"/>
              </w:rPr>
              <w:t>13,125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91"/>
              <w:spacing w:after="0"/>
              <w:rPr>
                <w:sz w:val="20"/>
                <w:szCs w:val="20"/>
                <w:color w:val="auto"/>
              </w:rPr>
            </w:pPr>
            <w:r>
              <w:rPr>
                <w:rFonts w:ascii="Arial" w:cs="Arial" w:eastAsia="Arial" w:hAnsi="Arial"/>
                <w:sz w:val="18"/>
                <w:szCs w:val="18"/>
                <w:color w:val="auto"/>
              </w:rPr>
              <w:t>20,766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11"/>
              <w:spacing w:after="0"/>
              <w:rPr>
                <w:sz w:val="20"/>
                <w:szCs w:val="20"/>
                <w:color w:val="auto"/>
              </w:rPr>
            </w:pPr>
            <w:r>
              <w:rPr>
                <w:rFonts w:ascii="Arial" w:cs="Arial" w:eastAsia="Arial" w:hAnsi="Arial"/>
                <w:sz w:val="18"/>
                <w:szCs w:val="18"/>
                <w:color w:val="auto"/>
              </w:rPr>
              <w:t>18,602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22,708</w:t>
            </w:r>
          </w:p>
        </w:tc>
      </w:tr>
      <w:tr>
        <w:trPr>
          <w:trHeight w:val="27"/>
        </w:trPr>
        <w:tc>
          <w:tcPr>
            <w:tcW w:w="4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363,169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260,006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759,103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709,237</w:t>
            </w:r>
          </w:p>
        </w:tc>
      </w:tr>
      <w:tr>
        <w:trPr>
          <w:trHeight w:val="20"/>
        </w:trPr>
        <w:tc>
          <w:tcPr>
            <w:tcW w:w="4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662"/>
        </w:trPr>
        <w:tc>
          <w:tcPr>
            <w:tcW w:w="4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jc w:val="right"/>
              <w:ind w:right="47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420"/>
          </w:cols>
          <w:pgMar w:left="240" w:top="115" w:right="239" w:bottom="1440" w:gutter="0" w:footer="0" w:header="0"/>
        </w:sectPr>
      </w:pPr>
    </w:p>
    <w:bookmarkStart w:id="27" w:name="page28"/>
    <w:bookmarkEnd w:id="27"/>
    <w:p>
      <w:pPr>
        <w:jc w:val="center"/>
        <w:ind w:left="32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20"/>
        <w:spacing w:after="0"/>
        <w:rPr>
          <w:sz w:val="20"/>
          <w:szCs w:val="20"/>
          <w:color w:val="auto"/>
        </w:rPr>
      </w:pPr>
      <w:r>
        <w:rPr>
          <w:rFonts w:ascii="Arial" w:cs="Arial" w:eastAsia="Arial" w:hAnsi="Arial"/>
          <w:sz w:val="20"/>
          <w:szCs w:val="20"/>
          <w:b w:val="1"/>
          <w:bCs w:val="1"/>
          <w:color w:val="auto"/>
        </w:rPr>
        <w:t>NOTES TO UNAUDITED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17" w:lineRule="exact"/>
        <w:rPr>
          <w:sz w:val="20"/>
          <w:szCs w:val="20"/>
          <w:color w:val="auto"/>
        </w:rPr>
      </w:pPr>
    </w:p>
    <w:p>
      <w:pPr>
        <w:ind w:left="340" w:right="340" w:hanging="332"/>
        <w:spacing w:after="0" w:line="312"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and (d) other gains or losses that are not integral to segment performance.</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Activity within the unallocated mark-to-market losses (gains) on commodity derivatives is as follows:</w:t>
      </w:r>
    </w:p>
    <w:p>
      <w:pPr>
        <w:sectPr>
          <w:pgSz w:w="11900" w:h="16838" w:orient="portrait"/>
          <w:cols w:equalWidth="0" w:num="1">
            <w:col w:w="11420"/>
          </w:cols>
          <w:pgMar w:left="240" w:top="115" w:right="23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ind w:left="628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37465</wp:posOffset>
            </wp:positionV>
            <wp:extent cx="18097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80" w:lineRule="exact"/>
        <w:rPr>
          <w:sz w:val="20"/>
          <w:szCs w:val="20"/>
          <w:color w:val="auto"/>
        </w:rPr>
      </w:pPr>
    </w:p>
    <w:p>
      <w:pPr>
        <w:ind w:left="5820"/>
        <w:spacing w:after="0"/>
        <w:tabs>
          <w:tab w:leader="none" w:pos="7340" w:val="left"/>
        </w:tabs>
        <w:rPr>
          <w:sz w:val="20"/>
          <w:szCs w:val="20"/>
          <w:color w:val="auto"/>
        </w:rPr>
      </w:pPr>
      <w:r>
        <w:rPr>
          <w:rFonts w:ascii="Arial" w:cs="Arial" w:eastAsia="Arial" w:hAnsi="Arial"/>
          <w:sz w:val="16"/>
          <w:szCs w:val="16"/>
          <w:b w:val="1"/>
          <w:bCs w:val="1"/>
          <w:color w:val="auto"/>
        </w:rPr>
        <w:t>June 30, 2019</w:t>
      </w:r>
      <w:r>
        <w:rPr>
          <w:sz w:val="20"/>
          <w:szCs w:val="20"/>
          <w:color w:val="auto"/>
        </w:rPr>
        <w:tab/>
      </w:r>
      <w:r>
        <w:rPr>
          <w:rFonts w:ascii="Arial" w:cs="Arial" w:eastAsia="Arial" w:hAnsi="Arial"/>
          <w:sz w:val="14"/>
          <w:szCs w:val="14"/>
          <w:b w:val="1"/>
          <w:bCs w:val="1"/>
          <w:color w:val="auto"/>
        </w:rPr>
        <w:t>July 1, 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37465</wp:posOffset>
            </wp:positionV>
            <wp:extent cx="180086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80" w:lineRule="exact"/>
        <w:rPr>
          <w:sz w:val="20"/>
          <w:szCs w:val="20"/>
          <w:color w:val="auto"/>
        </w:rPr>
      </w:pPr>
    </w:p>
    <w:p>
      <w:pPr>
        <w:spacing w:after="0"/>
        <w:tabs>
          <w:tab w:leader="none" w:pos="1520" w:val="left"/>
        </w:tabs>
        <w:rPr>
          <w:sz w:val="20"/>
          <w:szCs w:val="20"/>
          <w:color w:val="auto"/>
        </w:rPr>
      </w:pPr>
      <w:r>
        <w:rPr>
          <w:rFonts w:ascii="Arial" w:cs="Arial" w:eastAsia="Arial" w:hAnsi="Arial"/>
          <w:sz w:val="16"/>
          <w:szCs w:val="16"/>
          <w:b w:val="1"/>
          <w:bCs w:val="1"/>
          <w:color w:val="auto"/>
        </w:rPr>
        <w:t>June 30, 2019</w:t>
      </w:r>
      <w:r>
        <w:rPr>
          <w:sz w:val="20"/>
          <w:szCs w:val="20"/>
          <w:color w:val="auto"/>
        </w:rPr>
        <w:tab/>
      </w:r>
      <w:r>
        <w:rPr>
          <w:rFonts w:ascii="Arial" w:cs="Arial" w:eastAsia="Arial" w:hAnsi="Arial"/>
          <w:sz w:val="14"/>
          <w:szCs w:val="14"/>
          <w:b w:val="1"/>
          <w:bCs w:val="1"/>
          <w:color w:val="auto"/>
        </w:rPr>
        <w:t>July 1, 2018</w:t>
      </w:r>
    </w:p>
    <w:p>
      <w:pPr>
        <w:spacing w:after="0" w:line="39" w:lineRule="exact"/>
        <w:rPr>
          <w:sz w:val="20"/>
          <w:szCs w:val="20"/>
          <w:color w:val="auto"/>
        </w:rPr>
      </w:pPr>
    </w:p>
    <w:p>
      <w:pPr>
        <w:sectPr>
          <w:pgSz w:w="11900" w:h="16838" w:orient="portrait"/>
          <w:cols w:equalWidth="0" w:num="2">
            <w:col w:w="8180" w:space="580"/>
            <w:col w:w="2660"/>
          </w:cols>
          <w:pgMar w:left="240" w:top="115" w:right="2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56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Net gains on mark-to-market valuation of commodity derivative positions</w:t>
            </w:r>
          </w:p>
        </w:tc>
        <w:tc>
          <w:tcPr>
            <w:tcW w:w="4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recognized in income</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(55,531)</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(28,890)</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(66,773)</w:t>
            </w:r>
          </w:p>
        </w:tc>
        <w:tc>
          <w:tcPr>
            <w:tcW w:w="0" w:type="dxa"/>
            <w:vAlign w:val="bottom"/>
          </w:tcPr>
          <w:p>
            <w:pPr>
              <w:spacing w:after="0"/>
              <w:rPr>
                <w:sz w:val="1"/>
                <w:szCs w:val="1"/>
                <w:color w:val="auto"/>
              </w:rPr>
            </w:pPr>
          </w:p>
        </w:tc>
      </w:tr>
      <w:tr>
        <w:trPr>
          <w:trHeight w:val="229"/>
        </w:trPr>
        <w:tc>
          <w:tcPr>
            <w:tcW w:w="5600" w:type="dxa"/>
            <w:vAlign w:val="bottom"/>
          </w:tcPr>
          <w:p>
            <w:pPr>
              <w:ind w:left="40"/>
              <w:spacing w:after="0"/>
              <w:rPr>
                <w:sz w:val="20"/>
                <w:szCs w:val="20"/>
                <w:color w:val="auto"/>
              </w:rPr>
            </w:pPr>
            <w:r>
              <w:rPr>
                <w:rFonts w:ascii="Arial" w:cs="Arial" w:eastAsia="Arial" w:hAnsi="Arial"/>
                <w:sz w:val="18"/>
                <w:szCs w:val="18"/>
                <w:color w:val="auto"/>
                <w:w w:val="99"/>
              </w:rPr>
              <w:t>Net gains (losses) on commodity derivative positions reclassified from</w:t>
            </w: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40"/>
              <w:spacing w:after="0"/>
              <w:rPr>
                <w:sz w:val="20"/>
                <w:szCs w:val="20"/>
                <w:color w:val="auto"/>
              </w:rPr>
            </w:pPr>
            <w:r>
              <w:rPr>
                <w:rFonts w:ascii="Arial" w:cs="Arial" w:eastAsia="Arial" w:hAnsi="Arial"/>
                <w:sz w:val="18"/>
                <w:szCs w:val="18"/>
                <w:color w:val="auto"/>
              </w:rPr>
              <w:t>unallocated to segment income</w:t>
            </w:r>
          </w:p>
        </w:tc>
        <w:tc>
          <w:tcPr>
            <w:tcW w:w="42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1,979</w:t>
            </w: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(20,648)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3,305</w:t>
            </w: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(50,308)</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Net gains on mark-to-market valuation of commodity derivative positions</w:t>
            </w:r>
          </w:p>
        </w:tc>
        <w:tc>
          <w:tcPr>
            <w:tcW w:w="42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(53,552)</w:t>
            </w:r>
          </w:p>
        </w:tc>
        <w:tc>
          <w:tcPr>
            <w:tcW w:w="48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(20,831)</w:t>
            </w:r>
          </w:p>
        </w:tc>
        <w:tc>
          <w:tcPr>
            <w:tcW w:w="120" w:type="dxa"/>
            <w:vAlign w:val="bottom"/>
            <w:shd w:val="clear" w:color="auto" w:fill="CCEEFF"/>
          </w:tcPr>
          <w:p>
            <w:pPr>
              <w:spacing w:after="0"/>
              <w:rPr>
                <w:sz w:val="18"/>
                <w:szCs w:val="18"/>
                <w:color w:val="auto"/>
              </w:rPr>
            </w:pP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(25,585)</w:t>
            </w:r>
          </w:p>
        </w:tc>
        <w:tc>
          <w:tcPr>
            <w:tcW w:w="44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(117,081)</w:t>
            </w:r>
          </w:p>
        </w:tc>
        <w:tc>
          <w:tcPr>
            <w:tcW w:w="0" w:type="dxa"/>
            <w:vAlign w:val="bottom"/>
          </w:tcPr>
          <w:p>
            <w:pPr>
              <w:spacing w:after="0"/>
              <w:rPr>
                <w:sz w:val="1"/>
                <w:szCs w:val="1"/>
                <w:color w:val="auto"/>
              </w:rPr>
            </w:pPr>
          </w:p>
        </w:tc>
      </w:tr>
      <w:tr>
        <w:trPr>
          <w:trHeight w:val="237"/>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recognized in unallocated derivative (gains) losses</w:t>
            </w: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48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44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As of June 30, 2019, the cumulative amount of mark-to-market gains on commodity derivatives that have been recognized in our consolidated cost of sales and not yet allocated to reportable segments was $65,903. Based on our forecasts of the timing of the recognition of the underlying hedged items, we expect to reclassify net pretax gains on commodity derivatives of $21,714 to segment operating results in the next twelve months.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 included within segment income presented above is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5"/>
          </w:tcPr>
          <w:p>
            <w:pPr>
              <w:ind w:left="78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8"/>
                <w:szCs w:val="18"/>
                <w:color w:val="auto"/>
              </w:rPr>
            </w:pPr>
          </w:p>
        </w:tc>
        <w:tc>
          <w:tcPr>
            <w:tcW w:w="3380" w:type="dxa"/>
            <w:vAlign w:val="bottom"/>
            <w:gridSpan w:val="4"/>
          </w:tcPr>
          <w:p>
            <w:pPr>
              <w:jc w:val="right"/>
              <w:ind w:right="1092"/>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4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1"/>
        </w:trPr>
        <w:tc>
          <w:tcPr>
            <w:tcW w:w="4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 2019</w:t>
            </w:r>
          </w:p>
        </w:tc>
        <w:tc>
          <w:tcPr>
            <w:tcW w:w="280" w:type="dxa"/>
            <w:vAlign w:val="bottom"/>
          </w:tcPr>
          <w:p>
            <w:pPr>
              <w:spacing w:after="0"/>
              <w:rPr>
                <w:sz w:val="20"/>
                <w:szCs w:val="20"/>
                <w:color w:val="auto"/>
              </w:rPr>
            </w:pPr>
          </w:p>
        </w:tc>
        <w:tc>
          <w:tcPr>
            <w:tcW w:w="1520" w:type="dxa"/>
            <w:vAlign w:val="bottom"/>
            <w:gridSpan w:val="2"/>
          </w:tcPr>
          <w:p>
            <w:pPr>
              <w:ind w:left="160"/>
              <w:spacing w:after="0"/>
              <w:rPr>
                <w:sz w:val="20"/>
                <w:szCs w:val="20"/>
                <w:color w:val="auto"/>
              </w:rPr>
            </w:pPr>
            <w:r>
              <w:rPr>
                <w:rFonts w:ascii="Arial" w:cs="Arial" w:eastAsia="Arial" w:hAnsi="Arial"/>
                <w:sz w:val="16"/>
                <w:szCs w:val="16"/>
                <w:b w:val="1"/>
                <w:bCs w:val="1"/>
                <w:color w:val="auto"/>
              </w:rPr>
              <w:t>July 1, 2018</w:t>
            </w:r>
          </w:p>
        </w:tc>
        <w:tc>
          <w:tcPr>
            <w:tcW w:w="260" w:type="dxa"/>
            <w:vAlign w:val="bottom"/>
          </w:tcPr>
          <w:p>
            <w:pPr>
              <w:spacing w:after="0"/>
              <w:rPr>
                <w:sz w:val="20"/>
                <w:szCs w:val="20"/>
                <w:color w:val="auto"/>
              </w:rPr>
            </w:pPr>
          </w:p>
        </w:tc>
        <w:tc>
          <w:tcPr>
            <w:tcW w:w="156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30, 2019</w:t>
            </w:r>
          </w:p>
        </w:tc>
        <w:tc>
          <w:tcPr>
            <w:tcW w:w="300" w:type="dxa"/>
            <w:vAlign w:val="bottom"/>
          </w:tcPr>
          <w:p>
            <w:pPr>
              <w:spacing w:after="0"/>
              <w:rPr>
                <w:sz w:val="20"/>
                <w:szCs w:val="20"/>
                <w:color w:val="auto"/>
              </w:rPr>
            </w:pPr>
          </w:p>
        </w:tc>
        <w:tc>
          <w:tcPr>
            <w:tcW w:w="1520" w:type="dxa"/>
            <w:vAlign w:val="bottom"/>
          </w:tcPr>
          <w:p>
            <w:pPr>
              <w:jc w:val="right"/>
              <w:ind w:right="412"/>
              <w:spacing w:after="0"/>
              <w:rPr>
                <w:sz w:val="20"/>
                <w:szCs w:val="20"/>
                <w:color w:val="auto"/>
              </w:rPr>
            </w:pPr>
            <w:r>
              <w:rPr>
                <w:rFonts w:ascii="Arial" w:cs="Arial" w:eastAsia="Arial" w:hAnsi="Arial"/>
                <w:sz w:val="16"/>
                <w:szCs w:val="16"/>
                <w:b w:val="1"/>
                <w:bCs w:val="1"/>
                <w:color w:val="auto"/>
              </w:rPr>
              <w:t>July 1, 2018</w:t>
            </w:r>
          </w:p>
        </w:tc>
      </w:tr>
      <w:tr>
        <w:trPr>
          <w:trHeight w:val="33"/>
        </w:trPr>
        <w:tc>
          <w:tcPr>
            <w:tcW w:w="4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55,137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52,186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109,082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100,171</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26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7,314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6,542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14,664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20,830</w:t>
            </w: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(1)</w:t>
            </w:r>
          </w:p>
        </w:tc>
        <w:tc>
          <w:tcPr>
            <w:tcW w:w="2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9,566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17,852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20,600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29,995</w:t>
            </w:r>
          </w:p>
        </w:tc>
      </w:tr>
      <w:tr>
        <w:trPr>
          <w:trHeight w:val="257"/>
        </w:trPr>
        <w:tc>
          <w:tcPr>
            <w:tcW w:w="4120" w:type="dxa"/>
            <w:vAlign w:val="bottom"/>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72,017</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76,580</w:t>
            </w:r>
          </w:p>
        </w:tc>
        <w:tc>
          <w:tcPr>
            <w:tcW w:w="10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144,346</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150,996</w:t>
            </w:r>
          </w:p>
        </w:tc>
      </w:tr>
      <w:tr>
        <w:trPr>
          <w:trHeight w:val="20"/>
        </w:trPr>
        <w:tc>
          <w:tcPr>
            <w:tcW w:w="4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340" w:right="32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Corporate includes non-cash asset-related accelerated depreciation and amortization related to business realignment activities, as discussed in Note 9. Such amounts are not included within our measure of segment income.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TREASURY STOCK ACTIVITY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treasury stock activity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60" w:type="dxa"/>
            <w:vAlign w:val="bottom"/>
          </w:tcPr>
          <w:p>
            <w:pPr>
              <w:spacing w:after="0"/>
              <w:rPr>
                <w:sz w:val="18"/>
                <w:szCs w:val="18"/>
                <w:color w:val="auto"/>
              </w:rPr>
            </w:pPr>
          </w:p>
        </w:tc>
        <w:tc>
          <w:tcPr>
            <w:tcW w:w="4380" w:type="dxa"/>
            <w:vAlign w:val="bottom"/>
            <w:gridSpan w:val="4"/>
          </w:tcPr>
          <w:p>
            <w:pPr>
              <w:jc w:val="right"/>
              <w:ind w:right="953"/>
              <w:spacing w:after="0"/>
              <w:rPr>
                <w:sz w:val="20"/>
                <w:szCs w:val="20"/>
                <w:color w:val="auto"/>
              </w:rPr>
            </w:pPr>
            <w:r>
              <w:rPr>
                <w:rFonts w:ascii="Arial" w:cs="Arial" w:eastAsia="Arial" w:hAnsi="Arial"/>
                <w:sz w:val="16"/>
                <w:szCs w:val="16"/>
                <w:b w:val="1"/>
                <w:bCs w:val="1"/>
                <w:color w:val="auto"/>
              </w:rPr>
              <w:t>Six Months Ended June 30, 2019</w:t>
            </w:r>
          </w:p>
        </w:tc>
      </w:tr>
      <w:tr>
        <w:trPr>
          <w:trHeight w:val="33"/>
        </w:trPr>
        <w:tc>
          <w:tcPr>
            <w:tcW w:w="6860" w:type="dxa"/>
            <w:vAlign w:val="bottom"/>
          </w:tcPr>
          <w:p>
            <w:pPr>
              <w:spacing w:after="0"/>
              <w:rPr>
                <w:sz w:val="2"/>
                <w:szCs w:val="2"/>
                <w:color w:val="auto"/>
              </w:rPr>
            </w:pPr>
          </w:p>
        </w:tc>
        <w:tc>
          <w:tcPr>
            <w:tcW w:w="22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17"/>
        </w:trPr>
        <w:tc>
          <w:tcPr>
            <w:tcW w:w="6860" w:type="dxa"/>
            <w:vAlign w:val="bottom"/>
          </w:tcPr>
          <w:p>
            <w:pPr>
              <w:spacing w:after="0"/>
              <w:rPr>
                <w:sz w:val="18"/>
                <w:szCs w:val="18"/>
                <w:color w:val="auto"/>
              </w:rPr>
            </w:pPr>
          </w:p>
        </w:tc>
        <w:tc>
          <w:tcPr>
            <w:tcW w:w="2260" w:type="dxa"/>
            <w:vAlign w:val="bottom"/>
            <w:gridSpan w:val="2"/>
          </w:tcPr>
          <w:p>
            <w:pPr>
              <w:ind w:left="840"/>
              <w:spacing w:after="0"/>
              <w:rPr>
                <w:sz w:val="20"/>
                <w:szCs w:val="20"/>
                <w:color w:val="auto"/>
              </w:rPr>
            </w:pPr>
            <w:r>
              <w:rPr>
                <w:rFonts w:ascii="Arial" w:cs="Arial" w:eastAsia="Arial" w:hAnsi="Arial"/>
                <w:sz w:val="16"/>
                <w:szCs w:val="16"/>
                <w:b w:val="1"/>
                <w:bCs w:val="1"/>
                <w:color w:val="auto"/>
              </w:rPr>
              <w:t>Shares</w:t>
            </w:r>
          </w:p>
        </w:tc>
        <w:tc>
          <w:tcPr>
            <w:tcW w:w="360" w:type="dxa"/>
            <w:vAlign w:val="bottom"/>
          </w:tcPr>
          <w:p>
            <w:pPr>
              <w:spacing w:after="0"/>
              <w:rPr>
                <w:sz w:val="18"/>
                <w:szCs w:val="18"/>
                <w:color w:val="auto"/>
              </w:rPr>
            </w:pPr>
          </w:p>
        </w:tc>
        <w:tc>
          <w:tcPr>
            <w:tcW w:w="1760" w:type="dxa"/>
            <w:vAlign w:val="bottom"/>
          </w:tcPr>
          <w:p>
            <w:pPr>
              <w:jc w:val="right"/>
              <w:ind w:right="733"/>
              <w:spacing w:after="0"/>
              <w:rPr>
                <w:sz w:val="20"/>
                <w:szCs w:val="20"/>
                <w:color w:val="auto"/>
              </w:rPr>
            </w:pPr>
            <w:r>
              <w:rPr>
                <w:rFonts w:ascii="Arial" w:cs="Arial" w:eastAsia="Arial" w:hAnsi="Arial"/>
                <w:sz w:val="16"/>
                <w:szCs w:val="16"/>
                <w:b w:val="1"/>
                <w:bCs w:val="1"/>
                <w:color w:val="auto"/>
              </w:rPr>
              <w:t>Dollars</w:t>
            </w:r>
          </w:p>
        </w:tc>
      </w:tr>
      <w:tr>
        <w:trPr>
          <w:trHeight w:val="47"/>
        </w:trPr>
        <w:tc>
          <w:tcPr>
            <w:tcW w:w="6860" w:type="dxa"/>
            <w:vAlign w:val="bottom"/>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r>
      <w:tr>
        <w:trPr>
          <w:trHeight w:val="217"/>
        </w:trPr>
        <w:tc>
          <w:tcPr>
            <w:tcW w:w="68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tcPr>
          <w:p>
            <w:pPr>
              <w:jc w:val="right"/>
              <w:ind w:right="533"/>
              <w:spacing w:after="0"/>
              <w:rPr>
                <w:sz w:val="20"/>
                <w:szCs w:val="20"/>
                <w:color w:val="auto"/>
              </w:rPr>
            </w:pPr>
            <w:r>
              <w:rPr>
                <w:rFonts w:ascii="Arial" w:cs="Arial" w:eastAsia="Arial" w:hAnsi="Arial"/>
                <w:sz w:val="16"/>
                <w:szCs w:val="16"/>
                <w:b w:val="1"/>
                <w:bCs w:val="1"/>
                <w:color w:val="auto"/>
              </w:rPr>
              <w:t>In thousands</w:t>
            </w:r>
          </w:p>
        </w:tc>
      </w:tr>
      <w:tr>
        <w:trPr>
          <w:trHeight w:val="47"/>
        </w:trPr>
        <w:tc>
          <w:tcPr>
            <w:tcW w:w="6860" w:type="dxa"/>
            <w:vAlign w:val="bottom"/>
          </w:tcPr>
          <w:p>
            <w:pPr>
              <w:spacing w:after="0"/>
              <w:rPr>
                <w:sz w:val="4"/>
                <w:szCs w:val="4"/>
                <w:color w:val="auto"/>
              </w:rPr>
            </w:pPr>
          </w:p>
        </w:tc>
        <w:tc>
          <w:tcPr>
            <w:tcW w:w="2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760" w:type="dxa"/>
            <w:vAlign w:val="bottom"/>
          </w:tcPr>
          <w:p>
            <w:pPr>
              <w:spacing w:after="0"/>
              <w:rPr>
                <w:sz w:val="4"/>
                <w:szCs w:val="4"/>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Shares repurchased in the open market under pre-approved share repurchase programs</w:t>
            </w:r>
          </w:p>
        </w:tc>
        <w:tc>
          <w:tcPr>
            <w:tcW w:w="2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1,386,193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150,000</w:t>
            </w:r>
          </w:p>
        </w:tc>
      </w:tr>
      <w:tr>
        <w:trPr>
          <w:trHeight w:val="229"/>
        </w:trPr>
        <w:tc>
          <w:tcPr>
            <w:tcW w:w="6860" w:type="dxa"/>
            <w:vAlign w:val="bottom"/>
          </w:tcPr>
          <w:p>
            <w:pPr>
              <w:ind w:left="40"/>
              <w:spacing w:after="0"/>
              <w:rPr>
                <w:sz w:val="20"/>
                <w:szCs w:val="20"/>
                <w:color w:val="auto"/>
              </w:rPr>
            </w:pPr>
            <w:r>
              <w:rPr>
                <w:rFonts w:ascii="Arial" w:cs="Arial" w:eastAsia="Arial" w:hAnsi="Arial"/>
                <w:sz w:val="18"/>
                <w:szCs w:val="18"/>
                <w:color w:val="auto"/>
              </w:rPr>
              <w:t>Shares repurchased to replace Treasury Stock issued for stock options and incentive</w:t>
            </w:r>
          </w:p>
        </w:tc>
        <w:tc>
          <w:tcPr>
            <w:tcW w:w="2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30"/>
        </w:trPr>
        <w:tc>
          <w:tcPr>
            <w:tcW w:w="6860" w:type="dxa"/>
            <w:vAlign w:val="bottom"/>
          </w:tcPr>
          <w:p>
            <w:pPr>
              <w:ind w:left="40"/>
              <w:spacing w:after="0"/>
              <w:rPr>
                <w:sz w:val="20"/>
                <w:szCs w:val="20"/>
                <w:color w:val="auto"/>
              </w:rPr>
            </w:pPr>
            <w:r>
              <w:rPr>
                <w:rFonts w:ascii="Arial" w:cs="Arial" w:eastAsia="Arial" w:hAnsi="Arial"/>
                <w:sz w:val="18"/>
                <w:szCs w:val="18"/>
                <w:color w:val="auto"/>
              </w:rPr>
              <w:t>compensation</w:t>
            </w:r>
          </w:p>
        </w:tc>
        <w:tc>
          <w:tcPr>
            <w:tcW w:w="2140" w:type="dxa"/>
            <w:vAlign w:val="bottom"/>
          </w:tcPr>
          <w:p>
            <w:pPr>
              <w:jc w:val="right"/>
              <w:ind w:right="13"/>
              <w:spacing w:after="0"/>
              <w:rPr>
                <w:sz w:val="20"/>
                <w:szCs w:val="20"/>
                <w:color w:val="auto"/>
              </w:rPr>
            </w:pPr>
            <w:r>
              <w:rPr>
                <w:rFonts w:ascii="Arial" w:cs="Arial" w:eastAsia="Arial" w:hAnsi="Arial"/>
                <w:sz w:val="18"/>
                <w:szCs w:val="18"/>
                <w:color w:val="auto"/>
              </w:rPr>
              <w:t>883,305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60" w:type="dxa"/>
            <w:vAlign w:val="bottom"/>
          </w:tcPr>
          <w:p>
            <w:pPr>
              <w:jc w:val="right"/>
              <w:ind w:right="13"/>
              <w:spacing w:after="0"/>
              <w:rPr>
                <w:sz w:val="20"/>
                <w:szCs w:val="20"/>
                <w:color w:val="auto"/>
              </w:rPr>
            </w:pPr>
            <w:r>
              <w:rPr>
                <w:rFonts w:ascii="Arial" w:cs="Arial" w:eastAsia="Arial" w:hAnsi="Arial"/>
                <w:sz w:val="18"/>
                <w:szCs w:val="18"/>
                <w:color w:val="auto"/>
              </w:rPr>
              <w:t>104,429</w:t>
            </w:r>
          </w:p>
        </w:tc>
      </w:tr>
      <w:tr>
        <w:trPr>
          <w:trHeight w:val="27"/>
        </w:trPr>
        <w:tc>
          <w:tcPr>
            <w:tcW w:w="686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 repurchases</w:t>
            </w:r>
          </w:p>
        </w:tc>
        <w:tc>
          <w:tcPr>
            <w:tcW w:w="2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2,269,498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254,429</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Shares issued for stock options and incentive compensation</w:t>
            </w:r>
          </w:p>
        </w:tc>
        <w:tc>
          <w:tcPr>
            <w:tcW w:w="2140" w:type="dxa"/>
            <w:vAlign w:val="bottom"/>
          </w:tcPr>
          <w:p>
            <w:pPr>
              <w:jc w:val="right"/>
              <w:spacing w:after="0"/>
              <w:rPr>
                <w:sz w:val="20"/>
                <w:szCs w:val="20"/>
                <w:color w:val="auto"/>
              </w:rPr>
            </w:pPr>
            <w:r>
              <w:rPr>
                <w:rFonts w:ascii="Arial" w:cs="Arial" w:eastAsia="Arial" w:hAnsi="Arial"/>
                <w:sz w:val="18"/>
                <w:szCs w:val="18"/>
                <w:color w:val="auto"/>
              </w:rPr>
              <w:t>(2,200,072)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(91,545)</w:t>
            </w:r>
          </w:p>
        </w:tc>
      </w:tr>
      <w:tr>
        <w:trPr>
          <w:trHeight w:val="27"/>
        </w:trPr>
        <w:tc>
          <w:tcPr>
            <w:tcW w:w="686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5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w:t>
            </w:r>
          </w:p>
        </w:tc>
        <w:tc>
          <w:tcPr>
            <w:tcW w:w="2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69,426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162,884</w:t>
            </w:r>
          </w:p>
        </w:tc>
      </w:tr>
      <w:tr>
        <w:trPr>
          <w:trHeight w:val="20"/>
        </w:trPr>
        <w:tc>
          <w:tcPr>
            <w:tcW w:w="686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 $100,000 share repurchase program approved by our Board of Directors in October 2017 was completed in the first quarter of 2019. In July 2018, our Board of Directors approved an additional $500,000 share repurchase authorization, to commence after the existing 2017 authorization was completed. As of June 30, 2019, $410,000 remained available for repurchases of our Common Stock under this program. We are authorized to purchase our</w:t>
      </w:r>
    </w:p>
    <w:p>
      <w:pPr>
        <w:sectPr>
          <w:pgSz w:w="11900" w:h="16838" w:orient="portrait"/>
          <w:cols w:equalWidth="0" w:num="1">
            <w:col w:w="11420"/>
          </w:cols>
          <w:pgMar w:left="240" w:top="115" w:right="239" w:bottom="1440" w:gutter="0" w:footer="0" w:header="0"/>
          <w:type w:val="continuous"/>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15" w:right="239" w:bottom="1440" w:gutter="0" w:footer="0" w:header="0"/>
          <w:type w:val="continuous"/>
        </w:sectPr>
      </w:pPr>
    </w:p>
    <w:bookmarkStart w:id="28" w:name="page29"/>
    <w:bookmarkEnd w:id="28"/>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UNAUDITED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9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outstanding shares in open market and privately negotiated transactions. The program has no expiration date and acquired shares of Common Stock will be held as treasury shares. Purchases under approved share repurchase authorizations are in addition to our practice of buying back shares sufficient to offset those issued under incentive compensation plans.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NONCONTROLLING INTEREST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 in Subsidiary</w:t>
      </w:r>
    </w:p>
    <w:p>
      <w:pPr>
        <w:spacing w:after="0" w:line="9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currently own a 50% controlling interest in Lotte Shanghai Foods Co., Ltd. (“LSFC”), a joint venture established in 2007 in China for the purpose of manufacturing and selling product to the joint venture partners.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80" w:type="dxa"/>
            <w:vAlign w:val="bottom"/>
          </w:tcPr>
          <w:p>
            <w:pPr>
              <w:spacing w:after="0"/>
              <w:rPr>
                <w:sz w:val="20"/>
                <w:szCs w:val="20"/>
                <w:color w:val="auto"/>
              </w:rPr>
            </w:pPr>
            <w:r>
              <w:rPr>
                <w:rFonts w:ascii="Arial" w:cs="Arial" w:eastAsia="Arial" w:hAnsi="Arial"/>
                <w:sz w:val="18"/>
                <w:szCs w:val="18"/>
                <w:color w:val="auto"/>
              </w:rPr>
              <w:t>A roll-forward showing the 2019 activity relating to the noncontrolling interest follows:</w:t>
            </w:r>
          </w:p>
        </w:tc>
        <w:tc>
          <w:tcPr>
            <w:tcW w:w="7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78"/>
        </w:trPr>
        <w:tc>
          <w:tcPr>
            <w:tcW w:w="9480" w:type="dxa"/>
            <w:vAlign w:val="bottom"/>
          </w:tcPr>
          <w:p>
            <w:pPr>
              <w:spacing w:after="0"/>
              <w:rPr>
                <w:sz w:val="24"/>
                <w:szCs w:val="24"/>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Noncontrolling Interest</w:t>
            </w:r>
          </w:p>
        </w:tc>
      </w:tr>
      <w:tr>
        <w:trPr>
          <w:trHeight w:val="27"/>
        </w:trPr>
        <w:tc>
          <w:tcPr>
            <w:tcW w:w="94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2018</w:t>
            </w:r>
          </w:p>
        </w:tc>
        <w:tc>
          <w:tcPr>
            <w:tcW w:w="78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8,545</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Net loss attributable to noncontrolling interest</w:t>
            </w:r>
          </w:p>
        </w:tc>
        <w:tc>
          <w:tcPr>
            <w:tcW w:w="7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9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 foreign currency translation adjustments</w:t>
            </w:r>
          </w:p>
        </w:tc>
        <w:tc>
          <w:tcPr>
            <w:tcW w:w="7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462</w:t>
            </w:r>
          </w:p>
        </w:tc>
      </w:tr>
      <w:tr>
        <w:trPr>
          <w:trHeight w:val="257"/>
        </w:trPr>
        <w:tc>
          <w:tcPr>
            <w:tcW w:w="9480" w:type="dxa"/>
            <w:vAlign w:val="bottom"/>
          </w:tcPr>
          <w:p>
            <w:pPr>
              <w:ind w:left="40"/>
              <w:spacing w:after="0"/>
              <w:rPr>
                <w:sz w:val="20"/>
                <w:szCs w:val="20"/>
                <w:color w:val="auto"/>
              </w:rPr>
            </w:pPr>
            <w:r>
              <w:rPr>
                <w:rFonts w:ascii="Arial" w:cs="Arial" w:eastAsia="Arial" w:hAnsi="Arial"/>
                <w:sz w:val="18"/>
                <w:szCs w:val="18"/>
                <w:color w:val="auto"/>
              </w:rPr>
              <w:t>Balance, June 30, 2019</w:t>
            </w:r>
          </w:p>
        </w:tc>
        <w:tc>
          <w:tcPr>
            <w:tcW w:w="7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8,961</w:t>
            </w:r>
          </w:p>
        </w:tc>
      </w:tr>
      <w:tr>
        <w:trPr>
          <w:trHeight w:val="20"/>
        </w:trPr>
        <w:tc>
          <w:tcPr>
            <w:tcW w:w="94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CONTINGENCIES</w:t>
      </w:r>
    </w:p>
    <w:p>
      <w:pPr>
        <w:spacing w:after="0" w:line="9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are subject to various pending or threatened legal proceedings and claims that arise in the ordinary course of our business. While it is not feasible to predict or determine the outcome of such proceedings and claims with certainty, in our opinion these matters, both individually and in the aggregate, are not expected to have a material effect on our financial condition, results of operations or cash flows.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EARNINGS PER SHARE</w:t>
      </w:r>
    </w:p>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compute basic earnings per share for Common Stock and Class B common stock using the two-class method. The Class B common stock is convertible into Common Stock on a share-for-share basis at any time. The computation of diluted earnings per share for Common Stock assumes the conversion of Class B common stock using the if-converted method, while the diluted earnings per share of Class B common stock does not assume the conversion of those shares.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15" w:right="239" w:bottom="1440" w:gutter="0" w:footer="0" w:header="0"/>
        </w:sectPr>
      </w:pPr>
    </w:p>
    <w:bookmarkStart w:id="29" w:name="page30"/>
    <w:bookmarkEnd w:id="29"/>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UNAUDITED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9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compute basic and diluted earnings per share based on the weighted-average number of shares of Common Stock and Class B common stock outstanding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5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w w:val="92"/>
              </w:rPr>
              <w:t>June 30, 2019</w:t>
            </w:r>
          </w:p>
        </w:tc>
        <w:tc>
          <w:tcPr>
            <w:tcW w:w="7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w w:val="94"/>
              </w:rPr>
              <w:t>July 1, 2018</w:t>
            </w:r>
          </w:p>
        </w:tc>
        <w:tc>
          <w:tcPr>
            <w:tcW w:w="7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6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Common Stock</w:t>
            </w:r>
          </w:p>
        </w:tc>
        <w:tc>
          <w:tcPr>
            <w:tcW w:w="126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Class B Common</w:t>
            </w:r>
          </w:p>
        </w:tc>
        <w:tc>
          <w:tcPr>
            <w:tcW w:w="12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Common Stock</w:t>
            </w:r>
          </w:p>
        </w:tc>
        <w:tc>
          <w:tcPr>
            <w:tcW w:w="11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w w:val="93"/>
              </w:rPr>
              <w:t>Class B Common</w:t>
            </w:r>
          </w:p>
        </w:tc>
        <w:tc>
          <w:tcPr>
            <w:tcW w:w="0" w:type="dxa"/>
            <w:vAlign w:val="bottom"/>
          </w:tcPr>
          <w:p>
            <w:pPr>
              <w:spacing w:after="0"/>
              <w:rPr>
                <w:sz w:val="1"/>
                <w:szCs w:val="1"/>
                <w:color w:val="auto"/>
              </w:rPr>
            </w:pPr>
          </w:p>
        </w:tc>
      </w:tr>
      <w:tr>
        <w:trPr>
          <w:trHeight w:val="192"/>
        </w:trPr>
        <w:tc>
          <w:tcPr>
            <w:tcW w:w="6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w:t>
            </w:r>
          </w:p>
        </w:tc>
        <w:tc>
          <w:tcPr>
            <w:tcW w:w="1220" w:type="dxa"/>
            <w:vAlign w:val="bottom"/>
            <w:gridSpan w:val="3"/>
            <w:vMerge w:val="continue"/>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ind w:right="300"/>
              <w:spacing w:after="0"/>
              <w:rPr>
                <w:sz w:val="20"/>
                <w:szCs w:val="20"/>
                <w:color w:val="auto"/>
              </w:rPr>
            </w:pPr>
            <w:r>
              <w:rPr>
                <w:rFonts w:ascii="Arial" w:cs="Arial" w:eastAsia="Arial" w:hAnsi="Arial"/>
                <w:sz w:val="14"/>
                <w:szCs w:val="14"/>
                <w:b w:val="1"/>
                <w:bCs w:val="1"/>
                <w:color w:val="auto"/>
                <w:w w:val="94"/>
              </w:rPr>
              <w:t>Stock</w:t>
            </w:r>
          </w:p>
        </w:tc>
        <w:tc>
          <w:tcPr>
            <w:tcW w:w="0" w:type="dxa"/>
            <w:vAlign w:val="bottom"/>
          </w:tcPr>
          <w:p>
            <w:pPr>
              <w:spacing w:after="0"/>
              <w:rPr>
                <w:sz w:val="1"/>
                <w:szCs w:val="1"/>
                <w:color w:val="auto"/>
              </w:rPr>
            </w:pPr>
          </w:p>
        </w:tc>
      </w:tr>
      <w:tr>
        <w:trPr>
          <w:trHeight w:val="250"/>
        </w:trPr>
        <w:tc>
          <w:tcPr>
            <w:tcW w:w="6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earnings per share:</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540" w:type="dxa"/>
            <w:vAlign w:val="bottom"/>
          </w:tcPr>
          <w:p>
            <w:pPr>
              <w:ind w:left="180"/>
              <w:spacing w:after="0"/>
              <w:rPr>
                <w:sz w:val="20"/>
                <w:szCs w:val="20"/>
                <w:color w:val="auto"/>
              </w:rPr>
            </w:pPr>
            <w:r>
              <w:rPr>
                <w:rFonts w:ascii="Arial" w:cs="Arial" w:eastAsia="Arial" w:hAnsi="Arial"/>
                <w:sz w:val="16"/>
                <w:szCs w:val="16"/>
                <w:color w:val="auto"/>
              </w:rPr>
              <w:t>Numerator:</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Allocation of distributed earnings (cash dividends paid)</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109,258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39,762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97,450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36,129</w:t>
            </w:r>
          </w:p>
        </w:tc>
        <w:tc>
          <w:tcPr>
            <w:tcW w:w="0" w:type="dxa"/>
            <w:vAlign w:val="bottom"/>
          </w:tcPr>
          <w:p>
            <w:pPr>
              <w:spacing w:after="0"/>
              <w:rPr>
                <w:sz w:val="1"/>
                <w:szCs w:val="1"/>
                <w:color w:val="auto"/>
              </w:rPr>
            </w:pPr>
          </w:p>
        </w:tc>
      </w:tr>
      <w:tr>
        <w:trPr>
          <w:trHeight w:val="237"/>
        </w:trPr>
        <w:tc>
          <w:tcPr>
            <w:tcW w:w="6540" w:type="dxa"/>
            <w:vAlign w:val="bottom"/>
          </w:tcPr>
          <w:p>
            <w:pPr>
              <w:ind w:left="340"/>
              <w:spacing w:after="0"/>
              <w:rPr>
                <w:sz w:val="20"/>
                <w:szCs w:val="20"/>
                <w:color w:val="auto"/>
              </w:rPr>
            </w:pPr>
            <w:r>
              <w:rPr>
                <w:rFonts w:ascii="Arial" w:cs="Arial" w:eastAsia="Arial" w:hAnsi="Arial"/>
                <w:sz w:val="16"/>
                <w:szCs w:val="16"/>
                <w:color w:val="auto"/>
              </w:rPr>
              <w:t>Allocation of undistributed earnings</w:t>
            </w:r>
          </w:p>
        </w:tc>
        <w:tc>
          <w:tcPr>
            <w:tcW w:w="10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119,616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44,204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68,097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25,179</w:t>
            </w:r>
          </w:p>
        </w:tc>
        <w:tc>
          <w:tcPr>
            <w:tcW w:w="0" w:type="dxa"/>
            <w:vAlign w:val="bottom"/>
          </w:tcPr>
          <w:p>
            <w:pPr>
              <w:spacing w:after="0"/>
              <w:rPr>
                <w:sz w:val="1"/>
                <w:szCs w:val="1"/>
                <w:color w:val="auto"/>
              </w:rPr>
            </w:pPr>
          </w:p>
        </w:tc>
      </w:tr>
      <w:tr>
        <w:trPr>
          <w:trHeight w:val="33"/>
        </w:trPr>
        <w:tc>
          <w:tcPr>
            <w:tcW w:w="65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earnings—basic</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228,874</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83,966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165,547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61,308</w:t>
            </w:r>
          </w:p>
        </w:tc>
        <w:tc>
          <w:tcPr>
            <w:tcW w:w="0" w:type="dxa"/>
            <w:vAlign w:val="bottom"/>
          </w:tcPr>
          <w:p>
            <w:pPr>
              <w:spacing w:after="0"/>
              <w:rPr>
                <w:sz w:val="1"/>
                <w:szCs w:val="1"/>
                <w:color w:val="auto"/>
              </w:rPr>
            </w:pPr>
          </w:p>
        </w:tc>
      </w:tr>
      <w:tr>
        <w:trPr>
          <w:trHeight w:val="189"/>
        </w:trPr>
        <w:tc>
          <w:tcPr>
            <w:tcW w:w="6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Denominator (shares in thousands):</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540" w:type="dxa"/>
            <w:vAlign w:val="bottom"/>
          </w:tcPr>
          <w:p>
            <w:pPr>
              <w:ind w:left="280"/>
              <w:spacing w:after="0"/>
              <w:rPr>
                <w:sz w:val="20"/>
                <w:szCs w:val="20"/>
                <w:color w:val="auto"/>
              </w:rPr>
            </w:pPr>
            <w:r>
              <w:rPr>
                <w:rFonts w:ascii="Arial" w:cs="Arial" w:eastAsia="Arial" w:hAnsi="Arial"/>
                <w:sz w:val="16"/>
                <w:szCs w:val="16"/>
                <w:color w:val="auto"/>
              </w:rPr>
              <w:t>Total weighted-average shares—basic</w:t>
            </w:r>
          </w:p>
        </w:tc>
        <w:tc>
          <w:tcPr>
            <w:tcW w:w="10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149,025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60,614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148,948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60,620</w:t>
            </w:r>
          </w:p>
        </w:tc>
        <w:tc>
          <w:tcPr>
            <w:tcW w:w="0" w:type="dxa"/>
            <w:vAlign w:val="bottom"/>
          </w:tcPr>
          <w:p>
            <w:pPr>
              <w:spacing w:after="0"/>
              <w:rPr>
                <w:sz w:val="1"/>
                <w:szCs w:val="1"/>
                <w:color w:val="auto"/>
              </w:rPr>
            </w:pPr>
          </w:p>
        </w:tc>
      </w:tr>
      <w:tr>
        <w:trPr>
          <w:trHeight w:val="33"/>
        </w:trPr>
        <w:tc>
          <w:tcPr>
            <w:tcW w:w="65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6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Earnings Per Share—basic</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1.54</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1.39</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1.11</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176"/>
        </w:trPr>
        <w:tc>
          <w:tcPr>
            <w:tcW w:w="6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540" w:type="dxa"/>
            <w:vAlign w:val="bottom"/>
          </w:tcPr>
          <w:p>
            <w:pPr>
              <w:ind w:left="40"/>
              <w:spacing w:after="0"/>
              <w:rPr>
                <w:sz w:val="20"/>
                <w:szCs w:val="20"/>
                <w:color w:val="auto"/>
              </w:rPr>
            </w:pPr>
            <w:r>
              <w:rPr>
                <w:rFonts w:ascii="Arial" w:cs="Arial" w:eastAsia="Arial" w:hAnsi="Arial"/>
                <w:sz w:val="16"/>
                <w:szCs w:val="16"/>
                <w:color w:val="auto"/>
              </w:rPr>
              <w:t>Diluted earnings per share:</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Numerator:</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540" w:type="dxa"/>
            <w:vAlign w:val="bottom"/>
          </w:tcPr>
          <w:p>
            <w:pPr>
              <w:ind w:left="280"/>
              <w:spacing w:after="0"/>
              <w:rPr>
                <w:sz w:val="20"/>
                <w:szCs w:val="20"/>
                <w:color w:val="auto"/>
              </w:rPr>
            </w:pPr>
            <w:r>
              <w:rPr>
                <w:rFonts w:ascii="Arial" w:cs="Arial" w:eastAsia="Arial" w:hAnsi="Arial"/>
                <w:sz w:val="16"/>
                <w:szCs w:val="16"/>
                <w:color w:val="auto"/>
              </w:rPr>
              <w:t>Allocation of total earnings used in basic computation</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228,874</w:t>
            </w:r>
          </w:p>
        </w:tc>
        <w:tc>
          <w:tcPr>
            <w:tcW w:w="120" w:type="dxa"/>
            <w:vAlign w:val="bottom"/>
          </w:tcPr>
          <w:p>
            <w:pPr>
              <w:spacing w:after="0"/>
              <w:rPr>
                <w:sz w:val="20"/>
                <w:szCs w:val="20"/>
                <w:color w:val="auto"/>
              </w:rPr>
            </w:pPr>
          </w:p>
        </w:tc>
        <w:tc>
          <w:tcPr>
            <w:tcW w:w="380" w:type="dxa"/>
            <w:vAlign w:val="bottom"/>
          </w:tcPr>
          <w:p>
            <w:pPr>
              <w:ind w:left="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83,966</w:t>
            </w:r>
          </w:p>
        </w:tc>
        <w:tc>
          <w:tcPr>
            <w:tcW w:w="120" w:type="dxa"/>
            <w:vAlign w:val="bottom"/>
          </w:tcPr>
          <w:p>
            <w:pPr>
              <w:spacing w:after="0"/>
              <w:rPr>
                <w:sz w:val="20"/>
                <w:szCs w:val="20"/>
                <w:color w:val="auto"/>
              </w:rPr>
            </w:pPr>
          </w:p>
        </w:tc>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165,547</w:t>
            </w:r>
          </w:p>
        </w:tc>
        <w:tc>
          <w:tcPr>
            <w:tcW w:w="100" w:type="dxa"/>
            <w:vAlign w:val="bottom"/>
          </w:tcPr>
          <w:p>
            <w:pPr>
              <w:spacing w:after="0"/>
              <w:rPr>
                <w:sz w:val="20"/>
                <w:szCs w:val="20"/>
                <w:color w:val="auto"/>
              </w:rPr>
            </w:pP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61,308</w:t>
            </w:r>
          </w:p>
        </w:tc>
        <w:tc>
          <w:tcPr>
            <w:tcW w:w="0" w:type="dxa"/>
            <w:vAlign w:val="bottom"/>
          </w:tcPr>
          <w:p>
            <w:pPr>
              <w:spacing w:after="0"/>
              <w:rPr>
                <w:sz w:val="1"/>
                <w:szCs w:val="1"/>
                <w:color w:val="auto"/>
              </w:rPr>
            </w:pPr>
          </w:p>
        </w:tc>
      </w:tr>
      <w:tr>
        <w:trPr>
          <w:trHeight w:val="33"/>
        </w:trPr>
        <w:tc>
          <w:tcPr>
            <w:tcW w:w="6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54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5"/>
              </w:rPr>
              <w:t>Reallocation of total earnings as a result of conversion of Class B common stock to Common</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stock</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83,966</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61,308</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540" w:type="dxa"/>
            <w:vAlign w:val="bottom"/>
          </w:tcPr>
          <w:p>
            <w:pPr>
              <w:ind w:left="280"/>
              <w:spacing w:after="0"/>
              <w:rPr>
                <w:sz w:val="20"/>
                <w:szCs w:val="20"/>
                <w:color w:val="auto"/>
              </w:rPr>
            </w:pPr>
            <w:r>
              <w:rPr>
                <w:rFonts w:ascii="Arial" w:cs="Arial" w:eastAsia="Arial" w:hAnsi="Arial"/>
                <w:sz w:val="16"/>
                <w:szCs w:val="16"/>
                <w:color w:val="auto"/>
              </w:rPr>
              <w:t>Reallocation of undistributed earnings</w:t>
            </w:r>
          </w:p>
        </w:tc>
        <w:tc>
          <w:tcPr>
            <w:tcW w:w="1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33"/>
        </w:trPr>
        <w:tc>
          <w:tcPr>
            <w:tcW w:w="65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earnings—diluted</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312,840</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83,712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226,855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61,208</w:t>
            </w:r>
          </w:p>
        </w:tc>
        <w:tc>
          <w:tcPr>
            <w:tcW w:w="0" w:type="dxa"/>
            <w:vAlign w:val="bottom"/>
          </w:tcPr>
          <w:p>
            <w:pPr>
              <w:spacing w:after="0"/>
              <w:rPr>
                <w:sz w:val="1"/>
                <w:szCs w:val="1"/>
                <w:color w:val="auto"/>
              </w:rPr>
            </w:pPr>
          </w:p>
        </w:tc>
      </w:tr>
      <w:tr>
        <w:trPr>
          <w:trHeight w:val="189"/>
        </w:trPr>
        <w:tc>
          <w:tcPr>
            <w:tcW w:w="6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Denominator (shares in thousands):</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540" w:type="dxa"/>
            <w:vAlign w:val="bottom"/>
          </w:tcPr>
          <w:p>
            <w:pPr>
              <w:ind w:left="280"/>
              <w:spacing w:after="0"/>
              <w:rPr>
                <w:sz w:val="20"/>
                <w:szCs w:val="20"/>
                <w:color w:val="auto"/>
              </w:rPr>
            </w:pPr>
            <w:r>
              <w:rPr>
                <w:rFonts w:ascii="Arial" w:cs="Arial" w:eastAsia="Arial" w:hAnsi="Arial"/>
                <w:sz w:val="16"/>
                <w:szCs w:val="16"/>
                <w:color w:val="auto"/>
              </w:rPr>
              <w:t>Number of shares used in basic computation</w:t>
            </w:r>
          </w:p>
        </w:tc>
        <w:tc>
          <w:tcPr>
            <w:tcW w:w="10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149,025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60,614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148,948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60,620</w:t>
            </w:r>
          </w:p>
        </w:tc>
        <w:tc>
          <w:tcPr>
            <w:tcW w:w="0" w:type="dxa"/>
            <w:vAlign w:val="bottom"/>
          </w:tcPr>
          <w:p>
            <w:pPr>
              <w:spacing w:after="0"/>
              <w:rPr>
                <w:sz w:val="1"/>
                <w:szCs w:val="1"/>
                <w:color w:val="auto"/>
              </w:rPr>
            </w:pPr>
          </w:p>
        </w:tc>
      </w:tr>
      <w:tr>
        <w:trPr>
          <w:trHeight w:val="33"/>
        </w:trPr>
        <w:tc>
          <w:tcPr>
            <w:tcW w:w="6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Weighted-average effect of dilutive securities:</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540" w:type="dxa"/>
            <w:vAlign w:val="bottom"/>
          </w:tcPr>
          <w:p>
            <w:pPr>
              <w:ind w:left="380"/>
              <w:spacing w:after="0"/>
              <w:rPr>
                <w:sz w:val="20"/>
                <w:szCs w:val="20"/>
                <w:color w:val="auto"/>
              </w:rPr>
            </w:pPr>
            <w:r>
              <w:rPr>
                <w:rFonts w:ascii="Arial" w:cs="Arial" w:eastAsia="Arial" w:hAnsi="Arial"/>
                <w:sz w:val="16"/>
                <w:szCs w:val="16"/>
                <w:color w:val="auto"/>
              </w:rPr>
              <w:t>Conversion of Class B common stock to Common shares outstanding</w:t>
            </w:r>
          </w:p>
        </w:tc>
        <w:tc>
          <w:tcPr>
            <w:tcW w:w="10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60,614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60,620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Employee stock options</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817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540" w:type="dxa"/>
            <w:vAlign w:val="bottom"/>
          </w:tcPr>
          <w:p>
            <w:pPr>
              <w:ind w:left="380"/>
              <w:spacing w:after="0"/>
              <w:rPr>
                <w:sz w:val="20"/>
                <w:szCs w:val="20"/>
                <w:color w:val="auto"/>
              </w:rPr>
            </w:pPr>
            <w:r>
              <w:rPr>
                <w:rFonts w:ascii="Arial" w:cs="Arial" w:eastAsia="Arial" w:hAnsi="Arial"/>
                <w:sz w:val="16"/>
                <w:szCs w:val="16"/>
                <w:color w:val="auto"/>
              </w:rPr>
              <w:t>Performance and restricted stock units</w:t>
            </w:r>
          </w:p>
        </w:tc>
        <w:tc>
          <w:tcPr>
            <w:tcW w:w="10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361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251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5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weighted-average shares—diluted</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210,817</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60,614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210,378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60,620</w:t>
            </w:r>
          </w:p>
        </w:tc>
        <w:tc>
          <w:tcPr>
            <w:tcW w:w="0" w:type="dxa"/>
            <w:vAlign w:val="bottom"/>
          </w:tcPr>
          <w:p>
            <w:pPr>
              <w:spacing w:after="0"/>
              <w:rPr>
                <w:sz w:val="1"/>
                <w:szCs w:val="1"/>
                <w:color w:val="auto"/>
              </w:rPr>
            </w:pPr>
          </w:p>
        </w:tc>
      </w:tr>
      <w:tr>
        <w:trPr>
          <w:trHeight w:val="189"/>
        </w:trPr>
        <w:tc>
          <w:tcPr>
            <w:tcW w:w="6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Per Share—diluted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The earnings per share calculations for the three months ended June 30, 2019 and July 1, 2018 excluded 47 and 4,196 stock options (in thousands), respectively, that would have been antidilutive.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15" w:right="239" w:bottom="1440" w:gutter="0" w:footer="0" w:header="0"/>
        </w:sectPr>
      </w:pPr>
    </w:p>
    <w:bookmarkStart w:id="30" w:name="page31"/>
    <w:bookmarkEnd w:id="30"/>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UNAUDITED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9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compute basic and diluted earnings per share based on the weighted-average number of shares of Common Stock and Class B common stock outstanding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5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w w:val="92"/>
              </w:rPr>
              <w:t>June 30, 2019</w:t>
            </w:r>
          </w:p>
        </w:tc>
        <w:tc>
          <w:tcPr>
            <w:tcW w:w="7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94"/>
              </w:rPr>
              <w:t>July 1, 2018</w:t>
            </w:r>
          </w:p>
        </w:tc>
        <w:tc>
          <w:tcPr>
            <w:tcW w:w="7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6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Common Stock</w:t>
            </w:r>
          </w:p>
        </w:tc>
        <w:tc>
          <w:tcPr>
            <w:tcW w:w="126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Class B Common</w:t>
            </w:r>
          </w:p>
        </w:tc>
        <w:tc>
          <w:tcPr>
            <w:tcW w:w="12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Common Stock</w:t>
            </w:r>
          </w:p>
        </w:tc>
        <w:tc>
          <w:tcPr>
            <w:tcW w:w="11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w w:val="93"/>
              </w:rPr>
              <w:t>Class B Common</w:t>
            </w:r>
          </w:p>
        </w:tc>
        <w:tc>
          <w:tcPr>
            <w:tcW w:w="0" w:type="dxa"/>
            <w:vAlign w:val="bottom"/>
          </w:tcPr>
          <w:p>
            <w:pPr>
              <w:spacing w:after="0"/>
              <w:rPr>
                <w:sz w:val="1"/>
                <w:szCs w:val="1"/>
                <w:color w:val="auto"/>
              </w:rPr>
            </w:pPr>
          </w:p>
        </w:tc>
      </w:tr>
      <w:tr>
        <w:trPr>
          <w:trHeight w:val="192"/>
        </w:trPr>
        <w:tc>
          <w:tcPr>
            <w:tcW w:w="6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w:t>
            </w:r>
          </w:p>
        </w:tc>
        <w:tc>
          <w:tcPr>
            <w:tcW w:w="1220" w:type="dxa"/>
            <w:vAlign w:val="bottom"/>
            <w:gridSpan w:val="3"/>
            <w:vMerge w:val="continue"/>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ind w:right="300"/>
              <w:spacing w:after="0"/>
              <w:rPr>
                <w:sz w:val="20"/>
                <w:szCs w:val="20"/>
                <w:color w:val="auto"/>
              </w:rPr>
            </w:pPr>
            <w:r>
              <w:rPr>
                <w:rFonts w:ascii="Arial" w:cs="Arial" w:eastAsia="Arial" w:hAnsi="Arial"/>
                <w:sz w:val="14"/>
                <w:szCs w:val="14"/>
                <w:b w:val="1"/>
                <w:bCs w:val="1"/>
                <w:color w:val="auto"/>
                <w:w w:val="94"/>
              </w:rPr>
              <w:t>Stock</w:t>
            </w:r>
          </w:p>
        </w:tc>
        <w:tc>
          <w:tcPr>
            <w:tcW w:w="0" w:type="dxa"/>
            <w:vAlign w:val="bottom"/>
          </w:tcPr>
          <w:p>
            <w:pPr>
              <w:spacing w:after="0"/>
              <w:rPr>
                <w:sz w:val="1"/>
                <w:szCs w:val="1"/>
                <w:color w:val="auto"/>
              </w:rPr>
            </w:pPr>
          </w:p>
        </w:tc>
      </w:tr>
      <w:tr>
        <w:trPr>
          <w:trHeight w:val="250"/>
        </w:trPr>
        <w:tc>
          <w:tcPr>
            <w:tcW w:w="6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earnings per share:</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540" w:type="dxa"/>
            <w:vAlign w:val="bottom"/>
          </w:tcPr>
          <w:p>
            <w:pPr>
              <w:ind w:left="180"/>
              <w:spacing w:after="0"/>
              <w:rPr>
                <w:sz w:val="20"/>
                <w:szCs w:val="20"/>
                <w:color w:val="auto"/>
              </w:rPr>
            </w:pPr>
            <w:r>
              <w:rPr>
                <w:rFonts w:ascii="Arial" w:cs="Arial" w:eastAsia="Arial" w:hAnsi="Arial"/>
                <w:sz w:val="16"/>
                <w:szCs w:val="16"/>
                <w:color w:val="auto"/>
              </w:rPr>
              <w:t>Numerator:</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Allocation of distributed earnings (cash dividends paid)</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215,958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79,525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80"/>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195,620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72,259</w:t>
            </w:r>
          </w:p>
        </w:tc>
        <w:tc>
          <w:tcPr>
            <w:tcW w:w="0" w:type="dxa"/>
            <w:vAlign w:val="bottom"/>
          </w:tcPr>
          <w:p>
            <w:pPr>
              <w:spacing w:after="0"/>
              <w:rPr>
                <w:sz w:val="1"/>
                <w:szCs w:val="1"/>
                <w:color w:val="auto"/>
              </w:rPr>
            </w:pPr>
          </w:p>
        </w:tc>
      </w:tr>
      <w:tr>
        <w:trPr>
          <w:trHeight w:val="237"/>
        </w:trPr>
        <w:tc>
          <w:tcPr>
            <w:tcW w:w="6540" w:type="dxa"/>
            <w:vAlign w:val="bottom"/>
          </w:tcPr>
          <w:p>
            <w:pPr>
              <w:ind w:left="340"/>
              <w:spacing w:after="0"/>
              <w:rPr>
                <w:sz w:val="20"/>
                <w:szCs w:val="20"/>
                <w:color w:val="auto"/>
              </w:rPr>
            </w:pPr>
            <w:r>
              <w:rPr>
                <w:rFonts w:ascii="Arial" w:cs="Arial" w:eastAsia="Arial" w:hAnsi="Arial"/>
                <w:sz w:val="16"/>
                <w:szCs w:val="16"/>
                <w:color w:val="auto"/>
              </w:rPr>
              <w:t>Allocation of undistributed earnings</w:t>
            </w:r>
          </w:p>
        </w:tc>
        <w:tc>
          <w:tcPr>
            <w:tcW w:w="10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234,836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86,879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jc w:val="right"/>
              <w:ind w:right="40"/>
              <w:spacing w:after="0"/>
              <w:rPr>
                <w:sz w:val="20"/>
                <w:szCs w:val="20"/>
                <w:color w:val="auto"/>
              </w:rPr>
            </w:pPr>
            <w:r>
              <w:rPr>
                <w:rFonts w:ascii="Arial" w:cs="Arial" w:eastAsia="Arial" w:hAnsi="Arial"/>
                <w:sz w:val="16"/>
                <w:szCs w:val="16"/>
                <w:color w:val="auto"/>
                <w:w w:val="89"/>
              </w:rPr>
              <w:t>225,956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83,223</w:t>
            </w:r>
          </w:p>
        </w:tc>
        <w:tc>
          <w:tcPr>
            <w:tcW w:w="0" w:type="dxa"/>
            <w:vAlign w:val="bottom"/>
          </w:tcPr>
          <w:p>
            <w:pPr>
              <w:spacing w:after="0"/>
              <w:rPr>
                <w:sz w:val="1"/>
                <w:szCs w:val="1"/>
                <w:color w:val="auto"/>
              </w:rPr>
            </w:pPr>
          </w:p>
        </w:tc>
      </w:tr>
      <w:tr>
        <w:trPr>
          <w:trHeight w:val="33"/>
        </w:trPr>
        <w:tc>
          <w:tcPr>
            <w:tcW w:w="65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earnings—basic</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450,794</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166,404</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80"/>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421,576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155,482</w:t>
            </w:r>
          </w:p>
        </w:tc>
        <w:tc>
          <w:tcPr>
            <w:tcW w:w="0" w:type="dxa"/>
            <w:vAlign w:val="bottom"/>
          </w:tcPr>
          <w:p>
            <w:pPr>
              <w:spacing w:after="0"/>
              <w:rPr>
                <w:sz w:val="1"/>
                <w:szCs w:val="1"/>
                <w:color w:val="auto"/>
              </w:rPr>
            </w:pPr>
          </w:p>
        </w:tc>
      </w:tr>
      <w:tr>
        <w:trPr>
          <w:trHeight w:val="189"/>
        </w:trPr>
        <w:tc>
          <w:tcPr>
            <w:tcW w:w="6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Denominator (shares in thousands):</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540" w:type="dxa"/>
            <w:vAlign w:val="bottom"/>
          </w:tcPr>
          <w:p>
            <w:pPr>
              <w:ind w:left="280"/>
              <w:spacing w:after="0"/>
              <w:rPr>
                <w:sz w:val="20"/>
                <w:szCs w:val="20"/>
                <w:color w:val="auto"/>
              </w:rPr>
            </w:pPr>
            <w:r>
              <w:rPr>
                <w:rFonts w:ascii="Arial" w:cs="Arial" w:eastAsia="Arial" w:hAnsi="Arial"/>
                <w:sz w:val="16"/>
                <w:szCs w:val="16"/>
                <w:color w:val="auto"/>
              </w:rPr>
              <w:t>Total weighted-average shares—basic</w:t>
            </w:r>
          </w:p>
        </w:tc>
        <w:tc>
          <w:tcPr>
            <w:tcW w:w="10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148,864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60,614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jc w:val="right"/>
              <w:ind w:right="40"/>
              <w:spacing w:after="0"/>
              <w:rPr>
                <w:sz w:val="20"/>
                <w:szCs w:val="20"/>
                <w:color w:val="auto"/>
              </w:rPr>
            </w:pPr>
            <w:r>
              <w:rPr>
                <w:rFonts w:ascii="Arial" w:cs="Arial" w:eastAsia="Arial" w:hAnsi="Arial"/>
                <w:sz w:val="16"/>
                <w:szCs w:val="16"/>
                <w:color w:val="auto"/>
                <w:w w:val="89"/>
              </w:rPr>
              <w:t>149,534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60,620</w:t>
            </w:r>
          </w:p>
        </w:tc>
        <w:tc>
          <w:tcPr>
            <w:tcW w:w="0" w:type="dxa"/>
            <w:vAlign w:val="bottom"/>
          </w:tcPr>
          <w:p>
            <w:pPr>
              <w:spacing w:after="0"/>
              <w:rPr>
                <w:sz w:val="1"/>
                <w:szCs w:val="1"/>
                <w:color w:val="auto"/>
              </w:rPr>
            </w:pPr>
          </w:p>
        </w:tc>
      </w:tr>
      <w:tr>
        <w:trPr>
          <w:trHeight w:val="33"/>
        </w:trPr>
        <w:tc>
          <w:tcPr>
            <w:tcW w:w="65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6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Earnings Per Share—basic</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3.03</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2.75</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2.82</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2.56</w:t>
            </w:r>
          </w:p>
        </w:tc>
        <w:tc>
          <w:tcPr>
            <w:tcW w:w="0" w:type="dxa"/>
            <w:vAlign w:val="bottom"/>
          </w:tcPr>
          <w:p>
            <w:pPr>
              <w:spacing w:after="0"/>
              <w:rPr>
                <w:sz w:val="1"/>
                <w:szCs w:val="1"/>
                <w:color w:val="auto"/>
              </w:rPr>
            </w:pPr>
          </w:p>
        </w:tc>
      </w:tr>
      <w:tr>
        <w:trPr>
          <w:trHeight w:val="176"/>
        </w:trPr>
        <w:tc>
          <w:tcPr>
            <w:tcW w:w="6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540" w:type="dxa"/>
            <w:vAlign w:val="bottom"/>
          </w:tcPr>
          <w:p>
            <w:pPr>
              <w:ind w:left="40"/>
              <w:spacing w:after="0"/>
              <w:rPr>
                <w:sz w:val="20"/>
                <w:szCs w:val="20"/>
                <w:color w:val="auto"/>
              </w:rPr>
            </w:pPr>
            <w:r>
              <w:rPr>
                <w:rFonts w:ascii="Arial" w:cs="Arial" w:eastAsia="Arial" w:hAnsi="Arial"/>
                <w:sz w:val="16"/>
                <w:szCs w:val="16"/>
                <w:color w:val="auto"/>
              </w:rPr>
              <w:t>Diluted earnings per share:</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Numerator:</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540" w:type="dxa"/>
            <w:vAlign w:val="bottom"/>
          </w:tcPr>
          <w:p>
            <w:pPr>
              <w:ind w:left="280"/>
              <w:spacing w:after="0"/>
              <w:rPr>
                <w:sz w:val="20"/>
                <w:szCs w:val="20"/>
                <w:color w:val="auto"/>
              </w:rPr>
            </w:pPr>
            <w:r>
              <w:rPr>
                <w:rFonts w:ascii="Arial" w:cs="Arial" w:eastAsia="Arial" w:hAnsi="Arial"/>
                <w:sz w:val="16"/>
                <w:szCs w:val="16"/>
                <w:color w:val="auto"/>
              </w:rPr>
              <w:t>Allocation of total earnings used in basic computation</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450,794</w:t>
            </w:r>
          </w:p>
        </w:tc>
        <w:tc>
          <w:tcPr>
            <w:tcW w:w="120" w:type="dxa"/>
            <w:vAlign w:val="bottom"/>
          </w:tcPr>
          <w:p>
            <w:pPr>
              <w:spacing w:after="0"/>
              <w:rPr>
                <w:sz w:val="20"/>
                <w:szCs w:val="20"/>
                <w:color w:val="auto"/>
              </w:rPr>
            </w:pPr>
          </w:p>
        </w:tc>
        <w:tc>
          <w:tcPr>
            <w:tcW w:w="380" w:type="dxa"/>
            <w:vAlign w:val="bottom"/>
          </w:tcPr>
          <w:p>
            <w:pPr>
              <w:ind w:left="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166,404</w:t>
            </w:r>
          </w:p>
        </w:tc>
        <w:tc>
          <w:tcPr>
            <w:tcW w:w="120" w:type="dxa"/>
            <w:vAlign w:val="bottom"/>
          </w:tcPr>
          <w:p>
            <w:pPr>
              <w:spacing w:after="0"/>
              <w:rPr>
                <w:sz w:val="20"/>
                <w:szCs w:val="20"/>
                <w:color w:val="auto"/>
              </w:rPr>
            </w:pPr>
          </w:p>
        </w:tc>
        <w:tc>
          <w:tcPr>
            <w:tcW w:w="460" w:type="dxa"/>
            <w:vAlign w:val="bottom"/>
          </w:tcPr>
          <w:p>
            <w:pPr>
              <w:jc w:val="right"/>
              <w:ind w:right="280"/>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40"/>
              <w:spacing w:after="0"/>
              <w:rPr>
                <w:sz w:val="20"/>
                <w:szCs w:val="20"/>
                <w:color w:val="auto"/>
              </w:rPr>
            </w:pPr>
            <w:r>
              <w:rPr>
                <w:rFonts w:ascii="Arial" w:cs="Arial" w:eastAsia="Arial" w:hAnsi="Arial"/>
                <w:sz w:val="16"/>
                <w:szCs w:val="16"/>
                <w:color w:val="auto"/>
                <w:w w:val="89"/>
              </w:rPr>
              <w:t>421,576</w:t>
            </w:r>
          </w:p>
        </w:tc>
        <w:tc>
          <w:tcPr>
            <w:tcW w:w="100" w:type="dxa"/>
            <w:vAlign w:val="bottom"/>
          </w:tcPr>
          <w:p>
            <w:pPr>
              <w:spacing w:after="0"/>
              <w:rPr>
                <w:sz w:val="20"/>
                <w:szCs w:val="20"/>
                <w:color w:val="auto"/>
              </w:rPr>
            </w:pP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155,482</w:t>
            </w:r>
          </w:p>
        </w:tc>
        <w:tc>
          <w:tcPr>
            <w:tcW w:w="0" w:type="dxa"/>
            <w:vAlign w:val="bottom"/>
          </w:tcPr>
          <w:p>
            <w:pPr>
              <w:spacing w:after="0"/>
              <w:rPr>
                <w:sz w:val="1"/>
                <w:szCs w:val="1"/>
                <w:color w:val="auto"/>
              </w:rPr>
            </w:pPr>
          </w:p>
        </w:tc>
      </w:tr>
      <w:tr>
        <w:trPr>
          <w:trHeight w:val="33"/>
        </w:trPr>
        <w:tc>
          <w:tcPr>
            <w:tcW w:w="6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54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5"/>
              </w:rPr>
              <w:t>Reallocation of total earnings as a result of conversion of Class B common stock to Common</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stock</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166,404</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155,482</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540" w:type="dxa"/>
            <w:vAlign w:val="bottom"/>
          </w:tcPr>
          <w:p>
            <w:pPr>
              <w:ind w:left="280"/>
              <w:spacing w:after="0"/>
              <w:rPr>
                <w:sz w:val="20"/>
                <w:szCs w:val="20"/>
                <w:color w:val="auto"/>
              </w:rPr>
            </w:pPr>
            <w:r>
              <w:rPr>
                <w:rFonts w:ascii="Arial" w:cs="Arial" w:eastAsia="Arial" w:hAnsi="Arial"/>
                <w:sz w:val="16"/>
                <w:szCs w:val="16"/>
                <w:color w:val="auto"/>
              </w:rPr>
              <w:t>Reallocation of undistributed earnings</w:t>
            </w:r>
          </w:p>
        </w:tc>
        <w:tc>
          <w:tcPr>
            <w:tcW w:w="1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(462)</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(411)</w:t>
            </w:r>
          </w:p>
        </w:tc>
        <w:tc>
          <w:tcPr>
            <w:tcW w:w="0" w:type="dxa"/>
            <w:vAlign w:val="bottom"/>
          </w:tcPr>
          <w:p>
            <w:pPr>
              <w:spacing w:after="0"/>
              <w:rPr>
                <w:sz w:val="1"/>
                <w:szCs w:val="1"/>
                <w:color w:val="auto"/>
              </w:rPr>
            </w:pPr>
          </w:p>
        </w:tc>
      </w:tr>
      <w:tr>
        <w:trPr>
          <w:trHeight w:val="33"/>
        </w:trPr>
        <w:tc>
          <w:tcPr>
            <w:tcW w:w="65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earnings—diluted</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617,198</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165,942</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80"/>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577,058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155,071</w:t>
            </w:r>
          </w:p>
        </w:tc>
        <w:tc>
          <w:tcPr>
            <w:tcW w:w="0" w:type="dxa"/>
            <w:vAlign w:val="bottom"/>
          </w:tcPr>
          <w:p>
            <w:pPr>
              <w:spacing w:after="0"/>
              <w:rPr>
                <w:sz w:val="1"/>
                <w:szCs w:val="1"/>
                <w:color w:val="auto"/>
              </w:rPr>
            </w:pPr>
          </w:p>
        </w:tc>
      </w:tr>
      <w:tr>
        <w:trPr>
          <w:trHeight w:val="189"/>
        </w:trPr>
        <w:tc>
          <w:tcPr>
            <w:tcW w:w="6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Denominator (shares in thousands):</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540" w:type="dxa"/>
            <w:vAlign w:val="bottom"/>
          </w:tcPr>
          <w:p>
            <w:pPr>
              <w:ind w:left="280"/>
              <w:spacing w:after="0"/>
              <w:rPr>
                <w:sz w:val="20"/>
                <w:szCs w:val="20"/>
                <w:color w:val="auto"/>
              </w:rPr>
            </w:pPr>
            <w:r>
              <w:rPr>
                <w:rFonts w:ascii="Arial" w:cs="Arial" w:eastAsia="Arial" w:hAnsi="Arial"/>
                <w:sz w:val="16"/>
                <w:szCs w:val="16"/>
                <w:color w:val="auto"/>
              </w:rPr>
              <w:t>Number of shares used in basic computation</w:t>
            </w:r>
          </w:p>
        </w:tc>
        <w:tc>
          <w:tcPr>
            <w:tcW w:w="10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148,864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60,614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jc w:val="right"/>
              <w:ind w:right="40"/>
              <w:spacing w:after="0"/>
              <w:rPr>
                <w:sz w:val="20"/>
                <w:szCs w:val="20"/>
                <w:color w:val="auto"/>
              </w:rPr>
            </w:pPr>
            <w:r>
              <w:rPr>
                <w:rFonts w:ascii="Arial" w:cs="Arial" w:eastAsia="Arial" w:hAnsi="Arial"/>
                <w:sz w:val="16"/>
                <w:szCs w:val="16"/>
                <w:color w:val="auto"/>
                <w:w w:val="89"/>
              </w:rPr>
              <w:t>149,534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60,620</w:t>
            </w:r>
          </w:p>
        </w:tc>
        <w:tc>
          <w:tcPr>
            <w:tcW w:w="0" w:type="dxa"/>
            <w:vAlign w:val="bottom"/>
          </w:tcPr>
          <w:p>
            <w:pPr>
              <w:spacing w:after="0"/>
              <w:rPr>
                <w:sz w:val="1"/>
                <w:szCs w:val="1"/>
                <w:color w:val="auto"/>
              </w:rPr>
            </w:pPr>
          </w:p>
        </w:tc>
      </w:tr>
      <w:tr>
        <w:trPr>
          <w:trHeight w:val="33"/>
        </w:trPr>
        <w:tc>
          <w:tcPr>
            <w:tcW w:w="6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Weighted-average effect of dilutive securities:</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540" w:type="dxa"/>
            <w:vAlign w:val="bottom"/>
          </w:tcPr>
          <w:p>
            <w:pPr>
              <w:ind w:left="380"/>
              <w:spacing w:after="0"/>
              <w:rPr>
                <w:sz w:val="20"/>
                <w:szCs w:val="20"/>
                <w:color w:val="auto"/>
              </w:rPr>
            </w:pPr>
            <w:r>
              <w:rPr>
                <w:rFonts w:ascii="Arial" w:cs="Arial" w:eastAsia="Arial" w:hAnsi="Arial"/>
                <w:sz w:val="16"/>
                <w:szCs w:val="16"/>
                <w:color w:val="auto"/>
              </w:rPr>
              <w:t>Conversion of Class B common stock to Common shares outstanding</w:t>
            </w:r>
          </w:p>
        </w:tc>
        <w:tc>
          <w:tcPr>
            <w:tcW w:w="10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60,614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660" w:type="dxa"/>
            <w:vAlign w:val="bottom"/>
          </w:tcPr>
          <w:p>
            <w:pPr>
              <w:jc w:val="right"/>
              <w:ind w:right="40"/>
              <w:spacing w:after="0"/>
              <w:rPr>
                <w:sz w:val="20"/>
                <w:szCs w:val="20"/>
                <w:color w:val="auto"/>
              </w:rPr>
            </w:pPr>
            <w:r>
              <w:rPr>
                <w:rFonts w:ascii="Arial" w:cs="Arial" w:eastAsia="Arial" w:hAnsi="Arial"/>
                <w:sz w:val="16"/>
                <w:szCs w:val="16"/>
                <w:color w:val="auto"/>
              </w:rPr>
              <w:t>60,620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Employee stock options</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699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540" w:type="dxa"/>
            <w:vAlign w:val="bottom"/>
          </w:tcPr>
          <w:p>
            <w:pPr>
              <w:ind w:left="380"/>
              <w:spacing w:after="0"/>
              <w:rPr>
                <w:sz w:val="20"/>
                <w:szCs w:val="20"/>
                <w:color w:val="auto"/>
              </w:rPr>
            </w:pPr>
            <w:r>
              <w:rPr>
                <w:rFonts w:ascii="Arial" w:cs="Arial" w:eastAsia="Arial" w:hAnsi="Arial"/>
                <w:sz w:val="16"/>
                <w:szCs w:val="16"/>
                <w:color w:val="auto"/>
              </w:rPr>
              <w:t>Performance and restricted stock units</w:t>
            </w:r>
          </w:p>
        </w:tc>
        <w:tc>
          <w:tcPr>
            <w:tcW w:w="10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391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660" w:type="dxa"/>
            <w:vAlign w:val="bottom"/>
          </w:tcPr>
          <w:p>
            <w:pPr>
              <w:jc w:val="right"/>
              <w:ind w:right="40"/>
              <w:spacing w:after="0"/>
              <w:rPr>
                <w:sz w:val="20"/>
                <w:szCs w:val="20"/>
                <w:color w:val="auto"/>
              </w:rPr>
            </w:pPr>
            <w:r>
              <w:rPr>
                <w:rFonts w:ascii="Arial" w:cs="Arial" w:eastAsia="Arial" w:hAnsi="Arial"/>
                <w:sz w:val="16"/>
                <w:szCs w:val="16"/>
                <w:color w:val="auto"/>
              </w:rPr>
              <w:t>314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5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weighted-average shares—diluted</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210,568</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60,614</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211,170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60,620</w:t>
            </w:r>
          </w:p>
        </w:tc>
        <w:tc>
          <w:tcPr>
            <w:tcW w:w="0" w:type="dxa"/>
            <w:vAlign w:val="bottom"/>
          </w:tcPr>
          <w:p>
            <w:pPr>
              <w:spacing w:after="0"/>
              <w:rPr>
                <w:sz w:val="1"/>
                <w:szCs w:val="1"/>
                <w:color w:val="auto"/>
              </w:rPr>
            </w:pPr>
          </w:p>
        </w:tc>
      </w:tr>
      <w:tr>
        <w:trPr>
          <w:trHeight w:val="189"/>
        </w:trPr>
        <w:tc>
          <w:tcPr>
            <w:tcW w:w="6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Per Share—diluted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2.93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2.74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2.56</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earnings per share calculations for the six months ended June 30, 2019 and July 1, 2018 excluded 1,476 and 4,196 stock options (in thousands), respectively, that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15" w:right="239" w:bottom="1440" w:gutter="0" w:footer="0" w:header="0"/>
        </w:sectPr>
      </w:pPr>
    </w:p>
    <w:bookmarkStart w:id="31" w:name="page32"/>
    <w:bookmarkEnd w:id="31"/>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UNAUDITED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OTHER (INCOME) EXPENSE, NET</w:t>
      </w:r>
    </w:p>
    <w:p>
      <w:pPr>
        <w:spacing w:after="0" w:line="94"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Other (income) expense, net reports certain gains and losses associated with activities not directly related to our core operations. A summary of the components of other (income) expense, net is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0" w:type="dxa"/>
            <w:vAlign w:val="bottom"/>
            <w:gridSpan w:val="5"/>
          </w:tcPr>
          <w:p>
            <w:pPr>
              <w:ind w:left="60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8"/>
                <w:szCs w:val="18"/>
                <w:color w:val="auto"/>
              </w:rPr>
            </w:pPr>
          </w:p>
        </w:tc>
        <w:tc>
          <w:tcPr>
            <w:tcW w:w="2860" w:type="dxa"/>
            <w:vAlign w:val="bottom"/>
            <w:gridSpan w:val="4"/>
          </w:tcPr>
          <w:p>
            <w:pPr>
              <w:jc w:val="right"/>
              <w:ind w:right="792"/>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5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1"/>
        </w:trPr>
        <w:tc>
          <w:tcPr>
            <w:tcW w:w="5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2019</w:t>
            </w:r>
          </w:p>
        </w:tc>
        <w:tc>
          <w:tcPr>
            <w:tcW w:w="220" w:type="dxa"/>
            <w:vAlign w:val="bottom"/>
          </w:tcPr>
          <w:p>
            <w:pPr>
              <w:spacing w:after="0"/>
              <w:rPr>
                <w:sz w:val="20"/>
                <w:szCs w:val="20"/>
                <w:color w:val="auto"/>
              </w:rPr>
            </w:pPr>
          </w:p>
        </w:tc>
        <w:tc>
          <w:tcPr>
            <w:tcW w:w="1360" w:type="dxa"/>
            <w:vAlign w:val="bottom"/>
            <w:gridSpan w:val="2"/>
          </w:tcPr>
          <w:p>
            <w:pPr>
              <w:ind w:left="120"/>
              <w:spacing w:after="0"/>
              <w:rPr>
                <w:sz w:val="20"/>
                <w:szCs w:val="20"/>
                <w:color w:val="auto"/>
              </w:rPr>
            </w:pPr>
            <w:r>
              <w:rPr>
                <w:rFonts w:ascii="Arial" w:cs="Arial" w:eastAsia="Arial" w:hAnsi="Arial"/>
                <w:sz w:val="16"/>
                <w:szCs w:val="16"/>
                <w:b w:val="1"/>
                <w:bCs w:val="1"/>
                <w:color w:val="auto"/>
              </w:rPr>
              <w:t>July 1, 2018</w:t>
            </w:r>
          </w:p>
        </w:tc>
        <w:tc>
          <w:tcPr>
            <w:tcW w:w="200" w:type="dxa"/>
            <w:vAlign w:val="bottom"/>
          </w:tcPr>
          <w:p>
            <w:pPr>
              <w:spacing w:after="0"/>
              <w:rPr>
                <w:sz w:val="20"/>
                <w:szCs w:val="20"/>
                <w:color w:val="auto"/>
              </w:rPr>
            </w:pPr>
          </w:p>
        </w:tc>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2019</w:t>
            </w:r>
          </w:p>
        </w:tc>
        <w:tc>
          <w:tcPr>
            <w:tcW w:w="220" w:type="dxa"/>
            <w:vAlign w:val="bottom"/>
          </w:tcPr>
          <w:p>
            <w:pPr>
              <w:spacing w:after="0"/>
              <w:rPr>
                <w:sz w:val="20"/>
                <w:szCs w:val="20"/>
                <w:color w:val="auto"/>
              </w:rPr>
            </w:pPr>
          </w:p>
        </w:tc>
        <w:tc>
          <w:tcPr>
            <w:tcW w:w="1260" w:type="dxa"/>
            <w:vAlign w:val="bottom"/>
          </w:tcPr>
          <w:p>
            <w:pPr>
              <w:jc w:val="right"/>
              <w:ind w:right="232"/>
              <w:spacing w:after="0"/>
              <w:rPr>
                <w:sz w:val="20"/>
                <w:szCs w:val="20"/>
                <w:color w:val="auto"/>
              </w:rPr>
            </w:pPr>
            <w:r>
              <w:rPr>
                <w:rFonts w:ascii="Arial" w:cs="Arial" w:eastAsia="Arial" w:hAnsi="Arial"/>
                <w:sz w:val="16"/>
                <w:szCs w:val="16"/>
                <w:b w:val="1"/>
                <w:bCs w:val="1"/>
                <w:color w:val="auto"/>
              </w:rPr>
              <w:t>July 1, 2018</w:t>
            </w:r>
          </w:p>
        </w:tc>
      </w:tr>
      <w:tr>
        <w:trPr>
          <w:trHeight w:val="33"/>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Write-down of equity investments in partnerships qualifying for tax</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8,633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19,330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9,785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19,764</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w w:val="95"/>
              </w:rPr>
              <w:t>Non-service cost components of net periodic benefit cost relating to</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pension and other post-retirement benefit plans</w:t>
            </w:r>
          </w:p>
        </w:tc>
        <w:tc>
          <w:tcPr>
            <w:tcW w:w="200" w:type="dxa"/>
            <w:vAlign w:val="bottom"/>
          </w:tcPr>
          <w:p>
            <w:pPr>
              <w:spacing w:after="0"/>
              <w:rPr>
                <w:sz w:val="20"/>
                <w:szCs w:val="20"/>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4,336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8,673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(196)</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3,140</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13,125</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20,766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18,602</w:t>
            </w:r>
          </w:p>
        </w:tc>
        <w:tc>
          <w:tcPr>
            <w:tcW w:w="10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22,708</w:t>
            </w: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15" w:right="239" w:bottom="1440" w:gutter="0" w:footer="0" w:header="0"/>
        </w:sectPr>
      </w:pPr>
    </w:p>
    <w:bookmarkStart w:id="32" w:name="page33"/>
    <w:bookmarkEnd w:id="32"/>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UNAUDITED CONSOLIDATED FINANCIAL STATEMENTS—(Continued)</w:t>
      </w:r>
    </w:p>
    <w:p>
      <w:pPr>
        <w:spacing w:after="0" w:line="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SUPPLEMENTAL BALANCE SHEET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certain Consolidated Balance Sheet accounts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4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 2019</w:t>
            </w:r>
          </w:p>
        </w:tc>
        <w:tc>
          <w:tcPr>
            <w:tcW w:w="260" w:type="dxa"/>
            <w:vAlign w:val="bottom"/>
          </w:tcPr>
          <w:p>
            <w:pPr>
              <w:spacing w:after="0"/>
              <w:rPr>
                <w:sz w:val="18"/>
                <w:szCs w:val="18"/>
                <w:color w:val="auto"/>
              </w:rPr>
            </w:pPr>
          </w:p>
        </w:tc>
        <w:tc>
          <w:tcPr>
            <w:tcW w:w="1720" w:type="dxa"/>
            <w:vAlign w:val="bottom"/>
          </w:tcPr>
          <w:p>
            <w:pPr>
              <w:jc w:val="right"/>
              <w:ind w:right="259"/>
              <w:spacing w:after="0"/>
              <w:rPr>
                <w:sz w:val="20"/>
                <w:szCs w:val="20"/>
                <w:color w:val="auto"/>
              </w:rPr>
            </w:pPr>
            <w:r>
              <w:rPr>
                <w:rFonts w:ascii="Arial" w:cs="Arial" w:eastAsia="Arial" w:hAnsi="Arial"/>
                <w:sz w:val="16"/>
                <w:szCs w:val="16"/>
                <w:b w:val="1"/>
                <w:bCs w:val="1"/>
                <w:color w:val="auto"/>
                <w:w w:val="94"/>
              </w:rPr>
              <w:t>December 31, 2018</w:t>
            </w:r>
          </w:p>
        </w:tc>
      </w:tr>
      <w:tr>
        <w:trPr>
          <w:trHeight w:val="33"/>
        </w:trPr>
        <w:tc>
          <w:tcPr>
            <w:tcW w:w="7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Inventories:</w:t>
            </w:r>
          </w:p>
        </w:tc>
        <w:tc>
          <w:tcPr>
            <w:tcW w:w="3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37"/>
        </w:trPr>
        <w:tc>
          <w:tcPr>
            <w:tcW w:w="7220" w:type="dxa"/>
            <w:vAlign w:val="bottom"/>
          </w:tcPr>
          <w:p>
            <w:pPr>
              <w:ind w:left="180"/>
              <w:spacing w:after="0"/>
              <w:rPr>
                <w:sz w:val="20"/>
                <w:szCs w:val="20"/>
                <w:color w:val="auto"/>
              </w:rPr>
            </w:pPr>
            <w:r>
              <w:rPr>
                <w:rFonts w:ascii="Arial" w:cs="Arial" w:eastAsia="Arial" w:hAnsi="Arial"/>
                <w:sz w:val="16"/>
                <w:szCs w:val="16"/>
                <w:color w:val="auto"/>
              </w:rPr>
              <w:t>Raw materials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264,526</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237,086</w:t>
            </w:r>
          </w:p>
        </w:tc>
      </w:tr>
      <w:tr>
        <w:trPr>
          <w:trHeight w:val="33"/>
        </w:trPr>
        <w:tc>
          <w:tcPr>
            <w:tcW w:w="7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Goods in process</w:t>
            </w:r>
          </w:p>
        </w:tc>
        <w:tc>
          <w:tcPr>
            <w:tcW w:w="3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155,142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107,139</w:t>
            </w:r>
          </w:p>
        </w:tc>
      </w:tr>
      <w:tr>
        <w:trPr>
          <w:trHeight w:val="237"/>
        </w:trPr>
        <w:tc>
          <w:tcPr>
            <w:tcW w:w="7220" w:type="dxa"/>
            <w:vAlign w:val="bottom"/>
          </w:tcPr>
          <w:p>
            <w:pPr>
              <w:ind w:left="180"/>
              <w:spacing w:after="0"/>
              <w:rPr>
                <w:sz w:val="20"/>
                <w:szCs w:val="20"/>
                <w:color w:val="auto"/>
              </w:rPr>
            </w:pPr>
            <w:r>
              <w:rPr>
                <w:rFonts w:ascii="Arial" w:cs="Arial" w:eastAsia="Arial" w:hAnsi="Arial"/>
                <w:sz w:val="16"/>
                <w:szCs w:val="16"/>
                <w:color w:val="auto"/>
              </w:rPr>
              <w:t>Finished goods</w:t>
            </w:r>
          </w:p>
        </w:tc>
        <w:tc>
          <w:tcPr>
            <w:tcW w:w="36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710,211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618,798</w:t>
            </w:r>
          </w:p>
        </w:tc>
      </w:tr>
      <w:tr>
        <w:trPr>
          <w:trHeight w:val="33"/>
        </w:trPr>
        <w:tc>
          <w:tcPr>
            <w:tcW w:w="7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0"/>
        </w:trPr>
        <w:tc>
          <w:tcPr>
            <w:tcW w:w="7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Inventories at FIFO</w:t>
            </w:r>
          </w:p>
        </w:tc>
        <w:tc>
          <w:tcPr>
            <w:tcW w:w="36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1,129,879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963,023</w:t>
            </w:r>
          </w:p>
        </w:tc>
      </w:tr>
      <w:tr>
        <w:trPr>
          <w:trHeight w:val="237"/>
        </w:trPr>
        <w:tc>
          <w:tcPr>
            <w:tcW w:w="7220" w:type="dxa"/>
            <w:vAlign w:val="bottom"/>
          </w:tcPr>
          <w:p>
            <w:pPr>
              <w:ind w:left="180"/>
              <w:spacing w:after="0"/>
              <w:rPr>
                <w:sz w:val="20"/>
                <w:szCs w:val="20"/>
                <w:color w:val="auto"/>
              </w:rPr>
            </w:pPr>
            <w:r>
              <w:rPr>
                <w:rFonts w:ascii="Arial" w:cs="Arial" w:eastAsia="Arial" w:hAnsi="Arial"/>
                <w:sz w:val="16"/>
                <w:szCs w:val="16"/>
                <w:color w:val="auto"/>
              </w:rPr>
              <w:t>Adjustment to LIFO</w:t>
            </w:r>
          </w:p>
        </w:tc>
        <w:tc>
          <w:tcPr>
            <w:tcW w:w="3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(171,926)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(178,144)</w:t>
            </w:r>
          </w:p>
        </w:tc>
      </w:tr>
      <w:tr>
        <w:trPr>
          <w:trHeight w:val="33"/>
        </w:trPr>
        <w:tc>
          <w:tcPr>
            <w:tcW w:w="7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inventories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957,953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784,879</w:t>
            </w:r>
          </w:p>
        </w:tc>
      </w:tr>
      <w:tr>
        <w:trPr>
          <w:trHeight w:val="20"/>
        </w:trPr>
        <w:tc>
          <w:tcPr>
            <w:tcW w:w="7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176"/>
        </w:trPr>
        <w:tc>
          <w:tcPr>
            <w:tcW w:w="7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50"/>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Prepaid expenses and other:</w:t>
            </w:r>
          </w:p>
        </w:tc>
        <w:tc>
          <w:tcPr>
            <w:tcW w:w="3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37"/>
        </w:trPr>
        <w:tc>
          <w:tcPr>
            <w:tcW w:w="7220" w:type="dxa"/>
            <w:vAlign w:val="bottom"/>
          </w:tcPr>
          <w:p>
            <w:pPr>
              <w:ind w:left="180"/>
              <w:spacing w:after="0"/>
              <w:rPr>
                <w:sz w:val="20"/>
                <w:szCs w:val="20"/>
                <w:color w:val="auto"/>
              </w:rPr>
            </w:pPr>
            <w:r>
              <w:rPr>
                <w:rFonts w:ascii="Arial" w:cs="Arial" w:eastAsia="Arial" w:hAnsi="Arial"/>
                <w:sz w:val="16"/>
                <w:szCs w:val="16"/>
                <w:color w:val="auto"/>
              </w:rPr>
              <w:t>Prepaid expenses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52,940</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68,490</w:t>
            </w:r>
          </w:p>
        </w:tc>
      </w:tr>
      <w:tr>
        <w:trPr>
          <w:trHeight w:val="33"/>
        </w:trPr>
        <w:tc>
          <w:tcPr>
            <w:tcW w:w="7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Assets held for sale</w:t>
            </w:r>
          </w:p>
        </w:tc>
        <w:tc>
          <w:tcPr>
            <w:tcW w:w="3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23,339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23,421</w:t>
            </w:r>
          </w:p>
        </w:tc>
      </w:tr>
      <w:tr>
        <w:trPr>
          <w:trHeight w:val="237"/>
        </w:trPr>
        <w:tc>
          <w:tcPr>
            <w:tcW w:w="7220" w:type="dxa"/>
            <w:vAlign w:val="bottom"/>
          </w:tcPr>
          <w:p>
            <w:pPr>
              <w:ind w:left="180"/>
              <w:spacing w:after="0"/>
              <w:rPr>
                <w:sz w:val="20"/>
                <w:szCs w:val="20"/>
                <w:color w:val="auto"/>
              </w:rPr>
            </w:pPr>
            <w:r>
              <w:rPr>
                <w:rFonts w:ascii="Arial" w:cs="Arial" w:eastAsia="Arial" w:hAnsi="Arial"/>
                <w:sz w:val="16"/>
                <w:szCs w:val="16"/>
                <w:color w:val="auto"/>
              </w:rPr>
              <w:t>Other current assets</w:t>
            </w:r>
          </w:p>
        </w:tc>
        <w:tc>
          <w:tcPr>
            <w:tcW w:w="36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154,617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180,248</w:t>
            </w:r>
          </w:p>
        </w:tc>
      </w:tr>
      <w:tr>
        <w:trPr>
          <w:trHeight w:val="33"/>
        </w:trPr>
        <w:tc>
          <w:tcPr>
            <w:tcW w:w="7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7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prepaid expenses and other</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230,896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272,159</w:t>
            </w:r>
          </w:p>
        </w:tc>
      </w:tr>
      <w:tr>
        <w:trPr>
          <w:trHeight w:val="20"/>
        </w:trPr>
        <w:tc>
          <w:tcPr>
            <w:tcW w:w="7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176"/>
        </w:trPr>
        <w:tc>
          <w:tcPr>
            <w:tcW w:w="7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50"/>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Property, plant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37"/>
        </w:trPr>
        <w:tc>
          <w:tcPr>
            <w:tcW w:w="7220" w:type="dxa"/>
            <w:vAlign w:val="bottom"/>
          </w:tcPr>
          <w:p>
            <w:pPr>
              <w:ind w:left="180"/>
              <w:spacing w:after="0"/>
              <w:rPr>
                <w:sz w:val="20"/>
                <w:szCs w:val="20"/>
                <w:color w:val="auto"/>
              </w:rPr>
            </w:pPr>
            <w:r>
              <w:rPr>
                <w:rFonts w:ascii="Arial" w:cs="Arial" w:eastAsia="Arial" w:hAnsi="Arial"/>
                <w:sz w:val="16"/>
                <w:szCs w:val="16"/>
                <w:color w:val="auto"/>
              </w:rPr>
              <w:t>Land</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103,232</w:t>
            </w:r>
          </w:p>
        </w:tc>
        <w:tc>
          <w:tcPr>
            <w:tcW w:w="12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102,074</w:t>
            </w:r>
          </w:p>
        </w:tc>
      </w:tr>
      <w:tr>
        <w:trPr>
          <w:trHeight w:val="33"/>
        </w:trPr>
        <w:tc>
          <w:tcPr>
            <w:tcW w:w="7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Buildings</w:t>
            </w:r>
          </w:p>
        </w:tc>
        <w:tc>
          <w:tcPr>
            <w:tcW w:w="3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1,224,227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1,211,011</w:t>
            </w:r>
          </w:p>
        </w:tc>
      </w:tr>
      <w:tr>
        <w:trPr>
          <w:trHeight w:val="237"/>
        </w:trPr>
        <w:tc>
          <w:tcPr>
            <w:tcW w:w="7220" w:type="dxa"/>
            <w:vAlign w:val="bottom"/>
          </w:tcPr>
          <w:p>
            <w:pPr>
              <w:ind w:left="180"/>
              <w:spacing w:after="0"/>
              <w:rPr>
                <w:sz w:val="20"/>
                <w:szCs w:val="20"/>
                <w:color w:val="auto"/>
              </w:rPr>
            </w:pPr>
            <w:r>
              <w:rPr>
                <w:rFonts w:ascii="Arial" w:cs="Arial" w:eastAsia="Arial" w:hAnsi="Arial"/>
                <w:sz w:val="16"/>
                <w:szCs w:val="16"/>
                <w:color w:val="auto"/>
              </w:rPr>
              <w:t>Machinery and equipment</w:t>
            </w:r>
          </w:p>
        </w:tc>
        <w:tc>
          <w:tcPr>
            <w:tcW w:w="36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3,044,187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2,988,027</w:t>
            </w:r>
          </w:p>
        </w:tc>
      </w:tr>
      <w:tr>
        <w:trPr>
          <w:trHeight w:val="33"/>
        </w:trPr>
        <w:tc>
          <w:tcPr>
            <w:tcW w:w="7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7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Construction in progress</w:t>
            </w:r>
          </w:p>
        </w:tc>
        <w:tc>
          <w:tcPr>
            <w:tcW w:w="36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247,668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280,559</w:t>
            </w:r>
          </w:p>
        </w:tc>
      </w:tr>
      <w:tr>
        <w:trPr>
          <w:trHeight w:val="217"/>
        </w:trPr>
        <w:tc>
          <w:tcPr>
            <w:tcW w:w="7220" w:type="dxa"/>
            <w:vAlign w:val="bottom"/>
          </w:tcPr>
          <w:p>
            <w:pPr>
              <w:ind w:left="180"/>
              <w:spacing w:after="0"/>
              <w:rPr>
                <w:sz w:val="20"/>
                <w:szCs w:val="20"/>
                <w:color w:val="auto"/>
              </w:rPr>
            </w:pPr>
            <w:r>
              <w:rPr>
                <w:rFonts w:ascii="Arial" w:cs="Arial" w:eastAsia="Arial" w:hAnsi="Arial"/>
                <w:sz w:val="16"/>
                <w:szCs w:val="16"/>
                <w:color w:val="auto"/>
              </w:rPr>
              <w:t>Property, plant and equipment, gross</w:t>
            </w:r>
          </w:p>
        </w:tc>
        <w:tc>
          <w:tcPr>
            <w:tcW w:w="36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4,619,314</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4,581,671</w:t>
            </w:r>
          </w:p>
        </w:tc>
      </w:tr>
      <w:tr>
        <w:trPr>
          <w:trHeight w:val="33"/>
        </w:trPr>
        <w:tc>
          <w:tcPr>
            <w:tcW w:w="7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7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Accumulated depreciation</w:t>
            </w:r>
          </w:p>
        </w:tc>
        <w:tc>
          <w:tcPr>
            <w:tcW w:w="36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(2,512,129)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(2,451,377)</w:t>
            </w:r>
          </w:p>
        </w:tc>
      </w:tr>
      <w:tr>
        <w:trPr>
          <w:trHeight w:val="297"/>
        </w:trPr>
        <w:tc>
          <w:tcPr>
            <w:tcW w:w="72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Property, plant and equipment, net</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2,107,185</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2,130,294</w:t>
            </w:r>
          </w:p>
        </w:tc>
      </w:tr>
      <w:tr>
        <w:trPr>
          <w:trHeight w:val="176"/>
        </w:trPr>
        <w:tc>
          <w:tcPr>
            <w:tcW w:w="7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r>
      <w:tr>
        <w:trPr>
          <w:trHeight w:val="237"/>
        </w:trPr>
        <w:tc>
          <w:tcPr>
            <w:tcW w:w="7220" w:type="dxa"/>
            <w:vAlign w:val="bottom"/>
          </w:tcPr>
          <w:p>
            <w:pPr>
              <w:ind w:left="40"/>
              <w:spacing w:after="0"/>
              <w:rPr>
                <w:sz w:val="20"/>
                <w:szCs w:val="20"/>
                <w:color w:val="auto"/>
              </w:rPr>
            </w:pPr>
            <w:r>
              <w:rPr>
                <w:rFonts w:ascii="Arial" w:cs="Arial" w:eastAsia="Arial" w:hAnsi="Arial"/>
                <w:sz w:val="16"/>
                <w:szCs w:val="16"/>
                <w:b w:val="1"/>
                <w:bCs w:val="1"/>
                <w:color w:val="auto"/>
              </w:rPr>
              <w:t>Other assets:</w:t>
            </w:r>
          </w:p>
        </w:tc>
        <w:tc>
          <w:tcPr>
            <w:tcW w:w="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33"/>
        </w:trPr>
        <w:tc>
          <w:tcPr>
            <w:tcW w:w="7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Capitalized software, net</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137,193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126,379</w:t>
            </w:r>
          </w:p>
        </w:tc>
      </w:tr>
      <w:tr>
        <w:trPr>
          <w:trHeight w:val="237"/>
        </w:trPr>
        <w:tc>
          <w:tcPr>
            <w:tcW w:w="7220" w:type="dxa"/>
            <w:vAlign w:val="bottom"/>
          </w:tcPr>
          <w:p>
            <w:pPr>
              <w:ind w:left="180"/>
              <w:spacing w:after="0"/>
              <w:rPr>
                <w:sz w:val="20"/>
                <w:szCs w:val="20"/>
                <w:color w:val="auto"/>
              </w:rPr>
            </w:pPr>
            <w:r>
              <w:rPr>
                <w:rFonts w:ascii="Arial" w:cs="Arial" w:eastAsia="Arial" w:hAnsi="Arial"/>
                <w:sz w:val="16"/>
                <w:szCs w:val="16"/>
                <w:color w:val="auto"/>
              </w:rPr>
              <w:t>Operating lease ROU assets</w:t>
            </w:r>
          </w:p>
        </w:tc>
        <w:tc>
          <w:tcPr>
            <w:tcW w:w="36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232,034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7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non-current assets</w:t>
            </w:r>
          </w:p>
        </w:tc>
        <w:tc>
          <w:tcPr>
            <w:tcW w:w="36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130,076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126,605</w:t>
            </w:r>
          </w:p>
        </w:tc>
      </w:tr>
      <w:tr>
        <w:trPr>
          <w:trHeight w:val="284"/>
        </w:trPr>
        <w:tc>
          <w:tcPr>
            <w:tcW w:w="72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other assets</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499,303</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252,984</w:t>
            </w:r>
          </w:p>
        </w:tc>
      </w:tr>
      <w:tr>
        <w:trPr>
          <w:trHeight w:val="176"/>
        </w:trPr>
        <w:tc>
          <w:tcPr>
            <w:tcW w:w="7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r>
      <w:tr>
        <w:trPr>
          <w:trHeight w:val="237"/>
        </w:trPr>
        <w:tc>
          <w:tcPr>
            <w:tcW w:w="7220" w:type="dxa"/>
            <w:vAlign w:val="bottom"/>
          </w:tcPr>
          <w:p>
            <w:pPr>
              <w:ind w:left="40"/>
              <w:spacing w:after="0"/>
              <w:rPr>
                <w:sz w:val="20"/>
                <w:szCs w:val="20"/>
                <w:color w:val="auto"/>
              </w:rPr>
            </w:pPr>
            <w:r>
              <w:rPr>
                <w:rFonts w:ascii="Arial" w:cs="Arial" w:eastAsia="Arial" w:hAnsi="Arial"/>
                <w:sz w:val="16"/>
                <w:szCs w:val="16"/>
                <w:b w:val="1"/>
                <w:bCs w:val="1"/>
                <w:color w:val="auto"/>
              </w:rPr>
              <w:t>Accrued liabilities:</w:t>
            </w:r>
          </w:p>
        </w:tc>
        <w:tc>
          <w:tcPr>
            <w:tcW w:w="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33"/>
        </w:trPr>
        <w:tc>
          <w:tcPr>
            <w:tcW w:w="7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Payroll, compensation and benefits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156,329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180,546</w:t>
            </w:r>
          </w:p>
        </w:tc>
      </w:tr>
      <w:tr>
        <w:trPr>
          <w:trHeight w:val="237"/>
        </w:trPr>
        <w:tc>
          <w:tcPr>
            <w:tcW w:w="7220" w:type="dxa"/>
            <w:vAlign w:val="bottom"/>
          </w:tcPr>
          <w:p>
            <w:pPr>
              <w:ind w:left="180"/>
              <w:spacing w:after="0"/>
              <w:rPr>
                <w:sz w:val="20"/>
                <w:szCs w:val="20"/>
                <w:color w:val="auto"/>
              </w:rPr>
            </w:pPr>
            <w:r>
              <w:rPr>
                <w:rFonts w:ascii="Arial" w:cs="Arial" w:eastAsia="Arial" w:hAnsi="Arial"/>
                <w:sz w:val="16"/>
                <w:szCs w:val="16"/>
                <w:color w:val="auto"/>
              </w:rPr>
              <w:t>Advertising, promotion and product allowances</w:t>
            </w:r>
          </w:p>
        </w:tc>
        <w:tc>
          <w:tcPr>
            <w:tcW w:w="36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275,082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286,028</w:t>
            </w:r>
          </w:p>
        </w:tc>
      </w:tr>
      <w:tr>
        <w:trPr>
          <w:trHeight w:val="33"/>
        </w:trPr>
        <w:tc>
          <w:tcPr>
            <w:tcW w:w="7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lease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28,603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220" w:type="dxa"/>
            <w:vAlign w:val="bottom"/>
          </w:tcPr>
          <w:p>
            <w:pPr>
              <w:ind w:left="180"/>
              <w:spacing w:after="0"/>
              <w:rPr>
                <w:sz w:val="20"/>
                <w:szCs w:val="20"/>
                <w:color w:val="auto"/>
              </w:rPr>
            </w:pPr>
            <w:r>
              <w:rPr>
                <w:rFonts w:ascii="Arial" w:cs="Arial" w:eastAsia="Arial" w:hAnsi="Arial"/>
                <w:sz w:val="16"/>
                <w:szCs w:val="16"/>
                <w:color w:val="auto"/>
              </w:rPr>
              <w:t>Liabilities held for sale</w:t>
            </w:r>
          </w:p>
        </w:tc>
        <w:tc>
          <w:tcPr>
            <w:tcW w:w="36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376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596</w:t>
            </w:r>
          </w:p>
        </w:tc>
      </w:tr>
      <w:tr>
        <w:trPr>
          <w:trHeight w:val="33"/>
        </w:trPr>
        <w:tc>
          <w:tcPr>
            <w:tcW w:w="7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7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190,532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211,993</w:t>
            </w:r>
          </w:p>
        </w:tc>
      </w:tr>
      <w:tr>
        <w:trPr>
          <w:trHeight w:val="284"/>
        </w:trPr>
        <w:tc>
          <w:tcPr>
            <w:tcW w:w="72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accrued liabilities</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650,922</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679,163</w:t>
            </w:r>
          </w:p>
        </w:tc>
      </w:tr>
      <w:tr>
        <w:trPr>
          <w:trHeight w:val="176"/>
        </w:trPr>
        <w:tc>
          <w:tcPr>
            <w:tcW w:w="7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r>
      <w:tr>
        <w:trPr>
          <w:trHeight w:val="237"/>
        </w:trPr>
        <w:tc>
          <w:tcPr>
            <w:tcW w:w="7220" w:type="dxa"/>
            <w:vAlign w:val="bottom"/>
          </w:tcPr>
          <w:p>
            <w:pPr>
              <w:ind w:left="40"/>
              <w:spacing w:after="0"/>
              <w:rPr>
                <w:sz w:val="20"/>
                <w:szCs w:val="20"/>
                <w:color w:val="auto"/>
              </w:rPr>
            </w:pPr>
            <w:r>
              <w:rPr>
                <w:rFonts w:ascii="Arial" w:cs="Arial" w:eastAsia="Arial" w:hAnsi="Arial"/>
                <w:sz w:val="16"/>
                <w:szCs w:val="16"/>
                <w:b w:val="1"/>
                <w:bCs w:val="1"/>
                <w:color w:val="auto"/>
              </w:rPr>
              <w:t>Other long-term liabilities:</w:t>
            </w:r>
          </w:p>
        </w:tc>
        <w:tc>
          <w:tcPr>
            <w:tcW w:w="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33"/>
        </w:trPr>
        <w:tc>
          <w:tcPr>
            <w:tcW w:w="7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Post-retirement benefits liabilities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191,900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195,166</w:t>
            </w:r>
          </w:p>
        </w:tc>
      </w:tr>
      <w:tr>
        <w:trPr>
          <w:trHeight w:val="237"/>
        </w:trPr>
        <w:tc>
          <w:tcPr>
            <w:tcW w:w="7220" w:type="dxa"/>
            <w:vAlign w:val="bottom"/>
          </w:tcPr>
          <w:p>
            <w:pPr>
              <w:ind w:left="180"/>
              <w:spacing w:after="0"/>
              <w:rPr>
                <w:sz w:val="20"/>
                <w:szCs w:val="20"/>
                <w:color w:val="auto"/>
              </w:rPr>
            </w:pPr>
            <w:r>
              <w:rPr>
                <w:rFonts w:ascii="Arial" w:cs="Arial" w:eastAsia="Arial" w:hAnsi="Arial"/>
                <w:sz w:val="16"/>
                <w:szCs w:val="16"/>
                <w:color w:val="auto"/>
              </w:rPr>
              <w:t>Pension benefits liabilities</w:t>
            </w:r>
          </w:p>
        </w:tc>
        <w:tc>
          <w:tcPr>
            <w:tcW w:w="36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66,312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66,379</w:t>
            </w:r>
          </w:p>
        </w:tc>
      </w:tr>
      <w:tr>
        <w:trPr>
          <w:trHeight w:val="33"/>
        </w:trPr>
        <w:tc>
          <w:tcPr>
            <w:tcW w:w="7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lease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194,665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220" w:type="dxa"/>
            <w:vAlign w:val="bottom"/>
          </w:tcPr>
          <w:p>
            <w:pPr>
              <w:ind w:left="180"/>
              <w:spacing w:after="0"/>
              <w:rPr>
                <w:sz w:val="20"/>
                <w:szCs w:val="20"/>
                <w:color w:val="auto"/>
              </w:rPr>
            </w:pPr>
            <w:r>
              <w:rPr>
                <w:rFonts w:ascii="Arial" w:cs="Arial" w:eastAsia="Arial" w:hAnsi="Arial"/>
                <w:sz w:val="16"/>
                <w:szCs w:val="16"/>
                <w:color w:val="auto"/>
              </w:rPr>
              <w:t>Other</w:t>
            </w:r>
          </w:p>
        </w:tc>
        <w:tc>
          <w:tcPr>
            <w:tcW w:w="36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184,036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184,503</w:t>
            </w:r>
          </w:p>
        </w:tc>
      </w:tr>
      <w:tr>
        <w:trPr>
          <w:trHeight w:val="33"/>
        </w:trPr>
        <w:tc>
          <w:tcPr>
            <w:tcW w:w="7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7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other long-term liabilities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636,913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446,048</w:t>
            </w:r>
          </w:p>
        </w:tc>
      </w:tr>
      <w:tr>
        <w:trPr>
          <w:trHeight w:val="20"/>
        </w:trPr>
        <w:tc>
          <w:tcPr>
            <w:tcW w:w="7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176"/>
        </w:trPr>
        <w:tc>
          <w:tcPr>
            <w:tcW w:w="7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50"/>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Accumulated other comprehensive loss:</w:t>
            </w:r>
          </w:p>
        </w:tc>
        <w:tc>
          <w:tcPr>
            <w:tcW w:w="3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37"/>
        </w:trPr>
        <w:tc>
          <w:tcPr>
            <w:tcW w:w="7220" w:type="dxa"/>
            <w:vAlign w:val="bottom"/>
          </w:tcPr>
          <w:p>
            <w:pPr>
              <w:ind w:left="180"/>
              <w:spacing w:after="0"/>
              <w:rPr>
                <w:sz w:val="20"/>
                <w:szCs w:val="20"/>
                <w:color w:val="auto"/>
              </w:rPr>
            </w:pPr>
            <w:r>
              <w:rPr>
                <w:rFonts w:ascii="Arial" w:cs="Arial" w:eastAsia="Arial" w:hAnsi="Arial"/>
                <w:sz w:val="16"/>
                <w:szCs w:val="16"/>
                <w:color w:val="auto"/>
              </w:rPr>
              <w:t>Foreign currency translation adjustments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(86,061)</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720" w:type="dxa"/>
            <w:vAlign w:val="bottom"/>
          </w:tcPr>
          <w:p>
            <w:pPr>
              <w:jc w:val="right"/>
              <w:spacing w:after="0"/>
              <w:rPr>
                <w:sz w:val="20"/>
                <w:szCs w:val="20"/>
                <w:color w:val="auto"/>
              </w:rPr>
            </w:pPr>
            <w:r>
              <w:rPr>
                <w:rFonts w:ascii="Arial" w:cs="Arial" w:eastAsia="Arial" w:hAnsi="Arial"/>
                <w:sz w:val="16"/>
                <w:szCs w:val="16"/>
                <w:color w:val="auto"/>
              </w:rPr>
              <w:t>(96,678)</w:t>
            </w:r>
          </w:p>
        </w:tc>
      </w:tr>
      <w:tr>
        <w:trPr>
          <w:trHeight w:val="33"/>
        </w:trPr>
        <w:tc>
          <w:tcPr>
            <w:tcW w:w="7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Pension and post-retirement benefit plans, net of tax</w:t>
            </w:r>
          </w:p>
        </w:tc>
        <w:tc>
          <w:tcPr>
            <w:tcW w:w="3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(195,372)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(205,230)</w:t>
            </w:r>
          </w:p>
        </w:tc>
      </w:tr>
      <w:tr>
        <w:trPr>
          <w:trHeight w:val="237"/>
        </w:trPr>
        <w:tc>
          <w:tcPr>
            <w:tcW w:w="7220" w:type="dxa"/>
            <w:vAlign w:val="bottom"/>
          </w:tcPr>
          <w:p>
            <w:pPr>
              <w:ind w:left="180"/>
              <w:spacing w:after="0"/>
              <w:rPr>
                <w:sz w:val="20"/>
                <w:szCs w:val="20"/>
                <w:color w:val="auto"/>
              </w:rPr>
            </w:pPr>
            <w:r>
              <w:rPr>
                <w:rFonts w:ascii="Arial" w:cs="Arial" w:eastAsia="Arial" w:hAnsi="Arial"/>
                <w:sz w:val="16"/>
                <w:szCs w:val="16"/>
                <w:color w:val="auto"/>
              </w:rPr>
              <w:t>Cash flow hedges, net of tax</w:t>
            </w:r>
          </w:p>
        </w:tc>
        <w:tc>
          <w:tcPr>
            <w:tcW w:w="3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(55,303)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(54,872)</w:t>
            </w:r>
          </w:p>
        </w:tc>
      </w:tr>
      <w:tr>
        <w:trPr>
          <w:trHeight w:val="33"/>
        </w:trPr>
        <w:tc>
          <w:tcPr>
            <w:tcW w:w="7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7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accumulated other comprehensive loss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(336,736)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(356,780)</w:t>
            </w:r>
          </w:p>
        </w:tc>
      </w:tr>
      <w:tr>
        <w:trPr>
          <w:trHeight w:val="20"/>
        </w:trPr>
        <w:tc>
          <w:tcPr>
            <w:tcW w:w="7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00"/>
          </w:cols>
          <w:pgMar w:left="240" w:top="115" w:right="359" w:bottom="217"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300"/>
          </w:cols>
          <w:pgMar w:left="240" w:top="115" w:right="359" w:bottom="217" w:gutter="0" w:footer="0" w:header="0"/>
          <w:type w:val="continuous"/>
        </w:sectPr>
      </w:pPr>
    </w:p>
    <w:bookmarkStart w:id="33" w:name="page34"/>
    <w:bookmarkEnd w:id="33"/>
    <w:p>
      <w:pPr>
        <w:spacing w:after="0"/>
        <w:tabs>
          <w:tab w:leader="none" w:pos="8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75"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This Management's Discussion and Analysis (“MD&amp;A”) is intended to provide an understanding of Hershey's financial condition, results of operations and cash flows by focusing on changes in certain key measures from year to year. The MD&amp;A should be read in conjunction with our Unaudited Consolidated Financial Statements and accompanying notes. This discussion contains a number of forward-looking statements, all of which are based on current expectations. Actual results may differ materially. Refer to the Safe Harbor Statement below as well as the Risk Factors and other information contained in our 2018 Annual Report on Form 10-K for information concerning the key risks to achieving future performance goals.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MD&amp;A is organized in the following sections:</w:t>
      </w:r>
    </w:p>
    <w:p>
      <w:pPr>
        <w:spacing w:after="0" w:line="63"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Overview</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Consolidated Results of Operations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Segment Results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Non-GAAP Information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Hershey is a global confectionery leader known for bringing goodness to the world through chocolate, sweets, mints, gum and other great tasting snacks. We are the largest producer of quality chocolate in North America, a leading snack maker in the United States and a global leader in chocolate and non-chocolate confectionery. We market, sell and distribute our products under more than 80 brand names in approximately 90 countries worldwide.</w:t>
      </w:r>
    </w:p>
    <w:p>
      <w:pPr>
        <w:spacing w:after="0" w:line="93"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Our principal product offerings include chocolate and non-chocolate confectionery products; gum and mint refreshment products; pantry items, such as baking ingredients, toppings and beverages; and snack items such as spreads, meat snacks, bars and snack bites and mixes, popcorn and protein bars and cookies.</w:t>
      </w: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40"/>
          </w:cols>
          <w:pgMar w:left="240" w:top="823" w:right="31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gridSpan w:val="4"/>
          </w:tcPr>
          <w:p>
            <w:pPr>
              <w:jc w:val="right"/>
              <w:ind w:right="619"/>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0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Percent</w:t>
            </w:r>
          </w:p>
        </w:tc>
        <w:tc>
          <w:tcPr>
            <w:tcW w:w="220" w:type="dxa"/>
            <w:vAlign w:val="bottom"/>
          </w:tcPr>
          <w:p>
            <w:pPr>
              <w:spacing w:after="0"/>
              <w:rPr>
                <w:sz w:val="16"/>
                <w:szCs w:val="16"/>
                <w:color w:val="auto"/>
              </w:rPr>
            </w:pPr>
          </w:p>
        </w:tc>
        <w:tc>
          <w:tcPr>
            <w:tcW w:w="2540" w:type="dxa"/>
            <w:vAlign w:val="bottom"/>
            <w:gridSpan w:val="4"/>
          </w:tcPr>
          <w:p>
            <w:pPr>
              <w:jc w:val="right"/>
              <w:ind w:right="719"/>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6"/>
                <w:szCs w:val="16"/>
                <w:color w:val="auto"/>
              </w:rPr>
            </w:pPr>
          </w:p>
        </w:tc>
        <w:tc>
          <w:tcPr>
            <w:tcW w:w="960" w:type="dxa"/>
            <w:vAlign w:val="bottom"/>
            <w:vMerge w:val="restart"/>
          </w:tcPr>
          <w:p>
            <w:pPr>
              <w:jc w:val="right"/>
              <w:ind w:right="163"/>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74"/>
        </w:trPr>
        <w:tc>
          <w:tcPr>
            <w:tcW w:w="366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3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 2019</w:t>
            </w:r>
          </w:p>
        </w:tc>
        <w:tc>
          <w:tcPr>
            <w:tcW w:w="260" w:type="dxa"/>
            <w:vAlign w:val="bottom"/>
          </w:tcPr>
          <w:p>
            <w:pPr>
              <w:spacing w:after="0"/>
              <w:rPr>
                <w:sz w:val="22"/>
                <w:szCs w:val="22"/>
                <w:color w:val="auto"/>
              </w:rPr>
            </w:pPr>
          </w:p>
        </w:tc>
        <w:tc>
          <w:tcPr>
            <w:tcW w:w="1060" w:type="dxa"/>
            <w:vAlign w:val="bottom"/>
          </w:tcPr>
          <w:p>
            <w:pPr>
              <w:jc w:val="right"/>
              <w:ind w:right="199"/>
              <w:spacing w:after="0"/>
              <w:rPr>
                <w:sz w:val="20"/>
                <w:szCs w:val="20"/>
                <w:color w:val="auto"/>
              </w:rPr>
            </w:pPr>
            <w:r>
              <w:rPr>
                <w:rFonts w:ascii="Arial" w:cs="Arial" w:eastAsia="Arial" w:hAnsi="Arial"/>
                <w:sz w:val="14"/>
                <w:szCs w:val="14"/>
                <w:b w:val="1"/>
                <w:bCs w:val="1"/>
                <w:color w:val="auto"/>
                <w:w w:val="96"/>
              </w:rPr>
              <w:t>July 1, 2018</w:t>
            </w:r>
          </w:p>
        </w:tc>
        <w:tc>
          <w:tcPr>
            <w:tcW w:w="120" w:type="dxa"/>
            <w:vAlign w:val="bottom"/>
          </w:tcPr>
          <w:p>
            <w:pPr>
              <w:spacing w:after="0"/>
              <w:rPr>
                <w:sz w:val="22"/>
                <w:szCs w:val="22"/>
                <w:color w:val="auto"/>
              </w:rPr>
            </w:pPr>
          </w:p>
        </w:tc>
        <w:tc>
          <w:tcPr>
            <w:tcW w:w="1080" w:type="dxa"/>
            <w:vAlign w:val="bottom"/>
            <w:gridSpan w:val="2"/>
          </w:tcPr>
          <w:p>
            <w:pPr>
              <w:ind w:left="240"/>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22"/>
                <w:szCs w:val="22"/>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 2019</w:t>
            </w:r>
          </w:p>
        </w:tc>
        <w:tc>
          <w:tcPr>
            <w:tcW w:w="260" w:type="dxa"/>
            <w:vAlign w:val="bottom"/>
          </w:tcPr>
          <w:p>
            <w:pPr>
              <w:spacing w:after="0"/>
              <w:rPr>
                <w:sz w:val="22"/>
                <w:szCs w:val="22"/>
                <w:color w:val="auto"/>
              </w:rPr>
            </w:pPr>
          </w:p>
        </w:tc>
        <w:tc>
          <w:tcPr>
            <w:tcW w:w="1080" w:type="dxa"/>
            <w:vAlign w:val="bottom"/>
          </w:tcPr>
          <w:p>
            <w:pPr>
              <w:jc w:val="right"/>
              <w:ind w:right="219"/>
              <w:spacing w:after="0"/>
              <w:rPr>
                <w:sz w:val="20"/>
                <w:szCs w:val="20"/>
                <w:color w:val="auto"/>
              </w:rPr>
            </w:pPr>
            <w:r>
              <w:rPr>
                <w:rFonts w:ascii="Arial" w:cs="Arial" w:eastAsia="Arial" w:hAnsi="Arial"/>
                <w:sz w:val="14"/>
                <w:szCs w:val="14"/>
                <w:b w:val="1"/>
                <w:bCs w:val="1"/>
                <w:color w:val="auto"/>
                <w:w w:val="96"/>
              </w:rPr>
              <w:t>July 1, 2018</w:t>
            </w:r>
          </w:p>
        </w:tc>
        <w:tc>
          <w:tcPr>
            <w:tcW w:w="100" w:type="dxa"/>
            <w:vAlign w:val="bottom"/>
          </w:tcPr>
          <w:p>
            <w:pPr>
              <w:spacing w:after="0"/>
              <w:rPr>
                <w:sz w:val="22"/>
                <w:szCs w:val="22"/>
                <w:color w:val="auto"/>
              </w:rPr>
            </w:pPr>
          </w:p>
        </w:tc>
        <w:tc>
          <w:tcPr>
            <w:tcW w:w="960" w:type="dxa"/>
            <w:vAlign w:val="bottom"/>
          </w:tcPr>
          <w:p>
            <w:pPr>
              <w:jc w:val="right"/>
              <w:ind w:right="16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64"/>
        </w:trPr>
        <w:tc>
          <w:tcPr>
            <w:tcW w:w="3660" w:type="dxa"/>
            <w:vAlign w:val="bottom"/>
          </w:tcPr>
          <w:p>
            <w:pPr>
              <w:ind w:left="40"/>
              <w:spacing w:after="0"/>
              <w:rPr>
                <w:sz w:val="20"/>
                <w:szCs w:val="20"/>
                <w:color w:val="auto"/>
              </w:rPr>
            </w:pPr>
            <w:r>
              <w:rPr>
                <w:rFonts w:ascii="Arial" w:cs="Arial" w:eastAsia="Arial" w:hAnsi="Arial"/>
                <w:sz w:val="14"/>
                <w:szCs w:val="14"/>
                <w:b w:val="1"/>
                <w:bCs w:val="1"/>
                <w:color w:val="auto"/>
              </w:rPr>
              <w:t>In millions of dollars except per share amounts</w:t>
            </w:r>
          </w:p>
        </w:tc>
        <w:tc>
          <w:tcPr>
            <w:tcW w:w="22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1,767.2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1,751.6</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0.9 %</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3,783.7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3,723.6</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Cost of Sales</w:t>
            </w:r>
          </w:p>
        </w:tc>
        <w:tc>
          <w:tcPr>
            <w:tcW w:w="220" w:type="dxa"/>
            <w:vAlign w:val="bottom"/>
          </w:tcPr>
          <w:p>
            <w:pPr>
              <w:spacing w:after="0"/>
              <w:rPr>
                <w:sz w:val="20"/>
                <w:szCs w:val="20"/>
                <w:color w:val="auto"/>
              </w:rPr>
            </w:pP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892.5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958.2</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2,016.5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1,956.1</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3.1 %</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874.7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793.4</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10.2 %</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1,767.2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1,767.5</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7"/>
        </w:trPr>
        <w:tc>
          <w:tcPr>
            <w:tcW w:w="3660" w:type="dxa"/>
            <w:vAlign w:val="bottom"/>
          </w:tcPr>
          <w:p>
            <w:pPr>
              <w:ind w:left="200"/>
              <w:spacing w:after="0"/>
              <w:rPr>
                <w:sz w:val="20"/>
                <w:szCs w:val="20"/>
                <w:color w:val="auto"/>
              </w:rPr>
            </w:pPr>
            <w:r>
              <w:rPr>
                <w:rFonts w:ascii="Arial" w:cs="Arial" w:eastAsia="Arial" w:hAnsi="Arial"/>
                <w:sz w:val="16"/>
                <w:szCs w:val="16"/>
                <w:i w:val="1"/>
                <w:iCs w:val="1"/>
                <w:color w:val="auto"/>
              </w:rPr>
              <w:t>Gross Margin</w:t>
            </w: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49.5%</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45.3%</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46.7%</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47.5%</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SM&amp;A Expense</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453.8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449.5</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0.9 %</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907.4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934.9</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31"/>
        </w:trPr>
        <w:tc>
          <w:tcPr>
            <w:tcW w:w="3660" w:type="dxa"/>
            <w:vAlign w:val="bottom"/>
          </w:tcPr>
          <w:p>
            <w:pPr>
              <w:ind w:left="200"/>
              <w:spacing w:after="0"/>
              <w:rPr>
                <w:sz w:val="20"/>
                <w:szCs w:val="20"/>
                <w:color w:val="auto"/>
              </w:rPr>
            </w:pPr>
            <w:r>
              <w:rPr>
                <w:rFonts w:ascii="Arial" w:cs="Arial" w:eastAsia="Arial" w:hAnsi="Arial"/>
                <w:sz w:val="16"/>
                <w:szCs w:val="16"/>
                <w:i w:val="1"/>
                <w:iCs w:val="1"/>
                <w:color w:val="auto"/>
              </w:rPr>
              <w:t>SM&amp;A Expense as a percent of net sales</w:t>
            </w: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25.7%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25.7%</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24.0%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25.1%</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Long-Lived Asset Impairment Charges</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27.2</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27.2</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(82.5)%</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Business Realignment Costs</w:t>
            </w:r>
          </w:p>
        </w:tc>
        <w:tc>
          <w:tcPr>
            <w:tcW w:w="220" w:type="dxa"/>
            <w:vAlign w:val="bottom"/>
          </w:tcPr>
          <w:p>
            <w:pPr>
              <w:spacing w:after="0"/>
              <w:rPr>
                <w:sz w:val="20"/>
                <w:szCs w:val="20"/>
                <w:color w:val="auto"/>
              </w:rPr>
            </w:pP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1.0</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526.5 %</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9.2</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Profit</w:t>
            </w: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410.1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315.7</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29.9 %</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848.9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796.2</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6.6 %</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i w:val="1"/>
                <w:iCs w:val="1"/>
                <w:color w:val="auto"/>
              </w:rPr>
              <w:t>Operating Profit Margin</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i w:val="1"/>
                <w:iCs w:val="1"/>
                <w:color w:val="auto"/>
              </w:rPr>
              <w:t>23.2%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i w:val="1"/>
                <w:iCs w:val="1"/>
                <w:color w:val="auto"/>
              </w:rPr>
              <w:t>18.0%</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i w:val="1"/>
                <w:iCs w:val="1"/>
                <w:color w:val="auto"/>
              </w:rPr>
              <w:t>22.4%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i w:val="1"/>
                <w:iCs w:val="1"/>
                <w:color w:val="auto"/>
              </w:rPr>
              <w:t>21.4%</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35.0</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64.3</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10.8 %</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Other (Income) Expense, Net</w:t>
            </w:r>
          </w:p>
        </w:tc>
        <w:tc>
          <w:tcPr>
            <w:tcW w:w="220" w:type="dxa"/>
            <w:vAlign w:val="bottom"/>
          </w:tcPr>
          <w:p>
            <w:pPr>
              <w:spacing w:after="0"/>
              <w:rPr>
                <w:sz w:val="20"/>
                <w:szCs w:val="20"/>
                <w:color w:val="auto"/>
              </w:rPr>
            </w:pP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20.8</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(36.8)%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18.6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22.7</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49.9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36.7</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36.0 %</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141.9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135.2</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5.0 %</w:t>
            </w:r>
          </w:p>
        </w:tc>
        <w:tc>
          <w:tcPr>
            <w:tcW w:w="0" w:type="dxa"/>
            <w:vAlign w:val="bottom"/>
          </w:tcPr>
          <w:p>
            <w:pPr>
              <w:spacing w:after="0"/>
              <w:rPr>
                <w:sz w:val="1"/>
                <w:szCs w:val="1"/>
                <w:color w:val="auto"/>
              </w:rPr>
            </w:pPr>
          </w:p>
        </w:tc>
      </w:tr>
      <w:tr>
        <w:trPr>
          <w:trHeight w:val="217"/>
        </w:trPr>
        <w:tc>
          <w:tcPr>
            <w:tcW w:w="3660" w:type="dxa"/>
            <w:vAlign w:val="bottom"/>
          </w:tcPr>
          <w:p>
            <w:pPr>
              <w:ind w:left="180"/>
              <w:spacing w:after="0"/>
              <w:rPr>
                <w:sz w:val="20"/>
                <w:szCs w:val="20"/>
                <w:color w:val="auto"/>
              </w:rPr>
            </w:pPr>
            <w:r>
              <w:rPr>
                <w:rFonts w:ascii="Arial" w:cs="Arial" w:eastAsia="Arial" w:hAnsi="Arial"/>
                <w:sz w:val="16"/>
                <w:szCs w:val="16"/>
                <w:i w:val="1"/>
                <w:iCs w:val="1"/>
                <w:color w:val="auto"/>
              </w:rPr>
              <w:t>Effective Income Tax Rate</w:t>
            </w: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13.7%</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14.1%</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18.7%</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19.1%</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Net Income Including Noncontrolling Interest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313.3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223.2</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40.3 %</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617.2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574.0</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7.5 %</w:t>
            </w:r>
          </w:p>
        </w:tc>
        <w:tc>
          <w:tcPr>
            <w:tcW w:w="0" w:type="dxa"/>
            <w:vAlign w:val="bottom"/>
          </w:tcPr>
          <w:p>
            <w:pPr>
              <w:spacing w:after="0"/>
              <w:rPr>
                <w:sz w:val="1"/>
                <w:szCs w:val="1"/>
                <w:color w:val="auto"/>
              </w:rPr>
            </w:pPr>
          </w:p>
        </w:tc>
      </w:tr>
      <w:tr>
        <w:trPr>
          <w:trHeight w:val="220"/>
        </w:trPr>
        <w:tc>
          <w:tcPr>
            <w:tcW w:w="3660" w:type="dxa"/>
            <w:vAlign w:val="bottom"/>
          </w:tcPr>
          <w:p>
            <w:pPr>
              <w:ind w:left="40"/>
              <w:spacing w:after="0"/>
              <w:rPr>
                <w:sz w:val="20"/>
                <w:szCs w:val="20"/>
                <w:color w:val="auto"/>
              </w:rPr>
            </w:pPr>
            <w:r>
              <w:rPr>
                <w:rFonts w:ascii="Arial" w:cs="Arial" w:eastAsia="Arial" w:hAnsi="Arial"/>
                <w:sz w:val="16"/>
                <w:szCs w:val="16"/>
                <w:color w:val="auto"/>
              </w:rPr>
              <w:t>Less: Net Income (Loss) Attributable to</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260"/>
              <w:spacing w:after="0"/>
              <w:rPr>
                <w:sz w:val="20"/>
                <w:szCs w:val="20"/>
                <w:color w:val="auto"/>
              </w:rPr>
            </w:pPr>
            <w:r>
              <w:rPr>
                <w:rFonts w:ascii="Arial" w:cs="Arial" w:eastAsia="Arial" w:hAnsi="Arial"/>
                <w:sz w:val="16"/>
                <w:szCs w:val="16"/>
                <w:color w:val="auto"/>
              </w:rPr>
              <w:t>Noncontrolling Interest</w:t>
            </w:r>
          </w:p>
        </w:tc>
        <w:tc>
          <w:tcPr>
            <w:tcW w:w="220" w:type="dxa"/>
            <w:vAlign w:val="bottom"/>
          </w:tcPr>
          <w:p>
            <w:pPr>
              <w:spacing w:after="0"/>
              <w:rPr>
                <w:sz w:val="17"/>
                <w:szCs w:val="17"/>
                <w:color w:val="auto"/>
              </w:rPr>
            </w:pP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7"/>
                <w:szCs w:val="17"/>
                <w:color w:val="auto"/>
              </w:rPr>
            </w:pPr>
          </w:p>
        </w:tc>
        <w:tc>
          <w:tcPr>
            <w:tcW w:w="1080" w:type="dxa"/>
            <w:vAlign w:val="bottom"/>
            <w:gridSpan w:val="2"/>
          </w:tcPr>
          <w:p>
            <w:pPr>
              <w:ind w:left="500"/>
              <w:spacing w:after="0"/>
              <w:rPr>
                <w:sz w:val="20"/>
                <w:szCs w:val="20"/>
                <w:color w:val="auto"/>
              </w:rPr>
            </w:pPr>
            <w:r>
              <w:rPr>
                <w:rFonts w:ascii="Arial" w:cs="Arial" w:eastAsia="Arial" w:hAnsi="Arial"/>
                <w:sz w:val="16"/>
                <w:szCs w:val="16"/>
                <w:color w:val="auto"/>
              </w:rPr>
              <w:t>NM</w:t>
            </w:r>
          </w:p>
        </w:tc>
        <w:tc>
          <w:tcPr>
            <w:tcW w:w="22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7"/>
                <w:szCs w:val="17"/>
                <w:color w:val="auto"/>
              </w:rPr>
            </w:pPr>
          </w:p>
        </w:tc>
        <w:tc>
          <w:tcPr>
            <w:tcW w:w="960" w:type="dxa"/>
            <w:vAlign w:val="bottom"/>
          </w:tcPr>
          <w:p>
            <w:pPr>
              <w:jc w:val="right"/>
              <w:ind w:right="143"/>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Net Income Attributable to The Hershey Company</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312.9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226.7</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37.9 %</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617.2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577.0</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7.0 %</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660" w:type="dxa"/>
            <w:vAlign w:val="bottom"/>
          </w:tcPr>
          <w:p>
            <w:pPr>
              <w:ind w:left="40"/>
              <w:spacing w:after="0"/>
              <w:rPr>
                <w:sz w:val="20"/>
                <w:szCs w:val="20"/>
                <w:color w:val="auto"/>
              </w:rPr>
            </w:pPr>
            <w:r>
              <w:rPr>
                <w:rFonts w:ascii="Arial" w:cs="Arial" w:eastAsia="Arial" w:hAnsi="Arial"/>
                <w:sz w:val="16"/>
                <w:szCs w:val="16"/>
                <w:color w:val="auto"/>
              </w:rPr>
              <w:t>Net Income Per Share—Diluted</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1.08</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37.0 %</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2.93</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2.73</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7.3 %</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Note: Percentage changes may not compute directly as shown due to rounding of amounts presented above.</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NM = not meaningful.</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 Second Quarter 2019 vs. Second Quarter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94"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Net sales increased 0.9% in the second quarter of 2019 compared to the same period of 2018, reflecting a favorable price realization of 1.2% due to higher prices on certain products and a volume increase of 0.6%, partially offset by a an unfavorable net impact of acquisitions and divestitures of 0.6% and an unfavorable impact from foreign currency exchange rates of 0.3%. Excluding foreign currency, our second quarter 2019 net sales increased 1.2%. Consolidated volumes increased due to innovation growth in 2019, as well as solid marketplace growth in select international markets.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Key U.S. Marketplace Metrics</w:t>
      </w:r>
    </w:p>
    <w:p>
      <w:pPr>
        <w:spacing w:after="0" w:line="17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For the second quarter of 2019, our total U.S. retail takeaway, including Amplify, increased 17.1% in the expanded multi-outlet combined plus convenience store channels (IRI MULO + C-Stores), which includes candy, mint, gum, salty snacks, snack bars, meat snacks and grocery items. Our U.S. candy, mint and gum ("CMG") consumer takeaway increased 20.0%, resulting in a CMG market share gain of approximately 46 basis points.</w:t>
      </w:r>
    </w:p>
    <w:p>
      <w:pPr>
        <w:spacing w:after="0" w:line="111"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CMG consumer takeaway and market share information reflect measured channels of distribution accounting for approximately 90% of our U.S. confectionery retail business. These channels of distribution primarily include food, drug, mass merchandisers, and convenience store channels, plus Wal-Mart Stores, Inc., partial dollar, club and military channels. These metrics are based on measured market scanned purchases as reported by Information Resources,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823" w:right="239" w:bottom="1440" w:gutter="0" w:footer="0" w:header="0"/>
        </w:sectPr>
      </w:pPr>
    </w:p>
    <w:bookmarkStart w:id="35" w:name="page36"/>
    <w:bookmarkEnd w:id="35"/>
    <w:p>
      <w:pPr>
        <w:ind w:right="60"/>
        <w:spacing w:after="0" w:line="277" w:lineRule="auto"/>
        <w:rPr>
          <w:sz w:val="20"/>
          <w:szCs w:val="20"/>
          <w:color w:val="auto"/>
        </w:rPr>
      </w:pPr>
      <w:r>
        <w:rPr>
          <w:rFonts w:ascii="Arial" w:cs="Arial" w:eastAsia="Arial" w:hAnsi="Arial"/>
          <w:sz w:val="18"/>
          <w:szCs w:val="18"/>
          <w:color w:val="auto"/>
        </w:rPr>
        <w:t>Incorporated ("IRI"), the Company's market insights and analytics provider, and provide a means to assess our retail takeaway and market position relative to the overall category.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 and Gross Margin</w:t>
      </w:r>
    </w:p>
    <w:p>
      <w:pPr>
        <w:spacing w:after="0" w:line="94"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Cost of sales decreased 6.9% in the second quarter of 2019 compared to the same period of 2018. The decrease was driven by an incremental $55.3 million favorable impact from mark-to-market adjustments on our commodity derivative instruments intended to economically hedge future years' commodity purchases and favorable supply chain productivity. These drivers were partially offset by higher freight and logistics costs and higher plant costs.</w:t>
      </w:r>
    </w:p>
    <w:p>
      <w:pPr>
        <w:spacing w:after="0" w:line="9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Gross margin increased by 420 basis points in the second quarter of 2019 compared to the same period of 2018. The increase was primarily due to favorable year-over-year mark-to-market impact from commodity derivative instruments, favorable product mix, and favorable supply chain productivity. These factors were partially offset by higher freight and logistic costs.</w:t>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Selling, Marketing and Administrative</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Selling, marketing and administrative (“SM&amp;A”) expenses increased $4.2 million or 0.9% in the second quarter of 2019. Total advertising and related consumer marketing expenses increased 5.6% driven by advertising increases in both North America and International and Other markets. Selling, marketing and administrative expenses, excluding advertising and related consumer marketing, decreased approximately 1.4% in the second quarter due to less spending from the Margin for Growth Program and lower acquisition-related costs.</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Long-Lived Asset Impairment Charges</w:t>
      </w:r>
    </w:p>
    <w:p>
      <w:pPr>
        <w:spacing w:after="0" w:line="17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During the second quarter of 2019, we recorded long-lived asset impairment charges of $4.7 million, which are predominantly comprised of select land that has not yet met the held for sale criteria. Additionally, included within our impairment charges is a contingency, that arose after the divestiture of Tyrrells in July 2018. In the second quarter of 2018, we recorded long-lived asset impairment charges of $27.2 million associated with the SGM and Tyrrells disposal groups. These charges represented the excess of the disposal groups' carrying values, including the related currency translation adjustment amounts to be realized upon completion of the sales, over the estimated fair values less costs to sell for the respective businesses. In July 2018, we sold the SGM and Tyrrells businesses.</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Business Realignment Activities</w:t>
      </w:r>
    </w:p>
    <w:p>
      <w:pPr>
        <w:spacing w:after="0" w:line="175"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In the second quarter of 2019 and 2018, we recorded business realignment costs of $6.1 million and $1.0 million, respectively. The costs related primarily to the Margin for Growth Program, which is discussed in more detail in Note 9 to the Unaudited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Profit and Operating Profit Margin</w:t>
      </w:r>
    </w:p>
    <w:p>
      <w:pPr>
        <w:spacing w:after="0" w:line="94"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Operating profit increased 29.9% in the second quarter of 2019 compared to the same period of 2018 due to higher gross profit and lower long-lived asset impairment charges, partially offset by higher business realignment costs in the 2019 period and higher SM&amp;A, as noted above. Operating profit margin increased to 23.2% in 2019 from 18.0% in 2018 driven by these same factors.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94"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Net interest expense was $1.2 million lower in the second quarter of 2019 compared to the same period of 2018. The decrease was due to higher interest income related to an international local tax settlement, as well as lower levels of commercial paper and outstanding long-term debt.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94"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Other (income) expense, net totaled expense of $13.1 million in the second quarter of 2019 versus expense of $20.8 million in the second quarter of 2018. The decrease in the net expense was primarily due to lower write-downs on equity investments qualifying for federal historic and energy tax credits, partially offset by higher non-service cost components of net periodic benefit cost relating to pension and other post-retirement benefit plans during 2019.</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746" w:right="2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Income Taxes and Effective Tax Rate</w:t>
      </w:r>
    </w:p>
    <w:p>
      <w:pPr>
        <w:spacing w:after="0" w:line="94"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Our effective income tax rate was 13.7% for the second quarter of 2019 compared with 14.1% for the second quarter of 2018. Relative to the statutory rate, the 2019 effective tax rate was impacted by a change to foreign valuation allowances, the benefit of ASU 2016-09 for accounting of employee share-based payment, and investment tax credits, which were partially offset by state taxes.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The Hershey Company and Earnings Per Share-diluted</w:t>
      </w:r>
    </w:p>
    <w:p>
      <w:pPr>
        <w:spacing w:after="0" w:line="94"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Net income increased $86.0 million, or 37.9%, while EPS-diluted increased $0.40, or 37.0%, in the second quarter of 2019 compared to the same period of 2018. The increase in both net income and EPS-diluted was driven primarily by higher operating profit, which were partly offset by higher income taxes, as noted above.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 First Six Months 2019 vs. First Six Months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9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Net sales increased 1.6% in the first six months of 2019 compared to the same period of 2018, reflecting a volume increase of 1.1%, favorable price realization of 0.8% due to higher prices on certain products, and a 0.2% benefit from net acquisitions and divestitures, partially offset by unfavorable impact from foreign currency exchange rates of 0.5%. Excluding foreign currency, our first six months of 2019 net sales increased 2.1%. Consolidated volumes increased due to stronger Easter sales and innovation growth in 2019, as well as solid marketplace growth in select international markets.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 and Gross Margin</w:t>
      </w:r>
    </w:p>
    <w:p>
      <w:pPr>
        <w:spacing w:after="0" w:line="94"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Cost of sales increased 3.1% in the first six months of 2019 compared to the same period of 2018. The increase was driven by a $37.9 million unfavorable impact from mark-to-market adjustments on our commodity derivative instruments intended to economically hedge future years' commodity purchases, higher sales volume, higher freight and logistics costs and higher plant costs. These drivers were partially offset by supply chain productivity.</w:t>
      </w:r>
    </w:p>
    <w:p>
      <w:pPr>
        <w:spacing w:after="0" w:line="9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Gross margin decreased by 80 basis points in the first six months of 2019 compared to the same period of 2018. The decrease was primarily due to higher freight and logistic costs and unfavorable year-over-year mark-to-market impact from commodity derivative instruments. These factors were partially offset by favorable supply chain productivity and favorable product mix.</w:t>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Selling, Marketing and Administrative</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Selling, marketing and administrative (“SM&amp;A”) expenses decreased $27.5 million or 2.9% in the first six months of 2019. Total advertising and related consumer marketing expenses increased 2.2% driven by advertising increases in both North America and International and Other markets. Selling, marketing and administrative expenses, excluding advertising and related consumer marketing, decreased approximately 5.7% in the first six months of 2019 due to less spending from the Margin for Growth Program and lower acquisition-related costs.</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Long-Lived Asset Impairment Charges</w:t>
      </w:r>
    </w:p>
    <w:p>
      <w:pPr>
        <w:spacing w:after="0" w:line="17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During the first six months of 2019, we recorded long-lived asset impairment charges of $4.7 million, which are predominantly comprised of select land that has not yet met the held for sale criteria. Additionally, included within our impairment charges is a contingency, that arose after the divestiture of Tyrrells in July 2018. During the first six months of 2018, we recorded long-lived asset impairment charges of $27.2 million associated with the SGM and Tyrrells disposal groups. These charges represented the excess of the disposal groups' carrying values, including the related currency translation adjustment amounts to be realized upon completion of the sales, over the estimated fair values less costs to sell for the respective businesses. In July 2018, we sold the SGM and Tyrrells businesses.</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Business Realignment Activities</w:t>
      </w:r>
    </w:p>
    <w:p>
      <w:pPr>
        <w:spacing w:after="0" w:line="17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In the first six months of 2019 and 2018, we recorded business realignment costs of $6.2 million and $9.2 million, respectively. The costs related primarily to the Margin for Growth Program, which is discussed in more detail in Note 9 to the Unaudited Consolidated Financial Statements.</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742" w:right="29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Operating Profit and Operating Profit Margin</w:t>
      </w:r>
    </w:p>
    <w:p>
      <w:pPr>
        <w:spacing w:after="0" w:line="9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Operating profit increased 6.6% in the first six months of 2019 compared to the same period of 2018 due to lower SM&amp;A, lower long-lived asset impairment charges, and lower business realignment cost in the 2019 period, as noted above. Operating profit margin increased to 22.4% in 2019 from 21.4% in 2018 driven by these same factors.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9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Net interest expense was $6.9 million higher in the first six months of 2019 compared to the same period of 2018. The increase was due to $1.2 billion of notes issued in May 2018, as well as higher interest rates on our short-term debt.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94"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Other (income) expense, net totaled expense of $18.6 million in the first six months of 2019 versus expense of $22.7 million in the first six months of 2018. The decrease in the net expense was primarily due to lower write-downs on equity investments qualifying for federal historic and energy tax credits, partially offset by higher non-service cost components of net periodic benefit cost relating to pension and other post-retirement benefit plans during 2019.</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and Effective Tax Rate</w:t>
      </w:r>
    </w:p>
    <w:p>
      <w:pPr>
        <w:spacing w:after="0" w:line="9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effective income tax rate was 18.7% for the first six months of 2019 compared with 19.1% for the first six months of 2018. Relative to the statutory rate, the 2019 effective tax rate was impacted by a change to foreign valuation allowances, the benefit of ASU 2016-09 for accounting of employee share-based payment, and investment tax credits, which were partially offset by state taxes.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The Hershey Company and Earnings Per Share-diluted</w:t>
      </w:r>
    </w:p>
    <w:p>
      <w:pPr>
        <w:spacing w:after="0" w:line="27" w:lineRule="exact"/>
        <w:rPr>
          <w:sz w:val="20"/>
          <w:szCs w:val="20"/>
          <w:color w:val="auto"/>
        </w:rPr>
      </w:pPr>
    </w:p>
    <w:p>
      <w:pPr>
        <w:jc w:val="both"/>
        <w:ind w:right="300"/>
        <w:spacing w:after="0" w:line="255" w:lineRule="auto"/>
        <w:rPr>
          <w:sz w:val="20"/>
          <w:szCs w:val="20"/>
          <w:color w:val="auto"/>
        </w:rPr>
      </w:pPr>
      <w:r>
        <w:rPr>
          <w:rFonts w:ascii="Arial" w:cs="Arial" w:eastAsia="Arial" w:hAnsi="Arial"/>
          <w:sz w:val="18"/>
          <w:szCs w:val="18"/>
          <w:color w:val="auto"/>
        </w:rPr>
        <w:t>Net income increased $40.1 million, or 7.0%, while EPS-diluted increased $0.20, or 7.3%, in the first six months of 2019 compared to the same period of 2018. The increase in both net income and EPS-diluted was driven primarily by higher operating profit, which was partly offset by higher interest expense and higher income taxes, as noted above.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9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summary that follows provides a discussion of the results of operations of our two reportable segments: North America and International and Other. The segments reflect our operations on a geographic basis. For segment reporting purposes, we use “segment income” to evaluate segment performance and allocate resources. Segment income excludes unallocated general corporate administrative expenses, unallocated mark-to-market gains and losses on commodity derivatives, business realignment and impairment charges, acquisition-related costs and other unusual gains or losses that are not part of our measurement of segment performance. These items of our operating income are largely managed centrally at the corporate level and are excluded from the measure of segment income reviewed by the CODM and used for resource allocation and internal management reporting and performance evaluation. Segment income and segment income margin, which are presented in the segment discussion that follows, are non-GAAP measures and do not purport to be alternatives to operating income as a measure of operating performance. We believe that these measures are useful to investors and other users of our financial information in evaluating ongoing operating profitability as well as in evaluating operating performance in relation to our competitors, as they exclude the activities that are not directly attributable to our ongoing segment operations. For further information, see the Non-GAAP Information section of this MD&amp;A.</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823"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Our segment results, including a reconciliation to our consolidated results, were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360" w:type="dxa"/>
            <w:vAlign w:val="bottom"/>
            <w:gridSpan w:val="5"/>
          </w:tcPr>
          <w:p>
            <w:pPr>
              <w:ind w:left="8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3240" w:type="dxa"/>
            <w:vAlign w:val="bottom"/>
            <w:gridSpan w:val="4"/>
          </w:tcPr>
          <w:p>
            <w:pPr>
              <w:jc w:val="right"/>
              <w:ind w:right="1091"/>
              <w:spacing w:after="0"/>
              <w:rPr>
                <w:sz w:val="20"/>
                <w:szCs w:val="20"/>
                <w:color w:val="auto"/>
              </w:rPr>
            </w:pPr>
            <w:r>
              <w:rPr>
                <w:rFonts w:ascii="Arial" w:cs="Arial" w:eastAsia="Arial" w:hAnsi="Arial"/>
                <w:sz w:val="14"/>
                <w:szCs w:val="14"/>
                <w:b w:val="1"/>
                <w:bCs w:val="1"/>
                <w:color w:val="auto"/>
              </w:rPr>
              <w:t>Six Months Ended</w:t>
            </w:r>
          </w:p>
        </w:tc>
      </w:tr>
      <w:tr>
        <w:trPr>
          <w:trHeight w:val="80"/>
        </w:trPr>
        <w:tc>
          <w:tcPr>
            <w:tcW w:w="424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gridSpan w:val="2"/>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gridSpan w:val="2"/>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r>
      <w:tr>
        <w:trPr>
          <w:trHeight w:val="258"/>
        </w:trPr>
        <w:tc>
          <w:tcPr>
            <w:tcW w:w="4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6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2019</w:t>
            </w:r>
          </w:p>
        </w:tc>
        <w:tc>
          <w:tcPr>
            <w:tcW w:w="300" w:type="dxa"/>
            <w:vAlign w:val="bottom"/>
          </w:tcPr>
          <w:p>
            <w:pPr>
              <w:spacing w:after="0"/>
              <w:rPr>
                <w:sz w:val="22"/>
                <w:szCs w:val="22"/>
                <w:color w:val="auto"/>
              </w:rPr>
            </w:pPr>
          </w:p>
        </w:tc>
        <w:tc>
          <w:tcPr>
            <w:tcW w:w="15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July 1, 2018</w:t>
            </w:r>
          </w:p>
        </w:tc>
        <w:tc>
          <w:tcPr>
            <w:tcW w:w="280" w:type="dxa"/>
            <w:vAlign w:val="bottom"/>
          </w:tcPr>
          <w:p>
            <w:pPr>
              <w:spacing w:after="0"/>
              <w:rPr>
                <w:sz w:val="22"/>
                <w:szCs w:val="22"/>
                <w:color w:val="auto"/>
              </w:rPr>
            </w:pPr>
          </w:p>
        </w:tc>
        <w:tc>
          <w:tcPr>
            <w:tcW w:w="15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2019</w:t>
            </w:r>
          </w:p>
        </w:tc>
        <w:tc>
          <w:tcPr>
            <w:tcW w:w="300" w:type="dxa"/>
            <w:vAlign w:val="bottom"/>
          </w:tcPr>
          <w:p>
            <w:pPr>
              <w:spacing w:after="0"/>
              <w:rPr>
                <w:sz w:val="22"/>
                <w:szCs w:val="22"/>
                <w:color w:val="auto"/>
              </w:rPr>
            </w:pPr>
          </w:p>
        </w:tc>
        <w:tc>
          <w:tcPr>
            <w:tcW w:w="1400" w:type="dxa"/>
            <w:vAlign w:val="bottom"/>
          </w:tcPr>
          <w:p>
            <w:pPr>
              <w:jc w:val="right"/>
              <w:ind w:right="391"/>
              <w:spacing w:after="0"/>
              <w:rPr>
                <w:sz w:val="20"/>
                <w:szCs w:val="20"/>
                <w:color w:val="auto"/>
              </w:rPr>
            </w:pPr>
            <w:r>
              <w:rPr>
                <w:rFonts w:ascii="Arial" w:cs="Arial" w:eastAsia="Arial" w:hAnsi="Arial"/>
                <w:sz w:val="14"/>
                <w:szCs w:val="14"/>
                <w:b w:val="1"/>
                <w:bCs w:val="1"/>
                <w:color w:val="auto"/>
              </w:rPr>
              <w:t>July 1, 2018</w:t>
            </w:r>
          </w:p>
        </w:tc>
      </w:tr>
      <w:tr>
        <w:trPr>
          <w:trHeight w:val="250"/>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North America</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1,568,040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1,559,952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3,374,998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3,311,640</w:t>
            </w:r>
          </w:p>
        </w:tc>
      </w:tr>
      <w:tr>
        <w:trPr>
          <w:trHeight w:val="27"/>
        </w:trPr>
        <w:tc>
          <w:tcPr>
            <w:tcW w:w="4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International and Other</w:t>
            </w:r>
          </w:p>
        </w:tc>
        <w:tc>
          <w:tcPr>
            <w:tcW w:w="3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199,177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191,663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408,707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411,934</w:t>
            </w:r>
          </w:p>
        </w:tc>
      </w:tr>
      <w:tr>
        <w:trPr>
          <w:trHeight w:val="297"/>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1,767,217</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1,751,615</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3,783,705</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3,723,574</w:t>
            </w:r>
          </w:p>
        </w:tc>
      </w:tr>
      <w:tr>
        <w:trPr>
          <w:trHeight w:val="311"/>
        </w:trPr>
        <w:tc>
          <w:tcPr>
            <w:tcW w:w="42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Segment Income:</w:t>
            </w:r>
          </w:p>
        </w:tc>
        <w:tc>
          <w:tcPr>
            <w:tcW w:w="3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North America</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470,898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443,859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1,035,659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978,285</w:t>
            </w: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International and Other</w:t>
            </w:r>
          </w:p>
        </w:tc>
        <w:tc>
          <w:tcPr>
            <w:tcW w:w="300" w:type="dxa"/>
            <w:vAlign w:val="bottom"/>
          </w:tcPr>
          <w:p>
            <w:pPr>
              <w:spacing w:after="0"/>
              <w:rPr>
                <w:sz w:val="21"/>
                <w:szCs w:val="21"/>
                <w:color w:val="auto"/>
              </w:rPr>
            </w:pP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21,944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16,627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42,187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34,307</w:t>
            </w:r>
          </w:p>
        </w:tc>
      </w:tr>
      <w:tr>
        <w:trPr>
          <w:trHeight w:val="27"/>
        </w:trPr>
        <w:tc>
          <w:tcPr>
            <w:tcW w:w="4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segment income</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492,842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460,486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1,077,846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1,012,592</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Unallocated corporate expense (1)</w:t>
            </w:r>
          </w:p>
        </w:tc>
        <w:tc>
          <w:tcPr>
            <w:tcW w:w="300" w:type="dxa"/>
            <w:vAlign w:val="bottom"/>
          </w:tcPr>
          <w:p>
            <w:pPr>
              <w:spacing w:after="0"/>
              <w:rPr>
                <w:sz w:val="21"/>
                <w:szCs w:val="21"/>
                <w:color w:val="auto"/>
              </w:rPr>
            </w:pP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122,879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121,006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237,383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244,973</w:t>
            </w:r>
          </w:p>
        </w:tc>
      </w:tr>
      <w:tr>
        <w:trPr>
          <w:trHeight w:val="27"/>
        </w:trPr>
        <w:tc>
          <w:tcPr>
            <w:tcW w:w="4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9"/>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Unallocated mark-to-market gains on commodity</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(2)</w:t>
            </w:r>
          </w:p>
        </w:tc>
        <w:tc>
          <w:tcPr>
            <w:tcW w:w="3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(53,552)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(20,831)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(25,585)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(117,081)</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Long-lived and intangible asset impairment charges</w:t>
            </w:r>
          </w:p>
        </w:tc>
        <w:tc>
          <w:tcPr>
            <w:tcW w:w="300" w:type="dxa"/>
            <w:vAlign w:val="bottom"/>
          </w:tcPr>
          <w:p>
            <w:pPr>
              <w:spacing w:after="0"/>
              <w:rPr>
                <w:sz w:val="21"/>
                <w:szCs w:val="21"/>
                <w:color w:val="auto"/>
              </w:rPr>
            </w:pP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4,741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27,168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4,741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27,168</w:t>
            </w:r>
          </w:p>
        </w:tc>
      </w:tr>
      <w:tr>
        <w:trPr>
          <w:trHeight w:val="27"/>
        </w:trPr>
        <w:tc>
          <w:tcPr>
            <w:tcW w:w="4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Costs associated with business realignment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6,378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31,247</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Acquisition-related costs</w:t>
            </w:r>
          </w:p>
        </w:tc>
        <w:tc>
          <w:tcPr>
            <w:tcW w:w="300" w:type="dxa"/>
            <w:vAlign w:val="bottom"/>
          </w:tcPr>
          <w:p>
            <w:pPr>
              <w:spacing w:after="0"/>
              <w:rPr>
                <w:sz w:val="21"/>
                <w:szCs w:val="21"/>
                <w:color w:val="auto"/>
              </w:rPr>
            </w:pP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2,326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4,781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5,506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32,707</w:t>
            </w:r>
          </w:p>
        </w:tc>
      </w:tr>
      <w:tr>
        <w:trPr>
          <w:trHeight w:val="27"/>
        </w:trPr>
        <w:tc>
          <w:tcPr>
            <w:tcW w:w="4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licensing rights</w:t>
            </w:r>
          </w:p>
        </w:tc>
        <w:tc>
          <w:tcPr>
            <w:tcW w:w="3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(2,658)</w:t>
            </w: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3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410,070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315,724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848,939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796,236</w:t>
            </w:r>
          </w:p>
        </w:tc>
      </w:tr>
      <w:tr>
        <w:trPr>
          <w:trHeight w:val="27"/>
        </w:trPr>
        <w:tc>
          <w:tcPr>
            <w:tcW w:w="4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33,776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34,952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71,234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64,291</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21"/>
                <w:szCs w:val="21"/>
                <w:color w:val="auto"/>
              </w:rPr>
            </w:pP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13,125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20,766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18,602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22,708</w:t>
            </w:r>
          </w:p>
        </w:tc>
      </w:tr>
      <w:tr>
        <w:trPr>
          <w:trHeight w:val="27"/>
        </w:trPr>
        <w:tc>
          <w:tcPr>
            <w:tcW w:w="4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363,169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260,006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759,103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709,237</w:t>
            </w:r>
          </w:p>
        </w:tc>
      </w:tr>
      <w:tr>
        <w:trPr>
          <w:trHeight w:val="20"/>
        </w:trPr>
        <w:tc>
          <w:tcPr>
            <w:tcW w:w="4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ind w:left="340" w:right="60" w:hanging="332"/>
        <w:spacing w:after="0" w:line="261"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and (d) other gains or losses that are not integral to segment performance.</w:t>
      </w:r>
    </w:p>
    <w:p>
      <w:pPr>
        <w:spacing w:after="0" w:line="47" w:lineRule="exact"/>
        <w:rPr>
          <w:rFonts w:ascii="Arial" w:cs="Arial" w:eastAsia="Arial" w:hAnsi="Arial"/>
          <w:sz w:val="16"/>
          <w:szCs w:val="16"/>
          <w:color w:val="auto"/>
        </w:rPr>
      </w:pPr>
    </w:p>
    <w:p>
      <w:pPr>
        <w:ind w:left="340" w:right="460" w:hanging="332"/>
        <w:spacing w:after="0" w:line="275"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Net (gains) losses on mark-to-market valuation of commodity derivative positions recognized in unallocated derivative (gains) losses. See Note 13 to the Unaudited Consolidated Financial Statements.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746"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North America</w:t>
      </w:r>
    </w:p>
    <w:p>
      <w:pPr>
        <w:spacing w:after="0" w:line="94"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The North America segment is responsible for our chocolate and non-chocolate confectionery market position, as well as our grocery and growing snacks market positions, in the United States and Canada. This includes developing and growing our business in chocolate and non-chocolate confectionery, pantry, food service and other snacking product lines. North America accounted for 88.7% and 89.1% of our net sales for the three months ended June 30, 2019 and July 1, 2018, respectively. North America results for the three and six months ended June 30, 2019 and July 1, 2018 were as follows: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80" w:type="dxa"/>
            <w:vAlign w:val="bottom"/>
            <w:gridSpan w:val="3"/>
          </w:tcPr>
          <w:p>
            <w:pPr>
              <w:jc w:val="right"/>
              <w:ind w:right="794"/>
              <w:spacing w:after="0"/>
              <w:rPr>
                <w:sz w:val="20"/>
                <w:szCs w:val="20"/>
                <w:color w:val="auto"/>
              </w:rPr>
            </w:pPr>
            <w:r>
              <w:rPr>
                <w:rFonts w:ascii="Arial" w:cs="Arial" w:eastAsia="Arial" w:hAnsi="Arial"/>
                <w:sz w:val="14"/>
                <w:szCs w:val="14"/>
                <w:b w:val="1"/>
                <w:bCs w:val="1"/>
                <w:color w:val="auto"/>
              </w:rPr>
              <w:t>Three Months Ended</w:t>
            </w:r>
          </w:p>
        </w:tc>
        <w:tc>
          <w:tcPr>
            <w:tcW w:w="142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Percent</w:t>
            </w:r>
          </w:p>
        </w:tc>
        <w:tc>
          <w:tcPr>
            <w:tcW w:w="220" w:type="dxa"/>
            <w:vAlign w:val="bottom"/>
          </w:tcPr>
          <w:p>
            <w:pPr>
              <w:spacing w:after="0"/>
              <w:rPr>
                <w:sz w:val="16"/>
                <w:szCs w:val="16"/>
                <w:color w:val="auto"/>
              </w:rPr>
            </w:pPr>
          </w:p>
        </w:tc>
        <w:tc>
          <w:tcPr>
            <w:tcW w:w="2900" w:type="dxa"/>
            <w:vAlign w:val="bottom"/>
            <w:gridSpan w:val="3"/>
          </w:tcPr>
          <w:p>
            <w:pPr>
              <w:jc w:val="right"/>
              <w:ind w:right="894"/>
              <w:spacing w:after="0"/>
              <w:rPr>
                <w:sz w:val="20"/>
                <w:szCs w:val="20"/>
                <w:color w:val="auto"/>
              </w:rPr>
            </w:pPr>
            <w:r>
              <w:rPr>
                <w:rFonts w:ascii="Arial" w:cs="Arial" w:eastAsia="Arial" w:hAnsi="Arial"/>
                <w:sz w:val="14"/>
                <w:szCs w:val="14"/>
                <w:b w:val="1"/>
                <w:bCs w:val="1"/>
                <w:color w:val="auto"/>
              </w:rPr>
              <w:t>Six Months Ended</w:t>
            </w:r>
          </w:p>
        </w:tc>
        <w:tc>
          <w:tcPr>
            <w:tcW w:w="130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74"/>
        </w:trPr>
        <w:tc>
          <w:tcPr>
            <w:tcW w:w="246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420" w:type="dxa"/>
            <w:vAlign w:val="bottom"/>
            <w:vMerge w:val="continue"/>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24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June 30, 2019</w:t>
            </w: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July 1, 2018</w:t>
            </w:r>
          </w:p>
        </w:tc>
        <w:tc>
          <w:tcPr>
            <w:tcW w:w="14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Change</w:t>
            </w: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June 30, 2019</w:t>
            </w: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July 1, 2018</w:t>
            </w:r>
          </w:p>
        </w:tc>
        <w:tc>
          <w:tcPr>
            <w:tcW w:w="13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64"/>
        </w:trPr>
        <w:tc>
          <w:tcPr>
            <w:tcW w:w="2460" w:type="dxa"/>
            <w:vAlign w:val="bottom"/>
          </w:tcPr>
          <w:p>
            <w:pPr>
              <w:ind w:left="40"/>
              <w:spacing w:after="0"/>
              <w:rPr>
                <w:sz w:val="20"/>
                <w:szCs w:val="20"/>
                <w:color w:val="auto"/>
              </w:rPr>
            </w:pPr>
            <w:r>
              <w:rPr>
                <w:rFonts w:ascii="Arial" w:cs="Arial" w:eastAsia="Arial" w:hAnsi="Arial"/>
                <w:sz w:val="14"/>
                <w:szCs w:val="14"/>
                <w:b w:val="1"/>
                <w:bCs w:val="1"/>
                <w:color w:val="auto"/>
              </w:rPr>
              <w:t>In millions of dollars</w:t>
            </w:r>
          </w:p>
        </w:tc>
        <w:tc>
          <w:tcPr>
            <w:tcW w:w="2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rPr>
              <w:t>1,568.0</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1,560.0</w:t>
            </w:r>
          </w:p>
        </w:tc>
        <w:tc>
          <w:tcPr>
            <w:tcW w:w="14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0.5%</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rPr>
              <w:t>3,375.0</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3,311.6</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2460" w:type="dxa"/>
            <w:vAlign w:val="bottom"/>
          </w:tcPr>
          <w:p>
            <w:pPr>
              <w:ind w:left="40"/>
              <w:spacing w:after="0"/>
              <w:rPr>
                <w:sz w:val="20"/>
                <w:szCs w:val="20"/>
                <w:color w:val="auto"/>
              </w:rPr>
            </w:pPr>
            <w:r>
              <w:rPr>
                <w:rFonts w:ascii="Arial" w:cs="Arial" w:eastAsia="Arial" w:hAnsi="Arial"/>
                <w:sz w:val="18"/>
                <w:szCs w:val="18"/>
                <w:color w:val="auto"/>
              </w:rPr>
              <w:t>Segment income</w:t>
            </w:r>
          </w:p>
        </w:tc>
        <w:tc>
          <w:tcPr>
            <w:tcW w:w="240" w:type="dxa"/>
            <w:vAlign w:val="bottom"/>
          </w:tcPr>
          <w:p>
            <w:pPr>
              <w:spacing w:after="0"/>
              <w:rPr>
                <w:sz w:val="21"/>
                <w:szCs w:val="21"/>
                <w:color w:val="auto"/>
              </w:rPr>
            </w:pPr>
          </w:p>
        </w:tc>
        <w:tc>
          <w:tcPr>
            <w:tcW w:w="1320" w:type="dxa"/>
            <w:vAlign w:val="bottom"/>
          </w:tcPr>
          <w:p>
            <w:pPr>
              <w:jc w:val="right"/>
              <w:ind w:right="157"/>
              <w:spacing w:after="0"/>
              <w:rPr>
                <w:sz w:val="20"/>
                <w:szCs w:val="20"/>
                <w:color w:val="auto"/>
              </w:rPr>
            </w:pPr>
            <w:r>
              <w:rPr>
                <w:rFonts w:ascii="Arial" w:cs="Arial" w:eastAsia="Arial" w:hAnsi="Arial"/>
                <w:sz w:val="18"/>
                <w:szCs w:val="18"/>
                <w:color w:val="auto"/>
              </w:rPr>
              <w:t>470.9</w:t>
            </w:r>
          </w:p>
        </w:tc>
        <w:tc>
          <w:tcPr>
            <w:tcW w:w="300" w:type="dxa"/>
            <w:vAlign w:val="bottom"/>
          </w:tcPr>
          <w:p>
            <w:pPr>
              <w:spacing w:after="0"/>
              <w:rPr>
                <w:sz w:val="21"/>
                <w:szCs w:val="21"/>
                <w:color w:val="auto"/>
              </w:rPr>
            </w:pPr>
          </w:p>
        </w:tc>
        <w:tc>
          <w:tcPr>
            <w:tcW w:w="1260" w:type="dxa"/>
            <w:vAlign w:val="bottom"/>
          </w:tcPr>
          <w:p>
            <w:pPr>
              <w:jc w:val="right"/>
              <w:ind w:right="94"/>
              <w:spacing w:after="0"/>
              <w:rPr>
                <w:sz w:val="20"/>
                <w:szCs w:val="20"/>
                <w:color w:val="auto"/>
              </w:rPr>
            </w:pPr>
            <w:r>
              <w:rPr>
                <w:rFonts w:ascii="Arial" w:cs="Arial" w:eastAsia="Arial" w:hAnsi="Arial"/>
                <w:sz w:val="18"/>
                <w:szCs w:val="18"/>
                <w:color w:val="auto"/>
              </w:rPr>
              <w:t>443.9</w:t>
            </w:r>
          </w:p>
        </w:tc>
        <w:tc>
          <w:tcPr>
            <w:tcW w:w="1420" w:type="dxa"/>
            <w:vAlign w:val="bottom"/>
          </w:tcPr>
          <w:p>
            <w:pPr>
              <w:jc w:val="right"/>
              <w:ind w:right="79"/>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21"/>
                <w:szCs w:val="21"/>
                <w:color w:val="auto"/>
              </w:rPr>
            </w:pPr>
          </w:p>
        </w:tc>
        <w:tc>
          <w:tcPr>
            <w:tcW w:w="1340" w:type="dxa"/>
            <w:vAlign w:val="bottom"/>
          </w:tcPr>
          <w:p>
            <w:pPr>
              <w:jc w:val="right"/>
              <w:ind w:right="157"/>
              <w:spacing w:after="0"/>
              <w:rPr>
                <w:sz w:val="20"/>
                <w:szCs w:val="20"/>
                <w:color w:val="auto"/>
              </w:rPr>
            </w:pPr>
            <w:r>
              <w:rPr>
                <w:rFonts w:ascii="Arial" w:cs="Arial" w:eastAsia="Arial" w:hAnsi="Arial"/>
                <w:sz w:val="18"/>
                <w:szCs w:val="18"/>
                <w:color w:val="auto"/>
              </w:rPr>
              <w:t>1,035.7</w:t>
            </w:r>
          </w:p>
        </w:tc>
        <w:tc>
          <w:tcPr>
            <w:tcW w:w="300" w:type="dxa"/>
            <w:vAlign w:val="bottom"/>
          </w:tcPr>
          <w:p>
            <w:pPr>
              <w:spacing w:after="0"/>
              <w:rPr>
                <w:sz w:val="21"/>
                <w:szCs w:val="21"/>
                <w:color w:val="auto"/>
              </w:rPr>
            </w:pPr>
          </w:p>
        </w:tc>
        <w:tc>
          <w:tcPr>
            <w:tcW w:w="1260" w:type="dxa"/>
            <w:vAlign w:val="bottom"/>
          </w:tcPr>
          <w:p>
            <w:pPr>
              <w:jc w:val="right"/>
              <w:ind w:right="94"/>
              <w:spacing w:after="0"/>
              <w:rPr>
                <w:sz w:val="20"/>
                <w:szCs w:val="20"/>
                <w:color w:val="auto"/>
              </w:rPr>
            </w:pPr>
            <w:r>
              <w:rPr>
                <w:rFonts w:ascii="Arial" w:cs="Arial" w:eastAsia="Arial" w:hAnsi="Arial"/>
                <w:sz w:val="18"/>
                <w:szCs w:val="18"/>
                <w:color w:val="auto"/>
              </w:rPr>
              <w:t>978.3</w:t>
            </w:r>
          </w:p>
        </w:tc>
        <w:tc>
          <w:tcPr>
            <w:tcW w:w="130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Segment margin</w:t>
            </w: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7"/>
              <w:spacing w:after="0"/>
              <w:rPr>
                <w:sz w:val="20"/>
                <w:szCs w:val="20"/>
                <w:color w:val="auto"/>
              </w:rPr>
            </w:pPr>
            <w:r>
              <w:rPr>
                <w:rFonts w:ascii="Arial" w:cs="Arial" w:eastAsia="Arial" w:hAnsi="Arial"/>
                <w:sz w:val="18"/>
                <w:szCs w:val="18"/>
                <w:i w:val="1"/>
                <w:iCs w:val="1"/>
                <w:color w:val="auto"/>
              </w:rPr>
              <w:t>30.0%</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28.5%</w:t>
            </w:r>
          </w:p>
        </w:tc>
        <w:tc>
          <w:tcPr>
            <w:tcW w:w="14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7"/>
              <w:spacing w:after="0"/>
              <w:rPr>
                <w:sz w:val="20"/>
                <w:szCs w:val="20"/>
                <w:color w:val="auto"/>
              </w:rPr>
            </w:pPr>
            <w:r>
              <w:rPr>
                <w:rFonts w:ascii="Arial" w:cs="Arial" w:eastAsia="Arial" w:hAnsi="Arial"/>
                <w:sz w:val="18"/>
                <w:szCs w:val="18"/>
                <w:i w:val="1"/>
                <w:iCs w:val="1"/>
                <w:color w:val="auto"/>
              </w:rPr>
              <w:t>30.7%</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29.5%</w:t>
            </w: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 Second Quarter 2019 vs. Second Quarter 2018</w:t>
      </w:r>
    </w:p>
    <w:p>
      <w:pPr>
        <w:spacing w:after="0" w:line="9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Net sales of our North America segment increased $8.0 million or 0.5% in 2019 compared to the same period in 2018, reflecting a favorable price realization of 1.5% attributed to higher prices on certain products. This was partially offset by a volume decrease of 0.5%, an unfavorable net impact of acquisitions and divestitures of 0.3% and an unfavorable impact from foreign currency exchange rates of 0.2%. Excluding the Pirate Brands acquisition and Tyrrells divestiture, our North America segment net sales increased 0.8%.</w:t>
      </w:r>
    </w:p>
    <w:p>
      <w:pPr>
        <w:spacing w:after="0" w:line="10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North America segment income increased $27.0 million or 6.1% in 2019 compared to 2018, primarily due to favorable sales mix and price realization, as well as favorable commodity costs, partially offset by higher advertising expense, higher freight and logistics costs, higher supply chain-related costs and lower sales volume.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 First Six Months 2019 vs. First Six Months 2018</w:t>
      </w:r>
    </w:p>
    <w:p>
      <w:pPr>
        <w:spacing w:after="0" w:line="9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Net sales of our North America segment increased $63.4 million or 1.9% in 2019 compared to 2018, which includes a 0.7% benefit from net acquisitions and divestitures. Excluding the Amplify and Pirate Brands acquisitions and Tyrrells divestiture, our North America segment net sales increased 1.2%. Net price realization increased 0.9% attributed to higher prices on certain products. Volume increased 0.5% driven by stronger Easter sales and innovation growth in 2019. Foreign currency exchange rates resulted in an unfavorable impact of 0.2%.</w:t>
      </w:r>
    </w:p>
    <w:p>
      <w:pPr>
        <w:spacing w:after="0" w:line="106"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Our North America segment income increased $57.4 million or 5.9% in 2019 compared to 2018, primarily due to favorable sales mix and price realization and higher sales volume, as well as favorable commodity costs, partially offset by higher advertising expense, higher freight and logistics costs and higher supply chain-related costs.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742"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International and Other</w:t>
      </w:r>
    </w:p>
    <w:p>
      <w:pPr>
        <w:spacing w:after="0" w:line="9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International and Other segment includes all other countries where we currently manufacture, import, market, sell or distribute chocolate and non-chocolate confectionery and other products. Currently, this includes our operations in China and other Asia markets, Latin America, Europe, Africa and the Middle East, along with exports to these regions. While a less significant component, this segment also includes our global retail operations, including Hershey’s Chocolate World stores in Hershey, Pennsylvania, New York City, Las Vegas, Niagara Falls (Ontario) and Singapore, as well as operations associated with licensing the use of certain trademarks and products to third parties around the world. International and Other accounted for 11.3% and 10.9% of our net sales for the three months ended June 30, 2019 and July 1, 2018, respectively. International and Other results for the three and six months ended June 30, 2019 and July 1, 2018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80" w:type="dxa"/>
            <w:vAlign w:val="bottom"/>
            <w:gridSpan w:val="3"/>
          </w:tcPr>
          <w:p>
            <w:pPr>
              <w:jc w:val="right"/>
              <w:ind w:right="794"/>
              <w:spacing w:after="0"/>
              <w:rPr>
                <w:sz w:val="20"/>
                <w:szCs w:val="20"/>
                <w:color w:val="auto"/>
              </w:rPr>
            </w:pPr>
            <w:r>
              <w:rPr>
                <w:rFonts w:ascii="Arial" w:cs="Arial" w:eastAsia="Arial" w:hAnsi="Arial"/>
                <w:sz w:val="14"/>
                <w:szCs w:val="14"/>
                <w:b w:val="1"/>
                <w:bCs w:val="1"/>
                <w:color w:val="auto"/>
              </w:rPr>
              <w:t>Three Months Ended</w:t>
            </w:r>
          </w:p>
        </w:tc>
        <w:tc>
          <w:tcPr>
            <w:tcW w:w="140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Percent</w:t>
            </w:r>
          </w:p>
        </w:tc>
        <w:tc>
          <w:tcPr>
            <w:tcW w:w="220" w:type="dxa"/>
            <w:vAlign w:val="bottom"/>
          </w:tcPr>
          <w:p>
            <w:pPr>
              <w:spacing w:after="0"/>
              <w:rPr>
                <w:sz w:val="16"/>
                <w:szCs w:val="16"/>
                <w:color w:val="auto"/>
              </w:rPr>
            </w:pPr>
          </w:p>
        </w:tc>
        <w:tc>
          <w:tcPr>
            <w:tcW w:w="2880" w:type="dxa"/>
            <w:vAlign w:val="bottom"/>
            <w:gridSpan w:val="3"/>
          </w:tcPr>
          <w:p>
            <w:pPr>
              <w:jc w:val="right"/>
              <w:ind w:right="874"/>
              <w:spacing w:after="0"/>
              <w:rPr>
                <w:sz w:val="20"/>
                <w:szCs w:val="20"/>
                <w:color w:val="auto"/>
              </w:rPr>
            </w:pPr>
            <w:r>
              <w:rPr>
                <w:rFonts w:ascii="Arial" w:cs="Arial" w:eastAsia="Arial" w:hAnsi="Arial"/>
                <w:sz w:val="14"/>
                <w:szCs w:val="14"/>
                <w:b w:val="1"/>
                <w:bCs w:val="1"/>
                <w:color w:val="auto"/>
              </w:rPr>
              <w:t>Six Months Ended</w:t>
            </w:r>
          </w:p>
        </w:tc>
        <w:tc>
          <w:tcPr>
            <w:tcW w:w="134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74"/>
        </w:trPr>
        <w:tc>
          <w:tcPr>
            <w:tcW w:w="248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400" w:type="dxa"/>
            <w:vAlign w:val="bottom"/>
            <w:vMerge w:val="continue"/>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24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June 30, 2019</w:t>
            </w: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July 1, 2018</w:t>
            </w:r>
          </w:p>
        </w:tc>
        <w:tc>
          <w:tcPr>
            <w:tcW w:w="140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Change</w:t>
            </w:r>
          </w:p>
        </w:tc>
        <w:tc>
          <w:tcPr>
            <w:tcW w:w="2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June 30, 2019</w:t>
            </w: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July 1, 2018</w:t>
            </w:r>
          </w:p>
        </w:tc>
        <w:tc>
          <w:tcPr>
            <w:tcW w:w="13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64"/>
        </w:trPr>
        <w:tc>
          <w:tcPr>
            <w:tcW w:w="2480" w:type="dxa"/>
            <w:vAlign w:val="bottom"/>
          </w:tcPr>
          <w:p>
            <w:pPr>
              <w:ind w:left="40"/>
              <w:spacing w:after="0"/>
              <w:rPr>
                <w:sz w:val="20"/>
                <w:szCs w:val="20"/>
                <w:color w:val="auto"/>
              </w:rPr>
            </w:pPr>
            <w:r>
              <w:rPr>
                <w:rFonts w:ascii="Arial" w:cs="Arial" w:eastAsia="Arial" w:hAnsi="Arial"/>
                <w:sz w:val="14"/>
                <w:szCs w:val="14"/>
                <w:b w:val="1"/>
                <w:bCs w:val="1"/>
                <w:color w:val="auto"/>
              </w:rPr>
              <w:t>In millions of dollars</w:t>
            </w:r>
          </w:p>
        </w:tc>
        <w:tc>
          <w:tcPr>
            <w:tcW w:w="2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rPr>
              <w:t>199.2</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191.7</w:t>
            </w:r>
          </w:p>
        </w:tc>
        <w:tc>
          <w:tcPr>
            <w:tcW w:w="14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3.9%</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rPr>
              <w:t>408.7</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411.9</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2480" w:type="dxa"/>
            <w:vAlign w:val="bottom"/>
          </w:tcPr>
          <w:p>
            <w:pPr>
              <w:ind w:left="40"/>
              <w:spacing w:after="0"/>
              <w:rPr>
                <w:sz w:val="20"/>
                <w:szCs w:val="20"/>
                <w:color w:val="auto"/>
              </w:rPr>
            </w:pPr>
            <w:r>
              <w:rPr>
                <w:rFonts w:ascii="Arial" w:cs="Arial" w:eastAsia="Arial" w:hAnsi="Arial"/>
                <w:sz w:val="18"/>
                <w:szCs w:val="18"/>
                <w:color w:val="auto"/>
              </w:rPr>
              <w:t>Segment income</w:t>
            </w:r>
          </w:p>
        </w:tc>
        <w:tc>
          <w:tcPr>
            <w:tcW w:w="220" w:type="dxa"/>
            <w:vAlign w:val="bottom"/>
          </w:tcPr>
          <w:p>
            <w:pPr>
              <w:spacing w:after="0"/>
              <w:rPr>
                <w:sz w:val="21"/>
                <w:szCs w:val="21"/>
                <w:color w:val="auto"/>
              </w:rPr>
            </w:pPr>
          </w:p>
        </w:tc>
        <w:tc>
          <w:tcPr>
            <w:tcW w:w="1320" w:type="dxa"/>
            <w:vAlign w:val="bottom"/>
          </w:tcPr>
          <w:p>
            <w:pPr>
              <w:jc w:val="right"/>
              <w:ind w:right="157"/>
              <w:spacing w:after="0"/>
              <w:rPr>
                <w:sz w:val="20"/>
                <w:szCs w:val="20"/>
                <w:color w:val="auto"/>
              </w:rPr>
            </w:pPr>
            <w:r>
              <w:rPr>
                <w:rFonts w:ascii="Arial" w:cs="Arial" w:eastAsia="Arial" w:hAnsi="Arial"/>
                <w:sz w:val="18"/>
                <w:szCs w:val="18"/>
                <w:color w:val="auto"/>
              </w:rPr>
              <w:t>21.9</w:t>
            </w:r>
          </w:p>
        </w:tc>
        <w:tc>
          <w:tcPr>
            <w:tcW w:w="320" w:type="dxa"/>
            <w:vAlign w:val="bottom"/>
          </w:tcPr>
          <w:p>
            <w:pPr>
              <w:spacing w:after="0"/>
              <w:rPr>
                <w:sz w:val="21"/>
                <w:szCs w:val="21"/>
                <w:color w:val="auto"/>
              </w:rPr>
            </w:pPr>
          </w:p>
        </w:tc>
        <w:tc>
          <w:tcPr>
            <w:tcW w:w="1240" w:type="dxa"/>
            <w:vAlign w:val="bottom"/>
          </w:tcPr>
          <w:p>
            <w:pPr>
              <w:jc w:val="right"/>
              <w:ind w:right="94"/>
              <w:spacing w:after="0"/>
              <w:rPr>
                <w:sz w:val="20"/>
                <w:szCs w:val="20"/>
                <w:color w:val="auto"/>
              </w:rPr>
            </w:pPr>
            <w:r>
              <w:rPr>
                <w:rFonts w:ascii="Arial" w:cs="Arial" w:eastAsia="Arial" w:hAnsi="Arial"/>
                <w:sz w:val="18"/>
                <w:szCs w:val="18"/>
                <w:color w:val="auto"/>
              </w:rPr>
              <w:t>16.6</w:t>
            </w:r>
          </w:p>
        </w:tc>
        <w:tc>
          <w:tcPr>
            <w:tcW w:w="1400" w:type="dxa"/>
            <w:vAlign w:val="bottom"/>
          </w:tcPr>
          <w:p>
            <w:pPr>
              <w:jc w:val="right"/>
              <w:ind w:right="79"/>
              <w:spacing w:after="0"/>
              <w:rPr>
                <w:sz w:val="20"/>
                <w:szCs w:val="20"/>
                <w:color w:val="auto"/>
              </w:rPr>
            </w:pPr>
            <w:r>
              <w:rPr>
                <w:rFonts w:ascii="Arial" w:cs="Arial" w:eastAsia="Arial" w:hAnsi="Arial"/>
                <w:sz w:val="18"/>
                <w:szCs w:val="18"/>
                <w:color w:val="auto"/>
              </w:rPr>
              <w:t>31.9%</w:t>
            </w:r>
          </w:p>
        </w:tc>
        <w:tc>
          <w:tcPr>
            <w:tcW w:w="220" w:type="dxa"/>
            <w:vAlign w:val="bottom"/>
          </w:tcPr>
          <w:p>
            <w:pPr>
              <w:spacing w:after="0"/>
              <w:rPr>
                <w:sz w:val="21"/>
                <w:szCs w:val="21"/>
                <w:color w:val="auto"/>
              </w:rPr>
            </w:pPr>
          </w:p>
        </w:tc>
        <w:tc>
          <w:tcPr>
            <w:tcW w:w="1320" w:type="dxa"/>
            <w:vAlign w:val="bottom"/>
          </w:tcPr>
          <w:p>
            <w:pPr>
              <w:jc w:val="right"/>
              <w:ind w:right="157"/>
              <w:spacing w:after="0"/>
              <w:rPr>
                <w:sz w:val="20"/>
                <w:szCs w:val="20"/>
                <w:color w:val="auto"/>
              </w:rPr>
            </w:pPr>
            <w:r>
              <w:rPr>
                <w:rFonts w:ascii="Arial" w:cs="Arial" w:eastAsia="Arial" w:hAnsi="Arial"/>
                <w:sz w:val="18"/>
                <w:szCs w:val="18"/>
                <w:color w:val="auto"/>
              </w:rPr>
              <w:t>42.2</w:t>
            </w:r>
          </w:p>
        </w:tc>
        <w:tc>
          <w:tcPr>
            <w:tcW w:w="320" w:type="dxa"/>
            <w:vAlign w:val="bottom"/>
          </w:tcPr>
          <w:p>
            <w:pPr>
              <w:spacing w:after="0"/>
              <w:rPr>
                <w:sz w:val="21"/>
                <w:szCs w:val="21"/>
                <w:color w:val="auto"/>
              </w:rPr>
            </w:pPr>
          </w:p>
        </w:tc>
        <w:tc>
          <w:tcPr>
            <w:tcW w:w="1240" w:type="dxa"/>
            <w:vAlign w:val="bottom"/>
          </w:tcPr>
          <w:p>
            <w:pPr>
              <w:jc w:val="right"/>
              <w:ind w:right="94"/>
              <w:spacing w:after="0"/>
              <w:rPr>
                <w:sz w:val="20"/>
                <w:szCs w:val="20"/>
                <w:color w:val="auto"/>
              </w:rPr>
            </w:pPr>
            <w:r>
              <w:rPr>
                <w:rFonts w:ascii="Arial" w:cs="Arial" w:eastAsia="Arial" w:hAnsi="Arial"/>
                <w:sz w:val="18"/>
                <w:szCs w:val="18"/>
                <w:color w:val="auto"/>
              </w:rPr>
              <w:t>34.3</w:t>
            </w:r>
          </w:p>
        </w:tc>
        <w:tc>
          <w:tcPr>
            <w:tcW w:w="1340" w:type="dxa"/>
            <w:vAlign w:val="bottom"/>
          </w:tcPr>
          <w:p>
            <w:pPr>
              <w:jc w:val="right"/>
              <w:spacing w:after="0"/>
              <w:rPr>
                <w:sz w:val="20"/>
                <w:szCs w:val="20"/>
                <w:color w:val="auto"/>
              </w:rPr>
            </w:pPr>
            <w:r>
              <w:rPr>
                <w:rFonts w:ascii="Arial" w:cs="Arial" w:eastAsia="Arial" w:hAnsi="Arial"/>
                <w:sz w:val="18"/>
                <w:szCs w:val="18"/>
                <w:color w:val="auto"/>
              </w:rPr>
              <w:t>23.0 %</w:t>
            </w: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Segment margin</w:t>
            </w: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11.0%</w:t>
            </w: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8.7%</w:t>
            </w:r>
          </w:p>
        </w:tc>
        <w:tc>
          <w:tcPr>
            <w:tcW w:w="1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10.3%</w:t>
            </w: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8.3%</w:t>
            </w:r>
          </w:p>
        </w:tc>
        <w:tc>
          <w:tcPr>
            <w:tcW w:w="1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 Second Quarter 2019 vs. Second Quarter 2018</w:t>
      </w:r>
    </w:p>
    <w:p>
      <w:pPr>
        <w:spacing w:after="0" w:line="9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Net sales of our International and Other segment increased $7.5 million or 3.9% in 2019 compared to the same period in 2018, reflecting a volume increase of 9.6%. This was partially offset by a 3.2% reduction in net sales primarily from the divestiture of SGM, an unfavorable price realization of 1.3% and unfavorable impact from foreign currency exchange rates of 1.2%. Excluding the divestiture of SGM and unfavorable foreign currency exchange rates, our International and Other segment net sales increased 8.3%. The volume increase was primarily attributed to solid marketplace growth in Mexico, India and Regional Markets where constant currency net sales increased by 6.7%, 3.6%, and 18.0%, respectively. The unfavorable net price realization was driven by increased levels of trade promotional spending compared to the prior year.</w:t>
      </w:r>
    </w:p>
    <w:p>
      <w:pPr>
        <w:spacing w:after="0" w:line="112"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Our International and Other segment generated income of $21.9 million in 2019 compared to $16.6 million in 2018, with the improvement primarily resulting from our efforts to drive sustainable gross margin improvements as we executed our Margin for Growth program and optimized the product portfolio across various international markets. Additionally, segment income benefited from continued growth across Mexico, India and Regional Markets.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 First Six Months 2019 vs. First Six Months 2018</w:t>
      </w:r>
    </w:p>
    <w:p>
      <w:pPr>
        <w:spacing w:after="0" w:line="94"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Net sales of our International and Other segment decreased $3.2 million or 0.8% in 2019 compared to the same period 2018, reflecting a 4.0% reduction in net sales primarily from the divestiture of SGM, an unfavorable impact from foreign currency exchange rates of 2.4%, and unfavorable price realization of</w:t>
      </w:r>
    </w:p>
    <w:p>
      <w:pPr>
        <w:ind w:right="80"/>
        <w:spacing w:after="0" w:line="254" w:lineRule="auto"/>
        <w:rPr>
          <w:sz w:val="20"/>
          <w:szCs w:val="20"/>
          <w:color w:val="auto"/>
        </w:rPr>
      </w:pPr>
      <w:r>
        <w:rPr>
          <w:rFonts w:ascii="Arial" w:cs="Arial" w:eastAsia="Arial" w:hAnsi="Arial"/>
          <w:sz w:val="18"/>
          <w:szCs w:val="18"/>
          <w:color w:val="auto"/>
        </w:rPr>
        <w:t>0.6%, partially offset by volume increases of 6.2%. Excluding the divestiture of SGM and unfavorable foreign currency exchange rates, our International and Other segment net sales increased 5.6%. The volume increase was primarily attributed to solid marketplace growth in Mexico, India and Regional Markets where constant currency net sales increased by 6.9%, 2.4% and 10.6%, respectively. The unfavorable net price realization was driven by increased levels of trade promotional spending compared to the prior year.</w:t>
      </w:r>
    </w:p>
    <w:p>
      <w:pPr>
        <w:spacing w:after="0" w:line="109"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Our International and Other segment generated income of $42.2 million in 2019 compared to $34.3 million in 2018, with the improvement primarily resulting from our efforts to drive sustainable gross margin improvements as we executed our Margin for Growth program and optimized the product portfolio across various international markets. Additionally, segment income benefited from continued growth across Mexico, India and Regional Markets.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823"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Unallocated Corporate Expense</w:t>
      </w:r>
    </w:p>
    <w:p>
      <w:pPr>
        <w:spacing w:after="0" w:line="229"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Unallocated corporate expense 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and (d) other gains or losses that are not integral to segment performance.</w:t>
      </w:r>
    </w:p>
    <w:p>
      <w:pPr>
        <w:spacing w:after="0" w:line="6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the second quarter of 2019, unallocated corporate expense totaled $122.9 million, as compared to $121.0 million in 2018 primarily driven by compensation increases. In the first six months of 2019, unallocated corporate expense totaled $237.4 million, as compared to $245.0 million in the same period of 2018, primarily driven by savings from our productivity and cost savings initiatives.</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Comparability of Certain Financial Measures</w:t>
      </w:r>
    </w:p>
    <w:p>
      <w:pPr>
        <w:spacing w:after="0" w:line="17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comparability of certain of our financial measures is impacted by unallocated mark-to-market (gains) losses on commodity derivatives, costs associated with business realignment activities and costs relating to the integration of acquisitions.</w:t>
      </w:r>
    </w:p>
    <w:p>
      <w:pPr>
        <w:spacing w:after="0" w:line="19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To provide additional information to investors to facilitate the comparison of past and present performance, we use non-GAAP financial measures within MD&amp;A that exclude the financial impact of these activities. These non-GAAP financial measures are used internally by management in evaluating results of operations and determining incentive compensation, and in assessing the impact of known trends and uncertainties on our business, but they are not intended to replace the presentation of financial results in accordance with GAAP. A reconciliation of the non-GAAP financial measures referenced in MD&amp;A to their nearest comparable GAAP financial measures as presented in the Consolidated Statements of Income is provided below.</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823"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10"/>
        </w:trPr>
        <w:tc>
          <w:tcPr>
            <w:tcW w:w="2400" w:type="dxa"/>
            <w:vAlign w:val="bottom"/>
          </w:tcPr>
          <w:p>
            <w:pPr>
              <w:spacing w:after="0"/>
              <w:rPr>
                <w:sz w:val="18"/>
                <w:szCs w:val="18"/>
                <w:color w:val="auto"/>
              </w:rPr>
            </w:pPr>
          </w:p>
        </w:tc>
        <w:tc>
          <w:tcPr>
            <w:tcW w:w="5680" w:type="dxa"/>
            <w:vAlign w:val="bottom"/>
            <w:gridSpan w:val="6"/>
          </w:tcPr>
          <w:p>
            <w:pPr>
              <w:jc w:val="right"/>
              <w:ind w:right="299"/>
              <w:spacing w:after="0"/>
              <w:rPr>
                <w:sz w:val="20"/>
                <w:szCs w:val="20"/>
                <w:color w:val="auto"/>
              </w:rPr>
            </w:pPr>
            <w:r>
              <w:rPr>
                <w:rFonts w:ascii="Arial" w:cs="Arial" w:eastAsia="Arial" w:hAnsi="Arial"/>
                <w:sz w:val="16"/>
                <w:szCs w:val="16"/>
                <w:b w:val="1"/>
                <w:bCs w:val="1"/>
                <w:color w:val="auto"/>
              </w:rPr>
              <w:t>Reconciliation of Certain Non-GAAP Financial Measures</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70"/>
        </w:trPr>
        <w:tc>
          <w:tcPr>
            <w:tcW w:w="4700" w:type="dxa"/>
            <w:vAlign w:val="bottom"/>
            <w:gridSpan w:val="2"/>
          </w:tcPr>
          <w:p>
            <w:pPr>
              <w:ind w:left="40"/>
              <w:spacing w:after="0"/>
              <w:rPr>
                <w:sz w:val="20"/>
                <w:szCs w:val="20"/>
                <w:color w:val="auto"/>
              </w:rPr>
            </w:pPr>
            <w:r>
              <w:rPr>
                <w:rFonts w:ascii="Arial" w:cs="Arial" w:eastAsia="Arial" w:hAnsi="Arial"/>
                <w:sz w:val="16"/>
                <w:szCs w:val="16"/>
                <w:b w:val="1"/>
                <w:bCs w:val="1"/>
                <w:color w:val="auto"/>
              </w:rPr>
              <w:t>Consolidated results</w:t>
            </w:r>
          </w:p>
        </w:tc>
        <w:tc>
          <w:tcPr>
            <w:tcW w:w="220" w:type="dxa"/>
            <w:vAlign w:val="bottom"/>
          </w:tcPr>
          <w:p>
            <w:pPr>
              <w:spacing w:after="0"/>
              <w:rPr>
                <w:sz w:val="23"/>
                <w:szCs w:val="23"/>
                <w:color w:val="auto"/>
              </w:rPr>
            </w:pPr>
          </w:p>
        </w:tc>
        <w:tc>
          <w:tcPr>
            <w:tcW w:w="3160" w:type="dxa"/>
            <w:vAlign w:val="bottom"/>
            <w:gridSpan w:val="4"/>
          </w:tcPr>
          <w:p>
            <w:pPr>
              <w:jc w:val="right"/>
              <w:ind w:right="879"/>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23"/>
                <w:szCs w:val="23"/>
                <w:color w:val="auto"/>
              </w:rPr>
            </w:pPr>
          </w:p>
        </w:tc>
        <w:tc>
          <w:tcPr>
            <w:tcW w:w="3060" w:type="dxa"/>
            <w:vAlign w:val="bottom"/>
            <w:gridSpan w:val="4"/>
          </w:tcPr>
          <w:p>
            <w:pPr>
              <w:jc w:val="right"/>
              <w:ind w:right="899"/>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24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1"/>
        </w:trPr>
        <w:tc>
          <w:tcPr>
            <w:tcW w:w="470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220" w:type="dxa"/>
            <w:vAlign w:val="bottom"/>
          </w:tcPr>
          <w:p>
            <w:pPr>
              <w:spacing w:after="0"/>
              <w:rPr>
                <w:sz w:val="20"/>
                <w:szCs w:val="20"/>
                <w:color w:val="auto"/>
              </w:rPr>
            </w:pPr>
          </w:p>
        </w:tc>
        <w:tc>
          <w:tcPr>
            <w:tcW w:w="152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30, 2019</w:t>
            </w:r>
          </w:p>
        </w:tc>
        <w:tc>
          <w:tcPr>
            <w:tcW w:w="240" w:type="dxa"/>
            <w:vAlign w:val="bottom"/>
          </w:tcPr>
          <w:p>
            <w:pPr>
              <w:spacing w:after="0"/>
              <w:rPr>
                <w:sz w:val="20"/>
                <w:szCs w:val="20"/>
                <w:color w:val="auto"/>
              </w:rPr>
            </w:pPr>
          </w:p>
        </w:tc>
        <w:tc>
          <w:tcPr>
            <w:tcW w:w="1400" w:type="dxa"/>
            <w:vAlign w:val="bottom"/>
          </w:tcPr>
          <w:p>
            <w:pPr>
              <w:jc w:val="right"/>
              <w:ind w:right="339"/>
              <w:spacing w:after="0"/>
              <w:rPr>
                <w:sz w:val="20"/>
                <w:szCs w:val="20"/>
                <w:color w:val="auto"/>
              </w:rPr>
            </w:pPr>
            <w:r>
              <w:rPr>
                <w:rFonts w:ascii="Arial" w:cs="Arial" w:eastAsia="Arial" w:hAnsi="Arial"/>
                <w:sz w:val="16"/>
                <w:szCs w:val="16"/>
                <w:b w:val="1"/>
                <w:bCs w:val="1"/>
                <w:color w:val="auto"/>
              </w:rPr>
              <w:t>July 1, 2018</w:t>
            </w:r>
          </w:p>
        </w:tc>
        <w:tc>
          <w:tcPr>
            <w:tcW w:w="280" w:type="dxa"/>
            <w:vAlign w:val="bottom"/>
          </w:tcPr>
          <w:p>
            <w:pPr>
              <w:spacing w:after="0"/>
              <w:rPr>
                <w:sz w:val="20"/>
                <w:szCs w:val="20"/>
                <w:color w:val="auto"/>
              </w:rPr>
            </w:pPr>
          </w:p>
        </w:tc>
        <w:tc>
          <w:tcPr>
            <w:tcW w:w="148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30, 2019</w:t>
            </w:r>
          </w:p>
        </w:tc>
        <w:tc>
          <w:tcPr>
            <w:tcW w:w="240" w:type="dxa"/>
            <w:vAlign w:val="bottom"/>
          </w:tcPr>
          <w:p>
            <w:pPr>
              <w:spacing w:after="0"/>
              <w:rPr>
                <w:sz w:val="20"/>
                <w:szCs w:val="20"/>
                <w:color w:val="auto"/>
              </w:rPr>
            </w:pPr>
          </w:p>
        </w:tc>
        <w:tc>
          <w:tcPr>
            <w:tcW w:w="1340" w:type="dxa"/>
            <w:vAlign w:val="bottom"/>
          </w:tcPr>
          <w:p>
            <w:pPr>
              <w:jc w:val="right"/>
              <w:ind w:right="299"/>
              <w:spacing w:after="0"/>
              <w:rPr>
                <w:sz w:val="20"/>
                <w:szCs w:val="20"/>
                <w:color w:val="auto"/>
              </w:rPr>
            </w:pPr>
            <w:r>
              <w:rPr>
                <w:rFonts w:ascii="Arial" w:cs="Arial" w:eastAsia="Arial" w:hAnsi="Arial"/>
                <w:sz w:val="16"/>
                <w:szCs w:val="16"/>
                <w:b w:val="1"/>
                <w:bCs w:val="1"/>
                <w:color w:val="auto"/>
              </w:rPr>
              <w:t>July 1, 2018</w:t>
            </w:r>
          </w:p>
        </w:tc>
      </w:tr>
      <w:tr>
        <w:trPr>
          <w:trHeight w:val="33"/>
        </w:trPr>
        <w:tc>
          <w:tcPr>
            <w:tcW w:w="2400" w:type="dxa"/>
            <w:vAlign w:val="bottom"/>
            <w:tcBorders>
              <w:bottom w:val="single" w:sz="8" w:color="BFE4FF"/>
            </w:tcBorders>
          </w:tcPr>
          <w:p>
            <w:pPr>
              <w:spacing w:after="0"/>
              <w:rPr>
                <w:sz w:val="2"/>
                <w:szCs w:val="2"/>
                <w:color w:val="auto"/>
              </w:rPr>
            </w:pPr>
          </w:p>
        </w:tc>
        <w:tc>
          <w:tcPr>
            <w:tcW w:w="2300" w:type="dxa"/>
            <w:vAlign w:val="bottom"/>
            <w:tcBorders>
              <w:bottom w:val="single" w:sz="8" w:color="BFE4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24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shd w:val="clear" w:color="auto" w:fill="BFE4FF"/>
              </w:rPr>
              <w:t>Reported gross profit</w:t>
            </w:r>
          </w:p>
        </w:tc>
        <w:tc>
          <w:tcPr>
            <w:tcW w:w="230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874,744</w:t>
            </w:r>
          </w:p>
        </w:tc>
        <w:tc>
          <w:tcPr>
            <w:tcW w:w="12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shd w:val="clear" w:color="auto" w:fill="BFE4FF"/>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BFE4FF"/>
            </w:tcBorders>
            <w:shd w:val="clear" w:color="auto" w:fill="BFE4FF"/>
          </w:tcPr>
          <w:p>
            <w:pPr>
              <w:jc w:val="right"/>
              <w:ind w:right="59"/>
              <w:spacing w:after="0"/>
              <w:rPr>
                <w:sz w:val="20"/>
                <w:szCs w:val="20"/>
                <w:color w:val="auto"/>
              </w:rPr>
            </w:pPr>
            <w:r>
              <w:rPr>
                <w:rFonts w:ascii="Arial" w:cs="Arial" w:eastAsia="Arial" w:hAnsi="Arial"/>
                <w:sz w:val="16"/>
                <w:szCs w:val="16"/>
                <w:color w:val="auto"/>
              </w:rPr>
              <w:t>793,420</w:t>
            </w:r>
          </w:p>
        </w:tc>
        <w:tc>
          <w:tcPr>
            <w:tcW w:w="28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1,767,248</w:t>
            </w:r>
          </w:p>
        </w:tc>
        <w:tc>
          <w:tcPr>
            <w:tcW w:w="10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shd w:val="clear" w:color="auto" w:fill="BFE4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1,767,480</w:t>
            </w: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Derivative mark-to-market gains</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(53,552)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(20,831)</w:t>
            </w:r>
          </w:p>
        </w:tc>
        <w:tc>
          <w:tcPr>
            <w:tcW w:w="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(25,585)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(117,081)</w:t>
            </w:r>
          </w:p>
        </w:tc>
      </w:tr>
      <w:tr>
        <w:trPr>
          <w:trHeight w:val="33"/>
        </w:trPr>
        <w:tc>
          <w:tcPr>
            <w:tcW w:w="24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4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shd w:val="clear" w:color="auto" w:fill="BFE4FF"/>
              </w:rPr>
              <w:t>Business realignment activities</w:t>
            </w:r>
          </w:p>
        </w:tc>
        <w:tc>
          <w:tcPr>
            <w:tcW w:w="230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spacing w:after="0"/>
              <w:rPr>
                <w:sz w:val="21"/>
                <w:szCs w:val="21"/>
                <w:color w:val="auto"/>
              </w:rPr>
            </w:pPr>
          </w:p>
        </w:tc>
        <w:tc>
          <w:tcPr>
            <w:tcW w:w="1520" w:type="dxa"/>
            <w:vAlign w:val="bottom"/>
            <w:tcBorders>
              <w:bottom w:val="single" w:sz="8" w:color="BFE4FF"/>
            </w:tcBorders>
            <w:gridSpan w:val="2"/>
            <w:shd w:val="clear" w:color="auto" w:fill="BFE4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BFE4FF"/>
            </w:tcBorders>
            <w:shd w:val="clear" w:color="auto" w:fill="BFE4FF"/>
          </w:tcPr>
          <w:p>
            <w:pPr>
              <w:spacing w:after="0"/>
              <w:rPr>
                <w:sz w:val="21"/>
                <w:szCs w:val="21"/>
                <w:color w:val="auto"/>
              </w:rPr>
            </w:pPr>
          </w:p>
        </w:tc>
        <w:tc>
          <w:tcPr>
            <w:tcW w:w="1400" w:type="dxa"/>
            <w:vAlign w:val="bottom"/>
            <w:tcBorders>
              <w:bottom w:val="single" w:sz="8" w:color="BFE4FF"/>
            </w:tcBorders>
            <w:shd w:val="clear" w:color="auto" w:fill="BFE4FF"/>
          </w:tcPr>
          <w:p>
            <w:pPr>
              <w:jc w:val="right"/>
              <w:ind w:right="59"/>
              <w:spacing w:after="0"/>
              <w:rPr>
                <w:sz w:val="20"/>
                <w:szCs w:val="20"/>
                <w:color w:val="auto"/>
              </w:rPr>
            </w:pPr>
            <w:r>
              <w:rPr>
                <w:rFonts w:ascii="Arial" w:cs="Arial" w:eastAsia="Arial" w:hAnsi="Arial"/>
                <w:sz w:val="16"/>
                <w:szCs w:val="16"/>
                <w:color w:val="auto"/>
              </w:rPr>
              <w:t>7,322</w:t>
            </w:r>
          </w:p>
        </w:tc>
        <w:tc>
          <w:tcPr>
            <w:tcW w:w="280" w:type="dxa"/>
            <w:vAlign w:val="bottom"/>
            <w:tcBorders>
              <w:bottom w:val="single" w:sz="8" w:color="BFE4FF"/>
            </w:tcBorders>
            <w:shd w:val="clear" w:color="auto" w:fill="BFE4FF"/>
          </w:tcPr>
          <w:p>
            <w:pPr>
              <w:spacing w:after="0"/>
              <w:rPr>
                <w:sz w:val="21"/>
                <w:szCs w:val="21"/>
                <w:color w:val="auto"/>
              </w:rPr>
            </w:pPr>
          </w:p>
        </w:tc>
        <w:tc>
          <w:tcPr>
            <w:tcW w:w="148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BFE4FF"/>
            </w:tcBorders>
            <w:shd w:val="clear" w:color="auto" w:fill="BFE4FF"/>
          </w:tcPr>
          <w:p>
            <w:pPr>
              <w:spacing w:after="0"/>
              <w:rPr>
                <w:sz w:val="21"/>
                <w:szCs w:val="21"/>
                <w:color w:val="auto"/>
              </w:rPr>
            </w:pPr>
          </w:p>
        </w:tc>
        <w:tc>
          <w:tcPr>
            <w:tcW w:w="134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9,536</w:t>
            </w: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Acquisition-related costs</w:t>
            </w:r>
          </w:p>
        </w:tc>
        <w:tc>
          <w:tcPr>
            <w:tcW w:w="220" w:type="dxa"/>
            <w:vAlign w:val="bottom"/>
          </w:tcPr>
          <w:p>
            <w:pPr>
              <w:spacing w:after="0"/>
              <w:rPr>
                <w:sz w:val="20"/>
                <w:szCs w:val="20"/>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25</w:t>
            </w:r>
          </w:p>
        </w:tc>
        <w:tc>
          <w:tcPr>
            <w:tcW w:w="28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4,987</w:t>
            </w:r>
          </w:p>
        </w:tc>
      </w:tr>
      <w:tr>
        <w:trPr>
          <w:trHeight w:val="33"/>
        </w:trPr>
        <w:tc>
          <w:tcPr>
            <w:tcW w:w="2400" w:type="dxa"/>
            <w:vAlign w:val="bottom"/>
            <w:tcBorders>
              <w:bottom w:val="single" w:sz="8" w:color="BFE4FF"/>
            </w:tcBorders>
          </w:tcPr>
          <w:p>
            <w:pPr>
              <w:spacing w:after="0"/>
              <w:rPr>
                <w:sz w:val="2"/>
                <w:szCs w:val="2"/>
                <w:color w:val="auto"/>
              </w:rPr>
            </w:pPr>
          </w:p>
        </w:tc>
        <w:tc>
          <w:tcPr>
            <w:tcW w:w="2300" w:type="dxa"/>
            <w:vAlign w:val="bottom"/>
            <w:tcBorders>
              <w:bottom w:val="single" w:sz="8" w:color="BFE4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24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shd w:val="clear" w:color="auto" w:fill="BFE4FF"/>
              </w:rPr>
              <w:t>Non-GAAP gross profit</w:t>
            </w:r>
          </w:p>
        </w:tc>
        <w:tc>
          <w:tcPr>
            <w:tcW w:w="2300" w:type="dxa"/>
            <w:vAlign w:val="bottom"/>
            <w:tcBorders>
              <w:bottom w:val="single" w:sz="8" w:color="BFE4FF"/>
            </w:tcBorders>
            <w:shd w:val="clear" w:color="auto" w:fill="BFE4FF"/>
          </w:tcPr>
          <w:p>
            <w:pPr>
              <w:spacing w:after="0"/>
              <w:rPr>
                <w:sz w:val="22"/>
                <w:szCs w:val="22"/>
                <w:color w:val="auto"/>
              </w:rPr>
            </w:pPr>
          </w:p>
        </w:tc>
        <w:tc>
          <w:tcPr>
            <w:tcW w:w="22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821,192</w:t>
            </w:r>
          </w:p>
        </w:tc>
        <w:tc>
          <w:tcPr>
            <w:tcW w:w="120" w:type="dxa"/>
            <w:vAlign w:val="bottom"/>
            <w:tcBorders>
              <w:bottom w:val="single" w:sz="8" w:color="BFE4FF"/>
            </w:tcBorders>
            <w:shd w:val="clear" w:color="auto" w:fill="BFE4FF"/>
          </w:tcPr>
          <w:p>
            <w:pPr>
              <w:spacing w:after="0"/>
              <w:rPr>
                <w:sz w:val="22"/>
                <w:szCs w:val="22"/>
                <w:color w:val="auto"/>
              </w:rPr>
            </w:pPr>
          </w:p>
        </w:tc>
        <w:tc>
          <w:tcPr>
            <w:tcW w:w="240" w:type="dxa"/>
            <w:vAlign w:val="bottom"/>
            <w:tcBorders>
              <w:bottom w:val="single" w:sz="8" w:color="BFE4FF"/>
            </w:tcBorders>
            <w:shd w:val="clear" w:color="auto" w:fill="BFE4FF"/>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BFE4FF"/>
            </w:tcBorders>
            <w:shd w:val="clear" w:color="auto" w:fill="BFE4FF"/>
          </w:tcPr>
          <w:p>
            <w:pPr>
              <w:jc w:val="right"/>
              <w:ind w:right="59"/>
              <w:spacing w:after="0"/>
              <w:rPr>
                <w:sz w:val="20"/>
                <w:szCs w:val="20"/>
                <w:color w:val="auto"/>
              </w:rPr>
            </w:pPr>
            <w:r>
              <w:rPr>
                <w:rFonts w:ascii="Arial" w:cs="Arial" w:eastAsia="Arial" w:hAnsi="Arial"/>
                <w:sz w:val="16"/>
                <w:szCs w:val="16"/>
                <w:color w:val="auto"/>
              </w:rPr>
              <w:t>779,936</w:t>
            </w:r>
          </w:p>
        </w:tc>
        <w:tc>
          <w:tcPr>
            <w:tcW w:w="28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1,741,719</w:t>
            </w:r>
          </w:p>
        </w:tc>
        <w:tc>
          <w:tcPr>
            <w:tcW w:w="100" w:type="dxa"/>
            <w:vAlign w:val="bottom"/>
            <w:tcBorders>
              <w:bottom w:val="single" w:sz="8" w:color="BFE4FF"/>
            </w:tcBorders>
            <w:shd w:val="clear" w:color="auto" w:fill="BFE4FF"/>
          </w:tcPr>
          <w:p>
            <w:pPr>
              <w:spacing w:after="0"/>
              <w:rPr>
                <w:sz w:val="22"/>
                <w:szCs w:val="22"/>
                <w:color w:val="auto"/>
              </w:rPr>
            </w:pPr>
          </w:p>
        </w:tc>
        <w:tc>
          <w:tcPr>
            <w:tcW w:w="240" w:type="dxa"/>
            <w:vAlign w:val="bottom"/>
            <w:tcBorders>
              <w:bottom w:val="single" w:sz="8" w:color="BFE4FF"/>
            </w:tcBorders>
            <w:shd w:val="clear" w:color="auto" w:fill="BFE4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1,664,922</w:t>
            </w:r>
          </w:p>
        </w:tc>
      </w:tr>
      <w:tr>
        <w:trPr>
          <w:trHeight w:val="20"/>
        </w:trPr>
        <w:tc>
          <w:tcPr>
            <w:tcW w:w="2400" w:type="dxa"/>
            <w:vAlign w:val="bottom"/>
            <w:tcBorders>
              <w:top w:val="single" w:sz="8" w:color="BFE4FF"/>
            </w:tcBorders>
          </w:tcPr>
          <w:p>
            <w:pPr>
              <w:spacing w:after="0" w:line="20" w:lineRule="exact"/>
              <w:rPr>
                <w:sz w:val="1"/>
                <w:szCs w:val="1"/>
                <w:color w:val="auto"/>
              </w:rPr>
            </w:pPr>
          </w:p>
        </w:tc>
        <w:tc>
          <w:tcPr>
            <w:tcW w:w="2300" w:type="dxa"/>
            <w:vAlign w:val="bottom"/>
            <w:tcBorders>
              <w:top w:val="single" w:sz="8" w:color="BFE4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240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250"/>
        </w:trPr>
        <w:tc>
          <w:tcPr>
            <w:tcW w:w="24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shd w:val="clear" w:color="auto" w:fill="BFE4FF"/>
              </w:rPr>
              <w:t>Reported operating profit</w:t>
            </w:r>
          </w:p>
        </w:tc>
        <w:tc>
          <w:tcPr>
            <w:tcW w:w="230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410,070</w:t>
            </w:r>
          </w:p>
        </w:tc>
        <w:tc>
          <w:tcPr>
            <w:tcW w:w="12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shd w:val="clear" w:color="auto" w:fill="BFE4FF"/>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BFE4FF"/>
            </w:tcBorders>
            <w:shd w:val="clear" w:color="auto" w:fill="BFE4FF"/>
          </w:tcPr>
          <w:p>
            <w:pPr>
              <w:jc w:val="right"/>
              <w:ind w:right="59"/>
              <w:spacing w:after="0"/>
              <w:rPr>
                <w:sz w:val="20"/>
                <w:szCs w:val="20"/>
                <w:color w:val="auto"/>
              </w:rPr>
            </w:pPr>
            <w:r>
              <w:rPr>
                <w:rFonts w:ascii="Arial" w:cs="Arial" w:eastAsia="Arial" w:hAnsi="Arial"/>
                <w:sz w:val="16"/>
                <w:szCs w:val="16"/>
                <w:color w:val="auto"/>
              </w:rPr>
              <w:t>315,724</w:t>
            </w:r>
          </w:p>
        </w:tc>
        <w:tc>
          <w:tcPr>
            <w:tcW w:w="28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848,939</w:t>
            </w:r>
          </w:p>
        </w:tc>
        <w:tc>
          <w:tcPr>
            <w:tcW w:w="10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shd w:val="clear" w:color="auto" w:fill="BFE4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796,236</w:t>
            </w: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Derivative mark-to-market gains</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(53,552)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(20,831)</w:t>
            </w:r>
          </w:p>
        </w:tc>
        <w:tc>
          <w:tcPr>
            <w:tcW w:w="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(25,585)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(117,081)</w:t>
            </w:r>
          </w:p>
        </w:tc>
      </w:tr>
      <w:tr>
        <w:trPr>
          <w:trHeight w:val="33"/>
        </w:trPr>
        <w:tc>
          <w:tcPr>
            <w:tcW w:w="24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4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shd w:val="clear" w:color="auto" w:fill="BFE4FF"/>
              </w:rPr>
              <w:t>Business realignment activities</w:t>
            </w:r>
          </w:p>
        </w:tc>
        <w:tc>
          <w:tcPr>
            <w:tcW w:w="230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spacing w:after="0"/>
              <w:rPr>
                <w:sz w:val="21"/>
                <w:szCs w:val="21"/>
                <w:color w:val="auto"/>
              </w:rPr>
            </w:pPr>
          </w:p>
        </w:tc>
        <w:tc>
          <w:tcPr>
            <w:tcW w:w="140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6,378</w:t>
            </w:r>
          </w:p>
        </w:tc>
        <w:tc>
          <w:tcPr>
            <w:tcW w:w="12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shd w:val="clear" w:color="auto" w:fill="BFE4FF"/>
          </w:tcPr>
          <w:p>
            <w:pPr>
              <w:spacing w:after="0"/>
              <w:rPr>
                <w:sz w:val="21"/>
                <w:szCs w:val="21"/>
                <w:color w:val="auto"/>
              </w:rPr>
            </w:pPr>
          </w:p>
        </w:tc>
        <w:tc>
          <w:tcPr>
            <w:tcW w:w="1400" w:type="dxa"/>
            <w:vAlign w:val="bottom"/>
            <w:tcBorders>
              <w:bottom w:val="single" w:sz="8" w:color="BFE4FF"/>
            </w:tcBorders>
            <w:shd w:val="clear" w:color="auto" w:fill="BFE4FF"/>
          </w:tcPr>
          <w:p>
            <w:pPr>
              <w:jc w:val="right"/>
              <w:ind w:right="59"/>
              <w:spacing w:after="0"/>
              <w:rPr>
                <w:sz w:val="20"/>
                <w:szCs w:val="20"/>
                <w:color w:val="auto"/>
              </w:rPr>
            </w:pPr>
            <w:r>
              <w:rPr>
                <w:rFonts w:ascii="Arial" w:cs="Arial" w:eastAsia="Arial" w:hAnsi="Arial"/>
                <w:sz w:val="16"/>
                <w:szCs w:val="16"/>
                <w:color w:val="auto"/>
              </w:rPr>
              <w:t>15,296</w:t>
            </w:r>
          </w:p>
        </w:tc>
        <w:tc>
          <w:tcPr>
            <w:tcW w:w="280" w:type="dxa"/>
            <w:vAlign w:val="bottom"/>
            <w:tcBorders>
              <w:bottom w:val="single" w:sz="8" w:color="BFE4FF"/>
            </w:tcBorders>
            <w:shd w:val="clear" w:color="auto" w:fill="BFE4FF"/>
          </w:tcPr>
          <w:p>
            <w:pPr>
              <w:spacing w:after="0"/>
              <w:rPr>
                <w:sz w:val="21"/>
                <w:szCs w:val="21"/>
                <w:color w:val="auto"/>
              </w:rPr>
            </w:pPr>
          </w:p>
        </w:tc>
        <w:tc>
          <w:tcPr>
            <w:tcW w:w="138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6,862</w:t>
            </w:r>
          </w:p>
        </w:tc>
        <w:tc>
          <w:tcPr>
            <w:tcW w:w="10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shd w:val="clear" w:color="auto" w:fill="BFE4FF"/>
          </w:tcPr>
          <w:p>
            <w:pPr>
              <w:spacing w:after="0"/>
              <w:rPr>
                <w:sz w:val="21"/>
                <w:szCs w:val="21"/>
                <w:color w:val="auto"/>
              </w:rPr>
            </w:pPr>
          </w:p>
        </w:tc>
        <w:tc>
          <w:tcPr>
            <w:tcW w:w="134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31,247</w:t>
            </w: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Acquisition-related costs</w:t>
            </w:r>
          </w:p>
        </w:tc>
        <w:tc>
          <w:tcPr>
            <w:tcW w:w="2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2,326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4,781</w:t>
            </w:r>
          </w:p>
        </w:tc>
        <w:tc>
          <w:tcPr>
            <w:tcW w:w="28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5,506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32,707</w:t>
            </w:r>
          </w:p>
        </w:tc>
      </w:tr>
      <w:tr>
        <w:trPr>
          <w:trHeight w:val="33"/>
        </w:trPr>
        <w:tc>
          <w:tcPr>
            <w:tcW w:w="24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BFE4FF"/>
            </w:tcBorders>
            <w:gridSpan w:val="2"/>
            <w:shd w:val="clear" w:color="auto" w:fill="BFE4FF"/>
          </w:tcPr>
          <w:p>
            <w:pPr>
              <w:ind w:left="40"/>
              <w:spacing w:after="0"/>
              <w:rPr>
                <w:sz w:val="20"/>
                <w:szCs w:val="20"/>
                <w:color w:val="auto"/>
              </w:rPr>
            </w:pPr>
            <w:r>
              <w:rPr>
                <w:rFonts w:ascii="Arial" w:cs="Arial" w:eastAsia="Arial" w:hAnsi="Arial"/>
                <w:sz w:val="16"/>
                <w:szCs w:val="16"/>
                <w:color w:val="auto"/>
              </w:rPr>
              <w:t>Long-lived asset impairment charges</w:t>
            </w:r>
          </w:p>
        </w:tc>
        <w:tc>
          <w:tcPr>
            <w:tcW w:w="220" w:type="dxa"/>
            <w:vAlign w:val="bottom"/>
            <w:tcBorders>
              <w:bottom w:val="single" w:sz="8" w:color="BFE4FF"/>
            </w:tcBorders>
            <w:shd w:val="clear" w:color="auto" w:fill="BFE4FF"/>
          </w:tcPr>
          <w:p>
            <w:pPr>
              <w:spacing w:after="0"/>
              <w:rPr>
                <w:sz w:val="21"/>
                <w:szCs w:val="21"/>
                <w:color w:val="auto"/>
              </w:rPr>
            </w:pPr>
          </w:p>
        </w:tc>
        <w:tc>
          <w:tcPr>
            <w:tcW w:w="140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4,741</w:t>
            </w:r>
          </w:p>
        </w:tc>
        <w:tc>
          <w:tcPr>
            <w:tcW w:w="12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shd w:val="clear" w:color="auto" w:fill="BFE4FF"/>
          </w:tcPr>
          <w:p>
            <w:pPr>
              <w:spacing w:after="0"/>
              <w:rPr>
                <w:sz w:val="21"/>
                <w:szCs w:val="21"/>
                <w:color w:val="auto"/>
              </w:rPr>
            </w:pPr>
          </w:p>
        </w:tc>
        <w:tc>
          <w:tcPr>
            <w:tcW w:w="1400" w:type="dxa"/>
            <w:vAlign w:val="bottom"/>
            <w:tcBorders>
              <w:bottom w:val="single" w:sz="8" w:color="BFE4FF"/>
            </w:tcBorders>
            <w:shd w:val="clear" w:color="auto" w:fill="BFE4FF"/>
          </w:tcPr>
          <w:p>
            <w:pPr>
              <w:jc w:val="right"/>
              <w:ind w:right="59"/>
              <w:spacing w:after="0"/>
              <w:rPr>
                <w:sz w:val="20"/>
                <w:szCs w:val="20"/>
                <w:color w:val="auto"/>
              </w:rPr>
            </w:pPr>
            <w:r>
              <w:rPr>
                <w:rFonts w:ascii="Arial" w:cs="Arial" w:eastAsia="Arial" w:hAnsi="Arial"/>
                <w:sz w:val="16"/>
                <w:szCs w:val="16"/>
                <w:color w:val="auto"/>
              </w:rPr>
              <w:t>27,168</w:t>
            </w:r>
          </w:p>
        </w:tc>
        <w:tc>
          <w:tcPr>
            <w:tcW w:w="280" w:type="dxa"/>
            <w:vAlign w:val="bottom"/>
            <w:tcBorders>
              <w:bottom w:val="single" w:sz="8" w:color="BFE4FF"/>
            </w:tcBorders>
            <w:shd w:val="clear" w:color="auto" w:fill="BFE4FF"/>
          </w:tcPr>
          <w:p>
            <w:pPr>
              <w:spacing w:after="0"/>
              <w:rPr>
                <w:sz w:val="21"/>
                <w:szCs w:val="21"/>
                <w:color w:val="auto"/>
              </w:rPr>
            </w:pPr>
          </w:p>
        </w:tc>
        <w:tc>
          <w:tcPr>
            <w:tcW w:w="138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4,741</w:t>
            </w:r>
          </w:p>
        </w:tc>
        <w:tc>
          <w:tcPr>
            <w:tcW w:w="10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shd w:val="clear" w:color="auto" w:fill="BFE4FF"/>
          </w:tcPr>
          <w:p>
            <w:pPr>
              <w:spacing w:after="0"/>
              <w:rPr>
                <w:sz w:val="21"/>
                <w:szCs w:val="21"/>
                <w:color w:val="auto"/>
              </w:rPr>
            </w:pPr>
          </w:p>
        </w:tc>
        <w:tc>
          <w:tcPr>
            <w:tcW w:w="134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27,168</w:t>
            </w: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Gain on sale of licensing rights</w:t>
            </w:r>
          </w:p>
        </w:tc>
        <w:tc>
          <w:tcPr>
            <w:tcW w:w="220" w:type="dxa"/>
            <w:vAlign w:val="bottom"/>
          </w:tcPr>
          <w:p>
            <w:pPr>
              <w:spacing w:after="0"/>
              <w:rPr>
                <w:sz w:val="20"/>
                <w:szCs w:val="20"/>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(2,658)</w:t>
            </w:r>
          </w:p>
        </w:tc>
        <w:tc>
          <w:tcPr>
            <w:tcW w:w="28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(2,658)</w:t>
            </w:r>
          </w:p>
        </w:tc>
      </w:tr>
      <w:tr>
        <w:trPr>
          <w:trHeight w:val="33"/>
        </w:trPr>
        <w:tc>
          <w:tcPr>
            <w:tcW w:w="2400" w:type="dxa"/>
            <w:vAlign w:val="bottom"/>
            <w:tcBorders>
              <w:bottom w:val="single" w:sz="8" w:color="BFE4FF"/>
            </w:tcBorders>
          </w:tcPr>
          <w:p>
            <w:pPr>
              <w:spacing w:after="0"/>
              <w:rPr>
                <w:sz w:val="2"/>
                <w:szCs w:val="2"/>
                <w:color w:val="auto"/>
              </w:rPr>
            </w:pPr>
          </w:p>
        </w:tc>
        <w:tc>
          <w:tcPr>
            <w:tcW w:w="2300" w:type="dxa"/>
            <w:vAlign w:val="bottom"/>
            <w:tcBorders>
              <w:bottom w:val="single" w:sz="8" w:color="BFE4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24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shd w:val="clear" w:color="auto" w:fill="BFE4FF"/>
              </w:rPr>
              <w:t>Non-GAAP operating profit</w:t>
            </w:r>
          </w:p>
        </w:tc>
        <w:tc>
          <w:tcPr>
            <w:tcW w:w="2300" w:type="dxa"/>
            <w:vAlign w:val="bottom"/>
            <w:tcBorders>
              <w:bottom w:val="single" w:sz="8" w:color="BFE4FF"/>
            </w:tcBorders>
            <w:shd w:val="clear" w:color="auto" w:fill="BFE4FF"/>
          </w:tcPr>
          <w:p>
            <w:pPr>
              <w:spacing w:after="0"/>
              <w:rPr>
                <w:sz w:val="22"/>
                <w:szCs w:val="22"/>
                <w:color w:val="auto"/>
              </w:rPr>
            </w:pPr>
          </w:p>
        </w:tc>
        <w:tc>
          <w:tcPr>
            <w:tcW w:w="22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369,963</w:t>
            </w:r>
          </w:p>
        </w:tc>
        <w:tc>
          <w:tcPr>
            <w:tcW w:w="120" w:type="dxa"/>
            <w:vAlign w:val="bottom"/>
            <w:tcBorders>
              <w:bottom w:val="single" w:sz="8" w:color="BFE4FF"/>
            </w:tcBorders>
            <w:shd w:val="clear" w:color="auto" w:fill="BFE4FF"/>
          </w:tcPr>
          <w:p>
            <w:pPr>
              <w:spacing w:after="0"/>
              <w:rPr>
                <w:sz w:val="22"/>
                <w:szCs w:val="22"/>
                <w:color w:val="auto"/>
              </w:rPr>
            </w:pPr>
          </w:p>
        </w:tc>
        <w:tc>
          <w:tcPr>
            <w:tcW w:w="240" w:type="dxa"/>
            <w:vAlign w:val="bottom"/>
            <w:tcBorders>
              <w:bottom w:val="single" w:sz="8" w:color="BFE4FF"/>
            </w:tcBorders>
            <w:shd w:val="clear" w:color="auto" w:fill="BFE4FF"/>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BFE4FF"/>
            </w:tcBorders>
            <w:shd w:val="clear" w:color="auto" w:fill="BFE4FF"/>
          </w:tcPr>
          <w:p>
            <w:pPr>
              <w:jc w:val="right"/>
              <w:ind w:right="59"/>
              <w:spacing w:after="0"/>
              <w:rPr>
                <w:sz w:val="20"/>
                <w:szCs w:val="20"/>
                <w:color w:val="auto"/>
              </w:rPr>
            </w:pPr>
            <w:r>
              <w:rPr>
                <w:rFonts w:ascii="Arial" w:cs="Arial" w:eastAsia="Arial" w:hAnsi="Arial"/>
                <w:sz w:val="16"/>
                <w:szCs w:val="16"/>
                <w:color w:val="auto"/>
              </w:rPr>
              <w:t>339,480</w:t>
            </w:r>
          </w:p>
        </w:tc>
        <w:tc>
          <w:tcPr>
            <w:tcW w:w="28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840,463</w:t>
            </w:r>
          </w:p>
        </w:tc>
        <w:tc>
          <w:tcPr>
            <w:tcW w:w="100" w:type="dxa"/>
            <w:vAlign w:val="bottom"/>
            <w:tcBorders>
              <w:bottom w:val="single" w:sz="8" w:color="BFE4FF"/>
            </w:tcBorders>
            <w:shd w:val="clear" w:color="auto" w:fill="BFE4FF"/>
          </w:tcPr>
          <w:p>
            <w:pPr>
              <w:spacing w:after="0"/>
              <w:rPr>
                <w:sz w:val="22"/>
                <w:szCs w:val="22"/>
                <w:color w:val="auto"/>
              </w:rPr>
            </w:pPr>
          </w:p>
        </w:tc>
        <w:tc>
          <w:tcPr>
            <w:tcW w:w="240" w:type="dxa"/>
            <w:vAlign w:val="bottom"/>
            <w:tcBorders>
              <w:bottom w:val="single" w:sz="8" w:color="BFE4FF"/>
            </w:tcBorders>
            <w:shd w:val="clear" w:color="auto" w:fill="BFE4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767,619</w:t>
            </w:r>
          </w:p>
        </w:tc>
      </w:tr>
      <w:tr>
        <w:trPr>
          <w:trHeight w:val="20"/>
        </w:trPr>
        <w:tc>
          <w:tcPr>
            <w:tcW w:w="2400" w:type="dxa"/>
            <w:vAlign w:val="bottom"/>
            <w:tcBorders>
              <w:top w:val="single" w:sz="8" w:color="BFE4FF"/>
            </w:tcBorders>
          </w:tcPr>
          <w:p>
            <w:pPr>
              <w:spacing w:after="0" w:line="20" w:lineRule="exact"/>
              <w:rPr>
                <w:sz w:val="1"/>
                <w:szCs w:val="1"/>
                <w:color w:val="auto"/>
              </w:rPr>
            </w:pPr>
          </w:p>
        </w:tc>
        <w:tc>
          <w:tcPr>
            <w:tcW w:w="2300" w:type="dxa"/>
            <w:vAlign w:val="bottom"/>
            <w:tcBorders>
              <w:top w:val="single" w:sz="8" w:color="BFE4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240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250"/>
        </w:trPr>
        <w:tc>
          <w:tcPr>
            <w:tcW w:w="24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w w:val="91"/>
                <w:shd w:val="clear" w:color="auto" w:fill="BFE4FF"/>
              </w:rPr>
              <w:t>Reported provision for income taxes</w:t>
            </w:r>
          </w:p>
        </w:tc>
        <w:tc>
          <w:tcPr>
            <w:tcW w:w="230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49,898</w:t>
            </w:r>
          </w:p>
        </w:tc>
        <w:tc>
          <w:tcPr>
            <w:tcW w:w="12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shd w:val="clear" w:color="auto" w:fill="BFE4FF"/>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BFE4FF"/>
            </w:tcBorders>
            <w:shd w:val="clear" w:color="auto" w:fill="BFE4FF"/>
          </w:tcPr>
          <w:p>
            <w:pPr>
              <w:jc w:val="right"/>
              <w:ind w:right="59"/>
              <w:spacing w:after="0"/>
              <w:rPr>
                <w:sz w:val="20"/>
                <w:szCs w:val="20"/>
                <w:color w:val="auto"/>
              </w:rPr>
            </w:pPr>
            <w:r>
              <w:rPr>
                <w:rFonts w:ascii="Arial" w:cs="Arial" w:eastAsia="Arial" w:hAnsi="Arial"/>
                <w:sz w:val="16"/>
                <w:szCs w:val="16"/>
                <w:color w:val="auto"/>
              </w:rPr>
              <w:t>36,687</w:t>
            </w:r>
          </w:p>
        </w:tc>
        <w:tc>
          <w:tcPr>
            <w:tcW w:w="28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141,951</w:t>
            </w:r>
          </w:p>
        </w:tc>
        <w:tc>
          <w:tcPr>
            <w:tcW w:w="10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shd w:val="clear" w:color="auto" w:fill="BFE4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135,199</w:t>
            </w: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Derivative mark-to-market gains*</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(4,541)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(2,754)</w:t>
            </w:r>
          </w:p>
        </w:tc>
        <w:tc>
          <w:tcPr>
            <w:tcW w:w="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(3,174)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(11,695)</w:t>
            </w:r>
          </w:p>
        </w:tc>
      </w:tr>
      <w:tr>
        <w:trPr>
          <w:trHeight w:val="33"/>
        </w:trPr>
        <w:tc>
          <w:tcPr>
            <w:tcW w:w="24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4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shd w:val="clear" w:color="auto" w:fill="BFE4FF"/>
              </w:rPr>
              <w:t>Business realignment activities*</w:t>
            </w:r>
          </w:p>
        </w:tc>
        <w:tc>
          <w:tcPr>
            <w:tcW w:w="230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spacing w:after="0"/>
              <w:rPr>
                <w:sz w:val="21"/>
                <w:szCs w:val="21"/>
                <w:color w:val="auto"/>
              </w:rPr>
            </w:pPr>
          </w:p>
        </w:tc>
        <w:tc>
          <w:tcPr>
            <w:tcW w:w="140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1,897</w:t>
            </w:r>
          </w:p>
        </w:tc>
        <w:tc>
          <w:tcPr>
            <w:tcW w:w="12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shd w:val="clear" w:color="auto" w:fill="BFE4FF"/>
          </w:tcPr>
          <w:p>
            <w:pPr>
              <w:spacing w:after="0"/>
              <w:rPr>
                <w:sz w:val="21"/>
                <w:szCs w:val="21"/>
                <w:color w:val="auto"/>
              </w:rPr>
            </w:pPr>
          </w:p>
        </w:tc>
        <w:tc>
          <w:tcPr>
            <w:tcW w:w="1400" w:type="dxa"/>
            <w:vAlign w:val="bottom"/>
            <w:tcBorders>
              <w:bottom w:val="single" w:sz="8" w:color="BFE4FF"/>
            </w:tcBorders>
            <w:shd w:val="clear" w:color="auto" w:fill="BFE4FF"/>
          </w:tcPr>
          <w:p>
            <w:pPr>
              <w:jc w:val="right"/>
              <w:ind w:right="59"/>
              <w:spacing w:after="0"/>
              <w:rPr>
                <w:sz w:val="20"/>
                <w:szCs w:val="20"/>
                <w:color w:val="auto"/>
              </w:rPr>
            </w:pPr>
            <w:r>
              <w:rPr>
                <w:rFonts w:ascii="Arial" w:cs="Arial" w:eastAsia="Arial" w:hAnsi="Arial"/>
                <w:sz w:val="16"/>
                <w:szCs w:val="16"/>
                <w:color w:val="auto"/>
              </w:rPr>
              <w:t>11,676</w:t>
            </w:r>
          </w:p>
        </w:tc>
        <w:tc>
          <w:tcPr>
            <w:tcW w:w="280" w:type="dxa"/>
            <w:vAlign w:val="bottom"/>
            <w:tcBorders>
              <w:bottom w:val="single" w:sz="8" w:color="BFE4FF"/>
            </w:tcBorders>
            <w:shd w:val="clear" w:color="auto" w:fill="BFE4FF"/>
          </w:tcPr>
          <w:p>
            <w:pPr>
              <w:spacing w:after="0"/>
              <w:rPr>
                <w:sz w:val="21"/>
                <w:szCs w:val="21"/>
                <w:color w:val="auto"/>
              </w:rPr>
            </w:pPr>
          </w:p>
        </w:tc>
        <w:tc>
          <w:tcPr>
            <w:tcW w:w="138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1,792</w:t>
            </w:r>
          </w:p>
        </w:tc>
        <w:tc>
          <w:tcPr>
            <w:tcW w:w="10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shd w:val="clear" w:color="auto" w:fill="BFE4FF"/>
          </w:tcPr>
          <w:p>
            <w:pPr>
              <w:spacing w:after="0"/>
              <w:rPr>
                <w:sz w:val="21"/>
                <w:szCs w:val="21"/>
                <w:color w:val="auto"/>
              </w:rPr>
            </w:pPr>
          </w:p>
        </w:tc>
        <w:tc>
          <w:tcPr>
            <w:tcW w:w="134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15,503</w:t>
            </w: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Acquisition-related costs*</w:t>
            </w:r>
          </w:p>
        </w:tc>
        <w:tc>
          <w:tcPr>
            <w:tcW w:w="2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557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1,076</w:t>
            </w:r>
          </w:p>
        </w:tc>
        <w:tc>
          <w:tcPr>
            <w:tcW w:w="28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1,316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6,479</w:t>
            </w:r>
          </w:p>
        </w:tc>
      </w:tr>
      <w:tr>
        <w:trPr>
          <w:trHeight w:val="33"/>
        </w:trPr>
        <w:tc>
          <w:tcPr>
            <w:tcW w:w="24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24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shd w:val="clear" w:color="auto" w:fill="BFE4FF"/>
              </w:rPr>
              <w:t>Gain on sale of licensing rights*</w:t>
            </w:r>
          </w:p>
        </w:tc>
        <w:tc>
          <w:tcPr>
            <w:tcW w:w="2300" w:type="dxa"/>
            <w:vAlign w:val="bottom"/>
            <w:tcBorders>
              <w:bottom w:val="single" w:sz="8" w:color="BFE4FF"/>
            </w:tcBorders>
            <w:shd w:val="clear" w:color="auto" w:fill="BFE4FF"/>
          </w:tcPr>
          <w:p>
            <w:pPr>
              <w:spacing w:after="0"/>
              <w:rPr>
                <w:sz w:val="23"/>
                <w:szCs w:val="23"/>
                <w:color w:val="auto"/>
              </w:rPr>
            </w:pPr>
          </w:p>
        </w:tc>
        <w:tc>
          <w:tcPr>
            <w:tcW w:w="220" w:type="dxa"/>
            <w:vAlign w:val="bottom"/>
            <w:tcBorders>
              <w:bottom w:val="single" w:sz="8" w:color="BFE4FF"/>
            </w:tcBorders>
            <w:shd w:val="clear" w:color="auto" w:fill="BFE4FF"/>
          </w:tcPr>
          <w:p>
            <w:pPr>
              <w:spacing w:after="0"/>
              <w:rPr>
                <w:sz w:val="23"/>
                <w:szCs w:val="23"/>
                <w:color w:val="auto"/>
              </w:rPr>
            </w:pPr>
          </w:p>
        </w:tc>
        <w:tc>
          <w:tcPr>
            <w:tcW w:w="1520" w:type="dxa"/>
            <w:vAlign w:val="bottom"/>
            <w:tcBorders>
              <w:bottom w:val="single" w:sz="8" w:color="BFE4FF"/>
            </w:tcBorders>
            <w:gridSpan w:val="2"/>
            <w:shd w:val="clear" w:color="auto" w:fill="BFE4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BFE4FF"/>
            </w:tcBorders>
            <w:shd w:val="clear" w:color="auto" w:fill="BFE4FF"/>
          </w:tcPr>
          <w:p>
            <w:pPr>
              <w:spacing w:after="0"/>
              <w:rPr>
                <w:sz w:val="23"/>
                <w:szCs w:val="23"/>
                <w:color w:val="auto"/>
              </w:rPr>
            </w:pPr>
          </w:p>
        </w:tc>
        <w:tc>
          <w:tcPr>
            <w:tcW w:w="140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(1,203)</w:t>
            </w:r>
          </w:p>
        </w:tc>
        <w:tc>
          <w:tcPr>
            <w:tcW w:w="280" w:type="dxa"/>
            <w:vAlign w:val="bottom"/>
            <w:tcBorders>
              <w:bottom w:val="single" w:sz="8" w:color="BFE4FF"/>
            </w:tcBorders>
            <w:shd w:val="clear" w:color="auto" w:fill="BFE4FF"/>
          </w:tcPr>
          <w:p>
            <w:pPr>
              <w:spacing w:after="0"/>
              <w:rPr>
                <w:sz w:val="23"/>
                <w:szCs w:val="23"/>
                <w:color w:val="auto"/>
              </w:rPr>
            </w:pPr>
          </w:p>
        </w:tc>
        <w:tc>
          <w:tcPr>
            <w:tcW w:w="148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BFE4FF"/>
            </w:tcBorders>
            <w:shd w:val="clear" w:color="auto" w:fill="BFE4FF"/>
          </w:tcPr>
          <w:p>
            <w:pPr>
              <w:spacing w:after="0"/>
              <w:rPr>
                <w:sz w:val="23"/>
                <w:szCs w:val="23"/>
                <w:color w:val="auto"/>
              </w:rPr>
            </w:pPr>
          </w:p>
        </w:tc>
        <w:tc>
          <w:tcPr>
            <w:tcW w:w="13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(1,203)</w:t>
            </w:r>
          </w:p>
        </w:tc>
      </w:tr>
      <w:tr>
        <w:trPr>
          <w:trHeight w:val="297"/>
        </w:trPr>
        <w:tc>
          <w:tcPr>
            <w:tcW w:w="4700" w:type="dxa"/>
            <w:vAlign w:val="bottom"/>
            <w:tcBorders>
              <w:bottom w:val="single" w:sz="8" w:color="BFE4FF"/>
            </w:tcBorders>
            <w:gridSpan w:val="2"/>
          </w:tcPr>
          <w:p>
            <w:pPr>
              <w:ind w:left="40"/>
              <w:spacing w:after="0"/>
              <w:rPr>
                <w:sz w:val="20"/>
                <w:szCs w:val="20"/>
                <w:color w:val="auto"/>
              </w:rPr>
            </w:pPr>
            <w:r>
              <w:rPr>
                <w:rFonts w:ascii="Arial" w:cs="Arial" w:eastAsia="Arial" w:hAnsi="Arial"/>
                <w:sz w:val="16"/>
                <w:szCs w:val="16"/>
                <w:color w:val="auto"/>
              </w:rPr>
              <w:t>Non-GAAP provision for income taxes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47,811</w:t>
            </w:r>
          </w:p>
        </w:tc>
        <w:tc>
          <w:tcPr>
            <w:tcW w:w="12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45,482</w:t>
            </w:r>
          </w:p>
        </w:tc>
        <w:tc>
          <w:tcPr>
            <w:tcW w:w="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141,885</w:t>
            </w:r>
          </w:p>
        </w:tc>
        <w:tc>
          <w:tcPr>
            <w:tcW w:w="100" w:type="dxa"/>
            <w:vAlign w:val="bottom"/>
            <w:tcBorders>
              <w:bottom w:val="single" w:sz="8" w:color="BFE4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144,283</w:t>
            </w:r>
          </w:p>
        </w:tc>
      </w:tr>
      <w:tr>
        <w:trPr>
          <w:trHeight w:val="163"/>
        </w:trPr>
        <w:tc>
          <w:tcPr>
            <w:tcW w:w="2400" w:type="dxa"/>
            <w:vAlign w:val="bottom"/>
            <w:shd w:val="clear" w:color="auto" w:fill="BFE4FF"/>
          </w:tcPr>
          <w:p>
            <w:pPr>
              <w:spacing w:after="0"/>
              <w:rPr>
                <w:sz w:val="14"/>
                <w:szCs w:val="14"/>
                <w:color w:val="auto"/>
              </w:rPr>
            </w:pPr>
          </w:p>
        </w:tc>
        <w:tc>
          <w:tcPr>
            <w:tcW w:w="2300" w:type="dxa"/>
            <w:vAlign w:val="bottom"/>
            <w:shd w:val="clear" w:color="auto" w:fill="BFE4FF"/>
          </w:tcPr>
          <w:p>
            <w:pPr>
              <w:spacing w:after="0"/>
              <w:rPr>
                <w:sz w:val="14"/>
                <w:szCs w:val="14"/>
                <w:color w:val="auto"/>
              </w:rPr>
            </w:pPr>
          </w:p>
        </w:tc>
        <w:tc>
          <w:tcPr>
            <w:tcW w:w="220" w:type="dxa"/>
            <w:vAlign w:val="bottom"/>
            <w:shd w:val="clear" w:color="auto" w:fill="BFE4FF"/>
          </w:tcPr>
          <w:p>
            <w:pPr>
              <w:spacing w:after="0"/>
              <w:rPr>
                <w:sz w:val="14"/>
                <w:szCs w:val="14"/>
                <w:color w:val="auto"/>
              </w:rPr>
            </w:pPr>
          </w:p>
        </w:tc>
        <w:tc>
          <w:tcPr>
            <w:tcW w:w="1400" w:type="dxa"/>
            <w:vAlign w:val="bottom"/>
            <w:shd w:val="clear" w:color="auto" w:fill="BFE4FF"/>
          </w:tcPr>
          <w:p>
            <w:pPr>
              <w:spacing w:after="0"/>
              <w:rPr>
                <w:sz w:val="14"/>
                <w:szCs w:val="14"/>
                <w:color w:val="auto"/>
              </w:rPr>
            </w:pPr>
          </w:p>
        </w:tc>
        <w:tc>
          <w:tcPr>
            <w:tcW w:w="120" w:type="dxa"/>
            <w:vAlign w:val="bottom"/>
            <w:shd w:val="clear" w:color="auto" w:fill="BFE4FF"/>
          </w:tcPr>
          <w:p>
            <w:pPr>
              <w:spacing w:after="0"/>
              <w:rPr>
                <w:sz w:val="14"/>
                <w:szCs w:val="14"/>
                <w:color w:val="auto"/>
              </w:rPr>
            </w:pPr>
          </w:p>
        </w:tc>
        <w:tc>
          <w:tcPr>
            <w:tcW w:w="240" w:type="dxa"/>
            <w:vAlign w:val="bottom"/>
            <w:shd w:val="clear" w:color="auto" w:fill="BFE4FF"/>
          </w:tcPr>
          <w:p>
            <w:pPr>
              <w:spacing w:after="0"/>
              <w:rPr>
                <w:sz w:val="14"/>
                <w:szCs w:val="14"/>
                <w:color w:val="auto"/>
              </w:rPr>
            </w:pPr>
          </w:p>
        </w:tc>
        <w:tc>
          <w:tcPr>
            <w:tcW w:w="1400" w:type="dxa"/>
            <w:vAlign w:val="bottom"/>
            <w:shd w:val="clear" w:color="auto" w:fill="BFE4FF"/>
          </w:tcPr>
          <w:p>
            <w:pPr>
              <w:spacing w:after="0"/>
              <w:rPr>
                <w:sz w:val="14"/>
                <w:szCs w:val="14"/>
                <w:color w:val="auto"/>
              </w:rPr>
            </w:pPr>
          </w:p>
        </w:tc>
        <w:tc>
          <w:tcPr>
            <w:tcW w:w="280" w:type="dxa"/>
            <w:vAlign w:val="bottom"/>
            <w:shd w:val="clear" w:color="auto" w:fill="BFE4FF"/>
          </w:tcPr>
          <w:p>
            <w:pPr>
              <w:spacing w:after="0"/>
              <w:rPr>
                <w:sz w:val="14"/>
                <w:szCs w:val="14"/>
                <w:color w:val="auto"/>
              </w:rPr>
            </w:pPr>
          </w:p>
        </w:tc>
        <w:tc>
          <w:tcPr>
            <w:tcW w:w="138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240" w:type="dxa"/>
            <w:vAlign w:val="bottom"/>
            <w:shd w:val="clear" w:color="auto" w:fill="BFE4FF"/>
          </w:tcPr>
          <w:p>
            <w:pPr>
              <w:spacing w:after="0"/>
              <w:rPr>
                <w:sz w:val="14"/>
                <w:szCs w:val="14"/>
                <w:color w:val="auto"/>
              </w:rPr>
            </w:pPr>
          </w:p>
        </w:tc>
        <w:tc>
          <w:tcPr>
            <w:tcW w:w="1340" w:type="dxa"/>
            <w:vAlign w:val="bottom"/>
            <w:shd w:val="clear" w:color="auto" w:fill="BFE4FF"/>
          </w:tcPr>
          <w:p>
            <w:pPr>
              <w:spacing w:after="0"/>
              <w:rPr>
                <w:sz w:val="14"/>
                <w:szCs w:val="14"/>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Reported net income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312,840</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226,855</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617,198</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577,058</w:t>
            </w:r>
          </w:p>
        </w:tc>
      </w:tr>
      <w:tr>
        <w:trPr>
          <w:trHeight w:val="33"/>
        </w:trPr>
        <w:tc>
          <w:tcPr>
            <w:tcW w:w="24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BFE4FF"/>
            </w:tcBorders>
            <w:gridSpan w:val="2"/>
            <w:shd w:val="clear" w:color="auto" w:fill="BFE4FF"/>
          </w:tcPr>
          <w:p>
            <w:pPr>
              <w:ind w:left="40"/>
              <w:spacing w:after="0"/>
              <w:rPr>
                <w:sz w:val="20"/>
                <w:szCs w:val="20"/>
                <w:color w:val="auto"/>
              </w:rPr>
            </w:pPr>
            <w:r>
              <w:rPr>
                <w:rFonts w:ascii="Arial" w:cs="Arial" w:eastAsia="Arial" w:hAnsi="Arial"/>
                <w:sz w:val="16"/>
                <w:szCs w:val="16"/>
                <w:color w:val="auto"/>
              </w:rPr>
              <w:t>Derivative mark-to-market gains</w:t>
            </w:r>
          </w:p>
        </w:tc>
        <w:tc>
          <w:tcPr>
            <w:tcW w:w="220" w:type="dxa"/>
            <w:vAlign w:val="bottom"/>
            <w:tcBorders>
              <w:bottom w:val="single" w:sz="8" w:color="BFE4FF"/>
            </w:tcBorders>
            <w:shd w:val="clear" w:color="auto" w:fill="BFE4FF"/>
          </w:tcPr>
          <w:p>
            <w:pPr>
              <w:spacing w:after="0"/>
              <w:rPr>
                <w:sz w:val="21"/>
                <w:szCs w:val="21"/>
                <w:color w:val="auto"/>
              </w:rPr>
            </w:pPr>
          </w:p>
        </w:tc>
        <w:tc>
          <w:tcPr>
            <w:tcW w:w="14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(49,011)</w:t>
            </w:r>
          </w:p>
        </w:tc>
        <w:tc>
          <w:tcPr>
            <w:tcW w:w="12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shd w:val="clear" w:color="auto" w:fill="BFE4FF"/>
          </w:tcPr>
          <w:p>
            <w:pPr>
              <w:spacing w:after="0"/>
              <w:rPr>
                <w:sz w:val="21"/>
                <w:szCs w:val="21"/>
                <w:color w:val="auto"/>
              </w:rPr>
            </w:pPr>
          </w:p>
        </w:tc>
        <w:tc>
          <w:tcPr>
            <w:tcW w:w="140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(18,077)</w:t>
            </w:r>
          </w:p>
        </w:tc>
        <w:tc>
          <w:tcPr>
            <w:tcW w:w="280" w:type="dxa"/>
            <w:vAlign w:val="bottom"/>
            <w:tcBorders>
              <w:bottom w:val="single" w:sz="8" w:color="BFE4FF"/>
            </w:tcBorders>
            <w:shd w:val="clear" w:color="auto" w:fill="BFE4FF"/>
          </w:tcPr>
          <w:p>
            <w:pPr>
              <w:spacing w:after="0"/>
              <w:rPr>
                <w:sz w:val="21"/>
                <w:szCs w:val="21"/>
                <w:color w:val="auto"/>
              </w:rPr>
            </w:pPr>
          </w:p>
        </w:tc>
        <w:tc>
          <w:tcPr>
            <w:tcW w:w="13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(22,411)</w:t>
            </w:r>
          </w:p>
        </w:tc>
        <w:tc>
          <w:tcPr>
            <w:tcW w:w="10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shd w:val="clear" w:color="auto" w:fill="BFE4FF"/>
          </w:tcPr>
          <w:p>
            <w:pPr>
              <w:spacing w:after="0"/>
              <w:rPr>
                <w:sz w:val="21"/>
                <w:szCs w:val="21"/>
                <w:color w:val="auto"/>
              </w:rPr>
            </w:pPr>
          </w:p>
        </w:tc>
        <w:tc>
          <w:tcPr>
            <w:tcW w:w="13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(105,386)</w:t>
            </w: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Business realignment activities</w:t>
            </w:r>
          </w:p>
        </w:tc>
        <w:tc>
          <w:tcPr>
            <w:tcW w:w="2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4,481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3,619</w:t>
            </w:r>
          </w:p>
        </w:tc>
        <w:tc>
          <w:tcPr>
            <w:tcW w:w="28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5,070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15,743</w:t>
            </w:r>
          </w:p>
        </w:tc>
      </w:tr>
      <w:tr>
        <w:trPr>
          <w:trHeight w:val="33"/>
        </w:trPr>
        <w:tc>
          <w:tcPr>
            <w:tcW w:w="24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4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shd w:val="clear" w:color="auto" w:fill="BFE4FF"/>
              </w:rPr>
              <w:t>Acquisition-related costs</w:t>
            </w:r>
          </w:p>
        </w:tc>
        <w:tc>
          <w:tcPr>
            <w:tcW w:w="230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spacing w:after="0"/>
              <w:rPr>
                <w:sz w:val="21"/>
                <w:szCs w:val="21"/>
                <w:color w:val="auto"/>
              </w:rPr>
            </w:pPr>
          </w:p>
        </w:tc>
        <w:tc>
          <w:tcPr>
            <w:tcW w:w="140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1,769</w:t>
            </w:r>
          </w:p>
        </w:tc>
        <w:tc>
          <w:tcPr>
            <w:tcW w:w="12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shd w:val="clear" w:color="auto" w:fill="BFE4FF"/>
          </w:tcPr>
          <w:p>
            <w:pPr>
              <w:spacing w:after="0"/>
              <w:rPr>
                <w:sz w:val="21"/>
                <w:szCs w:val="21"/>
                <w:color w:val="auto"/>
              </w:rPr>
            </w:pPr>
          </w:p>
        </w:tc>
        <w:tc>
          <w:tcPr>
            <w:tcW w:w="1400" w:type="dxa"/>
            <w:vAlign w:val="bottom"/>
            <w:tcBorders>
              <w:bottom w:val="single" w:sz="8" w:color="BFE4FF"/>
            </w:tcBorders>
            <w:shd w:val="clear" w:color="auto" w:fill="BFE4FF"/>
          </w:tcPr>
          <w:p>
            <w:pPr>
              <w:jc w:val="right"/>
              <w:ind w:right="59"/>
              <w:spacing w:after="0"/>
              <w:rPr>
                <w:sz w:val="20"/>
                <w:szCs w:val="20"/>
                <w:color w:val="auto"/>
              </w:rPr>
            </w:pPr>
            <w:r>
              <w:rPr>
                <w:rFonts w:ascii="Arial" w:cs="Arial" w:eastAsia="Arial" w:hAnsi="Arial"/>
                <w:sz w:val="16"/>
                <w:szCs w:val="16"/>
                <w:color w:val="auto"/>
              </w:rPr>
              <w:t>3,705</w:t>
            </w:r>
          </w:p>
        </w:tc>
        <w:tc>
          <w:tcPr>
            <w:tcW w:w="280" w:type="dxa"/>
            <w:vAlign w:val="bottom"/>
            <w:tcBorders>
              <w:bottom w:val="single" w:sz="8" w:color="BFE4FF"/>
            </w:tcBorders>
            <w:shd w:val="clear" w:color="auto" w:fill="BFE4FF"/>
          </w:tcPr>
          <w:p>
            <w:pPr>
              <w:spacing w:after="0"/>
              <w:rPr>
                <w:sz w:val="21"/>
                <w:szCs w:val="21"/>
                <w:color w:val="auto"/>
              </w:rPr>
            </w:pPr>
          </w:p>
        </w:tc>
        <w:tc>
          <w:tcPr>
            <w:tcW w:w="138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4,190</w:t>
            </w:r>
          </w:p>
        </w:tc>
        <w:tc>
          <w:tcPr>
            <w:tcW w:w="10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shd w:val="clear" w:color="auto" w:fill="BFE4FF"/>
          </w:tcPr>
          <w:p>
            <w:pPr>
              <w:spacing w:after="0"/>
              <w:rPr>
                <w:sz w:val="21"/>
                <w:szCs w:val="21"/>
                <w:color w:val="auto"/>
              </w:rPr>
            </w:pPr>
          </w:p>
        </w:tc>
        <w:tc>
          <w:tcPr>
            <w:tcW w:w="134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26,228</w:t>
            </w: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Long-lived asset impairment charges</w:t>
            </w:r>
          </w:p>
        </w:tc>
        <w:tc>
          <w:tcPr>
            <w:tcW w:w="2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4,741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27,168</w:t>
            </w:r>
          </w:p>
        </w:tc>
        <w:tc>
          <w:tcPr>
            <w:tcW w:w="28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4,741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27,168</w:t>
            </w:r>
          </w:p>
        </w:tc>
      </w:tr>
      <w:tr>
        <w:trPr>
          <w:trHeight w:val="33"/>
        </w:trPr>
        <w:tc>
          <w:tcPr>
            <w:tcW w:w="24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16"/>
        </w:trPr>
        <w:tc>
          <w:tcPr>
            <w:tcW w:w="4700" w:type="dxa"/>
            <w:vAlign w:val="bottom"/>
            <w:gridSpan w:val="2"/>
            <w:shd w:val="clear" w:color="auto" w:fill="BFE4FF"/>
          </w:tcPr>
          <w:p>
            <w:pPr>
              <w:ind w:left="40"/>
              <w:spacing w:after="0"/>
              <w:rPr>
                <w:sz w:val="20"/>
                <w:szCs w:val="20"/>
                <w:color w:val="auto"/>
              </w:rPr>
            </w:pPr>
            <w:r>
              <w:rPr>
                <w:rFonts w:ascii="Arial" w:cs="Arial" w:eastAsia="Arial" w:hAnsi="Arial"/>
                <w:sz w:val="16"/>
                <w:szCs w:val="16"/>
                <w:color w:val="auto"/>
                <w:w w:val="94"/>
                <w:shd w:val="clear" w:color="auto" w:fill="BFE4FF"/>
              </w:rPr>
              <w:t>Noncontrolling interest share of business realignment and impairment</w:t>
            </w:r>
          </w:p>
        </w:tc>
        <w:tc>
          <w:tcPr>
            <w:tcW w:w="220" w:type="dxa"/>
            <w:vAlign w:val="bottom"/>
            <w:shd w:val="clear" w:color="auto" w:fill="BFE4FF"/>
          </w:tcPr>
          <w:p>
            <w:pPr>
              <w:spacing w:after="0"/>
              <w:rPr>
                <w:sz w:val="18"/>
                <w:szCs w:val="18"/>
                <w:color w:val="auto"/>
              </w:rPr>
            </w:pPr>
          </w:p>
        </w:tc>
        <w:tc>
          <w:tcPr>
            <w:tcW w:w="1400" w:type="dxa"/>
            <w:vAlign w:val="bottom"/>
            <w:shd w:val="clear" w:color="auto" w:fill="BFE4FF"/>
          </w:tcPr>
          <w:p>
            <w:pPr>
              <w:spacing w:after="0"/>
              <w:rPr>
                <w:sz w:val="18"/>
                <w:szCs w:val="18"/>
                <w:color w:val="auto"/>
              </w:rPr>
            </w:pPr>
          </w:p>
        </w:tc>
        <w:tc>
          <w:tcPr>
            <w:tcW w:w="120" w:type="dxa"/>
            <w:vAlign w:val="bottom"/>
            <w:shd w:val="clear" w:color="auto" w:fill="BFE4FF"/>
          </w:tcPr>
          <w:p>
            <w:pPr>
              <w:spacing w:after="0"/>
              <w:rPr>
                <w:sz w:val="18"/>
                <w:szCs w:val="18"/>
                <w:color w:val="auto"/>
              </w:rPr>
            </w:pPr>
          </w:p>
        </w:tc>
        <w:tc>
          <w:tcPr>
            <w:tcW w:w="240" w:type="dxa"/>
            <w:vAlign w:val="bottom"/>
            <w:shd w:val="clear" w:color="auto" w:fill="BFE4FF"/>
          </w:tcPr>
          <w:p>
            <w:pPr>
              <w:spacing w:after="0"/>
              <w:rPr>
                <w:sz w:val="18"/>
                <w:szCs w:val="18"/>
                <w:color w:val="auto"/>
              </w:rPr>
            </w:pPr>
          </w:p>
        </w:tc>
        <w:tc>
          <w:tcPr>
            <w:tcW w:w="1400" w:type="dxa"/>
            <w:vAlign w:val="bottom"/>
            <w:shd w:val="clear" w:color="auto" w:fill="BFE4FF"/>
          </w:tcPr>
          <w:p>
            <w:pPr>
              <w:spacing w:after="0"/>
              <w:rPr>
                <w:sz w:val="18"/>
                <w:szCs w:val="18"/>
                <w:color w:val="auto"/>
              </w:rPr>
            </w:pPr>
          </w:p>
        </w:tc>
        <w:tc>
          <w:tcPr>
            <w:tcW w:w="280" w:type="dxa"/>
            <w:vAlign w:val="bottom"/>
            <w:shd w:val="clear" w:color="auto" w:fill="BFE4FF"/>
          </w:tcPr>
          <w:p>
            <w:pPr>
              <w:spacing w:after="0"/>
              <w:rPr>
                <w:sz w:val="18"/>
                <w:szCs w:val="18"/>
                <w:color w:val="auto"/>
              </w:rPr>
            </w:pPr>
          </w:p>
        </w:tc>
        <w:tc>
          <w:tcPr>
            <w:tcW w:w="138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240" w:type="dxa"/>
            <w:vAlign w:val="bottom"/>
            <w:shd w:val="clear" w:color="auto" w:fill="BFE4FF"/>
          </w:tcPr>
          <w:p>
            <w:pPr>
              <w:spacing w:after="0"/>
              <w:rPr>
                <w:sz w:val="18"/>
                <w:szCs w:val="18"/>
                <w:color w:val="auto"/>
              </w:rPr>
            </w:pPr>
          </w:p>
        </w:tc>
        <w:tc>
          <w:tcPr>
            <w:tcW w:w="1340" w:type="dxa"/>
            <w:vAlign w:val="bottom"/>
            <w:shd w:val="clear" w:color="auto" w:fill="BFE4FF"/>
          </w:tcPr>
          <w:p>
            <w:pPr>
              <w:spacing w:after="0"/>
              <w:rPr>
                <w:sz w:val="18"/>
                <w:szCs w:val="18"/>
                <w:color w:val="auto"/>
              </w:rPr>
            </w:pPr>
          </w:p>
        </w:tc>
      </w:tr>
      <w:tr>
        <w:trPr>
          <w:trHeight w:val="223"/>
        </w:trPr>
        <w:tc>
          <w:tcPr>
            <w:tcW w:w="24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shd w:val="clear" w:color="auto" w:fill="BFE4FF"/>
              </w:rPr>
              <w:t>charges</w:t>
            </w:r>
          </w:p>
        </w:tc>
        <w:tc>
          <w:tcPr>
            <w:tcW w:w="2300" w:type="dxa"/>
            <w:vAlign w:val="bottom"/>
            <w:tcBorders>
              <w:bottom w:val="single" w:sz="8" w:color="BFE4FF"/>
            </w:tcBorders>
            <w:shd w:val="clear" w:color="auto" w:fill="BFE4FF"/>
          </w:tcPr>
          <w:p>
            <w:pPr>
              <w:spacing w:after="0"/>
              <w:rPr>
                <w:sz w:val="19"/>
                <w:szCs w:val="19"/>
                <w:color w:val="auto"/>
              </w:rPr>
            </w:pPr>
          </w:p>
        </w:tc>
        <w:tc>
          <w:tcPr>
            <w:tcW w:w="220" w:type="dxa"/>
            <w:vAlign w:val="bottom"/>
            <w:tcBorders>
              <w:bottom w:val="single" w:sz="8" w:color="BFE4FF"/>
            </w:tcBorders>
            <w:shd w:val="clear" w:color="auto" w:fill="BFE4FF"/>
          </w:tcPr>
          <w:p>
            <w:pPr>
              <w:spacing w:after="0"/>
              <w:rPr>
                <w:sz w:val="19"/>
                <w:szCs w:val="19"/>
                <w:color w:val="auto"/>
              </w:rPr>
            </w:pPr>
          </w:p>
        </w:tc>
        <w:tc>
          <w:tcPr>
            <w:tcW w:w="140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417</w:t>
            </w:r>
          </w:p>
        </w:tc>
        <w:tc>
          <w:tcPr>
            <w:tcW w:w="120" w:type="dxa"/>
            <w:vAlign w:val="bottom"/>
            <w:tcBorders>
              <w:bottom w:val="single" w:sz="8" w:color="BFE4FF"/>
            </w:tcBorders>
            <w:shd w:val="clear" w:color="auto" w:fill="BFE4FF"/>
          </w:tcPr>
          <w:p>
            <w:pPr>
              <w:spacing w:after="0"/>
              <w:rPr>
                <w:sz w:val="19"/>
                <w:szCs w:val="19"/>
                <w:color w:val="auto"/>
              </w:rPr>
            </w:pPr>
          </w:p>
        </w:tc>
        <w:tc>
          <w:tcPr>
            <w:tcW w:w="240" w:type="dxa"/>
            <w:vAlign w:val="bottom"/>
            <w:tcBorders>
              <w:bottom w:val="single" w:sz="8" w:color="BFE4FF"/>
            </w:tcBorders>
            <w:shd w:val="clear" w:color="auto" w:fill="BFE4FF"/>
          </w:tcPr>
          <w:p>
            <w:pPr>
              <w:spacing w:after="0"/>
              <w:rPr>
                <w:sz w:val="19"/>
                <w:szCs w:val="19"/>
                <w:color w:val="auto"/>
              </w:rPr>
            </w:pPr>
          </w:p>
        </w:tc>
        <w:tc>
          <w:tcPr>
            <w:tcW w:w="140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(1,246)</w:t>
            </w:r>
          </w:p>
        </w:tc>
        <w:tc>
          <w:tcPr>
            <w:tcW w:w="280" w:type="dxa"/>
            <w:vAlign w:val="bottom"/>
            <w:tcBorders>
              <w:bottom w:val="single" w:sz="8" w:color="BFE4FF"/>
            </w:tcBorders>
            <w:shd w:val="clear" w:color="auto" w:fill="BFE4FF"/>
          </w:tcPr>
          <w:p>
            <w:pPr>
              <w:spacing w:after="0"/>
              <w:rPr>
                <w:sz w:val="19"/>
                <w:szCs w:val="19"/>
                <w:color w:val="auto"/>
              </w:rPr>
            </w:pPr>
          </w:p>
        </w:tc>
        <w:tc>
          <w:tcPr>
            <w:tcW w:w="13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BFE4FF"/>
            </w:tcBorders>
            <w:shd w:val="clear" w:color="auto" w:fill="BFE4FF"/>
          </w:tcPr>
          <w:p>
            <w:pPr>
              <w:spacing w:after="0"/>
              <w:rPr>
                <w:sz w:val="19"/>
                <w:szCs w:val="19"/>
                <w:color w:val="auto"/>
              </w:rPr>
            </w:pPr>
          </w:p>
        </w:tc>
        <w:tc>
          <w:tcPr>
            <w:tcW w:w="240" w:type="dxa"/>
            <w:vAlign w:val="bottom"/>
            <w:tcBorders>
              <w:bottom w:val="single" w:sz="8" w:color="BFE4FF"/>
            </w:tcBorders>
            <w:shd w:val="clear" w:color="auto" w:fill="BFE4FF"/>
          </w:tcPr>
          <w:p>
            <w:pPr>
              <w:spacing w:after="0"/>
              <w:rPr>
                <w:sz w:val="19"/>
                <w:szCs w:val="19"/>
                <w:color w:val="auto"/>
              </w:rPr>
            </w:pPr>
          </w:p>
        </w:tc>
        <w:tc>
          <w:tcPr>
            <w:tcW w:w="13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(790)</w:t>
            </w: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Gain on sale of licensing rights</w:t>
            </w:r>
          </w:p>
        </w:tc>
        <w:tc>
          <w:tcPr>
            <w:tcW w:w="220" w:type="dxa"/>
            <w:vAlign w:val="bottom"/>
          </w:tcPr>
          <w:p>
            <w:pPr>
              <w:spacing w:after="0"/>
              <w:rPr>
                <w:sz w:val="20"/>
                <w:szCs w:val="20"/>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(1,455)</w:t>
            </w:r>
          </w:p>
        </w:tc>
        <w:tc>
          <w:tcPr>
            <w:tcW w:w="28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(1,455)</w:t>
            </w:r>
          </w:p>
        </w:tc>
      </w:tr>
      <w:tr>
        <w:trPr>
          <w:trHeight w:val="33"/>
        </w:trPr>
        <w:tc>
          <w:tcPr>
            <w:tcW w:w="2400" w:type="dxa"/>
            <w:vAlign w:val="bottom"/>
            <w:tcBorders>
              <w:bottom w:val="single" w:sz="8" w:color="BFE4FF"/>
            </w:tcBorders>
          </w:tcPr>
          <w:p>
            <w:pPr>
              <w:spacing w:after="0"/>
              <w:rPr>
                <w:sz w:val="2"/>
                <w:szCs w:val="2"/>
                <w:color w:val="auto"/>
              </w:rPr>
            </w:pPr>
          </w:p>
        </w:tc>
        <w:tc>
          <w:tcPr>
            <w:tcW w:w="2300" w:type="dxa"/>
            <w:vAlign w:val="bottom"/>
            <w:tcBorders>
              <w:bottom w:val="single" w:sz="8" w:color="BFE4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24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shd w:val="clear" w:color="auto" w:fill="BFE4FF"/>
              </w:rPr>
              <w:t>Non-GAAP net income</w:t>
            </w:r>
          </w:p>
        </w:tc>
        <w:tc>
          <w:tcPr>
            <w:tcW w:w="2300" w:type="dxa"/>
            <w:vAlign w:val="bottom"/>
            <w:tcBorders>
              <w:bottom w:val="single" w:sz="8" w:color="BFE4FF"/>
            </w:tcBorders>
            <w:shd w:val="clear" w:color="auto" w:fill="BFE4FF"/>
          </w:tcPr>
          <w:p>
            <w:pPr>
              <w:spacing w:after="0"/>
              <w:rPr>
                <w:sz w:val="22"/>
                <w:szCs w:val="22"/>
                <w:color w:val="auto"/>
              </w:rPr>
            </w:pPr>
          </w:p>
        </w:tc>
        <w:tc>
          <w:tcPr>
            <w:tcW w:w="22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275,237</w:t>
            </w:r>
          </w:p>
        </w:tc>
        <w:tc>
          <w:tcPr>
            <w:tcW w:w="120" w:type="dxa"/>
            <w:vAlign w:val="bottom"/>
            <w:tcBorders>
              <w:bottom w:val="single" w:sz="8" w:color="BFE4FF"/>
            </w:tcBorders>
            <w:shd w:val="clear" w:color="auto" w:fill="BFE4FF"/>
          </w:tcPr>
          <w:p>
            <w:pPr>
              <w:spacing w:after="0"/>
              <w:rPr>
                <w:sz w:val="22"/>
                <w:szCs w:val="22"/>
                <w:color w:val="auto"/>
              </w:rPr>
            </w:pPr>
          </w:p>
        </w:tc>
        <w:tc>
          <w:tcPr>
            <w:tcW w:w="240" w:type="dxa"/>
            <w:vAlign w:val="bottom"/>
            <w:tcBorders>
              <w:bottom w:val="single" w:sz="8" w:color="BFE4FF"/>
            </w:tcBorders>
            <w:shd w:val="clear" w:color="auto" w:fill="BFE4FF"/>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BFE4FF"/>
            </w:tcBorders>
            <w:shd w:val="clear" w:color="auto" w:fill="BFE4FF"/>
          </w:tcPr>
          <w:p>
            <w:pPr>
              <w:jc w:val="right"/>
              <w:ind w:right="59"/>
              <w:spacing w:after="0"/>
              <w:rPr>
                <w:sz w:val="20"/>
                <w:szCs w:val="20"/>
                <w:color w:val="auto"/>
              </w:rPr>
            </w:pPr>
            <w:r>
              <w:rPr>
                <w:rFonts w:ascii="Arial" w:cs="Arial" w:eastAsia="Arial" w:hAnsi="Arial"/>
                <w:sz w:val="16"/>
                <w:szCs w:val="16"/>
                <w:color w:val="auto"/>
              </w:rPr>
              <w:t>240,569</w:t>
            </w:r>
          </w:p>
        </w:tc>
        <w:tc>
          <w:tcPr>
            <w:tcW w:w="28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608,772</w:t>
            </w:r>
          </w:p>
        </w:tc>
        <w:tc>
          <w:tcPr>
            <w:tcW w:w="100" w:type="dxa"/>
            <w:vAlign w:val="bottom"/>
            <w:tcBorders>
              <w:bottom w:val="single" w:sz="8" w:color="BFE4FF"/>
            </w:tcBorders>
            <w:shd w:val="clear" w:color="auto" w:fill="BFE4FF"/>
          </w:tcPr>
          <w:p>
            <w:pPr>
              <w:spacing w:after="0"/>
              <w:rPr>
                <w:sz w:val="22"/>
                <w:szCs w:val="22"/>
                <w:color w:val="auto"/>
              </w:rPr>
            </w:pPr>
          </w:p>
        </w:tc>
        <w:tc>
          <w:tcPr>
            <w:tcW w:w="240" w:type="dxa"/>
            <w:vAlign w:val="bottom"/>
            <w:tcBorders>
              <w:bottom w:val="single" w:sz="8" w:color="BFE4FF"/>
            </w:tcBorders>
            <w:shd w:val="clear" w:color="auto" w:fill="BFE4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538,566</w:t>
            </w:r>
          </w:p>
        </w:tc>
      </w:tr>
      <w:tr>
        <w:trPr>
          <w:trHeight w:val="20"/>
        </w:trPr>
        <w:tc>
          <w:tcPr>
            <w:tcW w:w="2400" w:type="dxa"/>
            <w:vAlign w:val="bottom"/>
            <w:tcBorders>
              <w:top w:val="single" w:sz="8" w:color="BFE4FF"/>
            </w:tcBorders>
          </w:tcPr>
          <w:p>
            <w:pPr>
              <w:spacing w:after="0" w:line="20" w:lineRule="exact"/>
              <w:rPr>
                <w:sz w:val="1"/>
                <w:szCs w:val="1"/>
                <w:color w:val="auto"/>
              </w:rPr>
            </w:pPr>
          </w:p>
        </w:tc>
        <w:tc>
          <w:tcPr>
            <w:tcW w:w="2300" w:type="dxa"/>
            <w:vAlign w:val="bottom"/>
            <w:tcBorders>
              <w:top w:val="single" w:sz="8" w:color="BFE4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240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250"/>
        </w:trPr>
        <w:tc>
          <w:tcPr>
            <w:tcW w:w="24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shd w:val="clear" w:color="auto" w:fill="BFE4FF"/>
              </w:rPr>
              <w:t>Reported EPS - Diluted</w:t>
            </w:r>
          </w:p>
        </w:tc>
        <w:tc>
          <w:tcPr>
            <w:tcW w:w="230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1.48</w:t>
            </w:r>
          </w:p>
        </w:tc>
        <w:tc>
          <w:tcPr>
            <w:tcW w:w="12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shd w:val="clear" w:color="auto" w:fill="BFE4FF"/>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BFE4FF"/>
            </w:tcBorders>
            <w:shd w:val="clear" w:color="auto" w:fill="BFE4FF"/>
          </w:tcPr>
          <w:p>
            <w:pPr>
              <w:jc w:val="right"/>
              <w:ind w:right="59"/>
              <w:spacing w:after="0"/>
              <w:rPr>
                <w:sz w:val="20"/>
                <w:szCs w:val="20"/>
                <w:color w:val="auto"/>
              </w:rPr>
            </w:pPr>
            <w:r>
              <w:rPr>
                <w:rFonts w:ascii="Arial" w:cs="Arial" w:eastAsia="Arial" w:hAnsi="Arial"/>
                <w:sz w:val="16"/>
                <w:szCs w:val="16"/>
                <w:color w:val="auto"/>
              </w:rPr>
              <w:t>1.08</w:t>
            </w:r>
          </w:p>
        </w:tc>
        <w:tc>
          <w:tcPr>
            <w:tcW w:w="28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2.93</w:t>
            </w:r>
          </w:p>
        </w:tc>
        <w:tc>
          <w:tcPr>
            <w:tcW w:w="10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shd w:val="clear" w:color="auto" w:fill="BFE4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2.73</w:t>
            </w: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Derivative mark-to-market gains</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(0.25)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(0.10)</w:t>
            </w:r>
          </w:p>
        </w:tc>
        <w:tc>
          <w:tcPr>
            <w:tcW w:w="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(0.12)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(0.55)</w:t>
            </w:r>
          </w:p>
        </w:tc>
      </w:tr>
      <w:tr>
        <w:trPr>
          <w:trHeight w:val="33"/>
        </w:trPr>
        <w:tc>
          <w:tcPr>
            <w:tcW w:w="24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4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shd w:val="clear" w:color="auto" w:fill="BFE4FF"/>
              </w:rPr>
              <w:t>Business realignment activities</w:t>
            </w:r>
          </w:p>
        </w:tc>
        <w:tc>
          <w:tcPr>
            <w:tcW w:w="230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spacing w:after="0"/>
              <w:rPr>
                <w:sz w:val="21"/>
                <w:szCs w:val="21"/>
                <w:color w:val="auto"/>
              </w:rPr>
            </w:pPr>
          </w:p>
        </w:tc>
        <w:tc>
          <w:tcPr>
            <w:tcW w:w="140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0.03</w:t>
            </w:r>
          </w:p>
        </w:tc>
        <w:tc>
          <w:tcPr>
            <w:tcW w:w="12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shd w:val="clear" w:color="auto" w:fill="BFE4FF"/>
          </w:tcPr>
          <w:p>
            <w:pPr>
              <w:spacing w:after="0"/>
              <w:rPr>
                <w:sz w:val="21"/>
                <w:szCs w:val="21"/>
                <w:color w:val="auto"/>
              </w:rPr>
            </w:pPr>
          </w:p>
        </w:tc>
        <w:tc>
          <w:tcPr>
            <w:tcW w:w="1400" w:type="dxa"/>
            <w:vAlign w:val="bottom"/>
            <w:tcBorders>
              <w:bottom w:val="single" w:sz="8" w:color="BFE4FF"/>
            </w:tcBorders>
            <w:shd w:val="clear" w:color="auto" w:fill="BFE4FF"/>
          </w:tcPr>
          <w:p>
            <w:pPr>
              <w:jc w:val="right"/>
              <w:ind w:right="59"/>
              <w:spacing w:after="0"/>
              <w:rPr>
                <w:sz w:val="20"/>
                <w:szCs w:val="20"/>
                <w:color w:val="auto"/>
              </w:rPr>
            </w:pPr>
            <w:r>
              <w:rPr>
                <w:rFonts w:ascii="Arial" w:cs="Arial" w:eastAsia="Arial" w:hAnsi="Arial"/>
                <w:sz w:val="16"/>
                <w:szCs w:val="16"/>
                <w:color w:val="auto"/>
              </w:rPr>
              <w:t>0.07</w:t>
            </w:r>
          </w:p>
        </w:tc>
        <w:tc>
          <w:tcPr>
            <w:tcW w:w="280" w:type="dxa"/>
            <w:vAlign w:val="bottom"/>
            <w:tcBorders>
              <w:bottom w:val="single" w:sz="8" w:color="BFE4FF"/>
            </w:tcBorders>
            <w:shd w:val="clear" w:color="auto" w:fill="BFE4FF"/>
          </w:tcPr>
          <w:p>
            <w:pPr>
              <w:spacing w:after="0"/>
              <w:rPr>
                <w:sz w:val="21"/>
                <w:szCs w:val="21"/>
                <w:color w:val="auto"/>
              </w:rPr>
            </w:pPr>
          </w:p>
        </w:tc>
        <w:tc>
          <w:tcPr>
            <w:tcW w:w="138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0.03</w:t>
            </w:r>
          </w:p>
        </w:tc>
        <w:tc>
          <w:tcPr>
            <w:tcW w:w="10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shd w:val="clear" w:color="auto" w:fill="BFE4FF"/>
          </w:tcPr>
          <w:p>
            <w:pPr>
              <w:spacing w:after="0"/>
              <w:rPr>
                <w:sz w:val="21"/>
                <w:szCs w:val="21"/>
                <w:color w:val="auto"/>
              </w:rPr>
            </w:pPr>
          </w:p>
        </w:tc>
        <w:tc>
          <w:tcPr>
            <w:tcW w:w="134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0.16</w:t>
            </w: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Acquisition-related costs</w:t>
            </w:r>
          </w:p>
        </w:tc>
        <w:tc>
          <w:tcPr>
            <w:tcW w:w="2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0.02</w:t>
            </w:r>
          </w:p>
        </w:tc>
        <w:tc>
          <w:tcPr>
            <w:tcW w:w="28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0.15</w:t>
            </w:r>
          </w:p>
        </w:tc>
      </w:tr>
      <w:tr>
        <w:trPr>
          <w:trHeight w:val="33"/>
        </w:trPr>
        <w:tc>
          <w:tcPr>
            <w:tcW w:w="24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BFE4FF"/>
            </w:tcBorders>
            <w:gridSpan w:val="2"/>
            <w:shd w:val="clear" w:color="auto" w:fill="BFE4FF"/>
          </w:tcPr>
          <w:p>
            <w:pPr>
              <w:ind w:left="40"/>
              <w:spacing w:after="0"/>
              <w:rPr>
                <w:sz w:val="20"/>
                <w:szCs w:val="20"/>
                <w:color w:val="auto"/>
              </w:rPr>
            </w:pPr>
            <w:r>
              <w:rPr>
                <w:rFonts w:ascii="Arial" w:cs="Arial" w:eastAsia="Arial" w:hAnsi="Arial"/>
                <w:sz w:val="16"/>
                <w:szCs w:val="16"/>
                <w:color w:val="auto"/>
              </w:rPr>
              <w:t>Long-lived asset impairment charges</w:t>
            </w:r>
          </w:p>
        </w:tc>
        <w:tc>
          <w:tcPr>
            <w:tcW w:w="220" w:type="dxa"/>
            <w:vAlign w:val="bottom"/>
            <w:tcBorders>
              <w:bottom w:val="single" w:sz="8" w:color="BFE4FF"/>
            </w:tcBorders>
            <w:shd w:val="clear" w:color="auto" w:fill="BFE4FF"/>
          </w:tcPr>
          <w:p>
            <w:pPr>
              <w:spacing w:after="0"/>
              <w:rPr>
                <w:sz w:val="21"/>
                <w:szCs w:val="21"/>
                <w:color w:val="auto"/>
              </w:rPr>
            </w:pPr>
          </w:p>
        </w:tc>
        <w:tc>
          <w:tcPr>
            <w:tcW w:w="140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0.02</w:t>
            </w:r>
          </w:p>
        </w:tc>
        <w:tc>
          <w:tcPr>
            <w:tcW w:w="12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shd w:val="clear" w:color="auto" w:fill="BFE4FF"/>
          </w:tcPr>
          <w:p>
            <w:pPr>
              <w:spacing w:after="0"/>
              <w:rPr>
                <w:sz w:val="21"/>
                <w:szCs w:val="21"/>
                <w:color w:val="auto"/>
              </w:rPr>
            </w:pPr>
          </w:p>
        </w:tc>
        <w:tc>
          <w:tcPr>
            <w:tcW w:w="1400" w:type="dxa"/>
            <w:vAlign w:val="bottom"/>
            <w:tcBorders>
              <w:bottom w:val="single" w:sz="8" w:color="BFE4FF"/>
            </w:tcBorders>
            <w:shd w:val="clear" w:color="auto" w:fill="BFE4FF"/>
          </w:tcPr>
          <w:p>
            <w:pPr>
              <w:jc w:val="right"/>
              <w:ind w:right="59"/>
              <w:spacing w:after="0"/>
              <w:rPr>
                <w:sz w:val="20"/>
                <w:szCs w:val="20"/>
                <w:color w:val="auto"/>
              </w:rPr>
            </w:pPr>
            <w:r>
              <w:rPr>
                <w:rFonts w:ascii="Arial" w:cs="Arial" w:eastAsia="Arial" w:hAnsi="Arial"/>
                <w:sz w:val="16"/>
                <w:szCs w:val="16"/>
                <w:color w:val="auto"/>
              </w:rPr>
              <w:t>0.13</w:t>
            </w:r>
          </w:p>
        </w:tc>
        <w:tc>
          <w:tcPr>
            <w:tcW w:w="280" w:type="dxa"/>
            <w:vAlign w:val="bottom"/>
            <w:tcBorders>
              <w:bottom w:val="single" w:sz="8" w:color="BFE4FF"/>
            </w:tcBorders>
            <w:shd w:val="clear" w:color="auto" w:fill="BFE4FF"/>
          </w:tcPr>
          <w:p>
            <w:pPr>
              <w:spacing w:after="0"/>
              <w:rPr>
                <w:sz w:val="21"/>
                <w:szCs w:val="21"/>
                <w:color w:val="auto"/>
              </w:rPr>
            </w:pPr>
          </w:p>
        </w:tc>
        <w:tc>
          <w:tcPr>
            <w:tcW w:w="138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0.02</w:t>
            </w:r>
          </w:p>
        </w:tc>
        <w:tc>
          <w:tcPr>
            <w:tcW w:w="10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shd w:val="clear" w:color="auto" w:fill="BFE4FF"/>
          </w:tcPr>
          <w:p>
            <w:pPr>
              <w:spacing w:after="0"/>
              <w:rPr>
                <w:sz w:val="21"/>
                <w:szCs w:val="21"/>
                <w:color w:val="auto"/>
              </w:rPr>
            </w:pPr>
          </w:p>
        </w:tc>
        <w:tc>
          <w:tcPr>
            <w:tcW w:w="134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0.13</w:t>
            </w:r>
          </w:p>
        </w:tc>
      </w:tr>
      <w:tr>
        <w:trPr>
          <w:trHeight w:val="220"/>
        </w:trPr>
        <w:tc>
          <w:tcPr>
            <w:tcW w:w="4700" w:type="dxa"/>
            <w:vAlign w:val="bottom"/>
            <w:gridSpan w:val="2"/>
          </w:tcPr>
          <w:p>
            <w:pPr>
              <w:ind w:left="40"/>
              <w:spacing w:after="0"/>
              <w:rPr>
                <w:sz w:val="20"/>
                <w:szCs w:val="20"/>
                <w:color w:val="auto"/>
              </w:rPr>
            </w:pPr>
            <w:r>
              <w:rPr>
                <w:rFonts w:ascii="Arial" w:cs="Arial" w:eastAsia="Arial" w:hAnsi="Arial"/>
                <w:sz w:val="16"/>
                <w:szCs w:val="16"/>
                <w:color w:val="auto"/>
                <w:w w:val="94"/>
              </w:rPr>
              <w:t>Noncontrolling interest share of business realignment and impairment</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06"/>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charges</w:t>
            </w:r>
          </w:p>
        </w:tc>
        <w:tc>
          <w:tcPr>
            <w:tcW w:w="220" w:type="dxa"/>
            <w:vAlign w:val="bottom"/>
          </w:tcPr>
          <w:p>
            <w:pPr>
              <w:spacing w:after="0"/>
              <w:rPr>
                <w:sz w:val="17"/>
                <w:szCs w:val="17"/>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(0.01)</w:t>
            </w:r>
          </w:p>
        </w:tc>
        <w:tc>
          <w:tcPr>
            <w:tcW w:w="280" w:type="dxa"/>
            <w:vAlign w:val="bottom"/>
          </w:tcPr>
          <w:p>
            <w:pPr>
              <w:spacing w:after="0"/>
              <w:rPr>
                <w:sz w:val="17"/>
                <w:szCs w:val="17"/>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4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4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shd w:val="clear" w:color="auto" w:fill="BFE4FF"/>
              </w:rPr>
              <w:t>Gain on sale of licensing rights</w:t>
            </w:r>
          </w:p>
        </w:tc>
        <w:tc>
          <w:tcPr>
            <w:tcW w:w="230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spacing w:after="0"/>
              <w:rPr>
                <w:sz w:val="21"/>
                <w:szCs w:val="21"/>
                <w:color w:val="auto"/>
              </w:rPr>
            </w:pPr>
          </w:p>
        </w:tc>
        <w:tc>
          <w:tcPr>
            <w:tcW w:w="1520" w:type="dxa"/>
            <w:vAlign w:val="bottom"/>
            <w:tcBorders>
              <w:bottom w:val="single" w:sz="8" w:color="BFE4FF"/>
            </w:tcBorders>
            <w:gridSpan w:val="2"/>
            <w:shd w:val="clear" w:color="auto" w:fill="BFE4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BFE4FF"/>
            </w:tcBorders>
            <w:shd w:val="clear" w:color="auto" w:fill="BFE4FF"/>
          </w:tcPr>
          <w:p>
            <w:pPr>
              <w:spacing w:after="0"/>
              <w:rPr>
                <w:sz w:val="21"/>
                <w:szCs w:val="21"/>
                <w:color w:val="auto"/>
              </w:rPr>
            </w:pPr>
          </w:p>
        </w:tc>
        <w:tc>
          <w:tcPr>
            <w:tcW w:w="140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(0.01)</w:t>
            </w:r>
          </w:p>
        </w:tc>
        <w:tc>
          <w:tcPr>
            <w:tcW w:w="280" w:type="dxa"/>
            <w:vAlign w:val="bottom"/>
            <w:tcBorders>
              <w:bottom w:val="single" w:sz="8" w:color="BFE4FF"/>
            </w:tcBorders>
            <w:shd w:val="clear" w:color="auto" w:fill="BFE4FF"/>
          </w:tcPr>
          <w:p>
            <w:pPr>
              <w:spacing w:after="0"/>
              <w:rPr>
                <w:sz w:val="21"/>
                <w:szCs w:val="21"/>
                <w:color w:val="auto"/>
              </w:rPr>
            </w:pPr>
          </w:p>
        </w:tc>
        <w:tc>
          <w:tcPr>
            <w:tcW w:w="148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BFE4FF"/>
            </w:tcBorders>
            <w:shd w:val="clear" w:color="auto" w:fill="BFE4FF"/>
          </w:tcPr>
          <w:p>
            <w:pPr>
              <w:spacing w:after="0"/>
              <w:rPr>
                <w:sz w:val="21"/>
                <w:szCs w:val="21"/>
                <w:color w:val="auto"/>
              </w:rPr>
            </w:pPr>
          </w:p>
        </w:tc>
        <w:tc>
          <w:tcPr>
            <w:tcW w:w="13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(0.01)</w:t>
            </w: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Tax effect of all adjustments reflected above**</w:t>
            </w:r>
          </w:p>
        </w:tc>
        <w:tc>
          <w:tcPr>
            <w:tcW w:w="2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0.02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(0.04)</w:t>
            </w:r>
          </w:p>
        </w:tc>
        <w:tc>
          <w:tcPr>
            <w:tcW w:w="28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(0.06)</w:t>
            </w:r>
          </w:p>
        </w:tc>
      </w:tr>
      <w:tr>
        <w:trPr>
          <w:trHeight w:val="33"/>
        </w:trPr>
        <w:tc>
          <w:tcPr>
            <w:tcW w:w="240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Non-GAAP EPS - Diluted</w:t>
            </w:r>
          </w:p>
        </w:tc>
        <w:tc>
          <w:tcPr>
            <w:tcW w:w="23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1.14</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2.55</w:t>
            </w: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left="180" w:right="200" w:hanging="172"/>
        <w:spacing w:after="0" w:line="252" w:lineRule="auto"/>
        <w:tabs>
          <w:tab w:leader="none" w:pos="139"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tax effect for each adjustment is determined by calculating the tax impact of the adjustment on the Company's quarterly effective tax rate, unless the nature of the item and/or the tax jurisdiction in which the item has been recorded requires application of a specific tax rate or tax treatment, in which case the tax effect of such item is estimated by applying such specific tax rate or tax treatment.</w:t>
      </w:r>
    </w:p>
    <w:p>
      <w:pPr>
        <w:spacing w:after="0" w:line="2" w:lineRule="exact"/>
        <w:rPr>
          <w:sz w:val="20"/>
          <w:szCs w:val="20"/>
          <w:color w:val="auto"/>
        </w:rPr>
      </w:pPr>
    </w:p>
    <w:p>
      <w:pPr>
        <w:ind w:left="180" w:right="200" w:hanging="172"/>
        <w:spacing w:after="0" w:line="328" w:lineRule="auto"/>
        <w:tabs>
          <w:tab w:leader="none" w:pos="2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Adjustments reported above are reported on a pre-tax basis before the tax effect described in the reconciliation above for Non-GAAP provision for income taxes. There is no tax effect associated with adjustments for Long-lived asset impairment charges and Noncontrolling interest share of business realignment and impairment charges.</w:t>
      </w:r>
    </w:p>
    <w:p>
      <w:pPr>
        <w:sectPr>
          <w:pgSz w:w="11900" w:h="16838" w:orient="portrait"/>
          <w:cols w:equalWidth="0" w:num="1">
            <w:col w:w="11420"/>
          </w:cols>
          <w:pgMar w:left="240" w:top="747" w:right="239" w:bottom="1440" w:gutter="0" w:footer="0" w:header="0"/>
        </w:sect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747" w:right="239" w:bottom="1440" w:gutter="0" w:footer="0" w:header="0"/>
          <w:type w:val="continuous"/>
        </w:sectPr>
      </w:pPr>
    </w:p>
    <w:bookmarkStart w:id="43" w:name="page44"/>
    <w:bookmarkEnd w:id="43"/>
    <w:p>
      <w:pPr>
        <w:ind w:right="160"/>
        <w:spacing w:after="0" w:line="277" w:lineRule="auto"/>
        <w:rPr>
          <w:sz w:val="20"/>
          <w:szCs w:val="20"/>
          <w:color w:val="auto"/>
        </w:rPr>
      </w:pPr>
      <w:r>
        <w:rPr>
          <w:rFonts w:ascii="Arial" w:cs="Arial" w:eastAsia="Arial" w:hAnsi="Arial"/>
          <w:sz w:val="18"/>
          <w:szCs w:val="18"/>
          <w:color w:val="auto"/>
        </w:rPr>
        <w:t>In the assessment of our results, we review and discuss the following financial metrics that are derived from the reported and non-GAAP financial measures presented above: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00" w:type="dxa"/>
            <w:vAlign w:val="bottom"/>
          </w:tcPr>
          <w:p>
            <w:pPr>
              <w:spacing w:after="0"/>
              <w:rPr>
                <w:sz w:val="18"/>
                <w:szCs w:val="18"/>
                <w:color w:val="auto"/>
              </w:rPr>
            </w:pPr>
          </w:p>
        </w:tc>
        <w:tc>
          <w:tcPr>
            <w:tcW w:w="3320" w:type="dxa"/>
            <w:vAlign w:val="bottom"/>
            <w:gridSpan w:val="4"/>
          </w:tcPr>
          <w:p>
            <w:pPr>
              <w:ind w:left="1180"/>
              <w:spacing w:after="0"/>
              <w:rPr>
                <w:sz w:val="20"/>
                <w:szCs w:val="20"/>
                <w:color w:val="auto"/>
              </w:rPr>
            </w:pPr>
            <w:r>
              <w:rPr>
                <w:rFonts w:ascii="Arial" w:cs="Arial" w:eastAsia="Arial" w:hAnsi="Arial"/>
                <w:sz w:val="16"/>
                <w:szCs w:val="16"/>
                <w:b w:val="1"/>
                <w:bCs w:val="1"/>
                <w:color w:val="auto"/>
              </w:rPr>
              <w:t>Three Months Ended</w:t>
            </w:r>
          </w:p>
        </w:tc>
        <w:tc>
          <w:tcPr>
            <w:tcW w:w="760" w:type="dxa"/>
            <w:vAlign w:val="bottom"/>
          </w:tcPr>
          <w:p>
            <w:pPr>
              <w:spacing w:after="0"/>
              <w:rPr>
                <w:sz w:val="18"/>
                <w:szCs w:val="18"/>
                <w:color w:val="auto"/>
              </w:rPr>
            </w:pPr>
          </w:p>
        </w:tc>
        <w:tc>
          <w:tcPr>
            <w:tcW w:w="3640" w:type="dxa"/>
            <w:vAlign w:val="bottom"/>
            <w:gridSpan w:val="3"/>
          </w:tcPr>
          <w:p>
            <w:pPr>
              <w:jc w:val="right"/>
              <w:ind w:right="1179"/>
              <w:spacing w:after="0"/>
              <w:rPr>
                <w:sz w:val="20"/>
                <w:szCs w:val="20"/>
                <w:color w:val="auto"/>
              </w:rPr>
            </w:pPr>
            <w:r>
              <w:rPr>
                <w:rFonts w:ascii="Arial" w:cs="Arial" w:eastAsia="Arial" w:hAnsi="Arial"/>
                <w:sz w:val="16"/>
                <w:szCs w:val="16"/>
                <w:b w:val="1"/>
                <w:bCs w:val="1"/>
                <w:color w:val="auto"/>
              </w:rPr>
              <w:t>Six Months Ended</w:t>
            </w:r>
          </w:p>
        </w:tc>
      </w:tr>
      <w:tr>
        <w:trPr>
          <w:trHeight w:val="47"/>
        </w:trPr>
        <w:tc>
          <w:tcPr>
            <w:tcW w:w="3700" w:type="dxa"/>
            <w:vAlign w:val="bottom"/>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gridSpan w:val="2"/>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r>
      <w:tr>
        <w:trPr>
          <w:trHeight w:val="231"/>
        </w:trPr>
        <w:tc>
          <w:tcPr>
            <w:tcW w:w="3700" w:type="dxa"/>
            <w:vAlign w:val="bottom"/>
          </w:tcPr>
          <w:p>
            <w:pPr>
              <w:spacing w:after="0"/>
              <w:rPr>
                <w:sz w:val="20"/>
                <w:szCs w:val="20"/>
                <w:color w:val="auto"/>
              </w:rPr>
            </w:pPr>
          </w:p>
        </w:tc>
        <w:tc>
          <w:tcPr>
            <w:tcW w:w="1400" w:type="dxa"/>
            <w:vAlign w:val="bottom"/>
          </w:tcPr>
          <w:p>
            <w:pPr>
              <w:ind w:left="440"/>
              <w:spacing w:after="0"/>
              <w:rPr>
                <w:sz w:val="20"/>
                <w:szCs w:val="20"/>
                <w:color w:val="auto"/>
              </w:rPr>
            </w:pPr>
            <w:r>
              <w:rPr>
                <w:rFonts w:ascii="Arial" w:cs="Arial" w:eastAsia="Arial" w:hAnsi="Arial"/>
                <w:sz w:val="16"/>
                <w:szCs w:val="16"/>
                <w:b w:val="1"/>
                <w:bCs w:val="1"/>
                <w:color w:val="auto"/>
                <w:w w:val="90"/>
              </w:rPr>
              <w:t>June 30, 2019</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ind w:left="500"/>
              <w:spacing w:after="0"/>
              <w:rPr>
                <w:sz w:val="20"/>
                <w:szCs w:val="20"/>
                <w:color w:val="auto"/>
              </w:rPr>
            </w:pPr>
            <w:r>
              <w:rPr>
                <w:rFonts w:ascii="Arial" w:cs="Arial" w:eastAsia="Arial" w:hAnsi="Arial"/>
                <w:sz w:val="16"/>
                <w:szCs w:val="16"/>
                <w:b w:val="1"/>
                <w:bCs w:val="1"/>
                <w:color w:val="auto"/>
                <w:w w:val="93"/>
              </w:rPr>
              <w:t>July 1, 2018</w:t>
            </w:r>
          </w:p>
        </w:tc>
        <w:tc>
          <w:tcPr>
            <w:tcW w:w="760" w:type="dxa"/>
            <w:vAlign w:val="bottom"/>
          </w:tcPr>
          <w:p>
            <w:pPr>
              <w:spacing w:after="0"/>
              <w:rPr>
                <w:sz w:val="20"/>
                <w:szCs w:val="20"/>
                <w:color w:val="auto"/>
              </w:rPr>
            </w:pPr>
          </w:p>
        </w:tc>
        <w:tc>
          <w:tcPr>
            <w:tcW w:w="1780" w:type="dxa"/>
            <w:vAlign w:val="bottom"/>
            <w:gridSpan w:val="2"/>
          </w:tcPr>
          <w:p>
            <w:pPr>
              <w:ind w:left="280"/>
              <w:spacing w:after="0"/>
              <w:rPr>
                <w:sz w:val="20"/>
                <w:szCs w:val="20"/>
                <w:color w:val="auto"/>
              </w:rPr>
            </w:pPr>
            <w:r>
              <w:rPr>
                <w:rFonts w:ascii="Arial" w:cs="Arial" w:eastAsia="Arial" w:hAnsi="Arial"/>
                <w:sz w:val="16"/>
                <w:szCs w:val="16"/>
                <w:b w:val="1"/>
                <w:bCs w:val="1"/>
                <w:color w:val="auto"/>
              </w:rPr>
              <w:t>June 30, 2019</w:t>
            </w:r>
          </w:p>
        </w:tc>
        <w:tc>
          <w:tcPr>
            <w:tcW w:w="1860" w:type="dxa"/>
            <w:vAlign w:val="bottom"/>
          </w:tcPr>
          <w:p>
            <w:pPr>
              <w:jc w:val="right"/>
              <w:ind w:right="439"/>
              <w:spacing w:after="0"/>
              <w:rPr>
                <w:sz w:val="20"/>
                <w:szCs w:val="20"/>
                <w:color w:val="auto"/>
              </w:rPr>
            </w:pPr>
            <w:r>
              <w:rPr>
                <w:rFonts w:ascii="Arial" w:cs="Arial" w:eastAsia="Arial" w:hAnsi="Arial"/>
                <w:sz w:val="16"/>
                <w:szCs w:val="16"/>
                <w:b w:val="1"/>
                <w:bCs w:val="1"/>
                <w:color w:val="auto"/>
              </w:rPr>
              <w:t>July 1, 2018</w:t>
            </w:r>
          </w:p>
        </w:tc>
      </w:tr>
      <w:tr>
        <w:trPr>
          <w:trHeight w:val="33"/>
        </w:trPr>
        <w:tc>
          <w:tcPr>
            <w:tcW w:w="37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As reported gross margin</w:t>
            </w:r>
          </w:p>
        </w:tc>
        <w:tc>
          <w:tcPr>
            <w:tcW w:w="14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8"/>
              </w:rPr>
              <w:t>49.5%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96"/>
              </w:rPr>
              <w:t>45.3%</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46.7%</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47.5%</w:t>
            </w:r>
          </w:p>
        </w:tc>
      </w:tr>
      <w:tr>
        <w:trPr>
          <w:trHeight w:val="237"/>
        </w:trPr>
        <w:tc>
          <w:tcPr>
            <w:tcW w:w="5100" w:type="dxa"/>
            <w:vAlign w:val="bottom"/>
            <w:gridSpan w:val="2"/>
          </w:tcPr>
          <w:p>
            <w:pPr>
              <w:ind w:left="40"/>
              <w:spacing w:after="0"/>
              <w:rPr>
                <w:sz w:val="20"/>
                <w:szCs w:val="20"/>
                <w:color w:val="auto"/>
              </w:rPr>
            </w:pPr>
            <w:r>
              <w:rPr>
                <w:rFonts w:ascii="Arial" w:cs="Arial" w:eastAsia="Arial" w:hAnsi="Arial"/>
                <w:sz w:val="16"/>
                <w:szCs w:val="16"/>
                <w:color w:val="auto"/>
              </w:rPr>
              <w:t>Non-GAAP gross margin (1)</w:t>
            </w:r>
          </w:p>
        </w:tc>
        <w:tc>
          <w:tcPr>
            <w:tcW w:w="440" w:type="dxa"/>
            <w:vAlign w:val="bottom"/>
          </w:tcPr>
          <w:p>
            <w:pPr>
              <w:jc w:val="right"/>
              <w:spacing w:after="0"/>
              <w:rPr>
                <w:sz w:val="20"/>
                <w:szCs w:val="20"/>
                <w:color w:val="auto"/>
              </w:rPr>
            </w:pPr>
            <w:r>
              <w:rPr>
                <w:rFonts w:ascii="Arial" w:cs="Arial" w:eastAsia="Arial" w:hAnsi="Arial"/>
                <w:sz w:val="16"/>
                <w:szCs w:val="16"/>
                <w:color w:val="auto"/>
                <w:w w:val="88"/>
              </w:rPr>
              <w:t>46.5%</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60" w:type="dxa"/>
            <w:vAlign w:val="bottom"/>
          </w:tcPr>
          <w:p>
            <w:pPr>
              <w:jc w:val="right"/>
              <w:ind w:right="219"/>
              <w:spacing w:after="0"/>
              <w:rPr>
                <w:sz w:val="20"/>
                <w:szCs w:val="20"/>
                <w:color w:val="auto"/>
              </w:rPr>
            </w:pPr>
            <w:r>
              <w:rPr>
                <w:rFonts w:ascii="Arial" w:cs="Arial" w:eastAsia="Arial" w:hAnsi="Arial"/>
                <w:sz w:val="16"/>
                <w:szCs w:val="16"/>
                <w:color w:val="auto"/>
                <w:w w:val="96"/>
              </w:rPr>
              <w:t>44.5%</w:t>
            </w:r>
          </w:p>
        </w:tc>
        <w:tc>
          <w:tcPr>
            <w:tcW w:w="1680" w:type="dxa"/>
            <w:vAlign w:val="bottom"/>
          </w:tcPr>
          <w:p>
            <w:pPr>
              <w:jc w:val="right"/>
              <w:spacing w:after="0"/>
              <w:rPr>
                <w:sz w:val="20"/>
                <w:szCs w:val="20"/>
                <w:color w:val="auto"/>
              </w:rPr>
            </w:pPr>
            <w:r>
              <w:rPr>
                <w:rFonts w:ascii="Arial" w:cs="Arial" w:eastAsia="Arial" w:hAnsi="Arial"/>
                <w:sz w:val="16"/>
                <w:szCs w:val="16"/>
                <w:color w:val="auto"/>
              </w:rPr>
              <w:t>46.0%</w:t>
            </w:r>
          </w:p>
        </w:tc>
        <w:tc>
          <w:tcPr>
            <w:tcW w:w="1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44.7%</w:t>
            </w:r>
          </w:p>
        </w:tc>
      </w:tr>
      <w:tr>
        <w:trPr>
          <w:trHeight w:val="33"/>
        </w:trPr>
        <w:tc>
          <w:tcPr>
            <w:tcW w:w="37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324"/>
        </w:trPr>
        <w:tc>
          <w:tcPr>
            <w:tcW w:w="37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r>
      <w:tr>
        <w:trPr>
          <w:trHeight w:val="237"/>
        </w:trPr>
        <w:tc>
          <w:tcPr>
            <w:tcW w:w="5100" w:type="dxa"/>
            <w:vAlign w:val="bottom"/>
            <w:gridSpan w:val="2"/>
          </w:tcPr>
          <w:p>
            <w:pPr>
              <w:ind w:left="40"/>
              <w:spacing w:after="0"/>
              <w:rPr>
                <w:sz w:val="20"/>
                <w:szCs w:val="20"/>
                <w:color w:val="auto"/>
              </w:rPr>
            </w:pPr>
            <w:r>
              <w:rPr>
                <w:rFonts w:ascii="Arial" w:cs="Arial" w:eastAsia="Arial" w:hAnsi="Arial"/>
                <w:sz w:val="16"/>
                <w:szCs w:val="16"/>
                <w:color w:val="auto"/>
              </w:rPr>
              <w:t>As reported operating profit margin</w:t>
            </w:r>
          </w:p>
        </w:tc>
        <w:tc>
          <w:tcPr>
            <w:tcW w:w="440" w:type="dxa"/>
            <w:vAlign w:val="bottom"/>
          </w:tcPr>
          <w:p>
            <w:pPr>
              <w:jc w:val="right"/>
              <w:spacing w:after="0"/>
              <w:rPr>
                <w:sz w:val="20"/>
                <w:szCs w:val="20"/>
                <w:color w:val="auto"/>
              </w:rPr>
            </w:pPr>
            <w:r>
              <w:rPr>
                <w:rFonts w:ascii="Arial" w:cs="Arial" w:eastAsia="Arial" w:hAnsi="Arial"/>
                <w:sz w:val="16"/>
                <w:szCs w:val="16"/>
                <w:color w:val="auto"/>
                <w:w w:val="88"/>
              </w:rPr>
              <w:t>23.2%</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60" w:type="dxa"/>
            <w:vAlign w:val="bottom"/>
          </w:tcPr>
          <w:p>
            <w:pPr>
              <w:jc w:val="right"/>
              <w:ind w:right="219"/>
              <w:spacing w:after="0"/>
              <w:rPr>
                <w:sz w:val="20"/>
                <w:szCs w:val="20"/>
                <w:color w:val="auto"/>
              </w:rPr>
            </w:pPr>
            <w:r>
              <w:rPr>
                <w:rFonts w:ascii="Arial" w:cs="Arial" w:eastAsia="Arial" w:hAnsi="Arial"/>
                <w:sz w:val="16"/>
                <w:szCs w:val="16"/>
                <w:color w:val="auto"/>
                <w:w w:val="96"/>
              </w:rPr>
              <w:t>18.0%</w:t>
            </w:r>
          </w:p>
        </w:tc>
        <w:tc>
          <w:tcPr>
            <w:tcW w:w="1680" w:type="dxa"/>
            <w:vAlign w:val="bottom"/>
          </w:tcPr>
          <w:p>
            <w:pPr>
              <w:jc w:val="right"/>
              <w:spacing w:after="0"/>
              <w:rPr>
                <w:sz w:val="20"/>
                <w:szCs w:val="20"/>
                <w:color w:val="auto"/>
              </w:rPr>
            </w:pPr>
            <w:r>
              <w:rPr>
                <w:rFonts w:ascii="Arial" w:cs="Arial" w:eastAsia="Arial" w:hAnsi="Arial"/>
                <w:sz w:val="16"/>
                <w:szCs w:val="16"/>
                <w:color w:val="auto"/>
              </w:rPr>
              <w:t>22.4%</w:t>
            </w:r>
          </w:p>
        </w:tc>
        <w:tc>
          <w:tcPr>
            <w:tcW w:w="1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21.4%</w:t>
            </w:r>
          </w:p>
        </w:tc>
      </w:tr>
      <w:tr>
        <w:trPr>
          <w:trHeight w:val="33"/>
        </w:trPr>
        <w:tc>
          <w:tcPr>
            <w:tcW w:w="37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Non-GAAP operating profit margin (2)</w:t>
            </w:r>
          </w:p>
        </w:tc>
        <w:tc>
          <w:tcPr>
            <w:tcW w:w="14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8"/>
              </w:rPr>
              <w:t>20.9%</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96"/>
              </w:rPr>
              <w:t>19.4%</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w:t>
            </w:r>
          </w:p>
        </w:tc>
      </w:tr>
      <w:tr>
        <w:trPr>
          <w:trHeight w:val="324"/>
        </w:trPr>
        <w:tc>
          <w:tcPr>
            <w:tcW w:w="3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As reported effective tax rate</w:t>
            </w:r>
          </w:p>
        </w:tc>
        <w:tc>
          <w:tcPr>
            <w:tcW w:w="14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8"/>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96"/>
              </w:rPr>
              <w:t>14.1%</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19.1%</w:t>
            </w:r>
          </w:p>
        </w:tc>
      </w:tr>
      <w:tr>
        <w:trPr>
          <w:trHeight w:val="237"/>
        </w:trPr>
        <w:tc>
          <w:tcPr>
            <w:tcW w:w="5100" w:type="dxa"/>
            <w:vAlign w:val="bottom"/>
            <w:gridSpan w:val="2"/>
          </w:tcPr>
          <w:p>
            <w:pPr>
              <w:ind w:left="40"/>
              <w:spacing w:after="0"/>
              <w:rPr>
                <w:sz w:val="20"/>
                <w:szCs w:val="20"/>
                <w:color w:val="auto"/>
              </w:rPr>
            </w:pPr>
            <w:r>
              <w:rPr>
                <w:rFonts w:ascii="Arial" w:cs="Arial" w:eastAsia="Arial" w:hAnsi="Arial"/>
                <w:sz w:val="16"/>
                <w:szCs w:val="16"/>
                <w:color w:val="auto"/>
              </w:rPr>
              <w:t>Non-GAAP effective tax rate (3)</w:t>
            </w:r>
          </w:p>
        </w:tc>
        <w:tc>
          <w:tcPr>
            <w:tcW w:w="440" w:type="dxa"/>
            <w:vAlign w:val="bottom"/>
          </w:tcPr>
          <w:p>
            <w:pPr>
              <w:jc w:val="right"/>
              <w:spacing w:after="0"/>
              <w:rPr>
                <w:sz w:val="20"/>
                <w:szCs w:val="20"/>
                <w:color w:val="auto"/>
              </w:rPr>
            </w:pPr>
            <w:r>
              <w:rPr>
                <w:rFonts w:ascii="Arial" w:cs="Arial" w:eastAsia="Arial" w:hAnsi="Arial"/>
                <w:sz w:val="16"/>
                <w:szCs w:val="16"/>
                <w:color w:val="auto"/>
                <w:w w:val="88"/>
              </w:rPr>
              <w:t>14.8%</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60" w:type="dxa"/>
            <w:vAlign w:val="bottom"/>
          </w:tcPr>
          <w:p>
            <w:pPr>
              <w:jc w:val="right"/>
              <w:ind w:right="219"/>
              <w:spacing w:after="0"/>
              <w:rPr>
                <w:sz w:val="20"/>
                <w:szCs w:val="20"/>
                <w:color w:val="auto"/>
              </w:rPr>
            </w:pPr>
            <w:r>
              <w:rPr>
                <w:rFonts w:ascii="Arial" w:cs="Arial" w:eastAsia="Arial" w:hAnsi="Arial"/>
                <w:sz w:val="16"/>
                <w:szCs w:val="16"/>
                <w:color w:val="auto"/>
                <w:w w:val="96"/>
              </w:rPr>
              <w:t>16.0%</w:t>
            </w:r>
          </w:p>
        </w:tc>
        <w:tc>
          <w:tcPr>
            <w:tcW w:w="1680" w:type="dxa"/>
            <w:vAlign w:val="bottom"/>
          </w:tcPr>
          <w:p>
            <w:pPr>
              <w:jc w:val="right"/>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21.2%</w:t>
            </w:r>
          </w:p>
        </w:tc>
      </w:tr>
    </w:tbl>
    <w:p>
      <w:pPr>
        <w:spacing w:after="0" w:line="239"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Calculated as non-GAAP gross profit as a percentage of net sales for each period presented.</w:t>
      </w:r>
    </w:p>
    <w:p>
      <w:pPr>
        <w:spacing w:after="0" w:line="19"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Calculated as non-GAAP operating profit as a percentage of net sales for each period presented.</w:t>
      </w:r>
    </w:p>
    <w:p>
      <w:pPr>
        <w:spacing w:after="0" w:line="5" w:lineRule="exact"/>
        <w:rPr>
          <w:rFonts w:ascii="Arial" w:cs="Arial" w:eastAsia="Arial" w:hAnsi="Arial"/>
          <w:sz w:val="16"/>
          <w:szCs w:val="16"/>
          <w:color w:val="auto"/>
        </w:rPr>
      </w:pPr>
    </w:p>
    <w:p>
      <w:pPr>
        <w:ind w:left="660" w:right="40" w:hanging="328"/>
        <w:spacing w:after="0" w:line="257"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Calculated as non-GAAP provision for income taxes as a percentage of non-GAAP income before taxes (calculated as non-GAAP operating profit minus non-GAAP interest expense, net plus or minus non-GAAP other (income) expense, net).</w:t>
      </w:r>
    </w:p>
    <w:p>
      <w:pPr>
        <w:spacing w:after="0" w:line="18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Details of the activities impacting comparability that are presented as reconciling items to derive the non-GAAP financial measures in the tables above are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Mark-to-market gains on commodity derivatives</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mark-to-market losses (gains) on commodity derivatives are recorded as unallocated and excluded from adjusted results until such time as the related inventory is sold, at which time the corresponding losses (gains) are reclassified from unallocated to segment income. Since we often purchase commodity contracts to price inventory requirements in future years, we make this adjustment to facilitate the year-over-year comparison of cost of sales on a basis that matches the derivative gains and losses with the underlying economic exposure being hedged for the period. For the three months ended June 30, 2019 and July 1, 2018, the net adjustment recognized within unallocated was a gain of $53.6 million and a gain of $20.8 million, respectively. For the six months ended June 30, 2019 and July 1, 2018, the net adjustment recognized within unallocated was a gain of $25.6 million and a gain of $117.1 million, respectively. See Note 13 to the Unaudited Consolidated Financial Statements for more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realignment activities</w:t>
      </w:r>
    </w:p>
    <w:p>
      <w:pPr>
        <w:spacing w:after="0" w:line="2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periodically undertake restructuring and cost reduction activities as part of ongoing efforts to enhance long-term profitability. For the three months ended June 30, 2019 and July 1, 2018, we incurred $6.4 million and $15.3 million, respectively, of pre-tax costs related to business realignment activities. For the six months ended June 30, 2019 and July 1, 2018, we incurred $6.9 million and $31.2 million, respectively, of pre-tax costs related to business realignment activities. See Note 9 to the Unaudited Consolidated Financial Statements for more information.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Acquisition-related costs</w:t>
      </w:r>
    </w:p>
    <w:p>
      <w:pPr>
        <w:spacing w:after="0" w:line="23"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For the three months ended June 30, 2019 and July 1, 2018, we incurred expenses totaling $2.3 million and $4.8 million, respectively. For the six months ended June 30, 2019 and July 1, 2018, we incurred expenses totaling $5.5 million and $32.7 million, respectively, related to the acquisitions of Amplify in January 2018 and Pirate Brands in October 2018. This primarily includes legal and consultant fees, as well as severance and other costs relating to the integration of the businesses. See Note 2 to the Unaudited Consolidated Financial Statements for more information.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84"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auto"/>
        </w:rPr>
        <w:t>Long-lived asset impairment charges</w:t>
      </w:r>
    </w:p>
    <w:p>
      <w:pPr>
        <w:spacing w:after="0" w:line="2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For the three and six months ended June 30, 2019, we incurred $4.7 million of pre-tax long-lived asset impairment charges, which are predominantly comprised of select land that has not yet met the held for sale criteria. Additionally, included within our impairment charges is a contingency, that arose after the divestiture of Tyrrells in July 2018. For the three and six months ended July 1, 2018, we incurred $27.2 million of pre-tax long-lived asset impairment charges within the Shanghai Golden Monkey ("SGM") and Tyrrells disposal groups. These charges represented the excess of the disposal groups' carrying values, including the related currency translation adjustment amounts to be realized upon completion of the sales, over the estimated fair values less costs to sell for the respective businesses. In July 2018, we sold the SGM and Tyrrells businesses. See Note 6 to the Unaudited Consolidated Financial Statements for more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Noncontrolling interest share of business realignment and impairment charges</w:t>
      </w:r>
    </w:p>
    <w:p>
      <w:pPr>
        <w:spacing w:after="0" w:line="23" w:lineRule="exact"/>
        <w:rPr>
          <w:sz w:val="20"/>
          <w:szCs w:val="20"/>
          <w:color w:val="auto"/>
        </w:rPr>
      </w:pPr>
    </w:p>
    <w:p>
      <w:pPr>
        <w:jc w:val="both"/>
        <w:ind w:right="260"/>
        <w:spacing w:after="0" w:line="255" w:lineRule="auto"/>
        <w:rPr>
          <w:sz w:val="20"/>
          <w:szCs w:val="20"/>
          <w:color w:val="auto"/>
        </w:rPr>
      </w:pPr>
      <w:r>
        <w:rPr>
          <w:rFonts w:ascii="Arial" w:cs="Arial" w:eastAsia="Arial" w:hAnsi="Arial"/>
          <w:sz w:val="18"/>
          <w:szCs w:val="18"/>
          <w:color w:val="auto"/>
        </w:rPr>
        <w:t>Certain of the business realignment and impairment charges recorded in connection with the Margin for Growth Program related to Lotte Shanghai Foods Co., Ltd., a joint venture in which we own a 50% controlling interest. Therefore, we have also adjusted for the portion of these charges included within the (income) loss attributed to the non-controlling interest.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Gain on sale of licensing rights</w:t>
      </w:r>
    </w:p>
    <w:p>
      <w:pPr>
        <w:spacing w:after="0" w:line="23"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During the second quarter of 2018, we recorded a $2.7 million gain on the sale of licensing rights for a non-core trademark relating to a brand marketed outside of the 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Tax effect of all adjustments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line item reflects the aggregate tax effect of all pre-tax adjustments reflected in the preceding line items of the applicable table. The tax effect for each adjustment is determined by calculating the tax impact of the adjustment on the company’s quarterly effective tax rate, unless the nature of the item and/or the tax jurisdiction in which the item has been recorded requires application of a specific tax rate or tax treatment, in which case the tax effect of such item is estimated by applying such specific tax rate or tax treatment.</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Constant Currency Net Sales Growth</w:t>
      </w:r>
    </w:p>
    <w:p>
      <w:pPr>
        <w:spacing w:after="0" w:line="94"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We present certain percentage changes in net sales on a constant currency basis, which excludes the impact of foreign currency exchange. This measure is used internally by management in evaluating results of operations and determining incentive compensation. We believe that this measure provides useful information to investors because it provides transparency to underlying performance in our net sales by excluding the effect that foreign currency exchange rate fluctuations have on the year-to-year comparability given volatility in foreign currency exchange markets.</w:t>
      </w:r>
    </w:p>
    <w:p>
      <w:pPr>
        <w:spacing w:after="0" w:line="17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To present this information for historical periods, current period net sales for entities reporting in other than the U.S. dollar are translated into U.S. dollars at the average monthly exchange rates in effect during the comparable period of the prior fiscal year, rather than at the actual average monthly exchange rates in effect during the current period of the current fiscal year. As a result, the foreign currency impact is equal to the current year results in local currencies multiplied by the change in average foreign currency exchange rate between the current fiscal period and the comparable period of the prior fiscal year.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84" w:right="239" w:bottom="1440" w:gutter="0" w:footer="0" w:header="0"/>
        </w:sectPr>
      </w:pPr>
    </w:p>
    <w:bookmarkStart w:id="45" w:name="page46"/>
    <w:bookmarkEnd w:id="45"/>
    <w:p>
      <w:pPr>
        <w:spacing w:after="0"/>
        <w:rPr>
          <w:sz w:val="20"/>
          <w:szCs w:val="20"/>
          <w:color w:val="auto"/>
        </w:rPr>
      </w:pPr>
      <w:r>
        <w:rPr>
          <w:rFonts w:ascii="Arial" w:cs="Arial" w:eastAsia="Arial" w:hAnsi="Arial"/>
          <w:sz w:val="16"/>
          <w:szCs w:val="16"/>
          <w:color w:val="auto"/>
        </w:rPr>
        <w:t>A reconciliation between reported (i) constant currency net sales growth rates and (ii) organic constant currency net sales growth rates is provided below: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20" w:type="dxa"/>
            <w:vAlign w:val="bottom"/>
            <w:gridSpan w:val="6"/>
          </w:tcPr>
          <w:p>
            <w:pPr>
              <w:ind w:left="1200"/>
              <w:spacing w:after="0"/>
              <w:rPr>
                <w:sz w:val="20"/>
                <w:szCs w:val="20"/>
                <w:color w:val="auto"/>
              </w:rPr>
            </w:pPr>
            <w:r>
              <w:rPr>
                <w:rFonts w:ascii="Arial" w:cs="Arial" w:eastAsia="Arial" w:hAnsi="Arial"/>
                <w:sz w:val="16"/>
                <w:szCs w:val="16"/>
                <w:b w:val="1"/>
                <w:bCs w:val="1"/>
                <w:color w:val="auto"/>
              </w:rPr>
              <w:t>Three Months Ended June 30, 2019</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320" w:type="dxa"/>
            <w:vAlign w:val="bottom"/>
          </w:tcPr>
          <w:p>
            <w:pPr>
              <w:spacing w:after="0"/>
              <w:rPr>
                <w:sz w:val="12"/>
                <w:szCs w:val="12"/>
                <w:color w:val="auto"/>
              </w:rPr>
            </w:pPr>
          </w:p>
        </w:tc>
        <w:tc>
          <w:tcPr>
            <w:tcW w:w="16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Percentage Change as</w:t>
            </w:r>
          </w:p>
        </w:tc>
        <w:tc>
          <w:tcPr>
            <w:tcW w:w="16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Impact of Foreign</w:t>
            </w:r>
          </w:p>
        </w:tc>
        <w:tc>
          <w:tcPr>
            <w:tcW w:w="166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0"/>
              </w:rPr>
              <w:t>Percentage Change on</w:t>
            </w:r>
          </w:p>
        </w:tc>
        <w:tc>
          <w:tcPr>
            <w:tcW w:w="16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Impact of Acquisitions</w:t>
            </w:r>
          </w:p>
        </w:tc>
        <w:tc>
          <w:tcPr>
            <w:tcW w:w="15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Percentage Change on</w:t>
            </w: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6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Constant Currency</w:t>
            </w:r>
          </w:p>
        </w:tc>
        <w:tc>
          <w:tcPr>
            <w:tcW w:w="1640" w:type="dxa"/>
            <w:vAlign w:val="bottom"/>
            <w:gridSpan w:val="2"/>
            <w:vMerge w:val="continue"/>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Organic Constant</w:t>
            </w:r>
          </w:p>
        </w:tc>
        <w:tc>
          <w:tcPr>
            <w:tcW w:w="0" w:type="dxa"/>
            <w:vAlign w:val="bottom"/>
          </w:tcPr>
          <w:p>
            <w:pPr>
              <w:spacing w:after="0"/>
              <w:rPr>
                <w:sz w:val="1"/>
                <w:szCs w:val="1"/>
                <w:color w:val="auto"/>
              </w:rPr>
            </w:pPr>
          </w:p>
        </w:tc>
      </w:tr>
      <w:tr>
        <w:trPr>
          <w:trHeight w:val="192"/>
        </w:trPr>
        <w:tc>
          <w:tcPr>
            <w:tcW w:w="3320" w:type="dxa"/>
            <w:vAlign w:val="bottom"/>
          </w:tcPr>
          <w:p>
            <w:pPr>
              <w:spacing w:after="0"/>
              <w:rPr>
                <w:sz w:val="16"/>
                <w:szCs w:val="16"/>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Reported</w:t>
            </w: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Currency Exchange</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Basis</w:t>
            </w:r>
          </w:p>
        </w:tc>
        <w:tc>
          <w:tcPr>
            <w:tcW w:w="1640" w:type="dxa"/>
            <w:vAlign w:val="bottom"/>
            <w:gridSpan w:val="2"/>
          </w:tcPr>
          <w:p>
            <w:pPr>
              <w:ind w:left="260"/>
              <w:spacing w:after="0"/>
              <w:rPr>
                <w:sz w:val="20"/>
                <w:szCs w:val="20"/>
                <w:color w:val="auto"/>
              </w:rPr>
            </w:pPr>
            <w:r>
              <w:rPr>
                <w:rFonts w:ascii="Arial" w:cs="Arial" w:eastAsia="Arial" w:hAnsi="Arial"/>
                <w:sz w:val="14"/>
                <w:szCs w:val="14"/>
                <w:b w:val="1"/>
                <w:bCs w:val="1"/>
                <w:color w:val="auto"/>
              </w:rPr>
              <w:t>and Divestitures</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1"/>
              </w:rPr>
              <w:t>Currency Basis</w:t>
            </w:r>
          </w:p>
        </w:tc>
        <w:tc>
          <w:tcPr>
            <w:tcW w:w="0" w:type="dxa"/>
            <w:vAlign w:val="bottom"/>
          </w:tcPr>
          <w:p>
            <w:pPr>
              <w:spacing w:after="0"/>
              <w:rPr>
                <w:sz w:val="1"/>
                <w:szCs w:val="1"/>
                <w:color w:val="auto"/>
              </w:rPr>
            </w:pPr>
          </w:p>
        </w:tc>
      </w:tr>
      <w:tr>
        <w:trPr>
          <w:trHeight w:val="250"/>
        </w:trPr>
        <w:tc>
          <w:tcPr>
            <w:tcW w:w="3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North America segment</w:t>
            </w: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20" w:type="dxa"/>
            <w:vAlign w:val="bottom"/>
          </w:tcPr>
          <w:p>
            <w:pPr>
              <w:ind w:left="180"/>
              <w:spacing w:after="0"/>
              <w:rPr>
                <w:sz w:val="20"/>
                <w:szCs w:val="20"/>
                <w:color w:val="auto"/>
              </w:rPr>
            </w:pPr>
            <w:r>
              <w:rPr>
                <w:rFonts w:ascii="Arial" w:cs="Arial" w:eastAsia="Arial" w:hAnsi="Arial"/>
                <w:sz w:val="16"/>
                <w:szCs w:val="16"/>
                <w:color w:val="auto"/>
              </w:rPr>
              <w:t>Canada</w:t>
            </w:r>
          </w:p>
        </w:tc>
        <w:tc>
          <w:tcPr>
            <w:tcW w:w="152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640" w:type="dxa"/>
            <w:vAlign w:val="bottom"/>
            <w:gridSpan w:val="2"/>
          </w:tcPr>
          <w:p>
            <w:pPr>
              <w:ind w:left="1160"/>
              <w:spacing w:after="0"/>
              <w:rPr>
                <w:sz w:val="20"/>
                <w:szCs w:val="20"/>
                <w:color w:val="auto"/>
              </w:rPr>
            </w:pPr>
            <w:r>
              <w:rPr>
                <w:rFonts w:ascii="Arial" w:cs="Arial" w:eastAsia="Arial" w:hAnsi="Arial"/>
                <w:sz w:val="16"/>
                <w:szCs w:val="16"/>
                <w:color w:val="auto"/>
              </w:rPr>
              <w:t>— %</w:t>
            </w:r>
          </w:p>
        </w:tc>
        <w:tc>
          <w:tcPr>
            <w:tcW w:w="154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33"/>
        </w:trPr>
        <w:tc>
          <w:tcPr>
            <w:tcW w:w="33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Total North America segment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0.5 %</w:t>
            </w:r>
          </w:p>
        </w:tc>
        <w:tc>
          <w:tcPr>
            <w:tcW w:w="1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0.7 %</w:t>
            </w:r>
          </w:p>
        </w:tc>
        <w:tc>
          <w:tcPr>
            <w:tcW w:w="1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0" w:type="dxa"/>
            <w:vAlign w:val="bottom"/>
          </w:tcPr>
          <w:p>
            <w:pPr>
              <w:spacing w:after="0"/>
              <w:rPr>
                <w:sz w:val="1"/>
                <w:szCs w:val="1"/>
                <w:color w:val="auto"/>
              </w:rPr>
            </w:pPr>
          </w:p>
        </w:tc>
      </w:tr>
      <w:tr>
        <w:trPr>
          <w:trHeight w:val="324"/>
        </w:trPr>
        <w:tc>
          <w:tcPr>
            <w:tcW w:w="3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International and Other segment</w:t>
            </w: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20" w:type="dxa"/>
            <w:vAlign w:val="bottom"/>
          </w:tcPr>
          <w:p>
            <w:pPr>
              <w:ind w:left="180"/>
              <w:spacing w:after="0"/>
              <w:rPr>
                <w:sz w:val="20"/>
                <w:szCs w:val="20"/>
                <w:color w:val="auto"/>
              </w:rPr>
            </w:pPr>
            <w:r>
              <w:rPr>
                <w:rFonts w:ascii="Arial" w:cs="Arial" w:eastAsia="Arial" w:hAnsi="Arial"/>
                <w:sz w:val="16"/>
                <w:szCs w:val="16"/>
                <w:color w:val="auto"/>
              </w:rPr>
              <w:t>Mexico</w:t>
            </w:r>
          </w:p>
        </w:tc>
        <w:tc>
          <w:tcPr>
            <w:tcW w:w="1520" w:type="dxa"/>
            <w:vAlign w:val="bottom"/>
          </w:tcPr>
          <w:p>
            <w:pPr>
              <w:jc w:val="right"/>
              <w:spacing w:after="0"/>
              <w:rPr>
                <w:sz w:val="20"/>
                <w:szCs w:val="20"/>
                <w:color w:val="auto"/>
              </w:rPr>
            </w:pPr>
            <w:r>
              <w:rPr>
                <w:rFonts w:ascii="Arial" w:cs="Arial" w:eastAsia="Arial" w:hAnsi="Arial"/>
                <w:sz w:val="16"/>
                <w:szCs w:val="16"/>
                <w:color w:val="auto"/>
              </w:rPr>
              <w:t>8.0 %</w:t>
            </w: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1.3 %</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6.7 %</w:t>
            </w:r>
          </w:p>
        </w:tc>
        <w:tc>
          <w:tcPr>
            <w:tcW w:w="120" w:type="dxa"/>
            <w:vAlign w:val="bottom"/>
          </w:tcPr>
          <w:p>
            <w:pPr>
              <w:spacing w:after="0"/>
              <w:rPr>
                <w:sz w:val="20"/>
                <w:szCs w:val="20"/>
                <w:color w:val="auto"/>
              </w:rPr>
            </w:pPr>
          </w:p>
        </w:tc>
        <w:tc>
          <w:tcPr>
            <w:tcW w:w="1640" w:type="dxa"/>
            <w:vAlign w:val="bottom"/>
            <w:gridSpan w:val="2"/>
          </w:tcPr>
          <w:p>
            <w:pPr>
              <w:ind w:left="1160"/>
              <w:spacing w:after="0"/>
              <w:rPr>
                <w:sz w:val="20"/>
                <w:szCs w:val="20"/>
                <w:color w:val="auto"/>
              </w:rPr>
            </w:pPr>
            <w:r>
              <w:rPr>
                <w:rFonts w:ascii="Arial" w:cs="Arial" w:eastAsia="Arial" w:hAnsi="Arial"/>
                <w:sz w:val="16"/>
                <w:szCs w:val="16"/>
                <w:color w:val="auto"/>
              </w:rPr>
              <w:t>— %</w:t>
            </w:r>
          </w:p>
        </w:tc>
        <w:tc>
          <w:tcPr>
            <w:tcW w:w="1540" w:type="dxa"/>
            <w:vAlign w:val="bottom"/>
          </w:tcPr>
          <w:p>
            <w:pPr>
              <w:jc w:val="right"/>
              <w:spacing w:after="0"/>
              <w:rPr>
                <w:sz w:val="20"/>
                <w:szCs w:val="20"/>
                <w:color w:val="auto"/>
              </w:rPr>
            </w:pPr>
            <w:r>
              <w:rPr>
                <w:rFonts w:ascii="Arial" w:cs="Arial" w:eastAsia="Arial" w:hAnsi="Arial"/>
                <w:sz w:val="16"/>
                <w:szCs w:val="16"/>
                <w:color w:val="auto"/>
              </w:rPr>
              <w:t>6.7 %</w:t>
            </w: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Brazil</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4.7 %</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ind w:left="1160"/>
              <w:spacing w:after="0"/>
              <w:rPr>
                <w:sz w:val="20"/>
                <w:szCs w:val="20"/>
                <w:color w:val="auto"/>
              </w:rPr>
            </w:pPr>
            <w:r>
              <w:rPr>
                <w:rFonts w:ascii="Arial" w:cs="Arial" w:eastAsia="Arial" w:hAnsi="Arial"/>
                <w:sz w:val="16"/>
                <w:szCs w:val="16"/>
                <w:color w:val="auto"/>
              </w:rPr>
              <w:t>— %</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4.7 %</w:t>
            </w:r>
          </w:p>
        </w:tc>
        <w:tc>
          <w:tcPr>
            <w:tcW w:w="0" w:type="dxa"/>
            <w:vAlign w:val="bottom"/>
          </w:tcPr>
          <w:p>
            <w:pPr>
              <w:spacing w:after="0"/>
              <w:rPr>
                <w:sz w:val="1"/>
                <w:szCs w:val="1"/>
                <w:color w:val="auto"/>
              </w:rPr>
            </w:pPr>
          </w:p>
        </w:tc>
      </w:tr>
      <w:tr>
        <w:trPr>
          <w:trHeight w:val="237"/>
        </w:trPr>
        <w:tc>
          <w:tcPr>
            <w:tcW w:w="3320" w:type="dxa"/>
            <w:vAlign w:val="bottom"/>
          </w:tcPr>
          <w:p>
            <w:pPr>
              <w:ind w:left="180"/>
              <w:spacing w:after="0"/>
              <w:rPr>
                <w:sz w:val="20"/>
                <w:szCs w:val="20"/>
                <w:color w:val="auto"/>
              </w:rPr>
            </w:pPr>
            <w:r>
              <w:rPr>
                <w:rFonts w:ascii="Arial" w:cs="Arial" w:eastAsia="Arial" w:hAnsi="Arial"/>
                <w:sz w:val="16"/>
                <w:szCs w:val="16"/>
                <w:color w:val="auto"/>
              </w:rPr>
              <w:t>India</w:t>
            </w:r>
          </w:p>
        </w:tc>
        <w:tc>
          <w:tcPr>
            <w:tcW w:w="1520" w:type="dxa"/>
            <w:vAlign w:val="bottom"/>
          </w:tcPr>
          <w:p>
            <w:pPr>
              <w:jc w:val="right"/>
              <w:spacing w:after="0"/>
              <w:rPr>
                <w:sz w:val="20"/>
                <w:szCs w:val="20"/>
                <w:color w:val="auto"/>
              </w:rPr>
            </w:pPr>
            <w:r>
              <w:rPr>
                <w:rFonts w:ascii="Arial" w:cs="Arial" w:eastAsia="Arial" w:hAnsi="Arial"/>
                <w:sz w:val="16"/>
                <w:szCs w:val="16"/>
                <w:color w:val="auto"/>
              </w:rPr>
              <w:t>0.3 %</w:t>
            </w: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3.6 %</w:t>
            </w:r>
          </w:p>
        </w:tc>
        <w:tc>
          <w:tcPr>
            <w:tcW w:w="120" w:type="dxa"/>
            <w:vAlign w:val="bottom"/>
          </w:tcPr>
          <w:p>
            <w:pPr>
              <w:spacing w:after="0"/>
              <w:rPr>
                <w:sz w:val="20"/>
                <w:szCs w:val="20"/>
                <w:color w:val="auto"/>
              </w:rPr>
            </w:pPr>
          </w:p>
        </w:tc>
        <w:tc>
          <w:tcPr>
            <w:tcW w:w="1640" w:type="dxa"/>
            <w:vAlign w:val="bottom"/>
            <w:gridSpan w:val="2"/>
          </w:tcPr>
          <w:p>
            <w:pPr>
              <w:ind w:left="1160"/>
              <w:spacing w:after="0"/>
              <w:rPr>
                <w:sz w:val="20"/>
                <w:szCs w:val="20"/>
                <w:color w:val="auto"/>
              </w:rPr>
            </w:pPr>
            <w:r>
              <w:rPr>
                <w:rFonts w:ascii="Arial" w:cs="Arial" w:eastAsia="Arial" w:hAnsi="Arial"/>
                <w:sz w:val="16"/>
                <w:szCs w:val="16"/>
                <w:color w:val="auto"/>
              </w:rPr>
              <w:t>— %</w:t>
            </w:r>
          </w:p>
        </w:tc>
        <w:tc>
          <w:tcPr>
            <w:tcW w:w="1540" w:type="dxa"/>
            <w:vAlign w:val="bottom"/>
          </w:tcPr>
          <w:p>
            <w:pPr>
              <w:jc w:val="right"/>
              <w:spacing w:after="0"/>
              <w:rPr>
                <w:sz w:val="20"/>
                <w:szCs w:val="20"/>
                <w:color w:val="auto"/>
              </w:rPr>
            </w:pPr>
            <w:r>
              <w:rPr>
                <w:rFonts w:ascii="Arial" w:cs="Arial" w:eastAsia="Arial" w:hAnsi="Arial"/>
                <w:sz w:val="16"/>
                <w:szCs w:val="16"/>
                <w:color w:val="auto"/>
              </w:rPr>
              <w:t>3.6 %</w:t>
            </w: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China</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3.9 %</w:t>
            </w:r>
          </w:p>
        </w:tc>
        <w:tc>
          <w:tcPr>
            <w:tcW w:w="0" w:type="dxa"/>
            <w:vAlign w:val="bottom"/>
          </w:tcPr>
          <w:p>
            <w:pPr>
              <w:spacing w:after="0"/>
              <w:rPr>
                <w:sz w:val="1"/>
                <w:szCs w:val="1"/>
                <w:color w:val="auto"/>
              </w:rPr>
            </w:pPr>
          </w:p>
        </w:tc>
      </w:tr>
      <w:tr>
        <w:trPr>
          <w:trHeight w:val="237"/>
        </w:trPr>
        <w:tc>
          <w:tcPr>
            <w:tcW w:w="3320" w:type="dxa"/>
            <w:vAlign w:val="bottom"/>
          </w:tcPr>
          <w:p>
            <w:pPr>
              <w:ind w:left="180"/>
              <w:spacing w:after="0"/>
              <w:rPr>
                <w:sz w:val="20"/>
                <w:szCs w:val="20"/>
                <w:color w:val="auto"/>
              </w:rPr>
            </w:pPr>
            <w:r>
              <w:rPr>
                <w:rFonts w:ascii="Arial" w:cs="Arial" w:eastAsia="Arial" w:hAnsi="Arial"/>
                <w:sz w:val="16"/>
                <w:szCs w:val="16"/>
                <w:color w:val="auto"/>
              </w:rPr>
              <w:t>Regional Markets</w:t>
            </w:r>
          </w:p>
        </w:tc>
        <w:tc>
          <w:tcPr>
            <w:tcW w:w="1520" w:type="dxa"/>
            <w:vAlign w:val="bottom"/>
          </w:tcPr>
          <w:p>
            <w:pPr>
              <w:jc w:val="right"/>
              <w:spacing w:after="0"/>
              <w:rPr>
                <w:sz w:val="20"/>
                <w:szCs w:val="20"/>
                <w:color w:val="auto"/>
              </w:rPr>
            </w:pPr>
            <w:r>
              <w:rPr>
                <w:rFonts w:ascii="Arial" w:cs="Arial" w:eastAsia="Arial" w:hAnsi="Arial"/>
                <w:sz w:val="16"/>
                <w:szCs w:val="16"/>
                <w:color w:val="auto"/>
              </w:rPr>
              <w:t>18.0 %</w:t>
            </w:r>
          </w:p>
        </w:tc>
        <w:tc>
          <w:tcPr>
            <w:tcW w:w="120" w:type="dxa"/>
            <w:vAlign w:val="bottom"/>
          </w:tcPr>
          <w:p>
            <w:pPr>
              <w:spacing w:after="0"/>
              <w:rPr>
                <w:sz w:val="20"/>
                <w:szCs w:val="20"/>
                <w:color w:val="auto"/>
              </w:rPr>
            </w:pPr>
          </w:p>
        </w:tc>
        <w:tc>
          <w:tcPr>
            <w:tcW w:w="1620" w:type="dxa"/>
            <w:vAlign w:val="bottom"/>
            <w:gridSpan w:val="2"/>
          </w:tcPr>
          <w:p>
            <w:pPr>
              <w:ind w:left="1140"/>
              <w:spacing w:after="0"/>
              <w:rPr>
                <w:sz w:val="20"/>
                <w:szCs w:val="20"/>
                <w:color w:val="auto"/>
              </w:rPr>
            </w:pPr>
            <w:r>
              <w:rPr>
                <w:rFonts w:ascii="Arial" w:cs="Arial" w:eastAsia="Arial" w:hAnsi="Arial"/>
                <w:sz w:val="16"/>
                <w:szCs w:val="16"/>
                <w:color w:val="auto"/>
              </w:rPr>
              <w:t>— %</w:t>
            </w:r>
          </w:p>
        </w:tc>
        <w:tc>
          <w:tcPr>
            <w:tcW w:w="1540" w:type="dxa"/>
            <w:vAlign w:val="bottom"/>
          </w:tcPr>
          <w:p>
            <w:pPr>
              <w:jc w:val="right"/>
              <w:spacing w:after="0"/>
              <w:rPr>
                <w:sz w:val="20"/>
                <w:szCs w:val="20"/>
                <w:color w:val="auto"/>
              </w:rPr>
            </w:pPr>
            <w:r>
              <w:rPr>
                <w:rFonts w:ascii="Arial" w:cs="Arial" w:eastAsia="Arial" w:hAnsi="Arial"/>
                <w:sz w:val="16"/>
                <w:szCs w:val="16"/>
                <w:color w:val="auto"/>
              </w:rPr>
              <w:t>18.0 %</w:t>
            </w:r>
          </w:p>
        </w:tc>
        <w:tc>
          <w:tcPr>
            <w:tcW w:w="120" w:type="dxa"/>
            <w:vAlign w:val="bottom"/>
          </w:tcPr>
          <w:p>
            <w:pPr>
              <w:spacing w:after="0"/>
              <w:rPr>
                <w:sz w:val="20"/>
                <w:szCs w:val="20"/>
                <w:color w:val="auto"/>
              </w:rPr>
            </w:pPr>
          </w:p>
        </w:tc>
        <w:tc>
          <w:tcPr>
            <w:tcW w:w="1640" w:type="dxa"/>
            <w:vAlign w:val="bottom"/>
            <w:gridSpan w:val="2"/>
          </w:tcPr>
          <w:p>
            <w:pPr>
              <w:ind w:left="1160"/>
              <w:spacing w:after="0"/>
              <w:rPr>
                <w:sz w:val="20"/>
                <w:szCs w:val="20"/>
                <w:color w:val="auto"/>
              </w:rPr>
            </w:pPr>
            <w:r>
              <w:rPr>
                <w:rFonts w:ascii="Arial" w:cs="Arial" w:eastAsia="Arial" w:hAnsi="Arial"/>
                <w:sz w:val="16"/>
                <w:szCs w:val="16"/>
                <w:color w:val="auto"/>
              </w:rPr>
              <w:t>— %</w:t>
            </w:r>
          </w:p>
        </w:tc>
        <w:tc>
          <w:tcPr>
            <w:tcW w:w="1540" w:type="dxa"/>
            <w:vAlign w:val="bottom"/>
          </w:tcPr>
          <w:p>
            <w:pPr>
              <w:jc w:val="right"/>
              <w:spacing w:after="0"/>
              <w:rPr>
                <w:sz w:val="20"/>
                <w:szCs w:val="20"/>
                <w:color w:val="auto"/>
              </w:rPr>
            </w:pPr>
            <w:r>
              <w:rPr>
                <w:rFonts w:ascii="Arial" w:cs="Arial" w:eastAsia="Arial" w:hAnsi="Arial"/>
                <w:sz w:val="16"/>
                <w:szCs w:val="16"/>
                <w:color w:val="auto"/>
              </w:rPr>
              <w:t>18.0 %</w:t>
            </w:r>
          </w:p>
        </w:tc>
        <w:tc>
          <w:tcPr>
            <w:tcW w:w="0" w:type="dxa"/>
            <w:vAlign w:val="bottom"/>
          </w:tcPr>
          <w:p>
            <w:pPr>
              <w:spacing w:after="0"/>
              <w:rPr>
                <w:sz w:val="1"/>
                <w:szCs w:val="1"/>
                <w:color w:val="auto"/>
              </w:rPr>
            </w:pPr>
          </w:p>
        </w:tc>
      </w:tr>
      <w:tr>
        <w:trPr>
          <w:trHeight w:val="33"/>
        </w:trPr>
        <w:tc>
          <w:tcPr>
            <w:tcW w:w="33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Total International and Other segment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3.9 %</w:t>
            </w:r>
          </w:p>
        </w:tc>
        <w:tc>
          <w:tcPr>
            <w:tcW w:w="1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5.1 %</w:t>
            </w:r>
          </w:p>
        </w:tc>
        <w:tc>
          <w:tcPr>
            <w:tcW w:w="1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8.3 %</w:t>
            </w:r>
          </w:p>
        </w:tc>
        <w:tc>
          <w:tcPr>
            <w:tcW w:w="0" w:type="dxa"/>
            <w:vAlign w:val="bottom"/>
          </w:tcPr>
          <w:p>
            <w:pPr>
              <w:spacing w:after="0"/>
              <w:rPr>
                <w:sz w:val="1"/>
                <w:szCs w:val="1"/>
                <w:color w:val="auto"/>
              </w:rPr>
            </w:pPr>
          </w:p>
        </w:tc>
      </w:tr>
      <w:tr>
        <w:trPr>
          <w:trHeight w:val="324"/>
        </w:trPr>
        <w:tc>
          <w:tcPr>
            <w:tcW w:w="3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Total Company</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0.9 %</w:t>
            </w:r>
          </w:p>
        </w:tc>
        <w:tc>
          <w:tcPr>
            <w:tcW w:w="1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1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20" w:type="dxa"/>
            <w:vAlign w:val="bottom"/>
            <w:gridSpan w:val="6"/>
          </w:tcPr>
          <w:p>
            <w:pPr>
              <w:ind w:left="1300"/>
              <w:spacing w:after="0"/>
              <w:rPr>
                <w:sz w:val="20"/>
                <w:szCs w:val="20"/>
                <w:color w:val="auto"/>
              </w:rPr>
            </w:pPr>
            <w:r>
              <w:rPr>
                <w:rFonts w:ascii="Arial" w:cs="Arial" w:eastAsia="Arial" w:hAnsi="Arial"/>
                <w:sz w:val="16"/>
                <w:szCs w:val="16"/>
                <w:b w:val="1"/>
                <w:bCs w:val="1"/>
                <w:color w:val="auto"/>
              </w:rPr>
              <w:t>Six Months Ended June 30, 2019</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320" w:type="dxa"/>
            <w:vAlign w:val="bottom"/>
          </w:tcPr>
          <w:p>
            <w:pPr>
              <w:spacing w:after="0"/>
              <w:rPr>
                <w:sz w:val="12"/>
                <w:szCs w:val="12"/>
                <w:color w:val="auto"/>
              </w:rPr>
            </w:pPr>
          </w:p>
        </w:tc>
        <w:tc>
          <w:tcPr>
            <w:tcW w:w="16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Percentage Change as</w:t>
            </w:r>
          </w:p>
        </w:tc>
        <w:tc>
          <w:tcPr>
            <w:tcW w:w="16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Impact of Foreign</w:t>
            </w:r>
          </w:p>
        </w:tc>
        <w:tc>
          <w:tcPr>
            <w:tcW w:w="166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0"/>
              </w:rPr>
              <w:t>Percentage Change on</w:t>
            </w:r>
          </w:p>
        </w:tc>
        <w:tc>
          <w:tcPr>
            <w:tcW w:w="16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Impact of Acquisitions</w:t>
            </w:r>
          </w:p>
        </w:tc>
        <w:tc>
          <w:tcPr>
            <w:tcW w:w="15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Percentage Change on</w:t>
            </w: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6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Constant Currency</w:t>
            </w:r>
          </w:p>
        </w:tc>
        <w:tc>
          <w:tcPr>
            <w:tcW w:w="1640" w:type="dxa"/>
            <w:vAlign w:val="bottom"/>
            <w:gridSpan w:val="2"/>
            <w:vMerge w:val="continue"/>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Organic Constant</w:t>
            </w:r>
          </w:p>
        </w:tc>
        <w:tc>
          <w:tcPr>
            <w:tcW w:w="0" w:type="dxa"/>
            <w:vAlign w:val="bottom"/>
          </w:tcPr>
          <w:p>
            <w:pPr>
              <w:spacing w:after="0"/>
              <w:rPr>
                <w:sz w:val="1"/>
                <w:szCs w:val="1"/>
                <w:color w:val="auto"/>
              </w:rPr>
            </w:pPr>
          </w:p>
        </w:tc>
      </w:tr>
      <w:tr>
        <w:trPr>
          <w:trHeight w:val="192"/>
        </w:trPr>
        <w:tc>
          <w:tcPr>
            <w:tcW w:w="3320" w:type="dxa"/>
            <w:vAlign w:val="bottom"/>
          </w:tcPr>
          <w:p>
            <w:pPr>
              <w:spacing w:after="0"/>
              <w:rPr>
                <w:sz w:val="16"/>
                <w:szCs w:val="16"/>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Reported</w:t>
            </w: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Currency Exchange</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Basis</w:t>
            </w: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and Divestitures</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1"/>
              </w:rPr>
              <w:t>Currency Basis</w:t>
            </w:r>
          </w:p>
        </w:tc>
        <w:tc>
          <w:tcPr>
            <w:tcW w:w="0" w:type="dxa"/>
            <w:vAlign w:val="bottom"/>
          </w:tcPr>
          <w:p>
            <w:pPr>
              <w:spacing w:after="0"/>
              <w:rPr>
                <w:sz w:val="1"/>
                <w:szCs w:val="1"/>
                <w:color w:val="auto"/>
              </w:rPr>
            </w:pPr>
          </w:p>
        </w:tc>
      </w:tr>
      <w:tr>
        <w:trPr>
          <w:trHeight w:val="250"/>
        </w:trPr>
        <w:tc>
          <w:tcPr>
            <w:tcW w:w="3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North America segment</w:t>
            </w: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20" w:type="dxa"/>
            <w:vAlign w:val="bottom"/>
          </w:tcPr>
          <w:p>
            <w:pPr>
              <w:ind w:left="180"/>
              <w:spacing w:after="0"/>
              <w:rPr>
                <w:sz w:val="20"/>
                <w:szCs w:val="20"/>
                <w:color w:val="auto"/>
              </w:rPr>
            </w:pPr>
            <w:r>
              <w:rPr>
                <w:rFonts w:ascii="Arial" w:cs="Arial" w:eastAsia="Arial" w:hAnsi="Arial"/>
                <w:sz w:val="16"/>
                <w:szCs w:val="16"/>
                <w:color w:val="auto"/>
              </w:rPr>
              <w:t>Canada</w:t>
            </w:r>
          </w:p>
        </w:tc>
        <w:tc>
          <w:tcPr>
            <w:tcW w:w="1520" w:type="dxa"/>
            <w:vAlign w:val="bottom"/>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6"/>
                <w:szCs w:val="16"/>
                <w:color w:val="auto"/>
              </w:rPr>
              <w:t>— %</w:t>
            </w:r>
          </w:p>
        </w:tc>
        <w:tc>
          <w:tcPr>
            <w:tcW w:w="154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33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Total North America segment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1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1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0.7 %</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0" w:type="dxa"/>
            <w:vAlign w:val="bottom"/>
          </w:tcPr>
          <w:p>
            <w:pPr>
              <w:spacing w:after="0"/>
              <w:rPr>
                <w:sz w:val="1"/>
                <w:szCs w:val="1"/>
                <w:color w:val="auto"/>
              </w:rPr>
            </w:pPr>
          </w:p>
        </w:tc>
      </w:tr>
      <w:tr>
        <w:trPr>
          <w:trHeight w:val="324"/>
        </w:trPr>
        <w:tc>
          <w:tcPr>
            <w:tcW w:w="3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International and Other segment</w:t>
            </w: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20" w:type="dxa"/>
            <w:vAlign w:val="bottom"/>
          </w:tcPr>
          <w:p>
            <w:pPr>
              <w:ind w:left="180"/>
              <w:spacing w:after="0"/>
              <w:rPr>
                <w:sz w:val="20"/>
                <w:szCs w:val="20"/>
                <w:color w:val="auto"/>
              </w:rPr>
            </w:pPr>
            <w:r>
              <w:rPr>
                <w:rFonts w:ascii="Arial" w:cs="Arial" w:eastAsia="Arial" w:hAnsi="Arial"/>
                <w:sz w:val="16"/>
                <w:szCs w:val="16"/>
                <w:color w:val="auto"/>
              </w:rPr>
              <w:t>Mexico</w:t>
            </w:r>
          </w:p>
        </w:tc>
        <w:tc>
          <w:tcPr>
            <w:tcW w:w="1520" w:type="dxa"/>
            <w:vAlign w:val="bottom"/>
          </w:tcPr>
          <w:p>
            <w:pPr>
              <w:jc w:val="right"/>
              <w:spacing w:after="0"/>
              <w:rPr>
                <w:sz w:val="20"/>
                <w:szCs w:val="20"/>
                <w:color w:val="auto"/>
              </w:rPr>
            </w:pPr>
            <w:r>
              <w:rPr>
                <w:rFonts w:ascii="Arial" w:cs="Arial" w:eastAsia="Arial" w:hAnsi="Arial"/>
                <w:sz w:val="16"/>
                <w:szCs w:val="16"/>
                <w:color w:val="auto"/>
              </w:rPr>
              <w:t>6.1 %</w:t>
            </w: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6.9 %</w:t>
            </w:r>
          </w:p>
        </w:tc>
        <w:tc>
          <w:tcPr>
            <w:tcW w:w="120" w:type="dxa"/>
            <w:vAlign w:val="bottom"/>
          </w:tcPr>
          <w:p>
            <w:pPr>
              <w:spacing w:after="0"/>
              <w:rPr>
                <w:sz w:val="20"/>
                <w:szCs w:val="20"/>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6"/>
                <w:szCs w:val="16"/>
                <w:color w:val="auto"/>
              </w:rPr>
              <w:t>— %</w:t>
            </w:r>
          </w:p>
        </w:tc>
        <w:tc>
          <w:tcPr>
            <w:tcW w:w="1540" w:type="dxa"/>
            <w:vAlign w:val="bottom"/>
          </w:tcPr>
          <w:p>
            <w:pPr>
              <w:jc w:val="right"/>
              <w:spacing w:after="0"/>
              <w:rPr>
                <w:sz w:val="20"/>
                <w:szCs w:val="20"/>
                <w:color w:val="auto"/>
              </w:rPr>
            </w:pPr>
            <w:r>
              <w:rPr>
                <w:rFonts w:ascii="Arial" w:cs="Arial" w:eastAsia="Arial" w:hAnsi="Arial"/>
                <w:sz w:val="16"/>
                <w:szCs w:val="16"/>
                <w:color w:val="auto"/>
              </w:rPr>
              <w:t>6.9 %</w:t>
            </w: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Brazil</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37"/>
        </w:trPr>
        <w:tc>
          <w:tcPr>
            <w:tcW w:w="3320" w:type="dxa"/>
            <w:vAlign w:val="bottom"/>
          </w:tcPr>
          <w:p>
            <w:pPr>
              <w:ind w:left="180"/>
              <w:spacing w:after="0"/>
              <w:rPr>
                <w:sz w:val="20"/>
                <w:szCs w:val="20"/>
                <w:color w:val="auto"/>
              </w:rPr>
            </w:pPr>
            <w:r>
              <w:rPr>
                <w:rFonts w:ascii="Arial" w:cs="Arial" w:eastAsia="Arial" w:hAnsi="Arial"/>
                <w:sz w:val="16"/>
                <w:szCs w:val="16"/>
                <w:color w:val="auto"/>
              </w:rPr>
              <w:t>India</w:t>
            </w:r>
          </w:p>
        </w:tc>
        <w:tc>
          <w:tcPr>
            <w:tcW w:w="152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2.4 %</w:t>
            </w:r>
          </w:p>
        </w:tc>
        <w:tc>
          <w:tcPr>
            <w:tcW w:w="120" w:type="dxa"/>
            <w:vAlign w:val="bottom"/>
          </w:tcPr>
          <w:p>
            <w:pPr>
              <w:spacing w:after="0"/>
              <w:rPr>
                <w:sz w:val="20"/>
                <w:szCs w:val="20"/>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6"/>
                <w:szCs w:val="16"/>
                <w:color w:val="auto"/>
              </w:rPr>
              <w:t>— %</w:t>
            </w:r>
          </w:p>
        </w:tc>
        <w:tc>
          <w:tcPr>
            <w:tcW w:w="1540" w:type="dxa"/>
            <w:vAlign w:val="bottom"/>
          </w:tcPr>
          <w:p>
            <w:pPr>
              <w:jc w:val="right"/>
              <w:spacing w:after="0"/>
              <w:rPr>
                <w:sz w:val="20"/>
                <w:szCs w:val="20"/>
                <w:color w:val="auto"/>
              </w:rPr>
            </w:pPr>
            <w:r>
              <w:rPr>
                <w:rFonts w:ascii="Arial" w:cs="Arial" w:eastAsia="Arial" w:hAnsi="Arial"/>
                <w:sz w:val="16"/>
                <w:szCs w:val="16"/>
                <w:color w:val="auto"/>
              </w:rPr>
              <w:t>2.4 %</w:t>
            </w: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China</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(32.2)%</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4.6 %</w:t>
            </w:r>
          </w:p>
        </w:tc>
        <w:tc>
          <w:tcPr>
            <w:tcW w:w="0" w:type="dxa"/>
            <w:vAlign w:val="bottom"/>
          </w:tcPr>
          <w:p>
            <w:pPr>
              <w:spacing w:after="0"/>
              <w:rPr>
                <w:sz w:val="1"/>
                <w:szCs w:val="1"/>
                <w:color w:val="auto"/>
              </w:rPr>
            </w:pPr>
          </w:p>
        </w:tc>
      </w:tr>
      <w:tr>
        <w:trPr>
          <w:trHeight w:val="237"/>
        </w:trPr>
        <w:tc>
          <w:tcPr>
            <w:tcW w:w="3320" w:type="dxa"/>
            <w:vAlign w:val="bottom"/>
          </w:tcPr>
          <w:p>
            <w:pPr>
              <w:ind w:left="180"/>
              <w:spacing w:after="0"/>
              <w:rPr>
                <w:sz w:val="20"/>
                <w:szCs w:val="20"/>
                <w:color w:val="auto"/>
              </w:rPr>
            </w:pPr>
            <w:r>
              <w:rPr>
                <w:rFonts w:ascii="Arial" w:cs="Arial" w:eastAsia="Arial" w:hAnsi="Arial"/>
                <w:sz w:val="16"/>
                <w:szCs w:val="16"/>
                <w:color w:val="auto"/>
              </w:rPr>
              <w:t>Regional Markets</w:t>
            </w:r>
          </w:p>
        </w:tc>
        <w:tc>
          <w:tcPr>
            <w:tcW w:w="1520" w:type="dxa"/>
            <w:vAlign w:val="bottom"/>
          </w:tcPr>
          <w:p>
            <w:pPr>
              <w:jc w:val="right"/>
              <w:spacing w:after="0"/>
              <w:rPr>
                <w:sz w:val="20"/>
                <w:szCs w:val="20"/>
                <w:color w:val="auto"/>
              </w:rPr>
            </w:pPr>
            <w:r>
              <w:rPr>
                <w:rFonts w:ascii="Arial" w:cs="Arial" w:eastAsia="Arial" w:hAnsi="Arial"/>
                <w:sz w:val="16"/>
                <w:szCs w:val="16"/>
                <w:color w:val="auto"/>
              </w:rPr>
              <w:t>10.6 %</w:t>
            </w:r>
          </w:p>
        </w:tc>
        <w:tc>
          <w:tcPr>
            <w:tcW w:w="120" w:type="dxa"/>
            <w:vAlign w:val="bottom"/>
          </w:tcPr>
          <w:p>
            <w:pPr>
              <w:spacing w:after="0"/>
              <w:rPr>
                <w:sz w:val="20"/>
                <w:szCs w:val="20"/>
                <w:color w:val="auto"/>
              </w:rPr>
            </w:pPr>
          </w:p>
        </w:tc>
        <w:tc>
          <w:tcPr>
            <w:tcW w:w="1620" w:type="dxa"/>
            <w:vAlign w:val="bottom"/>
            <w:gridSpan w:val="2"/>
          </w:tcPr>
          <w:p>
            <w:pPr>
              <w:ind w:left="1140"/>
              <w:spacing w:after="0"/>
              <w:rPr>
                <w:sz w:val="20"/>
                <w:szCs w:val="20"/>
                <w:color w:val="auto"/>
              </w:rPr>
            </w:pPr>
            <w:r>
              <w:rPr>
                <w:rFonts w:ascii="Arial" w:cs="Arial" w:eastAsia="Arial" w:hAnsi="Arial"/>
                <w:sz w:val="16"/>
                <w:szCs w:val="16"/>
                <w:color w:val="auto"/>
              </w:rPr>
              <w:t>— %</w:t>
            </w:r>
          </w:p>
        </w:tc>
        <w:tc>
          <w:tcPr>
            <w:tcW w:w="1540" w:type="dxa"/>
            <w:vAlign w:val="bottom"/>
          </w:tcPr>
          <w:p>
            <w:pPr>
              <w:jc w:val="right"/>
              <w:spacing w:after="0"/>
              <w:rPr>
                <w:sz w:val="20"/>
                <w:szCs w:val="20"/>
                <w:color w:val="auto"/>
              </w:rPr>
            </w:pPr>
            <w:r>
              <w:rPr>
                <w:rFonts w:ascii="Arial" w:cs="Arial" w:eastAsia="Arial" w:hAnsi="Arial"/>
                <w:sz w:val="16"/>
                <w:szCs w:val="16"/>
                <w:color w:val="auto"/>
              </w:rPr>
              <w:t>10.6 %</w:t>
            </w:r>
          </w:p>
        </w:tc>
        <w:tc>
          <w:tcPr>
            <w:tcW w:w="120" w:type="dxa"/>
            <w:vAlign w:val="bottom"/>
          </w:tcPr>
          <w:p>
            <w:pPr>
              <w:spacing w:after="0"/>
              <w:rPr>
                <w:sz w:val="20"/>
                <w:szCs w:val="20"/>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6"/>
                <w:szCs w:val="16"/>
                <w:color w:val="auto"/>
              </w:rPr>
              <w:t>— %</w:t>
            </w:r>
          </w:p>
        </w:tc>
        <w:tc>
          <w:tcPr>
            <w:tcW w:w="1540" w:type="dxa"/>
            <w:vAlign w:val="bottom"/>
          </w:tcPr>
          <w:p>
            <w:pPr>
              <w:jc w:val="right"/>
              <w:spacing w:after="0"/>
              <w:rPr>
                <w:sz w:val="20"/>
                <w:szCs w:val="20"/>
                <w:color w:val="auto"/>
              </w:rPr>
            </w:pPr>
            <w:r>
              <w:rPr>
                <w:rFonts w:ascii="Arial" w:cs="Arial" w:eastAsia="Arial" w:hAnsi="Arial"/>
                <w:sz w:val="16"/>
                <w:szCs w:val="16"/>
                <w:color w:val="auto"/>
              </w:rPr>
              <w:t>10.6 %</w:t>
            </w:r>
          </w:p>
        </w:tc>
        <w:tc>
          <w:tcPr>
            <w:tcW w:w="0" w:type="dxa"/>
            <w:vAlign w:val="bottom"/>
          </w:tcPr>
          <w:p>
            <w:pPr>
              <w:spacing w:after="0"/>
              <w:rPr>
                <w:sz w:val="1"/>
                <w:szCs w:val="1"/>
                <w:color w:val="auto"/>
              </w:rPr>
            </w:pPr>
          </w:p>
        </w:tc>
      </w:tr>
      <w:tr>
        <w:trPr>
          <w:trHeight w:val="33"/>
        </w:trPr>
        <w:tc>
          <w:tcPr>
            <w:tcW w:w="33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Total International and Other segment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1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5.6 %</w:t>
            </w:r>
          </w:p>
        </w:tc>
        <w:tc>
          <w:tcPr>
            <w:tcW w:w="0" w:type="dxa"/>
            <w:vAlign w:val="bottom"/>
          </w:tcPr>
          <w:p>
            <w:pPr>
              <w:spacing w:after="0"/>
              <w:rPr>
                <w:sz w:val="1"/>
                <w:szCs w:val="1"/>
                <w:color w:val="auto"/>
              </w:rPr>
            </w:pPr>
          </w:p>
        </w:tc>
      </w:tr>
      <w:tr>
        <w:trPr>
          <w:trHeight w:val="324"/>
        </w:trPr>
        <w:tc>
          <w:tcPr>
            <w:tcW w:w="3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Total Company</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1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1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84"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Historically, our primary source of liquidity has been cash generated from operations. Domestic seasonal working capital needs, which typically peak during the summer months, are generally met by utilizing cash on hand, bank borrowings or the issuance of commercial paper. Commercial paper may also be issued, from time to time, to finance ongoing business transactions, such as the repayment of long-term debt, business acquisitions and for other general corporate purposes.</w:t>
      </w:r>
    </w:p>
    <w:p>
      <w:pPr>
        <w:spacing w:after="0" w:line="5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At June 30, 2019, our cash and cash equivalents totaled $366.0 million. At December 31, 2018, our cash and cash equivalents totaled $588.0 million. Our cash and cash equivalents during the first six months of 2019 decreased $222.0 million compared to the 2018 year-end balance as a result of the net uses of cash outlined in the following discussion.</w:t>
      </w:r>
    </w:p>
    <w:p>
      <w:pPr>
        <w:spacing w:after="0" w:line="12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Approximately 60% of the balance of our cash and cash equivalents at June 30, 2019 was held by subsidiaries domiciled outside of the United States. The Company recognized the one-time U.S. repatriation tax due under U.S. tax reform and, as a result, repatriation of these amounts would not be subject to additional U.S. federal income tax but would be subject to applicable withholding taxes in the relevant jurisdiction. Our intent is to reinvest funds earned outside of the United States to finance foreign operations and investments, and our current plans do not demonstrate a need to repatriate them to fund our U.S. operations. We believe we have sufficient liquidity to satisfy our cash needs, including our cash needs in the United States.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Summary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derived from our Consolidated Statement of Cash Flows: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5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560" w:type="dxa"/>
            <w:vAlign w:val="bottom"/>
          </w:tcPr>
          <w:p>
            <w:pPr>
              <w:spacing w:after="0"/>
              <w:rPr>
                <w:sz w:val="16"/>
                <w:szCs w:val="16"/>
                <w:color w:val="auto"/>
              </w:rPr>
            </w:pPr>
          </w:p>
        </w:tc>
      </w:tr>
      <w:tr>
        <w:trPr>
          <w:trHeight w:val="80"/>
        </w:trPr>
        <w:tc>
          <w:tcPr>
            <w:tcW w:w="6760" w:type="dxa"/>
            <w:vAlign w:val="bottom"/>
            <w:gridSpan w:val="2"/>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860" w:type="dxa"/>
            <w:vAlign w:val="bottom"/>
            <w:tcBorders>
              <w:bottom w:val="single" w:sz="8" w:color="auto"/>
            </w:tcBorders>
            <w:gridSpan w:val="2"/>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r>
      <w:tr>
        <w:trPr>
          <w:trHeight w:val="258"/>
        </w:trPr>
        <w:tc>
          <w:tcPr>
            <w:tcW w:w="66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In millions of dollars</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June 30, 2019</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w w:val="99"/>
              </w:rPr>
              <w:t>July 1, 2018</w:t>
            </w: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(used in):</w:t>
            </w:r>
          </w:p>
        </w:tc>
        <w:tc>
          <w:tcPr>
            <w:tcW w:w="4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57"/>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Operating activities</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35"/>
              <w:spacing w:after="0"/>
              <w:rPr>
                <w:sz w:val="20"/>
                <w:szCs w:val="20"/>
                <w:color w:val="auto"/>
              </w:rPr>
            </w:pPr>
            <w:r>
              <w:rPr>
                <w:rFonts w:ascii="Arial" w:cs="Arial" w:eastAsia="Arial" w:hAnsi="Arial"/>
                <w:sz w:val="18"/>
                <w:szCs w:val="18"/>
                <w:color w:val="auto"/>
              </w:rPr>
              <w:t>679.3</w:t>
            </w:r>
          </w:p>
        </w:tc>
        <w:tc>
          <w:tcPr>
            <w:tcW w:w="100" w:type="dxa"/>
            <w:vAlign w:val="bottom"/>
          </w:tcPr>
          <w:p>
            <w:pPr>
              <w:spacing w:after="0"/>
              <w:rPr>
                <w:sz w:val="22"/>
                <w:szCs w:val="22"/>
                <w:color w:val="auto"/>
              </w:rPr>
            </w:pPr>
          </w:p>
        </w:tc>
        <w:tc>
          <w:tcPr>
            <w:tcW w:w="6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602.9</w:t>
            </w:r>
          </w:p>
        </w:tc>
      </w:tr>
      <w:tr>
        <w:trPr>
          <w:trHeight w:val="27"/>
        </w:trPr>
        <w:tc>
          <w:tcPr>
            <w:tcW w:w="6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4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(206.4)</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(1,064.3)</w:t>
            </w:r>
          </w:p>
        </w:tc>
      </w:tr>
      <w:tr>
        <w:trPr>
          <w:trHeight w:val="257"/>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Financing activities</w:t>
            </w:r>
          </w:p>
        </w:tc>
        <w:tc>
          <w:tcPr>
            <w:tcW w:w="46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(698.7)</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553.2</w:t>
            </w:r>
          </w:p>
        </w:tc>
      </w:tr>
      <w:tr>
        <w:trPr>
          <w:trHeight w:val="27"/>
        </w:trPr>
        <w:tc>
          <w:tcPr>
            <w:tcW w:w="6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46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50"/>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(Decrease) increase in cash and cash equivalents</w:t>
            </w: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(222.0)</w:t>
            </w:r>
          </w:p>
        </w:tc>
        <w:tc>
          <w:tcPr>
            <w:tcW w:w="100" w:type="dxa"/>
            <w:vAlign w:val="bottom"/>
          </w:tcPr>
          <w:p>
            <w:pPr>
              <w:spacing w:after="0"/>
              <w:rPr>
                <w:sz w:val="21"/>
                <w:szCs w:val="21"/>
                <w:color w:val="auto"/>
              </w:rPr>
            </w:pPr>
          </w:p>
        </w:tc>
        <w:tc>
          <w:tcPr>
            <w:tcW w:w="6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87.2</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generated cash of $679.3 million for operating activities in the first six months of 2019, an increase of $76.4 million compared to $602.9 million in the same period of 2018. This increase in net cash from operating activities was mainly driven by the following factors:</w:t>
      </w:r>
    </w:p>
    <w:p>
      <w:pPr>
        <w:spacing w:after="0" w:line="116" w:lineRule="exact"/>
        <w:rPr>
          <w:sz w:val="20"/>
          <w:szCs w:val="20"/>
          <w:color w:val="auto"/>
        </w:rPr>
      </w:pPr>
    </w:p>
    <w:p>
      <w:pPr>
        <w:ind w:left="340" w:right="16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Net income adjusted for non-cash charges to operations (including depreciation, amortization, stock-based compensation, deferred income taxes, write-down of equity investments and other charges) resulted in $22 million of higher cash flow in 2019 relative to 2018.</w:t>
      </w:r>
    </w:p>
    <w:p>
      <w:pPr>
        <w:spacing w:after="0" w:line="116" w:lineRule="exact"/>
        <w:rPr>
          <w:rFonts w:ascii="Arial" w:cs="Arial" w:eastAsia="Arial" w:hAnsi="Arial"/>
          <w:sz w:val="18"/>
          <w:szCs w:val="18"/>
          <w:color w:val="auto"/>
        </w:rPr>
      </w:pPr>
    </w:p>
    <w:p>
      <w:pPr>
        <w:ind w:left="340" w:right="12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Net working capital (comprised of trade accounts receivable, inventory, accounts payable and accrued liabilities), which consumed cash of $151 million in 2019 and $208 million in 2018. This $57 million fluctuation was mainly driven by:</w:t>
      </w:r>
    </w:p>
    <w:p>
      <w:pPr>
        <w:spacing w:after="0" w:line="116" w:lineRule="exact"/>
        <w:rPr>
          <w:rFonts w:ascii="Arial" w:cs="Arial" w:eastAsia="Arial" w:hAnsi="Arial"/>
          <w:sz w:val="18"/>
          <w:szCs w:val="18"/>
          <w:color w:val="auto"/>
        </w:rPr>
      </w:pPr>
    </w:p>
    <w:p>
      <w:pPr>
        <w:jc w:val="both"/>
        <w:ind w:left="980" w:right="600" w:hanging="324"/>
        <w:spacing w:after="0" w:line="286" w:lineRule="auto"/>
        <w:tabs>
          <w:tab w:leader="none" w:pos="980" w:val="left"/>
        </w:tabs>
        <w:numPr>
          <w:ilvl w:val="1"/>
          <w:numId w:val="18"/>
        </w:numPr>
        <w:rPr>
          <w:rFonts w:ascii="Arial" w:cs="Arial" w:eastAsia="Arial" w:hAnsi="Arial"/>
          <w:sz w:val="17"/>
          <w:szCs w:val="17"/>
          <w:color w:val="auto"/>
        </w:rPr>
      </w:pPr>
      <w:r>
        <w:rPr>
          <w:rFonts w:ascii="Arial" w:cs="Arial" w:eastAsia="Arial" w:hAnsi="Arial"/>
          <w:sz w:val="17"/>
          <w:szCs w:val="17"/>
          <w:color w:val="auto"/>
        </w:rPr>
        <w:t>$128 million decrease in cash used by accounts payable and accrued liabilities, due to the timing of payments for trade-related and other accounts payables, as well as prior year spending necessary to settle certain accrued liabilities acquired in conjunction with the Amplify acquisition, specifically Amplify's acquisition-related costs and accelerated equity compensation.</w:t>
      </w:r>
    </w:p>
    <w:p>
      <w:pPr>
        <w:spacing w:after="0" w:line="111" w:lineRule="exact"/>
        <w:rPr>
          <w:rFonts w:ascii="Arial" w:cs="Arial" w:eastAsia="Arial" w:hAnsi="Arial"/>
          <w:sz w:val="17"/>
          <w:szCs w:val="17"/>
          <w:color w:val="auto"/>
        </w:rPr>
      </w:pPr>
    </w:p>
    <w:p>
      <w:pPr>
        <w:ind w:left="980" w:right="120" w:hanging="324"/>
        <w:spacing w:after="0" w:line="308" w:lineRule="auto"/>
        <w:tabs>
          <w:tab w:leader="none" w:pos="980" w:val="left"/>
        </w:tabs>
        <w:numPr>
          <w:ilvl w:val="1"/>
          <w:numId w:val="18"/>
        </w:numPr>
        <w:rPr>
          <w:rFonts w:ascii="Arial" w:cs="Arial" w:eastAsia="Arial" w:hAnsi="Arial"/>
          <w:sz w:val="17"/>
          <w:szCs w:val="17"/>
          <w:color w:val="auto"/>
        </w:rPr>
      </w:pPr>
      <w:r>
        <w:rPr>
          <w:rFonts w:ascii="Arial" w:cs="Arial" w:eastAsia="Arial" w:hAnsi="Arial"/>
          <w:sz w:val="17"/>
          <w:szCs w:val="17"/>
          <w:color w:val="auto"/>
        </w:rPr>
        <w:t>Partially offset by a $45 million decrease in cash provided by accounts receivable, primarily driven by a decline in extended customer payment terms on seasonal products, resulting in a lower investment in accounts receivable as of the 2019 quarter-end.</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823" w:right="259" w:bottom="1440" w:gutter="0" w:footer="0" w:header="0"/>
        </w:sectPr>
      </w:pPr>
    </w:p>
    <w:bookmarkStart w:id="47" w:name="page48"/>
    <w:bookmarkEnd w:id="47"/>
    <w:p>
      <w:pPr>
        <w:ind w:left="980" w:right="220" w:hanging="324"/>
        <w:spacing w:after="0" w:line="277"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Partially offset by a $26 million increase in cash used by inventories, due to a higher year-over-year build up of inventories to satisfy seasonal core product requirements.</w:t>
      </w:r>
    </w:p>
    <w:p>
      <w:pPr>
        <w:spacing w:after="0" w:line="116" w:lineRule="exact"/>
        <w:rPr>
          <w:rFonts w:ascii="Arial" w:cs="Arial" w:eastAsia="Arial" w:hAnsi="Arial"/>
          <w:sz w:val="18"/>
          <w:szCs w:val="18"/>
          <w:color w:val="auto"/>
        </w:rPr>
      </w:pPr>
    </w:p>
    <w:p>
      <w:pPr>
        <w:ind w:left="340" w:right="60" w:hanging="332"/>
        <w:spacing w:after="0" w:line="264"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Prepaid expenses and other current assets generated cash of $18 million in 2019, compared to cash used of $26 million in 2018. This $44 million fluctuation was mainly driven by the timing of payments on commodity futures. We utilize commodity futures contracts to economically manage the risk of future price fluctuations associated with our purchase of raw materials.</w:t>
      </w:r>
    </w:p>
    <w:p>
      <w:pPr>
        <w:spacing w:after="0" w:line="127"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increase in cash provided by operating activities was partially offset by the following net cash outflow:</w:t>
      </w:r>
    </w:p>
    <w:p>
      <w:pPr>
        <w:spacing w:after="0" w:line="171" w:lineRule="exact"/>
        <w:rPr>
          <w:rFonts w:ascii="Arial" w:cs="Arial" w:eastAsia="Arial" w:hAnsi="Arial"/>
          <w:sz w:val="18"/>
          <w:szCs w:val="18"/>
          <w:color w:val="auto"/>
        </w:rPr>
      </w:pPr>
    </w:p>
    <w:p>
      <w:pPr>
        <w:ind w:left="980" w:right="260" w:hanging="324"/>
        <w:spacing w:after="0" w:line="277"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Incomes taxes used cash of $15 million in 2019, compared to cash generated of $54 million in 2018. This $69 million fluctuation was mainly due to the variance in actual tax expense for 2019 relative to the timing of quarterly estimated tax payments.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used cash of $206.4 million for investing activities in the first six months of 2019, a decrease of $857.9 million compared to $1,064.3 million in the same period of 2018. This decrease in net cash used in investing activities was mainly driven by the following factors:</w:t>
      </w:r>
    </w:p>
    <w:p>
      <w:pPr>
        <w:spacing w:after="0" w:line="116" w:lineRule="exact"/>
        <w:rPr>
          <w:sz w:val="20"/>
          <w:szCs w:val="20"/>
          <w:color w:val="auto"/>
        </w:rPr>
      </w:pPr>
    </w:p>
    <w:p>
      <w:pPr>
        <w:ind w:left="340" w:hanging="332"/>
        <w:spacing w:after="0" w:line="264" w:lineRule="auto"/>
        <w:tabs>
          <w:tab w:leader="none" w:pos="34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Capital spending</w:t>
      </w:r>
      <w:r>
        <w:rPr>
          <w:rFonts w:ascii="Arial" w:cs="Arial" w:eastAsia="Arial" w:hAnsi="Arial"/>
          <w:sz w:val="18"/>
          <w:szCs w:val="18"/>
          <w:color w:val="auto"/>
        </w:rPr>
        <w:t>. Capital expenditures, including capitalized software, primarily to support capacity expansion, innovation and cost savings, were $176.3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first six months of 2019 compared to $135.9 million in the same period of 2018. For full year 2019, we expect capital expenditures, including capitalized software, to approximate $330 million to $350 million.</w:t>
      </w:r>
    </w:p>
    <w:p>
      <w:pPr>
        <w:spacing w:after="0" w:line="127" w:lineRule="exact"/>
        <w:rPr>
          <w:rFonts w:ascii="Arial" w:cs="Arial" w:eastAsia="Arial" w:hAnsi="Arial"/>
          <w:sz w:val="18"/>
          <w:szCs w:val="18"/>
          <w:i w:val="1"/>
          <w:iCs w:val="1"/>
          <w:color w:val="auto"/>
        </w:rPr>
      </w:pPr>
    </w:p>
    <w:p>
      <w:pPr>
        <w:ind w:left="340" w:hanging="332"/>
        <w:spacing w:after="0" w:line="259" w:lineRule="auto"/>
        <w:tabs>
          <w:tab w:leader="none" w:pos="34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Proceeds from sales of property, plant and equipment and other long-lived assets</w:t>
      </w:r>
      <w:r>
        <w:rPr>
          <w:rFonts w:ascii="Arial" w:cs="Arial" w:eastAsia="Arial" w:hAnsi="Arial"/>
          <w:sz w:val="18"/>
          <w:szCs w:val="18"/>
          <w:color w:val="auto"/>
        </w:rPr>
        <w:t>. During the first six months of 2019, proceeds from the sale of property,</w:t>
      </w:r>
      <w:r>
        <w:rPr>
          <w:rFonts w:ascii="Arial" w:cs="Arial" w:eastAsia="Arial" w:hAnsi="Arial"/>
          <w:sz w:val="18"/>
          <w:szCs w:val="18"/>
          <w:i w:val="1"/>
          <w:iCs w:val="1"/>
          <w:color w:val="auto"/>
        </w:rPr>
        <w:t xml:space="preserve"> </w:t>
      </w:r>
      <w:r>
        <w:rPr>
          <w:rFonts w:ascii="Arial" w:cs="Arial" w:eastAsia="Arial" w:hAnsi="Arial"/>
          <w:sz w:val="18"/>
          <w:szCs w:val="18"/>
          <w:color w:val="auto"/>
        </w:rPr>
        <w:t>plant and equipment and other long-lived assets activity was minimal. During the first six months of 2018, we generated $16 million of proceeds from the sale of property, plant and equipment and other long-lived assets, the majority of which related to the sale of licensing rights for a non-core trademark relating to a brand marketed outside of the U.S. The sale resulted in a gain of $2.7 million.</w:t>
      </w:r>
    </w:p>
    <w:p>
      <w:pPr>
        <w:spacing w:after="0" w:line="132" w:lineRule="exact"/>
        <w:rPr>
          <w:rFonts w:ascii="Arial" w:cs="Arial" w:eastAsia="Arial" w:hAnsi="Arial"/>
          <w:sz w:val="18"/>
          <w:szCs w:val="18"/>
          <w:i w:val="1"/>
          <w:iCs w:val="1"/>
          <w:color w:val="auto"/>
        </w:rPr>
      </w:pPr>
    </w:p>
    <w:p>
      <w:pPr>
        <w:ind w:left="340" w:right="620" w:hanging="332"/>
        <w:spacing w:after="0" w:line="342" w:lineRule="auto"/>
        <w:tabs>
          <w:tab w:leader="none" w:pos="340" w:val="left"/>
        </w:tabs>
        <w:numPr>
          <w:ilvl w:val="0"/>
          <w:numId w:val="20"/>
        </w:numPr>
        <w:rPr>
          <w:rFonts w:ascii="Arial" w:cs="Arial" w:eastAsia="Arial" w:hAnsi="Arial"/>
          <w:sz w:val="16"/>
          <w:szCs w:val="16"/>
          <w:i w:val="1"/>
          <w:iCs w:val="1"/>
          <w:color w:val="auto"/>
        </w:rPr>
      </w:pPr>
      <w:r>
        <w:rPr>
          <w:rFonts w:ascii="Arial" w:cs="Arial" w:eastAsia="Arial" w:hAnsi="Arial"/>
          <w:sz w:val="16"/>
          <w:szCs w:val="16"/>
          <w:i w:val="1"/>
          <w:iCs w:val="1"/>
          <w:color w:val="auto"/>
        </w:rPr>
        <w:t>Business Acquisition</w:t>
      </w:r>
      <w:r>
        <w:rPr>
          <w:rFonts w:ascii="Arial" w:cs="Arial" w:eastAsia="Arial" w:hAnsi="Arial"/>
          <w:sz w:val="16"/>
          <w:szCs w:val="16"/>
          <w:color w:val="auto"/>
        </w:rPr>
        <w:t>. We had no acquisition or divestiture activity in 2019. In January 2018, we acquired Amplify for $915.5 million, net of cash</w:t>
      </w:r>
      <w:r>
        <w:rPr>
          <w:rFonts w:ascii="Arial" w:cs="Arial" w:eastAsia="Arial" w:hAnsi="Arial"/>
          <w:sz w:val="16"/>
          <w:szCs w:val="16"/>
          <w:i w:val="1"/>
          <w:iCs w:val="1"/>
          <w:color w:val="auto"/>
        </w:rPr>
        <w:t xml:space="preserve"> </w:t>
      </w:r>
      <w:r>
        <w:rPr>
          <w:rFonts w:ascii="Arial" w:cs="Arial" w:eastAsia="Arial" w:hAnsi="Arial"/>
          <w:sz w:val="16"/>
          <w:szCs w:val="16"/>
          <w:color w:val="auto"/>
        </w:rPr>
        <w:t>acquired. Further details regarding our business acquisition activity are provided in Note 2 to the Unaudited Consolidated Financial Statements.</w:t>
      </w:r>
    </w:p>
    <w:p>
      <w:pPr>
        <w:spacing w:after="0" w:line="69" w:lineRule="exact"/>
        <w:rPr>
          <w:rFonts w:ascii="Arial" w:cs="Arial" w:eastAsia="Arial" w:hAnsi="Arial"/>
          <w:sz w:val="16"/>
          <w:szCs w:val="16"/>
          <w:i w:val="1"/>
          <w:iCs w:val="1"/>
          <w:color w:val="auto"/>
        </w:rPr>
      </w:pPr>
    </w:p>
    <w:p>
      <w:pPr>
        <w:ind w:left="340" w:right="320" w:hanging="332"/>
        <w:spacing w:after="0" w:line="264"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Investments in partnerships qualifying for tax credits</w:t>
      </w:r>
      <w:r>
        <w:rPr>
          <w:rFonts w:ascii="Arial" w:cs="Arial" w:eastAsia="Arial" w:hAnsi="Arial"/>
          <w:sz w:val="18"/>
          <w:szCs w:val="18"/>
          <w:color w:val="auto"/>
        </w:rPr>
        <w:t>. We make investments in partnership entities that in turn make equity investments in projects</w:t>
      </w:r>
      <w:r>
        <w:rPr>
          <w:rFonts w:ascii="Arial" w:cs="Arial" w:eastAsia="Arial" w:hAnsi="Arial"/>
          <w:sz w:val="18"/>
          <w:szCs w:val="18"/>
          <w:i w:val="1"/>
          <w:iCs w:val="1"/>
          <w:color w:val="auto"/>
        </w:rPr>
        <w:t xml:space="preserve"> </w:t>
      </w:r>
      <w:r>
        <w:rPr>
          <w:rFonts w:ascii="Arial" w:cs="Arial" w:eastAsia="Arial" w:hAnsi="Arial"/>
          <w:sz w:val="18"/>
          <w:szCs w:val="18"/>
          <w:color w:val="auto"/>
        </w:rPr>
        <w:t>eligible to receive federal historic and energy tax credits. We invested approximately $30.3 million in the first six months of 2019, compared to $29.0 million in the same period of 2018.</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We used cash of $698.7 million for financing activities in the first six months of 2019, an increase of $1,251.9 million compared to cash generated of $553.2 million in the same period of 2018. This increase in net cash used in financing activities was mainly driven by the following factors:</w:t>
      </w:r>
    </w:p>
    <w:p>
      <w:pPr>
        <w:spacing w:after="0" w:line="93" w:lineRule="exact"/>
        <w:rPr>
          <w:sz w:val="20"/>
          <w:szCs w:val="20"/>
          <w:color w:val="auto"/>
        </w:rPr>
      </w:pPr>
    </w:p>
    <w:p>
      <w:pPr>
        <w:ind w:left="340" w:right="80" w:hanging="332"/>
        <w:spacing w:after="0" w:line="255" w:lineRule="auto"/>
        <w:tabs>
          <w:tab w:leader="none" w:pos="34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Short-term borrowings, net. </w:t>
      </w:r>
      <w:r>
        <w:rPr>
          <w:rFonts w:ascii="Arial" w:cs="Arial" w:eastAsia="Arial" w:hAnsi="Arial"/>
          <w:sz w:val="18"/>
          <w:szCs w:val="18"/>
          <w:color w:val="auto"/>
        </w:rPr>
        <w:t>In addition to utilizing cash on hand, we use short-term borrowings (commercial paper and bank borrowings) to fund</w:t>
      </w:r>
      <w:r>
        <w:rPr>
          <w:rFonts w:ascii="Arial" w:cs="Arial" w:eastAsia="Arial" w:hAnsi="Arial"/>
          <w:sz w:val="18"/>
          <w:szCs w:val="18"/>
          <w:i w:val="1"/>
          <w:iCs w:val="1"/>
          <w:color w:val="auto"/>
        </w:rPr>
        <w:t xml:space="preserve"> </w:t>
      </w:r>
      <w:r>
        <w:rPr>
          <w:rFonts w:ascii="Arial" w:cs="Arial" w:eastAsia="Arial" w:hAnsi="Arial"/>
          <w:sz w:val="18"/>
          <w:szCs w:val="18"/>
          <w:color w:val="auto"/>
        </w:rPr>
        <w:t>seasonal working capital requirements and ongoing business needs. During the first six months of 2019, we had a net reduction in short-term borrowings of $311.2 million primarily due to repayments on commercial paper, partially offset by increases in short-term foreign borrowings. During the first six months of 2018, we generated cash flow of $491 million through the issuance of short-term commercial paper and increase in short-term foreign borrowings. We utilized the proceeds from the issuance of commercial paper to fund the Amplify acquisition and repayment of Amplify's outstanding debt owed under its existing credit agreement.</w:t>
      </w:r>
    </w:p>
    <w:p>
      <w:pPr>
        <w:spacing w:after="0" w:line="139" w:lineRule="exact"/>
        <w:rPr>
          <w:rFonts w:ascii="Arial" w:cs="Arial" w:eastAsia="Arial" w:hAnsi="Arial"/>
          <w:sz w:val="18"/>
          <w:szCs w:val="18"/>
          <w:i w:val="1"/>
          <w:iCs w:val="1"/>
          <w:color w:val="auto"/>
        </w:rPr>
      </w:pPr>
    </w:p>
    <w:p>
      <w:pPr>
        <w:ind w:left="340" w:right="80" w:hanging="332"/>
        <w:spacing w:after="0" w:line="286" w:lineRule="auto"/>
        <w:tabs>
          <w:tab w:leader="none" w:pos="340" w:val="left"/>
        </w:tabs>
        <w:numPr>
          <w:ilvl w:val="0"/>
          <w:numId w:val="21"/>
        </w:numPr>
        <w:rPr>
          <w:rFonts w:ascii="Arial" w:cs="Arial" w:eastAsia="Arial" w:hAnsi="Arial"/>
          <w:sz w:val="17"/>
          <w:szCs w:val="17"/>
          <w:i w:val="1"/>
          <w:iCs w:val="1"/>
          <w:color w:val="auto"/>
        </w:rPr>
      </w:pPr>
      <w:r>
        <w:rPr>
          <w:rFonts w:ascii="Arial" w:cs="Arial" w:eastAsia="Arial" w:hAnsi="Arial"/>
          <w:sz w:val="17"/>
          <w:szCs w:val="17"/>
          <w:i w:val="1"/>
          <w:iCs w:val="1"/>
          <w:color w:val="auto"/>
        </w:rPr>
        <w:t>Long-term debt borrowings and repayments</w:t>
      </w:r>
      <w:r>
        <w:rPr>
          <w:rFonts w:ascii="Arial" w:cs="Arial" w:eastAsia="Arial" w:hAnsi="Arial"/>
          <w:sz w:val="17"/>
          <w:szCs w:val="17"/>
          <w:color w:val="auto"/>
        </w:rPr>
        <w:t>. During the first six months of 2019, our long-term debt borrowings and repayments activity was minimal.</w:t>
      </w:r>
      <w:r>
        <w:rPr>
          <w:rFonts w:ascii="Arial" w:cs="Arial" w:eastAsia="Arial" w:hAnsi="Arial"/>
          <w:sz w:val="17"/>
          <w:szCs w:val="17"/>
          <w:i w:val="1"/>
          <w:iCs w:val="1"/>
          <w:color w:val="auto"/>
        </w:rPr>
        <w:t xml:space="preserve"> </w:t>
      </w:r>
      <w:r>
        <w:rPr>
          <w:rFonts w:ascii="Arial" w:cs="Arial" w:eastAsia="Arial" w:hAnsi="Arial"/>
          <w:sz w:val="17"/>
          <w:szCs w:val="17"/>
          <w:color w:val="auto"/>
        </w:rPr>
        <w:t>During the first six months of 2018, we repaid $607 million of debt assumed in connection with the Amplify acquisition, including all of the outstanding debt owed by Amplify under its existing credit agreement. Additionally, in May 2018, we issued $350,000 of 2.90% Notes due in 2020,</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746" w:right="239" w:bottom="1440" w:gutter="0" w:footer="0" w:header="0"/>
        </w:sectPr>
      </w:pPr>
    </w:p>
    <w:bookmarkStart w:id="48" w:name="page49"/>
    <w:bookmarkEnd w:id="48"/>
    <w:p>
      <w:pPr>
        <w:ind w:left="340"/>
        <w:spacing w:after="0" w:line="324" w:lineRule="auto"/>
        <w:rPr>
          <w:sz w:val="20"/>
          <w:szCs w:val="20"/>
          <w:color w:val="auto"/>
        </w:rPr>
      </w:pPr>
      <w:r>
        <w:rPr>
          <w:rFonts w:ascii="Arial" w:cs="Arial" w:eastAsia="Arial" w:hAnsi="Arial"/>
          <w:sz w:val="18"/>
          <w:szCs w:val="18"/>
          <w:color w:val="auto"/>
        </w:rPr>
        <w:t>$350,000 of 3.10% Notes due in 2021 and $500,000 of 3.375% Notes due in 2023. Proceeds from the issuance of the Notes, net of discounts and issuance costs, totaled $1,193.8 million.</w:t>
      </w:r>
    </w:p>
    <w:p>
      <w:pPr>
        <w:spacing w:after="0" w:line="89" w:lineRule="exact"/>
        <w:rPr>
          <w:sz w:val="20"/>
          <w:szCs w:val="20"/>
          <w:color w:val="auto"/>
        </w:rPr>
      </w:pPr>
    </w:p>
    <w:p>
      <w:pPr>
        <w:ind w:left="340" w:right="500" w:hanging="332"/>
        <w:spacing w:after="0" w:line="277" w:lineRule="auto"/>
        <w:tabs>
          <w:tab w:leader="none" w:pos="34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Tax receivable obligation. </w:t>
      </w:r>
      <w:r>
        <w:rPr>
          <w:rFonts w:ascii="Arial" w:cs="Arial" w:eastAsia="Arial" w:hAnsi="Arial"/>
          <w:sz w:val="18"/>
          <w:szCs w:val="18"/>
          <w:color w:val="auto"/>
        </w:rPr>
        <w:t>In connection with the Amplify acquisition in 2018, the Company agreed to make a payment to the counterparty of a tax</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 agreement. During the first six months of 2018, we paid $72.0 million of the tax receivable obligation.</w:t>
      </w:r>
    </w:p>
    <w:p>
      <w:pPr>
        <w:spacing w:after="0" w:line="116" w:lineRule="exact"/>
        <w:rPr>
          <w:rFonts w:ascii="Arial" w:cs="Arial" w:eastAsia="Arial" w:hAnsi="Arial"/>
          <w:sz w:val="18"/>
          <w:szCs w:val="18"/>
          <w:i w:val="1"/>
          <w:iCs w:val="1"/>
          <w:color w:val="auto"/>
        </w:rPr>
      </w:pPr>
    </w:p>
    <w:p>
      <w:pPr>
        <w:ind w:left="340" w:right="360" w:hanging="332"/>
        <w:spacing w:after="0" w:line="264" w:lineRule="auto"/>
        <w:tabs>
          <w:tab w:leader="none" w:pos="34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Share repurchases</w:t>
      </w:r>
      <w:r>
        <w:rPr>
          <w:rFonts w:ascii="Arial" w:cs="Arial" w:eastAsia="Arial" w:hAnsi="Arial"/>
          <w:sz w:val="18"/>
          <w:szCs w:val="18"/>
          <w:color w:val="auto"/>
        </w:rPr>
        <w:t>. We used cash for total share repurchases of $254.4 million and $199.7 million during the first six months of 2019 and 2018,</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pursuant to our practice of replenishing shares issued for stock options and incentive compensation, as well as shares repurchased in the open market under pre-approved share repurchase programs.</w:t>
      </w:r>
    </w:p>
    <w:p>
      <w:pPr>
        <w:spacing w:after="0" w:line="127" w:lineRule="exact"/>
        <w:rPr>
          <w:rFonts w:ascii="Arial" w:cs="Arial" w:eastAsia="Arial" w:hAnsi="Arial"/>
          <w:sz w:val="18"/>
          <w:szCs w:val="18"/>
          <w:i w:val="1"/>
          <w:iCs w:val="1"/>
          <w:color w:val="auto"/>
        </w:rPr>
      </w:pPr>
    </w:p>
    <w:p>
      <w:pPr>
        <w:ind w:left="340" w:right="480" w:hanging="332"/>
        <w:spacing w:after="0" w:line="277" w:lineRule="auto"/>
        <w:tabs>
          <w:tab w:leader="none" w:pos="34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Dividend payments</w:t>
      </w:r>
      <w:r>
        <w:rPr>
          <w:rFonts w:ascii="Arial" w:cs="Arial" w:eastAsia="Arial" w:hAnsi="Arial"/>
          <w:sz w:val="18"/>
          <w:szCs w:val="18"/>
          <w:color w:val="auto"/>
        </w:rPr>
        <w:t>. Total dividend payments to holders of our Common Stock and Class B Common Stock were $295.5 million during the first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of 2019, an increase of $27.6 million compared to $267.9 million in the same period of 2018.</w:t>
      </w:r>
    </w:p>
    <w:p>
      <w:pPr>
        <w:spacing w:after="0" w:line="116" w:lineRule="exact"/>
        <w:rPr>
          <w:rFonts w:ascii="Arial" w:cs="Arial" w:eastAsia="Arial" w:hAnsi="Arial"/>
          <w:sz w:val="18"/>
          <w:szCs w:val="18"/>
          <w:i w:val="1"/>
          <w:iCs w:val="1"/>
          <w:color w:val="auto"/>
        </w:rPr>
      </w:pPr>
    </w:p>
    <w:p>
      <w:pPr>
        <w:ind w:left="340" w:right="120" w:hanging="332"/>
        <w:spacing w:after="0" w:line="342" w:lineRule="auto"/>
        <w:tabs>
          <w:tab w:leader="none" w:pos="340" w:val="left"/>
        </w:tabs>
        <w:numPr>
          <w:ilvl w:val="0"/>
          <w:numId w:val="22"/>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Proceeds from the exercise of stock options. </w:t>
      </w:r>
      <w:r>
        <w:rPr>
          <w:rFonts w:ascii="Arial" w:cs="Arial" w:eastAsia="Arial" w:hAnsi="Arial"/>
          <w:sz w:val="16"/>
          <w:szCs w:val="16"/>
          <w:color w:val="auto"/>
        </w:rPr>
        <w:t>We received $161.4 million from employee exercises of stock options, net of employee taxes withheld from</w:t>
      </w:r>
      <w:r>
        <w:rPr>
          <w:rFonts w:ascii="Arial" w:cs="Arial" w:eastAsia="Arial" w:hAnsi="Arial"/>
          <w:sz w:val="16"/>
          <w:szCs w:val="16"/>
          <w:i w:val="1"/>
          <w:iCs w:val="1"/>
          <w:color w:val="auto"/>
        </w:rPr>
        <w:t xml:space="preserve"> </w:t>
      </w:r>
      <w:r>
        <w:rPr>
          <w:rFonts w:ascii="Arial" w:cs="Arial" w:eastAsia="Arial" w:hAnsi="Arial"/>
          <w:sz w:val="16"/>
          <w:szCs w:val="16"/>
          <w:color w:val="auto"/>
        </w:rPr>
        <w:t>share-based awards, during the first six months of 2019, an increase of $153.2 million compared to $8.2 million in the same period of 2018.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Information on recently adopted and recently issued accounting standards is included in Note 1 to the Unaudited Consolidated Financial Statements.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773"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auto"/>
        </w:rPr>
        <w:t>Safe Harbor Statement</w:t>
      </w:r>
    </w:p>
    <w:p>
      <w:pPr>
        <w:spacing w:after="0" w:line="175"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We are subject to changing economic, competitive, regulatory and technological risks and uncertainties that could have a material impact on our business, financial condition or results of operations. In connection with the “safe harbor” provisions of the Private Securities Litigation Reform Act of 1995, we note the following factors that, among others, could cause future results to differ materially from the forward-looking statements, expectations and assumptions that we have discussed directly or implied in this report. Many of the forward-looking statements contained in this report may be identified by the use of words such as “intend,” “believe,” “expect,” “anticipate,” “should,” “planned,” “projected,” “estimated,” and “potential,” among others.</w:t>
      </w:r>
    </w:p>
    <w:p>
      <w:pPr>
        <w:spacing w:after="0" w:line="10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factors that could cause our actual results to differ materially from the results projected in our forward-looking statements include, but are not limited to the following:</w:t>
      </w:r>
    </w:p>
    <w:p>
      <w:pPr>
        <w:spacing w:after="0" w:line="170" w:lineRule="exact"/>
        <w:rPr>
          <w:sz w:val="20"/>
          <w:szCs w:val="20"/>
          <w:color w:val="auto"/>
        </w:rPr>
      </w:pPr>
    </w:p>
    <w:p>
      <w:pPr>
        <w:ind w:left="260" w:right="440" w:hanging="252"/>
        <w:spacing w:after="0" w:line="277" w:lineRule="auto"/>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Issues or concerns related to the quality and safety of our products, ingredients or packaging could cause a product recall and/or result in harm to the Company’s reputation, negatively impacting our operating results;</w:t>
      </w:r>
    </w:p>
    <w:p>
      <w:pPr>
        <w:spacing w:after="0" w:line="116" w:lineRule="exact"/>
        <w:rPr>
          <w:rFonts w:ascii="Arial" w:cs="Arial" w:eastAsia="Arial" w:hAnsi="Arial"/>
          <w:sz w:val="18"/>
          <w:szCs w:val="18"/>
          <w:color w:val="auto"/>
        </w:rPr>
      </w:pPr>
    </w:p>
    <w:p>
      <w:pPr>
        <w:ind w:left="260" w:hanging="252"/>
        <w:spacing w:after="0"/>
        <w:tabs>
          <w:tab w:leader="none" w:pos="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Increases in raw material and energy costs along with the availability of adequate supplies of raw materials could affect future financial results;</w:t>
      </w:r>
    </w:p>
    <w:p>
      <w:pPr>
        <w:spacing w:after="0" w:line="182" w:lineRule="exact"/>
        <w:rPr>
          <w:rFonts w:ascii="Arial" w:cs="Arial" w:eastAsia="Arial" w:hAnsi="Arial"/>
          <w:sz w:val="17"/>
          <w:szCs w:val="17"/>
          <w:color w:val="auto"/>
        </w:rPr>
      </w:pPr>
    </w:p>
    <w:p>
      <w:pPr>
        <w:ind w:left="260" w:right="420" w:hanging="252"/>
        <w:spacing w:after="0" w:line="277" w:lineRule="auto"/>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Price increases may not be sufficient to offset cost increases and maintain profitability or may result in sales volume declines associated with pricing elasticity;</w:t>
      </w:r>
    </w:p>
    <w:p>
      <w:pPr>
        <w:spacing w:after="0" w:line="116" w:lineRule="exact"/>
        <w:rPr>
          <w:rFonts w:ascii="Arial" w:cs="Arial" w:eastAsia="Arial" w:hAnsi="Arial"/>
          <w:sz w:val="18"/>
          <w:szCs w:val="18"/>
          <w:color w:val="auto"/>
        </w:rPr>
      </w:pPr>
    </w:p>
    <w:p>
      <w:pPr>
        <w:ind w:left="260" w:hanging="252"/>
        <w:spacing w:after="0"/>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Market demand for new and existing products could decline;</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marketplace competition could hurt our business;</w:t>
      </w:r>
    </w:p>
    <w:p>
      <w:pPr>
        <w:spacing w:after="0" w:line="171" w:lineRule="exact"/>
        <w:rPr>
          <w:rFonts w:ascii="Arial" w:cs="Arial" w:eastAsia="Arial" w:hAnsi="Arial"/>
          <w:sz w:val="18"/>
          <w:szCs w:val="18"/>
          <w:color w:val="auto"/>
        </w:rPr>
      </w:pPr>
    </w:p>
    <w:p>
      <w:pPr>
        <w:ind w:left="260" w:right="40" w:hanging="252"/>
        <w:spacing w:after="0" w:line="277" w:lineRule="auto"/>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Disruption to our manufacturing operations or supply chain could impair our ability to produce or deliver finished products, resulting in a negative impact on our operating results;</w:t>
      </w:r>
    </w:p>
    <w:p>
      <w:pPr>
        <w:spacing w:after="0" w:line="116" w:lineRule="exact"/>
        <w:rPr>
          <w:rFonts w:ascii="Arial" w:cs="Arial" w:eastAsia="Arial" w:hAnsi="Arial"/>
          <w:sz w:val="18"/>
          <w:szCs w:val="18"/>
          <w:color w:val="auto"/>
        </w:rPr>
      </w:pPr>
    </w:p>
    <w:p>
      <w:pPr>
        <w:ind w:left="260" w:hanging="252"/>
        <w:spacing w:after="0"/>
        <w:tabs>
          <w:tab w:leader="none" w:pos="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financial results may be adversely impacted by the failure to successfully execute or integrate acquisitions, divestitures and joint ventures;</w:t>
      </w:r>
    </w:p>
    <w:p>
      <w:pPr>
        <w:spacing w:after="0" w:line="182" w:lineRule="exact"/>
        <w:rPr>
          <w:rFonts w:ascii="Arial" w:cs="Arial" w:eastAsia="Arial" w:hAnsi="Arial"/>
          <w:sz w:val="17"/>
          <w:szCs w:val="17"/>
          <w:color w:val="auto"/>
        </w:rPr>
      </w:pPr>
    </w:p>
    <w:p>
      <w:pPr>
        <w:ind w:left="260" w:hanging="252"/>
        <w:spacing w:after="0"/>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governmental laws and regulations could increase our costs and liabilities or impact demand for our products;</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Political, economic and/or financial market conditions could negatively impact our financial results;</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international operations may not achieve projected growth objectives, which could adversely impact our overall business and results of operations;</w:t>
      </w:r>
    </w:p>
    <w:p>
      <w:pPr>
        <w:spacing w:after="0" w:line="194" w:lineRule="exact"/>
        <w:rPr>
          <w:rFonts w:ascii="Arial" w:cs="Arial" w:eastAsia="Arial" w:hAnsi="Arial"/>
          <w:sz w:val="16"/>
          <w:szCs w:val="16"/>
          <w:color w:val="auto"/>
        </w:rPr>
      </w:pPr>
    </w:p>
    <w:p>
      <w:pPr>
        <w:ind w:left="260" w:hanging="252"/>
        <w:spacing w:after="0"/>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Disruptions, failures or security breaches of our information technology infrastructure could have a negative impact on our operations;</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might not be able to hire, engage and retain the talented global workforce we need to drive our growth strategies;</w:t>
      </w:r>
    </w:p>
    <w:p>
      <w:pPr>
        <w:spacing w:after="0" w:line="171" w:lineRule="exact"/>
        <w:rPr>
          <w:rFonts w:ascii="Arial" w:cs="Arial" w:eastAsia="Arial" w:hAnsi="Arial"/>
          <w:sz w:val="18"/>
          <w:szCs w:val="18"/>
          <w:color w:val="auto"/>
        </w:rPr>
      </w:pPr>
    </w:p>
    <w:p>
      <w:pPr>
        <w:ind w:left="260" w:right="60" w:hanging="252"/>
        <w:spacing w:after="0" w:line="277" w:lineRule="auto"/>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not fully realize the expected costs savings and/or operating efficiencies associated with our strategic initiatives or restructuring programs, which may have an adverse impact on our business;</w:t>
      </w:r>
    </w:p>
    <w:p>
      <w:pPr>
        <w:spacing w:after="0" w:line="116" w:lineRule="exact"/>
        <w:rPr>
          <w:rFonts w:ascii="Arial" w:cs="Arial" w:eastAsia="Arial" w:hAnsi="Arial"/>
          <w:sz w:val="18"/>
          <w:szCs w:val="18"/>
          <w:color w:val="auto"/>
        </w:rPr>
      </w:pPr>
    </w:p>
    <w:p>
      <w:pPr>
        <w:ind w:left="260" w:hanging="252"/>
        <w:spacing w:after="0"/>
        <w:tabs>
          <w:tab w:leader="none" w:pos="2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Complications with the design or implementation of our new enterprise resource planning system could adversely impact our business and operations; and</w:t>
      </w:r>
    </w:p>
    <w:p>
      <w:pPr>
        <w:spacing w:after="0" w:line="194" w:lineRule="exact"/>
        <w:rPr>
          <w:rFonts w:ascii="Arial" w:cs="Arial" w:eastAsia="Arial" w:hAnsi="Arial"/>
          <w:sz w:val="16"/>
          <w:szCs w:val="16"/>
          <w:color w:val="auto"/>
        </w:rPr>
      </w:pPr>
    </w:p>
    <w:p>
      <w:pPr>
        <w:ind w:left="260" w:hanging="252"/>
        <w:spacing w:after="0"/>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Such other matters as discussed in our 2018 Annual Report on Form 10-K.</w:t>
      </w:r>
    </w:p>
    <w:p>
      <w:pPr>
        <w:spacing w:after="0" w:line="33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undertake no obligation to publicly update or revise any forward-looking statements to reflect actual results, changes in expectations or events or circumstances after the date this Quarterly Report on Form 10-Q is filed.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823" w:right="27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total notional amount of interest rate swaps outstanding at June 30, 2019 and December 31, 2018 was $350 million. The notional amount relates to fixed-to-floating interest rate swaps which convert a comparable amount of fixed-rate debt to variable rate debt at June 30, 2019 and December 31, 2018. A hypothetical 100 basis point increase in interest rates applied to this now variable-rate debt as of June 30, 2019 would have increased interest expense by approximately $1.8 million for the first six months of 2019 and $3.5 million for the full year 2018.</w:t>
      </w:r>
    </w:p>
    <w:p>
      <w:pPr>
        <w:spacing w:after="0" w:line="13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addition, the total amount of short-term debt, net of cash, amounted to $521 million and $610 million, respectively, at June 30, 2019 and December 31, 2018. A hypothetical 100 basis point increase in interest rates applied to this variable-rate short-term debt as of June 30, 2019 would have increased interest expense by approximately $3.1 million for the first six months of 2019 and $9.0 million for the full year 2018.</w:t>
      </w:r>
    </w:p>
    <w:p>
      <w:pPr>
        <w:spacing w:after="0" w:line="12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consider our current risk related to market fluctuations in interest rates on our remaining debt portfolio, excluding fixed-rate debt converted to variable rates with fixed-to-floating instruments, to be minimal since this debt is largely long-term and fixed-rate in nature. Generally, the fair market value of fixed-rate debt will increase as interest rates fall and decrease as interest rates rise. A 100 basis point increase in market interest rates would decrease the fair value of our fixed-rate long-term debt at June 30, 2019 and December 31, 2018 by approximately $151 million and $121 million, respectively. However, since we currently have no plans to repurchase our outstanding fixed-rate instruments before their maturities, the impact of market interest rate fluctuations on our long-term debt does not affect our results of operations or financial position.</w:t>
      </w:r>
    </w:p>
    <w:p>
      <w:pPr>
        <w:spacing w:after="0" w:line="12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potential decline in fair value of foreign currency forward exchange contracts resulting from a hypothetical near-term adverse change in market rates of 10% was $18.8 million as of June 30, 2019 and $4.5 million as of December 31, 2018, generally offset by a reduction in foreign exchange associated with our transactional activities.</w:t>
      </w:r>
    </w:p>
    <w:p>
      <w:pPr>
        <w:spacing w:after="0" w:line="127"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Our open commodity derivative contracts had a notional value of $734.7 million as of June 30, 2019 and $693.5 million as of December 31, 2018. At the end of the second quarter 2019, the potential change in fair value of commodity derivative instruments, assuming a 10% decrease in the underlying commodity price, would have increased our net unrealized losses by $57.1 million, generally offset by a reduction in the cost of the underlying commodity purchases.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Other than as described above, market risks have not changed significantly from those described in our 2018 Annual Report on Form 10-K.</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823" w:right="2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We have established disclosure controls and procedures (as defined in Rules 13a-15(e) and 15d-15(e) of the Securities Exchange Act of 1934 (the “Exchange Act”)) designed to ensure that information required to be disclosed in our reports filed or submitted under the Exchange Act is recorded, processed, summarized and reported within the time periods specified in the Securities and Exchange Commission’s rules and forms, and such information is accumulated and communicated to management, including our Chief Executive Officer and Chief Financial Officer, as appropriate, to allow timely decisions regarding required disclosure. Management, with the participation of the Chief Executive Officer and Chief Financial Officer, evaluated the effectiveness of the Company’s disclosure controls and procedures as of June 30, 2019. Based on this evaluation, our Chief Executive Officer and Chief Financial Officer concluded that our disclosure controls and procedures were effective as of June 30, 2019.</w:t>
      </w:r>
    </w:p>
    <w:p>
      <w:pPr>
        <w:spacing w:after="0" w:line="12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rely extensively on information systems and technology to manage our business and summarize operating results. We are in the process of a multi-year implementation of a new global enterprise resource planning (“ERP”) system, which will replace our existing operating and financial systems. The ERP system is designed to accurately maintain the Company’s financial records, enhance operational functionality and provide timely information to the Company’s management team related to the operation of the business. The implementation is expected to occur in phases over the next several years. We have completed the implementation of certain processes, including our consolidated financial reporting platform in the second quarter of 2018, as well as our trade promotions and direct marketing systems in the first quarter of 2019. These transitions did not result in significant changes in our internal control over financial reporting. However, as the next phases of the updated processes are rolled out in connection with the ERP implementation, we will give appropriate consideration to whether these process changes necessitate changes in the design of and testing for effectiveness of internal controls over financial reporting.</w:t>
      </w:r>
    </w:p>
    <w:p>
      <w:pPr>
        <w:spacing w:after="0" w:line="11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quarter ended June 30, 2019 that have materially affected, or are reasonably likely to materially affect, our internal control over financial reporting.</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823"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legal proceedings is included in Note 16 to the Unaudited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When evaluating an investment in our Common Stock, investors should consider carefully, among other things, the risk factors previously disclosed in</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Part I, Item 1A, “Risk Factors,” of our 2018 Annual Report on Form 10-K and the information contained in this Quarterly Report on Form 10-Q and our other reports and registration statements filed with the SEC. There have been no material changes in our risk factors since the filing of our 2018 Annual Report on Form 10-K.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4"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following table shows the purchases of shares of Common Stock made by or on behalf of Hershey, or any “affiliated purchaser” (as defined in Rule 10b-18(a)(3) under the Securities Exchange Act of 1934, as amended) of Hershey, for each fiscal month in the three months ended June 30, 2019:</w:t>
      </w:r>
    </w:p>
    <w:p>
      <w:pPr>
        <w:spacing w:after="0" w:line="70" w:lineRule="exact"/>
        <w:rPr>
          <w:sz w:val="20"/>
          <w:szCs w:val="20"/>
          <w:color w:val="auto"/>
        </w:rPr>
      </w:pPr>
    </w:p>
    <w:tbl>
      <w:tblPr>
        <w:tblLayout w:type="fixed"/>
        <w:tblInd w:w="80" w:type="dxa"/>
        <w:tblCellMar>
          <w:top w:w="0" w:type="dxa"/>
          <w:left w:w="0" w:type="dxa"/>
          <w:bottom w:w="0" w:type="dxa"/>
          <w:right w:w="0" w:type="dxa"/>
        </w:tblCellMar>
      </w:tblP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40" w:type="dxa"/>
            <w:vAlign w:val="bottom"/>
          </w:tcPr>
          <w:p>
            <w:pPr>
              <w:jc w:val="center"/>
              <w:ind w:right="117"/>
              <w:spacing w:after="0"/>
              <w:rPr>
                <w:sz w:val="20"/>
                <w:szCs w:val="20"/>
                <w:color w:val="auto"/>
              </w:rPr>
            </w:pPr>
            <w:r>
              <w:rPr>
                <w:rFonts w:ascii="Arial" w:cs="Arial" w:eastAsia="Arial" w:hAnsi="Arial"/>
                <w:sz w:val="16"/>
                <w:szCs w:val="16"/>
                <w:b w:val="1"/>
                <w:bCs w:val="1"/>
                <w:color w:val="auto"/>
                <w:w w:val="91"/>
              </w:rPr>
              <w:t>Approximate</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jc w:val="center"/>
              <w:ind w:left="299"/>
              <w:spacing w:after="0"/>
              <w:rPr>
                <w:sz w:val="20"/>
                <w:szCs w:val="20"/>
                <w:color w:val="auto"/>
              </w:rPr>
            </w:pPr>
            <w:r>
              <w:rPr>
                <w:rFonts w:ascii="Arial" w:cs="Arial" w:eastAsia="Arial" w:hAnsi="Arial"/>
                <w:sz w:val="16"/>
                <w:szCs w:val="16"/>
                <w:b w:val="1"/>
                <w:bCs w:val="1"/>
                <w:color w:val="auto"/>
                <w:w w:val="92"/>
              </w:rPr>
              <w:t>Total Number of</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40" w:type="dxa"/>
            <w:vAlign w:val="bottom"/>
          </w:tcPr>
          <w:p>
            <w:pPr>
              <w:jc w:val="center"/>
              <w:ind w:right="117"/>
              <w:spacing w:after="0"/>
              <w:rPr>
                <w:sz w:val="20"/>
                <w:szCs w:val="20"/>
                <w:color w:val="auto"/>
              </w:rPr>
            </w:pPr>
            <w:r>
              <w:rPr>
                <w:rFonts w:ascii="Arial" w:cs="Arial" w:eastAsia="Arial" w:hAnsi="Arial"/>
                <w:sz w:val="16"/>
                <w:szCs w:val="16"/>
                <w:b w:val="1"/>
                <w:bCs w:val="1"/>
                <w:color w:val="auto"/>
                <w:w w:val="94"/>
              </w:rPr>
              <w:t>Dollar Value of</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jc w:val="center"/>
              <w:ind w:left="319"/>
              <w:spacing w:after="0"/>
              <w:rPr>
                <w:sz w:val="20"/>
                <w:szCs w:val="20"/>
                <w:color w:val="auto"/>
              </w:rPr>
            </w:pPr>
            <w:r>
              <w:rPr>
                <w:rFonts w:ascii="Arial" w:cs="Arial" w:eastAsia="Arial" w:hAnsi="Arial"/>
                <w:sz w:val="16"/>
                <w:szCs w:val="16"/>
                <w:b w:val="1"/>
                <w:bCs w:val="1"/>
                <w:color w:val="auto"/>
                <w:w w:val="88"/>
              </w:rPr>
              <w:t>Shares Purchased</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40" w:type="dxa"/>
            <w:vAlign w:val="bottom"/>
          </w:tcPr>
          <w:p>
            <w:pPr>
              <w:jc w:val="center"/>
              <w:ind w:right="117"/>
              <w:spacing w:after="0"/>
              <w:rPr>
                <w:sz w:val="20"/>
                <w:szCs w:val="20"/>
                <w:color w:val="auto"/>
              </w:rPr>
            </w:pPr>
            <w:r>
              <w:rPr>
                <w:rFonts w:ascii="Arial" w:cs="Arial" w:eastAsia="Arial" w:hAnsi="Arial"/>
                <w:sz w:val="16"/>
                <w:szCs w:val="16"/>
                <w:b w:val="1"/>
                <w:bCs w:val="1"/>
                <w:color w:val="auto"/>
                <w:w w:val="92"/>
              </w:rPr>
              <w:t>Shares that May</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jc w:val="center"/>
              <w:ind w:left="14"/>
              <w:spacing w:after="0"/>
              <w:rPr>
                <w:sz w:val="20"/>
                <w:szCs w:val="20"/>
                <w:color w:val="auto"/>
              </w:rPr>
            </w:pPr>
            <w:r>
              <w:rPr>
                <w:rFonts w:ascii="Arial" w:cs="Arial" w:eastAsia="Arial" w:hAnsi="Arial"/>
                <w:sz w:val="16"/>
                <w:szCs w:val="16"/>
                <w:b w:val="1"/>
                <w:bCs w:val="1"/>
                <w:color w:val="auto"/>
                <w:w w:val="94"/>
              </w:rPr>
              <w:t>Total Number</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9"/>
              </w:rPr>
              <w:t>Average Price</w:t>
            </w:r>
          </w:p>
        </w:tc>
        <w:tc>
          <w:tcPr>
            <w:tcW w:w="1680" w:type="dxa"/>
            <w:vAlign w:val="bottom"/>
          </w:tcPr>
          <w:p>
            <w:pPr>
              <w:jc w:val="center"/>
              <w:ind w:left="279"/>
              <w:spacing w:after="0"/>
              <w:rPr>
                <w:sz w:val="20"/>
                <w:szCs w:val="20"/>
                <w:color w:val="auto"/>
              </w:rPr>
            </w:pPr>
            <w:r>
              <w:rPr>
                <w:rFonts w:ascii="Arial" w:cs="Arial" w:eastAsia="Arial" w:hAnsi="Arial"/>
                <w:sz w:val="16"/>
                <w:szCs w:val="16"/>
                <w:b w:val="1"/>
                <w:bCs w:val="1"/>
                <w:color w:val="auto"/>
                <w:w w:val="92"/>
              </w:rPr>
              <w:t>as Part of Publicly</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40" w:type="dxa"/>
            <w:vAlign w:val="bottom"/>
          </w:tcPr>
          <w:p>
            <w:pPr>
              <w:jc w:val="center"/>
              <w:ind w:right="117"/>
              <w:spacing w:after="0"/>
              <w:rPr>
                <w:sz w:val="20"/>
                <w:szCs w:val="20"/>
                <w:color w:val="auto"/>
              </w:rPr>
            </w:pPr>
            <w:r>
              <w:rPr>
                <w:rFonts w:ascii="Arial" w:cs="Arial" w:eastAsia="Arial" w:hAnsi="Arial"/>
                <w:sz w:val="16"/>
                <w:szCs w:val="16"/>
                <w:b w:val="1"/>
                <w:bCs w:val="1"/>
                <w:color w:val="auto"/>
                <w:w w:val="89"/>
              </w:rPr>
              <w:t>Yet Be Purchased</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jc w:val="center"/>
              <w:spacing w:after="0"/>
              <w:rPr>
                <w:sz w:val="20"/>
                <w:szCs w:val="20"/>
                <w:color w:val="auto"/>
              </w:rPr>
            </w:pPr>
            <w:r>
              <w:rPr>
                <w:rFonts w:ascii="Arial" w:cs="Arial" w:eastAsia="Arial" w:hAnsi="Arial"/>
                <w:sz w:val="16"/>
                <w:szCs w:val="16"/>
                <w:b w:val="1"/>
                <w:bCs w:val="1"/>
                <w:color w:val="auto"/>
                <w:w w:val="87"/>
              </w:rPr>
              <w:t>of Shares</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4"/>
              </w:rPr>
              <w:t>Paid</w:t>
            </w:r>
          </w:p>
        </w:tc>
        <w:tc>
          <w:tcPr>
            <w:tcW w:w="1680" w:type="dxa"/>
            <w:vAlign w:val="bottom"/>
          </w:tcPr>
          <w:p>
            <w:pPr>
              <w:jc w:val="center"/>
              <w:ind w:left="279"/>
              <w:spacing w:after="0"/>
              <w:rPr>
                <w:sz w:val="20"/>
                <w:szCs w:val="20"/>
                <w:color w:val="auto"/>
              </w:rPr>
            </w:pPr>
            <w:r>
              <w:rPr>
                <w:rFonts w:ascii="Arial" w:cs="Arial" w:eastAsia="Arial" w:hAnsi="Arial"/>
                <w:sz w:val="16"/>
                <w:szCs w:val="16"/>
                <w:b w:val="1"/>
                <w:bCs w:val="1"/>
                <w:color w:val="auto"/>
                <w:w w:val="88"/>
              </w:rPr>
              <w:t>Announced Plans</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40" w:type="dxa"/>
            <w:vAlign w:val="bottom"/>
          </w:tcPr>
          <w:p>
            <w:pPr>
              <w:jc w:val="center"/>
              <w:ind w:right="117"/>
              <w:spacing w:after="0"/>
              <w:rPr>
                <w:sz w:val="20"/>
                <w:szCs w:val="20"/>
                <w:color w:val="auto"/>
              </w:rPr>
            </w:pPr>
            <w:r>
              <w:rPr>
                <w:rFonts w:ascii="Arial" w:cs="Arial" w:eastAsia="Arial" w:hAnsi="Arial"/>
                <w:sz w:val="16"/>
                <w:szCs w:val="16"/>
                <w:b w:val="1"/>
                <w:bCs w:val="1"/>
                <w:color w:val="auto"/>
                <w:w w:val="91"/>
              </w:rPr>
              <w:t>Under the Plans or</w:t>
            </w:r>
          </w:p>
        </w:tc>
      </w:tr>
      <w:tr>
        <w:trPr>
          <w:trHeight w:val="210"/>
        </w:trPr>
        <w:tc>
          <w:tcPr>
            <w:tcW w:w="3120" w:type="dxa"/>
            <w:vAlign w:val="bottom"/>
            <w:gridSpan w:val="2"/>
          </w:tcPr>
          <w:p>
            <w:pPr>
              <w:ind w:left="1260"/>
              <w:spacing w:after="0"/>
              <w:rPr>
                <w:sz w:val="20"/>
                <w:szCs w:val="20"/>
                <w:color w:val="auto"/>
              </w:rPr>
            </w:pPr>
            <w:r>
              <w:rPr>
                <w:rFonts w:ascii="Arial" w:cs="Arial" w:eastAsia="Arial" w:hAnsi="Arial"/>
                <w:sz w:val="16"/>
                <w:szCs w:val="16"/>
                <w:b w:val="1"/>
                <w:bCs w:val="1"/>
                <w:color w:val="auto"/>
              </w:rPr>
              <w:t>Period</w:t>
            </w:r>
          </w:p>
        </w:tc>
        <w:tc>
          <w:tcPr>
            <w:tcW w:w="1760" w:type="dxa"/>
            <w:vAlign w:val="bottom"/>
          </w:tcPr>
          <w:p>
            <w:pPr>
              <w:jc w:val="center"/>
              <w:spacing w:after="0"/>
              <w:rPr>
                <w:sz w:val="20"/>
                <w:szCs w:val="20"/>
                <w:color w:val="auto"/>
              </w:rPr>
            </w:pPr>
            <w:r>
              <w:rPr>
                <w:rFonts w:ascii="Arial" w:cs="Arial" w:eastAsia="Arial" w:hAnsi="Arial"/>
                <w:sz w:val="16"/>
                <w:szCs w:val="16"/>
                <w:b w:val="1"/>
                <w:bCs w:val="1"/>
                <w:color w:val="auto"/>
                <w:w w:val="90"/>
              </w:rPr>
              <w:t>Purchased (1)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2"/>
              </w:rPr>
              <w:t>per Share</w:t>
            </w:r>
          </w:p>
        </w:tc>
        <w:tc>
          <w:tcPr>
            <w:tcW w:w="1680" w:type="dxa"/>
            <w:vAlign w:val="bottom"/>
          </w:tcPr>
          <w:p>
            <w:pPr>
              <w:jc w:val="center"/>
              <w:ind w:left="299"/>
              <w:spacing w:after="0"/>
              <w:rPr>
                <w:sz w:val="20"/>
                <w:szCs w:val="20"/>
                <w:color w:val="auto"/>
              </w:rPr>
            </w:pPr>
            <w:r>
              <w:rPr>
                <w:rFonts w:ascii="Arial" w:cs="Arial" w:eastAsia="Arial" w:hAnsi="Arial"/>
                <w:sz w:val="16"/>
                <w:szCs w:val="16"/>
                <w:b w:val="1"/>
                <w:bCs w:val="1"/>
                <w:color w:val="auto"/>
                <w:w w:val="92"/>
              </w:rPr>
              <w:t>or Programs (2)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Pr>
          <w:p>
            <w:pPr>
              <w:jc w:val="center"/>
              <w:ind w:right="117"/>
              <w:spacing w:after="0"/>
              <w:rPr>
                <w:sz w:val="20"/>
                <w:szCs w:val="20"/>
                <w:color w:val="auto"/>
              </w:rPr>
            </w:pPr>
            <w:r>
              <w:rPr>
                <w:rFonts w:ascii="Arial" w:cs="Arial" w:eastAsia="Arial" w:hAnsi="Arial"/>
                <w:sz w:val="16"/>
                <w:szCs w:val="16"/>
                <w:b w:val="1"/>
                <w:bCs w:val="1"/>
                <w:color w:val="auto"/>
                <w:w w:val="91"/>
              </w:rPr>
              <w:t>Programs (2)</w:t>
            </w:r>
          </w:p>
        </w:tc>
      </w:tr>
      <w:tr>
        <w:trPr>
          <w:trHeight w:val="33"/>
        </w:trPr>
        <w:tc>
          <w:tcPr>
            <w:tcW w:w="3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58"/>
        </w:trPr>
        <w:tc>
          <w:tcPr>
            <w:tcW w:w="3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940" w:type="dxa"/>
            <w:vAlign w:val="bottom"/>
          </w:tcPr>
          <w:p>
            <w:pPr>
              <w:jc w:val="right"/>
              <w:ind w:right="277"/>
              <w:spacing w:after="0"/>
              <w:rPr>
                <w:sz w:val="20"/>
                <w:szCs w:val="20"/>
                <w:color w:val="auto"/>
              </w:rPr>
            </w:pPr>
            <w:r>
              <w:rPr>
                <w:rFonts w:ascii="Arial" w:cs="Arial" w:eastAsia="Arial" w:hAnsi="Arial"/>
                <w:sz w:val="14"/>
                <w:szCs w:val="14"/>
                <w:b w:val="1"/>
                <w:bCs w:val="1"/>
                <w:color w:val="auto"/>
                <w:w w:val="95"/>
              </w:rPr>
              <w:t>(in thousands of dollars)</w:t>
            </w:r>
          </w:p>
        </w:tc>
      </w:tr>
      <w:tr>
        <w:trPr>
          <w:trHeight w:val="27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April 1 through April 28</w:t>
            </w:r>
          </w:p>
        </w:tc>
        <w:tc>
          <w:tcPr>
            <w:tcW w:w="1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410,000</w:t>
            </w:r>
          </w:p>
        </w:tc>
      </w:tr>
      <w:tr>
        <w:trPr>
          <w:trHeight w:val="257"/>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April 29 through May 26</w:t>
            </w:r>
          </w:p>
        </w:tc>
        <w:tc>
          <w:tcPr>
            <w:tcW w:w="1760" w:type="dxa"/>
            <w:vAlign w:val="bottom"/>
          </w:tcPr>
          <w:p>
            <w:pPr>
              <w:jc w:val="right"/>
              <w:ind w:right="34"/>
              <w:spacing w:after="0"/>
              <w:rPr>
                <w:sz w:val="20"/>
                <w:szCs w:val="20"/>
                <w:color w:val="auto"/>
              </w:rPr>
            </w:pPr>
            <w:r>
              <w:rPr>
                <w:rFonts w:ascii="Arial" w:cs="Arial" w:eastAsia="Arial" w:hAnsi="Arial"/>
                <w:sz w:val="18"/>
                <w:szCs w:val="18"/>
                <w:color w:val="auto"/>
              </w:rPr>
              <w:t>120,000</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128.67</w:t>
            </w:r>
          </w:p>
        </w:tc>
        <w:tc>
          <w:tcPr>
            <w:tcW w:w="1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37"/>
              <w:spacing w:after="0"/>
              <w:rPr>
                <w:sz w:val="20"/>
                <w:szCs w:val="20"/>
                <w:color w:val="auto"/>
              </w:rPr>
            </w:pPr>
            <w:r>
              <w:rPr>
                <w:rFonts w:ascii="Arial" w:cs="Arial" w:eastAsia="Arial" w:hAnsi="Arial"/>
                <w:sz w:val="18"/>
                <w:szCs w:val="18"/>
                <w:color w:val="auto"/>
              </w:rPr>
              <w:t>410,000</w:t>
            </w: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84"/>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May 27 through June 30</w:t>
            </w:r>
          </w:p>
        </w:tc>
        <w:tc>
          <w:tcPr>
            <w:tcW w:w="1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300,000</w:t>
            </w:r>
          </w:p>
        </w:tc>
        <w:tc>
          <w:tcPr>
            <w:tcW w:w="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134.96</w:t>
            </w:r>
          </w:p>
        </w:tc>
        <w:tc>
          <w:tcPr>
            <w:tcW w:w="12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410,000</w:t>
            </w:r>
          </w:p>
        </w:tc>
      </w:tr>
      <w:tr>
        <w:trPr>
          <w:trHeight w:val="271"/>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7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420,000</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133.17</w:t>
            </w:r>
          </w:p>
        </w:tc>
        <w:tc>
          <w:tcPr>
            <w:tcW w:w="120" w:type="dxa"/>
            <w:vAlign w:val="bottom"/>
          </w:tcPr>
          <w:p>
            <w:pPr>
              <w:spacing w:after="0"/>
              <w:rPr>
                <w:sz w:val="23"/>
                <w:szCs w:val="23"/>
                <w:color w:val="auto"/>
              </w:rPr>
            </w:pPr>
          </w:p>
        </w:tc>
        <w:tc>
          <w:tcPr>
            <w:tcW w:w="1680" w:type="dxa"/>
            <w:vAlign w:val="bottom"/>
            <w:tcBorders>
              <w:top w:val="single" w:sz="8" w:color="auto"/>
              <w:bottom w:val="single" w:sz="8" w:color="auto"/>
            </w:tcBorders>
          </w:tcPr>
          <w:p>
            <w:pPr>
              <w:spacing w:after="0"/>
              <w:rPr>
                <w:sz w:val="23"/>
                <w:szCs w:val="23"/>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67" w:lineRule="exact"/>
        <w:rPr>
          <w:sz w:val="20"/>
          <w:szCs w:val="20"/>
          <w:color w:val="auto"/>
        </w:rPr>
      </w:pPr>
    </w:p>
    <w:p>
      <w:pPr>
        <w:ind w:right="460" w:firstLine="8"/>
        <w:spacing w:after="0" w:line="277" w:lineRule="auto"/>
        <w:tabs>
          <w:tab w:leader="none" w:pos="2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During the three months ended June 30, 2019, 420,000 shares of Common Stock were purchased in open market transactions in connection with our practice of buying back shares sufficient to offset those issued under incentive compensation plans.</w:t>
      </w:r>
    </w:p>
    <w:p>
      <w:pPr>
        <w:spacing w:after="0" w:line="8" w:lineRule="exact"/>
        <w:rPr>
          <w:rFonts w:ascii="Arial" w:cs="Arial" w:eastAsia="Arial" w:hAnsi="Arial"/>
          <w:sz w:val="18"/>
          <w:szCs w:val="18"/>
          <w:color w:val="auto"/>
        </w:rPr>
      </w:pPr>
    </w:p>
    <w:p>
      <w:pPr>
        <w:ind w:right="340" w:firstLine="8"/>
        <w:spacing w:after="0" w:line="312" w:lineRule="auto"/>
        <w:tabs>
          <w:tab w:leader="none" w:pos="255"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 October 2017, our Board of Directors approved a $100 million share repurchase authorization. This program was completed in the first quarter of 2019. In July 2018, our Board of Directors approved an additional $500 million share repurchase authorization. As of June 30, 2019, approximately $410 million remained available for repurchases of our Common Stock under this program. The share repurchase program does not have an expiration date.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580" w:right="2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Item 6. Exhibits.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this Quarterly Report on Form 10-Q:</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300" w:type="dxa"/>
            <w:vAlign w:val="bottom"/>
            <w:gridSpan w:val="4"/>
          </w:tcPr>
          <w:p>
            <w:pPr>
              <w:jc w:val="center"/>
              <w:ind w:right="140"/>
              <w:spacing w:after="0"/>
              <w:rPr>
                <w:sz w:val="20"/>
                <w:szCs w:val="20"/>
                <w:color w:val="auto"/>
              </w:rPr>
            </w:pPr>
            <w:r>
              <w:rPr>
                <w:rFonts w:ascii="Arial" w:cs="Arial" w:eastAsia="Arial" w:hAnsi="Arial"/>
                <w:sz w:val="16"/>
                <w:szCs w:val="16"/>
                <w:b w:val="1"/>
                <w:bCs w:val="1"/>
                <w:color w:val="auto"/>
                <w:w w:val="97"/>
              </w:rPr>
              <w:t>Exhibit</w:t>
            </w: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9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0"/>
        </w:trPr>
        <w:tc>
          <w:tcPr>
            <w:tcW w:w="130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5"/>
              </w:rPr>
              <w:t>Number</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00" w:type="dxa"/>
            <w:vAlign w:val="bottom"/>
            <w:gridSpan w:val="3"/>
          </w:tcPr>
          <w:p>
            <w:pPr>
              <w:ind w:left="3820"/>
              <w:spacing w:after="0"/>
              <w:rPr>
                <w:sz w:val="20"/>
                <w:szCs w:val="20"/>
                <w:color w:val="auto"/>
              </w:rPr>
            </w:pPr>
            <w:r>
              <w:rPr>
                <w:rFonts w:ascii="Arial" w:cs="Arial" w:eastAsia="Arial" w:hAnsi="Arial"/>
                <w:sz w:val="16"/>
                <w:szCs w:val="16"/>
                <w:b w:val="1"/>
                <w:bCs w:val="1"/>
                <w:color w:val="auto"/>
              </w:rPr>
              <w:t>Description</w:t>
            </w:r>
          </w:p>
        </w:tc>
      </w:tr>
      <w:tr>
        <w:trPr>
          <w:trHeight w:val="33"/>
        </w:trPr>
        <w:tc>
          <w:tcPr>
            <w:tcW w:w="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183"/>
        </w:trPr>
        <w:tc>
          <w:tcPr>
            <w:tcW w:w="440" w:type="dxa"/>
            <w:vAlign w:val="bottom"/>
            <w:shd w:val="clear" w:color="auto" w:fill="CCEEFF"/>
          </w:tcPr>
          <w:p>
            <w:pPr>
              <w:spacing w:after="0"/>
              <w:rPr>
                <w:sz w:val="15"/>
                <w:szCs w:val="15"/>
                <w:color w:val="auto"/>
              </w:rPr>
            </w:pPr>
          </w:p>
        </w:tc>
        <w:tc>
          <w:tcPr>
            <w:tcW w:w="280" w:type="dxa"/>
            <w:vAlign w:val="bottom"/>
            <w:shd w:val="clear" w:color="auto" w:fill="CCEEFF"/>
          </w:tcPr>
          <w:p>
            <w:pPr>
              <w:jc w:val="center"/>
              <w:spacing w:after="0" w:line="183" w:lineRule="exact"/>
              <w:rPr>
                <w:rFonts w:ascii="Arial" w:cs="Arial" w:eastAsia="Arial" w:hAnsi="Arial"/>
                <w:sz w:val="16"/>
                <w:szCs w:val="16"/>
                <w:color w:val="0000FF"/>
                <w:w w:val="89"/>
              </w:rPr>
            </w:pPr>
            <w:hyperlink r:id="rId44">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1</w:t>
              </w:r>
            </w:hyperlink>
          </w:p>
        </w:tc>
        <w:tc>
          <w:tcPr>
            <w:tcW w:w="44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0120" w:type="dxa"/>
            <w:vAlign w:val="bottom"/>
            <w:gridSpan w:val="5"/>
            <w:shd w:val="clear" w:color="auto" w:fill="CCEEFF"/>
          </w:tcPr>
          <w:p>
            <w:pPr>
              <w:spacing w:after="0" w:line="183" w:lineRule="exact"/>
              <w:rPr>
                <w:rFonts w:ascii="Arial" w:cs="Arial" w:eastAsia="Arial" w:hAnsi="Arial"/>
                <w:sz w:val="16"/>
                <w:szCs w:val="16"/>
                <w:color w:val="0000FF"/>
                <w:w w:val="94"/>
              </w:rPr>
            </w:pPr>
            <w:hyperlink r:id="rId44">
              <w:r>
                <w:rPr>
                  <w:rFonts w:ascii="Arial" w:cs="Arial" w:eastAsia="Arial" w:hAnsi="Arial"/>
                  <w:sz w:val="16"/>
                  <w:szCs w:val="16"/>
                  <w:color w:val="0000FF"/>
                  <w:w w:val="94"/>
                </w:rPr>
                <w:t>Five Year Credit Agreement dated as of July 2, 2019, is incorporated by reference from Exhibit 10.1 to the Company's Current Report on Form 8-K filed</w:t>
              </w:r>
            </w:hyperlink>
          </w:p>
        </w:tc>
      </w:tr>
      <w:tr>
        <w:trPr>
          <w:trHeight w:val="20"/>
        </w:trPr>
        <w:tc>
          <w:tcPr>
            <w:tcW w:w="440" w:type="dxa"/>
            <w:vAlign w:val="bottom"/>
            <w:shd w:val="clear" w:color="auto" w:fill="CCEE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900" w:type="dxa"/>
            <w:vAlign w:val="bottom"/>
            <w:shd w:val="clear" w:color="auto" w:fill="0000FF"/>
          </w:tcPr>
          <w:p>
            <w:pPr>
              <w:spacing w:after="0" w:line="20" w:lineRule="exact"/>
              <w:rPr>
                <w:sz w:val="1"/>
                <w:szCs w:val="1"/>
                <w:color w:val="auto"/>
              </w:rPr>
            </w:pPr>
          </w:p>
        </w:tc>
        <w:tc>
          <w:tcPr>
            <w:tcW w:w="2240" w:type="dxa"/>
            <w:vAlign w:val="bottom"/>
            <w:tcBorders>
              <w:right w:val="single" w:sz="8" w:color="CCEEFF"/>
            </w:tcBorders>
            <w:shd w:val="clear" w:color="auto" w:fill="0000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183"/>
        </w:trPr>
        <w:tc>
          <w:tcPr>
            <w:tcW w:w="4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0120" w:type="dxa"/>
            <w:vAlign w:val="bottom"/>
            <w:gridSpan w:val="5"/>
            <w:shd w:val="clear" w:color="auto" w:fill="CCEEFF"/>
          </w:tcPr>
          <w:p>
            <w:pPr>
              <w:spacing w:after="0" w:line="183" w:lineRule="exact"/>
              <w:rPr>
                <w:rFonts w:ascii="Arial" w:cs="Arial" w:eastAsia="Arial" w:hAnsi="Arial"/>
                <w:sz w:val="16"/>
                <w:szCs w:val="16"/>
                <w:color w:val="0000FF"/>
              </w:rPr>
            </w:pPr>
            <w:hyperlink r:id="rId44">
              <w:r>
                <w:rPr>
                  <w:rFonts w:ascii="Arial" w:cs="Arial" w:eastAsia="Arial" w:hAnsi="Arial"/>
                  <w:sz w:val="16"/>
                  <w:szCs w:val="16"/>
                  <w:color w:val="0000FF"/>
                </w:rPr>
                <w:t>July 2, 2019.</w:t>
              </w:r>
            </w:hyperlink>
          </w:p>
        </w:tc>
      </w:tr>
      <w:tr>
        <w:trPr>
          <w:trHeight w:val="48"/>
        </w:trPr>
        <w:tc>
          <w:tcPr>
            <w:tcW w:w="4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right w:val="single" w:sz="8" w:color="CCEEFF"/>
            </w:tcBorders>
            <w:shd w:val="clear" w:color="auto" w:fill="CCEEFF"/>
          </w:tcPr>
          <w:p>
            <w:pPr>
              <w:spacing w:after="0"/>
              <w:rPr>
                <w:sz w:val="4"/>
                <w:szCs w:val="4"/>
                <w:color w:val="auto"/>
              </w:rPr>
            </w:pPr>
          </w:p>
        </w:tc>
        <w:tc>
          <w:tcPr>
            <w:tcW w:w="8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900" w:type="dxa"/>
            <w:vAlign w:val="bottom"/>
            <w:tcBorders>
              <w:top w:val="single" w:sz="8" w:color="CCEEFF"/>
            </w:tcBorders>
            <w:shd w:val="clear" w:color="auto" w:fill="CCEEFF"/>
          </w:tcPr>
          <w:p>
            <w:pPr>
              <w:spacing w:after="0"/>
              <w:rPr>
                <w:sz w:val="4"/>
                <w:szCs w:val="4"/>
                <w:color w:val="auto"/>
              </w:rPr>
            </w:pPr>
          </w:p>
        </w:tc>
        <w:tc>
          <w:tcPr>
            <w:tcW w:w="2240" w:type="dxa"/>
            <w:vAlign w:val="bottom"/>
            <w:tcBorders>
              <w:top w:val="single" w:sz="8" w:color="CCEEFF"/>
              <w:right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r>
      <w:tr>
        <w:trPr>
          <w:trHeight w:val="189"/>
        </w:trPr>
        <w:tc>
          <w:tcPr>
            <w:tcW w:w="720" w:type="dxa"/>
            <w:vAlign w:val="bottom"/>
            <w:gridSpan w:val="2"/>
          </w:tcPr>
          <w:p>
            <w:pPr>
              <w:jc w:val="center"/>
              <w:ind w:left="359"/>
              <w:spacing w:after="0"/>
              <w:rPr>
                <w:rFonts w:ascii="Arial" w:cs="Arial" w:eastAsia="Arial" w:hAnsi="Arial"/>
                <w:sz w:val="16"/>
                <w:szCs w:val="16"/>
                <w:color w:val="0000FF"/>
                <w:w w:val="89"/>
              </w:rPr>
            </w:pPr>
            <w:hyperlink w:anchor="page56">
              <w:r>
                <w:rPr>
                  <w:rFonts w:ascii="Arial" w:cs="Arial" w:eastAsia="Arial" w:hAnsi="Arial"/>
                  <w:sz w:val="16"/>
                  <w:szCs w:val="16"/>
                  <w:color w:val="0000FF"/>
                  <w:w w:val="89"/>
                </w:rPr>
                <w:t>31.</w:t>
              </w:r>
              <w:r>
                <w:rPr>
                  <w:rFonts w:ascii="Arial" w:cs="Arial" w:eastAsia="Arial" w:hAnsi="Arial"/>
                  <w:sz w:val="16"/>
                  <w:szCs w:val="16"/>
                  <w:u w:val="single" w:color="auto"/>
                  <w:color w:val="0000FF"/>
                  <w:w w:val="89"/>
                </w:rPr>
                <w:t>1</w:t>
              </w:r>
            </w:hyperlink>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120" w:type="dxa"/>
            <w:vAlign w:val="bottom"/>
            <w:gridSpan w:val="5"/>
          </w:tcPr>
          <w:p>
            <w:pPr>
              <w:spacing w:after="0"/>
              <w:rPr>
                <w:rFonts w:ascii="Arial" w:cs="Arial" w:eastAsia="Arial" w:hAnsi="Arial"/>
                <w:sz w:val="16"/>
                <w:szCs w:val="16"/>
                <w:color w:val="0000FF"/>
              </w:rPr>
            </w:pPr>
            <w:hyperlink w:anchor="page56">
              <w:r>
                <w:rPr>
                  <w:rFonts w:ascii="Arial" w:cs="Arial" w:eastAsia="Arial" w:hAnsi="Arial"/>
                  <w:sz w:val="16"/>
                  <w:szCs w:val="16"/>
                  <w:color w:val="0000FF"/>
                </w:rPr>
                <w:t>Certification of Michele G. Buck, Chief Executive Officer, pursuant to Section 302 of the Sarbanes-Oxley Act of 2002.</w:t>
              </w:r>
            </w:hyperlink>
            <w:r>
              <w:rPr>
                <w:rFonts w:ascii="Arial" w:cs="Arial" w:eastAsia="Arial" w:hAnsi="Arial"/>
                <w:sz w:val="16"/>
                <w:szCs w:val="16"/>
                <w:color w:val="000000"/>
              </w:rPr>
              <w:t>*</w:t>
            </w:r>
          </w:p>
        </w:tc>
      </w:tr>
      <w:tr>
        <w:trPr>
          <w:trHeight w:val="61"/>
        </w:trPr>
        <w:tc>
          <w:tcPr>
            <w:tcW w:w="440" w:type="dxa"/>
            <w:vAlign w:val="bottom"/>
          </w:tcPr>
          <w:p>
            <w:pPr>
              <w:spacing w:after="0"/>
              <w:rPr>
                <w:sz w:val="5"/>
                <w:szCs w:val="5"/>
                <w:color w:val="auto"/>
              </w:rPr>
            </w:pPr>
          </w:p>
        </w:tc>
        <w:tc>
          <w:tcPr>
            <w:tcW w:w="280" w:type="dxa"/>
            <w:vAlign w:val="bottom"/>
            <w:tcBorders>
              <w:top w:val="single" w:sz="8" w:color="0000FF"/>
            </w:tcBorders>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6900" w:type="dxa"/>
            <w:vAlign w:val="bottom"/>
            <w:tcBorders>
              <w:top w:val="single" w:sz="8" w:color="0000FF"/>
            </w:tcBorders>
          </w:tcPr>
          <w:p>
            <w:pPr>
              <w:spacing w:after="0"/>
              <w:rPr>
                <w:sz w:val="5"/>
                <w:szCs w:val="5"/>
                <w:color w:val="auto"/>
              </w:rPr>
            </w:pPr>
          </w:p>
        </w:tc>
        <w:tc>
          <w:tcPr>
            <w:tcW w:w="2240" w:type="dxa"/>
            <w:vAlign w:val="bottom"/>
          </w:tcPr>
          <w:p>
            <w:pPr>
              <w:spacing w:after="0"/>
              <w:rPr>
                <w:sz w:val="5"/>
                <w:szCs w:val="5"/>
                <w:color w:val="auto"/>
              </w:rPr>
            </w:pPr>
          </w:p>
        </w:tc>
        <w:tc>
          <w:tcPr>
            <w:tcW w:w="160" w:type="dxa"/>
            <w:vAlign w:val="bottom"/>
          </w:tcPr>
          <w:p>
            <w:pPr>
              <w:spacing w:after="0"/>
              <w:rPr>
                <w:sz w:val="5"/>
                <w:szCs w:val="5"/>
                <w:color w:val="auto"/>
              </w:rPr>
            </w:pPr>
          </w:p>
        </w:tc>
      </w:tr>
      <w:tr>
        <w:trPr>
          <w:trHeight w:val="189"/>
        </w:trPr>
        <w:tc>
          <w:tcPr>
            <w:tcW w:w="720" w:type="dxa"/>
            <w:vAlign w:val="bottom"/>
            <w:gridSpan w:val="2"/>
            <w:shd w:val="clear" w:color="auto" w:fill="CCEEFF"/>
          </w:tcPr>
          <w:p>
            <w:pPr>
              <w:jc w:val="center"/>
              <w:ind w:left="359"/>
              <w:spacing w:after="0"/>
              <w:rPr>
                <w:rFonts w:ascii="Arial" w:cs="Arial" w:eastAsia="Arial" w:hAnsi="Arial"/>
                <w:sz w:val="16"/>
                <w:szCs w:val="16"/>
                <w:color w:val="0000FF"/>
                <w:w w:val="89"/>
              </w:rPr>
            </w:pPr>
            <w:hyperlink w:anchor="page57">
              <w:r>
                <w:rPr>
                  <w:rFonts w:ascii="Arial" w:cs="Arial" w:eastAsia="Arial" w:hAnsi="Arial"/>
                  <w:sz w:val="16"/>
                  <w:szCs w:val="16"/>
                  <w:color w:val="0000FF"/>
                  <w:w w:val="89"/>
                </w:rPr>
                <w:t>31.</w:t>
              </w:r>
              <w:r>
                <w:rPr>
                  <w:rFonts w:ascii="Arial" w:cs="Arial" w:eastAsia="Arial" w:hAnsi="Arial"/>
                  <w:sz w:val="16"/>
                  <w:szCs w:val="16"/>
                  <w:u w:val="single" w:color="auto"/>
                  <w:color w:val="0000FF"/>
                  <w:w w:val="89"/>
                </w:rPr>
                <w:t>2</w:t>
              </w:r>
            </w:hyperlink>
          </w:p>
        </w:tc>
        <w:tc>
          <w:tcPr>
            <w:tcW w:w="44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120" w:type="dxa"/>
            <w:vAlign w:val="bottom"/>
            <w:gridSpan w:val="5"/>
            <w:shd w:val="clear" w:color="auto" w:fill="CCEEFF"/>
          </w:tcPr>
          <w:p>
            <w:pPr>
              <w:spacing w:after="0"/>
              <w:rPr>
                <w:rFonts w:ascii="Arial" w:cs="Arial" w:eastAsia="Arial" w:hAnsi="Arial"/>
                <w:sz w:val="16"/>
                <w:szCs w:val="16"/>
                <w:color w:val="0000FF"/>
              </w:rPr>
            </w:pPr>
            <w:hyperlink w:anchor="page57">
              <w:r>
                <w:rPr>
                  <w:rFonts w:ascii="Arial" w:cs="Arial" w:eastAsia="Arial" w:hAnsi="Arial"/>
                  <w:sz w:val="16"/>
                  <w:szCs w:val="16"/>
                  <w:color w:val="0000FF"/>
                </w:rPr>
                <w:t>Certification of Steven E. Voskuil, Chief Financial Officer, pursuant to Section 302 of the Sarbanes-Oxley Act of 2002.</w:t>
              </w:r>
            </w:hyperlink>
            <w:r>
              <w:rPr>
                <w:rFonts w:ascii="Arial" w:cs="Arial" w:eastAsia="Arial" w:hAnsi="Arial"/>
                <w:sz w:val="16"/>
                <w:szCs w:val="16"/>
                <w:color w:val="000000"/>
              </w:rPr>
              <w:t>*</w:t>
            </w:r>
          </w:p>
        </w:tc>
      </w:tr>
      <w:tr>
        <w:trPr>
          <w:trHeight w:val="61"/>
        </w:trPr>
        <w:tc>
          <w:tcPr>
            <w:tcW w:w="4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0000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right w:val="single" w:sz="8" w:color="CCEEFF"/>
            </w:tcBorders>
            <w:shd w:val="clear" w:color="auto" w:fill="CCEEFF"/>
          </w:tcPr>
          <w:p>
            <w:pPr>
              <w:spacing w:after="0"/>
              <w:rPr>
                <w:sz w:val="5"/>
                <w:szCs w:val="5"/>
                <w:color w:val="auto"/>
              </w:rPr>
            </w:pPr>
          </w:p>
        </w:tc>
        <w:tc>
          <w:tcPr>
            <w:tcW w:w="80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6900" w:type="dxa"/>
            <w:vAlign w:val="bottom"/>
            <w:tcBorders>
              <w:top w:val="single" w:sz="8" w:color="0000FF"/>
            </w:tcBorders>
            <w:shd w:val="clear" w:color="auto" w:fill="CCEEFF"/>
          </w:tcPr>
          <w:p>
            <w:pPr>
              <w:spacing w:after="0"/>
              <w:rPr>
                <w:sz w:val="5"/>
                <w:szCs w:val="5"/>
                <w:color w:val="auto"/>
              </w:rPr>
            </w:pPr>
          </w:p>
        </w:tc>
        <w:tc>
          <w:tcPr>
            <w:tcW w:w="2240" w:type="dxa"/>
            <w:vAlign w:val="bottom"/>
            <w:tcBorders>
              <w:top w:val="single" w:sz="8" w:color="CCEEFF"/>
              <w:right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r>
      <w:tr>
        <w:trPr>
          <w:trHeight w:val="189"/>
        </w:trPr>
        <w:tc>
          <w:tcPr>
            <w:tcW w:w="440" w:type="dxa"/>
            <w:vAlign w:val="bottom"/>
          </w:tcPr>
          <w:p>
            <w:pPr>
              <w:spacing w:after="0"/>
              <w:rPr>
                <w:sz w:val="16"/>
                <w:szCs w:val="16"/>
                <w:color w:val="auto"/>
              </w:rPr>
            </w:pPr>
          </w:p>
        </w:tc>
        <w:tc>
          <w:tcPr>
            <w:tcW w:w="280" w:type="dxa"/>
            <w:vAlign w:val="bottom"/>
          </w:tcPr>
          <w:p>
            <w:pPr>
              <w:jc w:val="center"/>
              <w:spacing w:after="0"/>
              <w:rPr>
                <w:rFonts w:ascii="Arial" w:cs="Arial" w:eastAsia="Arial" w:hAnsi="Arial"/>
                <w:sz w:val="16"/>
                <w:szCs w:val="16"/>
                <w:color w:val="0000FF"/>
                <w:w w:val="89"/>
              </w:rPr>
            </w:pPr>
            <w:hyperlink w:anchor="page58">
              <w:r>
                <w:rPr>
                  <w:rFonts w:ascii="Arial" w:cs="Arial" w:eastAsia="Arial" w:hAnsi="Arial"/>
                  <w:sz w:val="16"/>
                  <w:szCs w:val="16"/>
                  <w:color w:val="0000FF"/>
                  <w:w w:val="89"/>
                </w:rPr>
                <w:t>32.</w:t>
              </w:r>
              <w:r>
                <w:rPr>
                  <w:rFonts w:ascii="Arial" w:cs="Arial" w:eastAsia="Arial" w:hAnsi="Arial"/>
                  <w:sz w:val="16"/>
                  <w:szCs w:val="16"/>
                  <w:u w:val="single" w:color="auto"/>
                  <w:color w:val="0000FF"/>
                  <w:w w:val="89"/>
                </w:rPr>
                <w:t>1</w:t>
              </w:r>
            </w:hyperlink>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120" w:type="dxa"/>
            <w:vAlign w:val="bottom"/>
            <w:gridSpan w:val="5"/>
          </w:tcPr>
          <w:p>
            <w:pPr>
              <w:spacing w:after="0"/>
              <w:rPr>
                <w:rFonts w:ascii="Arial" w:cs="Arial" w:eastAsia="Arial" w:hAnsi="Arial"/>
                <w:sz w:val="16"/>
                <w:szCs w:val="16"/>
                <w:color w:val="0000FF"/>
                <w:w w:val="94"/>
              </w:rPr>
            </w:pPr>
            <w:hyperlink w:anchor="page58">
              <w:r>
                <w:rPr>
                  <w:rFonts w:ascii="Arial" w:cs="Arial" w:eastAsia="Arial" w:hAnsi="Arial"/>
                  <w:sz w:val="16"/>
                  <w:szCs w:val="16"/>
                  <w:color w:val="0000FF"/>
                  <w:w w:val="94"/>
                </w:rPr>
                <w:t>Certification of Michele G. Buck, Chief Executive Officer, and Steven E. Voskuil, Chief Financial Officer, pursuant to Section 906 of the Sarbanes-Oxley</w:t>
              </w:r>
            </w:hyperlink>
          </w:p>
        </w:tc>
      </w:tr>
      <w:tr>
        <w:trPr>
          <w:trHeight w:val="20"/>
        </w:trPr>
        <w:tc>
          <w:tcPr>
            <w:tcW w:w="4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916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120" w:type="dxa"/>
            <w:vAlign w:val="bottom"/>
            <w:gridSpan w:val="5"/>
          </w:tcPr>
          <w:p>
            <w:pPr>
              <w:spacing w:after="0" w:line="183" w:lineRule="exact"/>
              <w:rPr>
                <w:rFonts w:ascii="Arial" w:cs="Arial" w:eastAsia="Arial" w:hAnsi="Arial"/>
                <w:sz w:val="16"/>
                <w:szCs w:val="16"/>
                <w:color w:val="0000FF"/>
              </w:rPr>
            </w:pPr>
            <w:hyperlink w:anchor="page58">
              <w:r>
                <w:rPr>
                  <w:rFonts w:ascii="Arial" w:cs="Arial" w:eastAsia="Arial" w:hAnsi="Arial"/>
                  <w:sz w:val="16"/>
                  <w:szCs w:val="16"/>
                  <w:color w:val="0000FF"/>
                </w:rPr>
                <w:t>Act of 2002.</w:t>
              </w:r>
              <w:r>
                <w:rPr>
                  <w:rFonts w:ascii="Arial" w:cs="Arial" w:eastAsia="Arial" w:hAnsi="Arial"/>
                  <w:sz w:val="16"/>
                  <w:szCs w:val="16"/>
                  <w:color w:val="000000"/>
                </w:rPr>
                <w:t>**</w:t>
              </w:r>
            </w:hyperlink>
          </w:p>
        </w:tc>
      </w:tr>
      <w:tr>
        <w:trPr>
          <w:trHeight w:val="48"/>
        </w:trPr>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6900" w:type="dxa"/>
            <w:vAlign w:val="bottom"/>
          </w:tcPr>
          <w:p>
            <w:pPr>
              <w:spacing w:after="0"/>
              <w:rPr>
                <w:sz w:val="4"/>
                <w:szCs w:val="4"/>
                <w:color w:val="auto"/>
              </w:rPr>
            </w:pPr>
          </w:p>
        </w:tc>
        <w:tc>
          <w:tcPr>
            <w:tcW w:w="224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20"/>
        </w:trPr>
        <w:tc>
          <w:tcPr>
            <w:tcW w:w="1300" w:type="dxa"/>
            <w:vAlign w:val="bottom"/>
            <w:tcBorders>
              <w:right w:val="single" w:sz="8" w:color="CCEEFF"/>
            </w:tcBorders>
            <w:gridSpan w:val="4"/>
            <w:shd w:val="clear" w:color="auto" w:fill="CCEEFF"/>
          </w:tcPr>
          <w:p>
            <w:pPr>
              <w:jc w:val="center"/>
              <w:ind w:right="140"/>
              <w:spacing w:after="0"/>
              <w:rPr>
                <w:sz w:val="20"/>
                <w:szCs w:val="20"/>
                <w:color w:val="auto"/>
              </w:rPr>
            </w:pPr>
            <w:r>
              <w:rPr>
                <w:rFonts w:ascii="Arial" w:cs="Arial" w:eastAsia="Arial" w:hAnsi="Arial"/>
                <w:sz w:val="16"/>
                <w:szCs w:val="16"/>
                <w:color w:val="auto"/>
                <w:w w:val="96"/>
              </w:rPr>
              <w:t>101.INS</w:t>
            </w:r>
          </w:p>
        </w:tc>
        <w:tc>
          <w:tcPr>
            <w:tcW w:w="10120" w:type="dxa"/>
            <w:vAlign w:val="bottom"/>
            <w:gridSpan w:val="5"/>
            <w:shd w:val="clear" w:color="auto" w:fill="CCEEFF"/>
          </w:tcPr>
          <w:p>
            <w:pPr>
              <w:spacing w:after="0"/>
              <w:rPr>
                <w:sz w:val="20"/>
                <w:szCs w:val="20"/>
                <w:color w:val="auto"/>
              </w:rPr>
            </w:pPr>
            <w:r>
              <w:rPr>
                <w:rFonts w:ascii="Arial" w:cs="Arial" w:eastAsia="Arial" w:hAnsi="Arial"/>
                <w:sz w:val="16"/>
                <w:szCs w:val="16"/>
                <w:color w:val="auto"/>
                <w:w w:val="95"/>
              </w:rPr>
              <w:t>XBRL Instance Document - the instance document does not appear in the Interactive Data File because its XBRL tags are embedded within the Inline</w:t>
            </w:r>
          </w:p>
        </w:tc>
      </w:tr>
      <w:tr>
        <w:trPr>
          <w:trHeight w:val="219"/>
        </w:trPr>
        <w:tc>
          <w:tcPr>
            <w:tcW w:w="4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right w:val="single" w:sz="8" w:color="CCEEFF"/>
            </w:tcBorders>
            <w:shd w:val="clear" w:color="auto" w:fill="CCEEFF"/>
          </w:tcPr>
          <w:p>
            <w:pPr>
              <w:spacing w:after="0"/>
              <w:rPr>
                <w:sz w:val="19"/>
                <w:szCs w:val="19"/>
                <w:color w:val="auto"/>
              </w:rPr>
            </w:pPr>
          </w:p>
        </w:tc>
        <w:tc>
          <w:tcPr>
            <w:tcW w:w="101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6"/>
                <w:szCs w:val="16"/>
                <w:color w:val="auto"/>
              </w:rPr>
              <w:t>XBRL document.</w:t>
            </w:r>
          </w:p>
        </w:tc>
      </w:tr>
      <w:tr>
        <w:trPr>
          <w:trHeight w:val="224"/>
        </w:trPr>
        <w:tc>
          <w:tcPr>
            <w:tcW w:w="1300" w:type="dxa"/>
            <w:vAlign w:val="bottom"/>
            <w:gridSpan w:val="4"/>
          </w:tcPr>
          <w:p>
            <w:pPr>
              <w:jc w:val="center"/>
              <w:ind w:right="140"/>
              <w:spacing w:after="0"/>
              <w:rPr>
                <w:sz w:val="20"/>
                <w:szCs w:val="20"/>
                <w:color w:val="auto"/>
              </w:rPr>
            </w:pPr>
            <w:r>
              <w:rPr>
                <w:rFonts w:ascii="Arial" w:cs="Arial" w:eastAsia="Arial" w:hAnsi="Arial"/>
                <w:sz w:val="16"/>
                <w:szCs w:val="16"/>
                <w:color w:val="auto"/>
                <w:w w:val="92"/>
              </w:rPr>
              <w:t>101.SCH</w:t>
            </w:r>
          </w:p>
        </w:tc>
        <w:tc>
          <w:tcPr>
            <w:tcW w:w="10120" w:type="dxa"/>
            <w:vAlign w:val="bottom"/>
            <w:gridSpan w:val="5"/>
          </w:tcPr>
          <w:p>
            <w:pPr>
              <w:spacing w:after="0"/>
              <w:rPr>
                <w:sz w:val="20"/>
                <w:szCs w:val="20"/>
                <w:color w:val="auto"/>
              </w:rPr>
            </w:pPr>
            <w:r>
              <w:rPr>
                <w:rFonts w:ascii="Arial" w:cs="Arial" w:eastAsia="Arial" w:hAnsi="Arial"/>
                <w:sz w:val="16"/>
                <w:szCs w:val="16"/>
                <w:color w:val="auto"/>
              </w:rPr>
              <w:t>XBRL Taxonomy Extension Schema</w:t>
            </w:r>
          </w:p>
        </w:tc>
      </w:tr>
      <w:tr>
        <w:trPr>
          <w:trHeight w:val="47"/>
        </w:trPr>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6900" w:type="dxa"/>
            <w:vAlign w:val="bottom"/>
          </w:tcPr>
          <w:p>
            <w:pPr>
              <w:spacing w:after="0"/>
              <w:rPr>
                <w:sz w:val="4"/>
                <w:szCs w:val="4"/>
                <w:color w:val="auto"/>
              </w:rPr>
            </w:pPr>
          </w:p>
        </w:tc>
        <w:tc>
          <w:tcPr>
            <w:tcW w:w="224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50"/>
        </w:trPr>
        <w:tc>
          <w:tcPr>
            <w:tcW w:w="1300" w:type="dxa"/>
            <w:vAlign w:val="bottom"/>
            <w:tcBorders>
              <w:bottom w:val="single" w:sz="8" w:color="CCEEFF"/>
              <w:right w:val="single" w:sz="8" w:color="CCEEFF"/>
            </w:tcBorders>
            <w:gridSpan w:val="4"/>
            <w:shd w:val="clear" w:color="auto" w:fill="CCEEFF"/>
          </w:tcPr>
          <w:p>
            <w:pPr>
              <w:jc w:val="center"/>
              <w:ind w:right="140"/>
              <w:spacing w:after="0"/>
              <w:rPr>
                <w:sz w:val="20"/>
                <w:szCs w:val="20"/>
                <w:color w:val="auto"/>
              </w:rPr>
            </w:pPr>
            <w:r>
              <w:rPr>
                <w:rFonts w:ascii="Arial" w:cs="Arial" w:eastAsia="Arial" w:hAnsi="Arial"/>
                <w:sz w:val="16"/>
                <w:szCs w:val="16"/>
                <w:color w:val="auto"/>
                <w:w w:val="96"/>
              </w:rPr>
              <w:t>101.CAL</w:t>
            </w:r>
          </w:p>
        </w:tc>
        <w:tc>
          <w:tcPr>
            <w:tcW w:w="101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6"/>
                <w:szCs w:val="16"/>
                <w:color w:val="auto"/>
              </w:rPr>
              <w:t>XBRL Taxonomy Extension Calculation Linkbase</w:t>
            </w:r>
          </w:p>
        </w:tc>
      </w:tr>
      <w:tr>
        <w:trPr>
          <w:trHeight w:val="224"/>
        </w:trPr>
        <w:tc>
          <w:tcPr>
            <w:tcW w:w="1300" w:type="dxa"/>
            <w:vAlign w:val="bottom"/>
            <w:gridSpan w:val="4"/>
          </w:tcPr>
          <w:p>
            <w:pPr>
              <w:jc w:val="center"/>
              <w:ind w:right="140"/>
              <w:spacing w:after="0"/>
              <w:rPr>
                <w:sz w:val="20"/>
                <w:szCs w:val="20"/>
                <w:color w:val="auto"/>
              </w:rPr>
            </w:pPr>
            <w:r>
              <w:rPr>
                <w:rFonts w:ascii="Arial" w:cs="Arial" w:eastAsia="Arial" w:hAnsi="Arial"/>
                <w:sz w:val="16"/>
                <w:szCs w:val="16"/>
                <w:color w:val="auto"/>
                <w:w w:val="97"/>
              </w:rPr>
              <w:t>101.LAB</w:t>
            </w:r>
          </w:p>
        </w:tc>
        <w:tc>
          <w:tcPr>
            <w:tcW w:w="10120" w:type="dxa"/>
            <w:vAlign w:val="bottom"/>
            <w:gridSpan w:val="5"/>
          </w:tcPr>
          <w:p>
            <w:pPr>
              <w:spacing w:after="0"/>
              <w:rPr>
                <w:sz w:val="20"/>
                <w:szCs w:val="20"/>
                <w:color w:val="auto"/>
              </w:rPr>
            </w:pPr>
            <w:r>
              <w:rPr>
                <w:rFonts w:ascii="Arial" w:cs="Arial" w:eastAsia="Arial" w:hAnsi="Arial"/>
                <w:sz w:val="16"/>
                <w:szCs w:val="16"/>
                <w:color w:val="auto"/>
              </w:rPr>
              <w:t>XBRL Taxonomy Extension Label Linkbase</w:t>
            </w:r>
          </w:p>
        </w:tc>
      </w:tr>
      <w:tr>
        <w:trPr>
          <w:trHeight w:val="47"/>
        </w:trPr>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6900" w:type="dxa"/>
            <w:vAlign w:val="bottom"/>
          </w:tcPr>
          <w:p>
            <w:pPr>
              <w:spacing w:after="0"/>
              <w:rPr>
                <w:sz w:val="4"/>
                <w:szCs w:val="4"/>
                <w:color w:val="auto"/>
              </w:rPr>
            </w:pPr>
          </w:p>
        </w:tc>
        <w:tc>
          <w:tcPr>
            <w:tcW w:w="224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50"/>
        </w:trPr>
        <w:tc>
          <w:tcPr>
            <w:tcW w:w="1300" w:type="dxa"/>
            <w:vAlign w:val="bottom"/>
            <w:tcBorders>
              <w:bottom w:val="single" w:sz="8" w:color="CCEEFF"/>
              <w:right w:val="single" w:sz="8" w:color="CCEEFF"/>
            </w:tcBorders>
            <w:gridSpan w:val="4"/>
            <w:shd w:val="clear" w:color="auto" w:fill="CCEEFF"/>
          </w:tcPr>
          <w:p>
            <w:pPr>
              <w:jc w:val="center"/>
              <w:ind w:right="120"/>
              <w:spacing w:after="0"/>
              <w:rPr>
                <w:sz w:val="20"/>
                <w:szCs w:val="20"/>
                <w:color w:val="auto"/>
              </w:rPr>
            </w:pPr>
            <w:r>
              <w:rPr>
                <w:rFonts w:ascii="Arial" w:cs="Arial" w:eastAsia="Arial" w:hAnsi="Arial"/>
                <w:sz w:val="16"/>
                <w:szCs w:val="16"/>
                <w:color w:val="auto"/>
                <w:w w:val="90"/>
              </w:rPr>
              <w:t>101.PRE</w:t>
            </w:r>
          </w:p>
        </w:tc>
        <w:tc>
          <w:tcPr>
            <w:tcW w:w="101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6"/>
                <w:szCs w:val="16"/>
                <w:color w:val="auto"/>
              </w:rPr>
              <w:t>XBRL Taxonomy Extension Presentation Linkbase</w:t>
            </w:r>
          </w:p>
        </w:tc>
      </w:tr>
      <w:tr>
        <w:trPr>
          <w:trHeight w:val="224"/>
        </w:trPr>
        <w:tc>
          <w:tcPr>
            <w:tcW w:w="1300" w:type="dxa"/>
            <w:vAlign w:val="bottom"/>
            <w:gridSpan w:val="4"/>
          </w:tcPr>
          <w:p>
            <w:pPr>
              <w:jc w:val="center"/>
              <w:ind w:right="140"/>
              <w:spacing w:after="0"/>
              <w:rPr>
                <w:sz w:val="20"/>
                <w:szCs w:val="20"/>
                <w:color w:val="auto"/>
              </w:rPr>
            </w:pPr>
            <w:r>
              <w:rPr>
                <w:rFonts w:ascii="Arial" w:cs="Arial" w:eastAsia="Arial" w:hAnsi="Arial"/>
                <w:sz w:val="16"/>
                <w:szCs w:val="16"/>
                <w:color w:val="auto"/>
                <w:w w:val="94"/>
              </w:rPr>
              <w:t>101.DEF</w:t>
            </w:r>
          </w:p>
        </w:tc>
        <w:tc>
          <w:tcPr>
            <w:tcW w:w="10120" w:type="dxa"/>
            <w:vAlign w:val="bottom"/>
            <w:gridSpan w:val="5"/>
          </w:tcPr>
          <w:p>
            <w:pPr>
              <w:spacing w:after="0"/>
              <w:rPr>
                <w:sz w:val="20"/>
                <w:szCs w:val="20"/>
                <w:color w:val="auto"/>
              </w:rPr>
            </w:pPr>
            <w:r>
              <w:rPr>
                <w:rFonts w:ascii="Arial" w:cs="Arial" w:eastAsia="Arial" w:hAnsi="Arial"/>
                <w:sz w:val="16"/>
                <w:szCs w:val="16"/>
                <w:color w:val="auto"/>
              </w:rPr>
              <w:t>XBRL Taxonomy Extension Definition Linkbase</w:t>
            </w:r>
          </w:p>
        </w:tc>
      </w:tr>
    </w:tbl>
    <w:p>
      <w:pPr>
        <w:spacing w:after="0" w:line="388" w:lineRule="exact"/>
        <w:rPr>
          <w:sz w:val="20"/>
          <w:szCs w:val="20"/>
          <w:color w:val="auto"/>
        </w:rPr>
      </w:pPr>
    </w:p>
    <w:p>
      <w:pPr>
        <w:ind w:left="1300" w:hanging="759"/>
        <w:spacing w:after="0"/>
        <w:tabs>
          <w:tab w:leader="none" w:pos="13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86" w:lineRule="exact"/>
        <w:rPr>
          <w:sz w:val="20"/>
          <w:szCs w:val="20"/>
          <w:color w:val="auto"/>
        </w:rPr>
      </w:pPr>
    </w:p>
    <w:p>
      <w:pPr>
        <w:ind w:left="1300" w:hanging="799"/>
        <w:spacing w:after="0"/>
        <w:tabs>
          <w:tab w:leader="none" w:pos="13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823" w:right="239" w:bottom="1440" w:gutter="0" w:footer="0" w:header="0"/>
        </w:sectPr>
      </w:pPr>
    </w:p>
    <w:bookmarkStart w:id="54" w:name="page55"/>
    <w:bookmarkEnd w:id="54"/>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thereunto duly authorized.</w:t>
      </w:r>
    </w:p>
    <w:p>
      <w:pPr>
        <w:spacing w:after="0" w:line="329"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2680" w:type="dxa"/>
            <w:vAlign w:val="bottom"/>
          </w:tcPr>
          <w:p>
            <w:pPr>
              <w:spacing w:after="0"/>
              <w:rPr>
                <w:sz w:val="20"/>
                <w:szCs w:val="20"/>
                <w:color w:val="auto"/>
              </w:rPr>
            </w:pPr>
          </w:p>
        </w:tc>
        <w:tc>
          <w:tcPr>
            <w:tcW w:w="5740" w:type="dxa"/>
            <w:vAlign w:val="bottom"/>
          </w:tcPr>
          <w:p>
            <w:pPr>
              <w:ind w:left="100"/>
              <w:spacing w:after="0"/>
              <w:rPr>
                <w:sz w:val="20"/>
                <w:szCs w:val="20"/>
                <w:color w:val="auto"/>
              </w:rPr>
            </w:pPr>
            <w:r>
              <w:rPr>
                <w:rFonts w:ascii="Arial" w:cs="Arial" w:eastAsia="Arial" w:hAnsi="Arial"/>
                <w:sz w:val="18"/>
                <w:szCs w:val="18"/>
                <w:b w:val="1"/>
                <w:bCs w:val="1"/>
                <w:color w:val="auto"/>
              </w:rPr>
              <w:t>THE HERSHEY COMPANY</w:t>
            </w:r>
          </w:p>
        </w:tc>
      </w:tr>
      <w:tr>
        <w:trPr>
          <w:trHeight w:val="270"/>
        </w:trPr>
        <w:tc>
          <w:tcPr>
            <w:tcW w:w="2680" w:type="dxa"/>
            <w:vAlign w:val="bottom"/>
          </w:tcPr>
          <w:p>
            <w:pPr>
              <w:spacing w:after="0"/>
              <w:rPr>
                <w:sz w:val="23"/>
                <w:szCs w:val="23"/>
                <w:color w:val="auto"/>
              </w:rPr>
            </w:pPr>
          </w:p>
        </w:tc>
        <w:tc>
          <w:tcPr>
            <w:tcW w:w="5740" w:type="dxa"/>
            <w:vAlign w:val="bottom"/>
          </w:tcPr>
          <w:p>
            <w:pPr>
              <w:ind w:left="140"/>
              <w:spacing w:after="0"/>
              <w:rPr>
                <w:sz w:val="20"/>
                <w:szCs w:val="20"/>
                <w:color w:val="auto"/>
              </w:rPr>
            </w:pPr>
            <w:r>
              <w:rPr>
                <w:rFonts w:ascii="Arial" w:cs="Arial" w:eastAsia="Arial" w:hAnsi="Arial"/>
                <w:sz w:val="18"/>
                <w:szCs w:val="18"/>
                <w:b w:val="1"/>
                <w:bCs w:val="1"/>
                <w:color w:val="auto"/>
              </w:rPr>
              <w:t>(Registrant)</w:t>
            </w:r>
          </w:p>
        </w:tc>
      </w:tr>
      <w:tr>
        <w:trPr>
          <w:trHeight w:val="594"/>
        </w:trPr>
        <w:tc>
          <w:tcPr>
            <w:tcW w:w="2680" w:type="dxa"/>
            <w:vAlign w:val="bottom"/>
          </w:tcPr>
          <w:p>
            <w:pPr>
              <w:spacing w:after="0"/>
              <w:rPr>
                <w:sz w:val="20"/>
                <w:szCs w:val="20"/>
                <w:color w:val="auto"/>
              </w:rPr>
            </w:pPr>
            <w:r>
              <w:rPr>
                <w:rFonts w:ascii="Arial" w:cs="Arial" w:eastAsia="Arial" w:hAnsi="Arial"/>
                <w:sz w:val="18"/>
                <w:szCs w:val="18"/>
                <w:color w:val="auto"/>
              </w:rPr>
              <w:t>Date: July 25, 2019</w:t>
            </w:r>
          </w:p>
        </w:tc>
        <w:tc>
          <w:tcPr>
            <w:tcW w:w="5740" w:type="dxa"/>
            <w:vAlign w:val="bottom"/>
          </w:tcPr>
          <w:p>
            <w:pPr>
              <w:ind w:left="100"/>
              <w:spacing w:after="0"/>
              <w:rPr>
                <w:sz w:val="20"/>
                <w:szCs w:val="20"/>
                <w:color w:val="auto"/>
              </w:rPr>
            </w:pPr>
            <w:r>
              <w:rPr>
                <w:rFonts w:ascii="Arial" w:cs="Arial" w:eastAsia="Arial" w:hAnsi="Arial"/>
                <w:sz w:val="18"/>
                <w:szCs w:val="18"/>
                <w:color w:val="auto"/>
              </w:rPr>
              <w:t>/s/ Steven E. Voskuil</w:t>
            </w:r>
          </w:p>
        </w:tc>
      </w:tr>
      <w:tr>
        <w:trPr>
          <w:trHeight w:val="27"/>
        </w:trPr>
        <w:tc>
          <w:tcPr>
            <w:tcW w:w="2680" w:type="dxa"/>
            <w:vAlign w:val="bottom"/>
          </w:tcPr>
          <w:p>
            <w:pPr>
              <w:spacing w:after="0"/>
              <w:rPr>
                <w:sz w:val="2"/>
                <w:szCs w:val="2"/>
                <w:color w:val="auto"/>
              </w:rPr>
            </w:pPr>
          </w:p>
        </w:tc>
        <w:tc>
          <w:tcPr>
            <w:tcW w:w="5740" w:type="dxa"/>
            <w:vAlign w:val="bottom"/>
            <w:tcBorders>
              <w:bottom w:val="single" w:sz="8" w:color="auto"/>
            </w:tcBorders>
          </w:tcPr>
          <w:p>
            <w:pPr>
              <w:spacing w:after="0"/>
              <w:rPr>
                <w:sz w:val="2"/>
                <w:szCs w:val="2"/>
                <w:color w:val="auto"/>
              </w:rPr>
            </w:pPr>
          </w:p>
        </w:tc>
      </w:tr>
      <w:tr>
        <w:trPr>
          <w:trHeight w:val="237"/>
        </w:trPr>
        <w:tc>
          <w:tcPr>
            <w:tcW w:w="2680" w:type="dxa"/>
            <w:vAlign w:val="bottom"/>
          </w:tcPr>
          <w:p>
            <w:pPr>
              <w:spacing w:after="0"/>
              <w:rPr>
                <w:sz w:val="20"/>
                <w:szCs w:val="20"/>
                <w:color w:val="auto"/>
              </w:rPr>
            </w:pPr>
          </w:p>
        </w:tc>
        <w:tc>
          <w:tcPr>
            <w:tcW w:w="5740" w:type="dxa"/>
            <w:vAlign w:val="bottom"/>
          </w:tcPr>
          <w:p>
            <w:pPr>
              <w:ind w:left="340"/>
              <w:spacing w:after="0"/>
              <w:rPr>
                <w:sz w:val="20"/>
                <w:szCs w:val="20"/>
                <w:color w:val="auto"/>
              </w:rPr>
            </w:pPr>
            <w:r>
              <w:rPr>
                <w:rFonts w:ascii="Arial" w:cs="Arial" w:eastAsia="Arial" w:hAnsi="Arial"/>
                <w:sz w:val="18"/>
                <w:szCs w:val="18"/>
                <w:color w:val="auto"/>
              </w:rPr>
              <w:t>Steven E. Voskuil</w:t>
            </w:r>
          </w:p>
        </w:tc>
      </w:tr>
      <w:tr>
        <w:trPr>
          <w:trHeight w:val="270"/>
        </w:trPr>
        <w:tc>
          <w:tcPr>
            <w:tcW w:w="2680" w:type="dxa"/>
            <w:vAlign w:val="bottom"/>
          </w:tcPr>
          <w:p>
            <w:pPr>
              <w:spacing w:after="0"/>
              <w:rPr>
                <w:sz w:val="23"/>
                <w:szCs w:val="23"/>
                <w:color w:val="auto"/>
              </w:rPr>
            </w:pPr>
          </w:p>
        </w:tc>
        <w:tc>
          <w:tcPr>
            <w:tcW w:w="5740" w:type="dxa"/>
            <w:vAlign w:val="bottom"/>
          </w:tcPr>
          <w:p>
            <w:pPr>
              <w:ind w:left="340"/>
              <w:spacing w:after="0"/>
              <w:rPr>
                <w:sz w:val="20"/>
                <w:szCs w:val="20"/>
                <w:color w:val="auto"/>
              </w:rPr>
            </w:pPr>
            <w:r>
              <w:rPr>
                <w:rFonts w:ascii="Arial" w:cs="Arial" w:eastAsia="Arial" w:hAnsi="Arial"/>
                <w:sz w:val="18"/>
                <w:szCs w:val="18"/>
                <w:color w:val="auto"/>
              </w:rPr>
              <w:t>Senior Vice President, Chief Financial Officer</w:t>
            </w:r>
          </w:p>
        </w:tc>
      </w:tr>
      <w:tr>
        <w:trPr>
          <w:trHeight w:val="270"/>
        </w:trPr>
        <w:tc>
          <w:tcPr>
            <w:tcW w:w="2680" w:type="dxa"/>
            <w:vAlign w:val="bottom"/>
          </w:tcPr>
          <w:p>
            <w:pPr>
              <w:spacing w:after="0"/>
              <w:rPr>
                <w:sz w:val="23"/>
                <w:szCs w:val="23"/>
                <w:color w:val="auto"/>
              </w:rPr>
            </w:pPr>
          </w:p>
        </w:tc>
        <w:tc>
          <w:tcPr>
            <w:tcW w:w="5740" w:type="dxa"/>
            <w:vAlign w:val="bottom"/>
          </w:tcPr>
          <w:p>
            <w:pPr>
              <w:ind w:left="340"/>
              <w:spacing w:after="0"/>
              <w:rPr>
                <w:sz w:val="20"/>
                <w:szCs w:val="20"/>
                <w:color w:val="auto"/>
              </w:rPr>
            </w:pPr>
            <w:r>
              <w:rPr>
                <w:rFonts w:ascii="Arial" w:cs="Arial" w:eastAsia="Arial" w:hAnsi="Arial"/>
                <w:sz w:val="18"/>
                <w:szCs w:val="18"/>
                <w:color w:val="auto"/>
              </w:rPr>
              <w:t>(Principal Financial Officer)</w:t>
            </w:r>
          </w:p>
        </w:tc>
      </w:tr>
      <w:tr>
        <w:trPr>
          <w:trHeight w:val="594"/>
        </w:trPr>
        <w:tc>
          <w:tcPr>
            <w:tcW w:w="2680" w:type="dxa"/>
            <w:vAlign w:val="bottom"/>
          </w:tcPr>
          <w:p>
            <w:pPr>
              <w:spacing w:after="0"/>
              <w:rPr>
                <w:sz w:val="20"/>
                <w:szCs w:val="20"/>
                <w:color w:val="auto"/>
              </w:rPr>
            </w:pPr>
            <w:r>
              <w:rPr>
                <w:rFonts w:ascii="Arial" w:cs="Arial" w:eastAsia="Arial" w:hAnsi="Arial"/>
                <w:sz w:val="18"/>
                <w:szCs w:val="18"/>
                <w:color w:val="auto"/>
              </w:rPr>
              <w:t>Date: July 25, 2019</w:t>
            </w:r>
          </w:p>
        </w:tc>
        <w:tc>
          <w:tcPr>
            <w:tcW w:w="5740" w:type="dxa"/>
            <w:vAlign w:val="bottom"/>
          </w:tcPr>
          <w:p>
            <w:pPr>
              <w:ind w:left="100"/>
              <w:spacing w:after="0"/>
              <w:rPr>
                <w:sz w:val="20"/>
                <w:szCs w:val="20"/>
                <w:color w:val="auto"/>
              </w:rPr>
            </w:pPr>
            <w:r>
              <w:rPr>
                <w:rFonts w:ascii="Arial" w:cs="Arial" w:eastAsia="Arial" w:hAnsi="Arial"/>
                <w:sz w:val="18"/>
                <w:szCs w:val="18"/>
                <w:color w:val="auto"/>
              </w:rPr>
              <w:t>/s/ Javier H. Idrovo</w:t>
            </w:r>
          </w:p>
        </w:tc>
      </w:tr>
      <w:tr>
        <w:trPr>
          <w:trHeight w:val="27"/>
        </w:trPr>
        <w:tc>
          <w:tcPr>
            <w:tcW w:w="2680" w:type="dxa"/>
            <w:vAlign w:val="bottom"/>
          </w:tcPr>
          <w:p>
            <w:pPr>
              <w:spacing w:after="0"/>
              <w:rPr>
                <w:sz w:val="2"/>
                <w:szCs w:val="2"/>
                <w:color w:val="auto"/>
              </w:rPr>
            </w:pPr>
          </w:p>
        </w:tc>
        <w:tc>
          <w:tcPr>
            <w:tcW w:w="5740" w:type="dxa"/>
            <w:vAlign w:val="bottom"/>
            <w:tcBorders>
              <w:bottom w:val="single" w:sz="8" w:color="auto"/>
            </w:tcBorders>
          </w:tcPr>
          <w:p>
            <w:pPr>
              <w:spacing w:after="0"/>
              <w:rPr>
                <w:sz w:val="2"/>
                <w:szCs w:val="2"/>
                <w:color w:val="auto"/>
              </w:rPr>
            </w:pPr>
          </w:p>
        </w:tc>
      </w:tr>
      <w:tr>
        <w:trPr>
          <w:trHeight w:val="237"/>
        </w:trPr>
        <w:tc>
          <w:tcPr>
            <w:tcW w:w="2680" w:type="dxa"/>
            <w:vAlign w:val="bottom"/>
          </w:tcPr>
          <w:p>
            <w:pPr>
              <w:spacing w:after="0"/>
              <w:rPr>
                <w:sz w:val="20"/>
                <w:szCs w:val="20"/>
                <w:color w:val="auto"/>
              </w:rPr>
            </w:pPr>
          </w:p>
        </w:tc>
        <w:tc>
          <w:tcPr>
            <w:tcW w:w="5740" w:type="dxa"/>
            <w:vAlign w:val="bottom"/>
          </w:tcPr>
          <w:p>
            <w:pPr>
              <w:ind w:left="340"/>
              <w:spacing w:after="0"/>
              <w:rPr>
                <w:sz w:val="20"/>
                <w:szCs w:val="20"/>
                <w:color w:val="auto"/>
              </w:rPr>
            </w:pPr>
            <w:r>
              <w:rPr>
                <w:rFonts w:ascii="Arial" w:cs="Arial" w:eastAsia="Arial" w:hAnsi="Arial"/>
                <w:sz w:val="18"/>
                <w:szCs w:val="18"/>
                <w:color w:val="auto"/>
              </w:rPr>
              <w:t>Javier H. Idrovo</w:t>
            </w:r>
          </w:p>
        </w:tc>
      </w:tr>
      <w:tr>
        <w:trPr>
          <w:trHeight w:val="270"/>
        </w:trPr>
        <w:tc>
          <w:tcPr>
            <w:tcW w:w="2680" w:type="dxa"/>
            <w:vAlign w:val="bottom"/>
          </w:tcPr>
          <w:p>
            <w:pPr>
              <w:spacing w:after="0"/>
              <w:rPr>
                <w:sz w:val="23"/>
                <w:szCs w:val="23"/>
                <w:color w:val="auto"/>
              </w:rPr>
            </w:pPr>
          </w:p>
        </w:tc>
        <w:tc>
          <w:tcPr>
            <w:tcW w:w="5740" w:type="dxa"/>
            <w:vAlign w:val="bottom"/>
          </w:tcPr>
          <w:p>
            <w:pPr>
              <w:ind w:left="340"/>
              <w:spacing w:after="0"/>
              <w:rPr>
                <w:sz w:val="20"/>
                <w:szCs w:val="20"/>
                <w:color w:val="auto"/>
              </w:rPr>
            </w:pPr>
            <w:r>
              <w:rPr>
                <w:rFonts w:ascii="Arial" w:cs="Arial" w:eastAsia="Arial" w:hAnsi="Arial"/>
                <w:sz w:val="18"/>
                <w:szCs w:val="18"/>
                <w:color w:val="auto"/>
              </w:rPr>
              <w:t>Chief Accounting Officer</w:t>
            </w:r>
          </w:p>
        </w:tc>
      </w:tr>
      <w:tr>
        <w:trPr>
          <w:trHeight w:val="270"/>
        </w:trPr>
        <w:tc>
          <w:tcPr>
            <w:tcW w:w="2680" w:type="dxa"/>
            <w:vAlign w:val="bottom"/>
          </w:tcPr>
          <w:p>
            <w:pPr>
              <w:spacing w:after="0"/>
              <w:rPr>
                <w:sz w:val="23"/>
                <w:szCs w:val="23"/>
                <w:color w:val="auto"/>
              </w:rPr>
            </w:pPr>
          </w:p>
        </w:tc>
        <w:tc>
          <w:tcPr>
            <w:tcW w:w="5740" w:type="dxa"/>
            <w:vAlign w:val="bottom"/>
          </w:tcPr>
          <w:p>
            <w:pPr>
              <w:ind w:left="340"/>
              <w:spacing w:after="0"/>
              <w:rPr>
                <w:sz w:val="20"/>
                <w:szCs w:val="20"/>
                <w:color w:val="auto"/>
              </w:rPr>
            </w:pPr>
            <w:r>
              <w:rPr>
                <w:rFonts w:ascii="Arial" w:cs="Arial" w:eastAsia="Arial" w:hAnsi="Arial"/>
                <w:sz w:val="18"/>
                <w:szCs w:val="18"/>
                <w:color w:val="auto"/>
              </w:rPr>
              <w:t>(Principal Accounting Officer)</w:t>
            </w:r>
          </w:p>
        </w:tc>
      </w:tr>
      <w:tr>
        <w:trPr>
          <w:trHeight w:val="918"/>
        </w:trPr>
        <w:tc>
          <w:tcPr>
            <w:tcW w:w="2680" w:type="dxa"/>
            <w:vAlign w:val="bottom"/>
          </w:tcPr>
          <w:p>
            <w:pPr>
              <w:spacing w:after="0"/>
              <w:rPr>
                <w:sz w:val="24"/>
                <w:szCs w:val="24"/>
                <w:color w:val="auto"/>
              </w:rPr>
            </w:pPr>
          </w:p>
        </w:tc>
        <w:tc>
          <w:tcPr>
            <w:tcW w:w="5740" w:type="dxa"/>
            <w:vAlign w:val="bottom"/>
          </w:tcPr>
          <w:p>
            <w:pPr>
              <w:ind w:left="1960"/>
              <w:spacing w:after="0"/>
              <w:rPr>
                <w:sz w:val="20"/>
                <w:szCs w:val="20"/>
                <w:color w:val="auto"/>
              </w:rPr>
            </w:pPr>
            <w:r>
              <w:rPr>
                <w:rFonts w:ascii="Arial" w:cs="Arial" w:eastAsia="Arial" w:hAnsi="Arial"/>
                <w:sz w:val="18"/>
                <w:szCs w:val="18"/>
                <w:color w:val="auto"/>
              </w:rPr>
              <w:t>55</w:t>
            </w:r>
          </w:p>
        </w:tc>
      </w:tr>
    </w:tbl>
    <w:p>
      <w:pPr>
        <w:sectPr>
          <w:pgSz w:w="11900" w:h="16838" w:orient="portrait"/>
          <w:cols w:equalWidth="0" w:num="1">
            <w:col w:w="11240"/>
          </w:cols>
          <w:pgMar w:left="240" w:top="580" w:right="41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31.1</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Michele G. Buck, certify that:</w:t>
      </w:r>
    </w:p>
    <w:p>
      <w:pPr>
        <w:spacing w:after="0" w:line="90" w:lineRule="exact"/>
        <w:rPr>
          <w:sz w:val="20"/>
          <w:szCs w:val="20"/>
          <w:color w:val="auto"/>
        </w:rPr>
      </w:pPr>
    </w:p>
    <w:p>
      <w:pPr>
        <w:ind w:left="460" w:hanging="438"/>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Hershey Company;</w:t>
      </w:r>
    </w:p>
    <w:p>
      <w:pPr>
        <w:spacing w:after="0" w:line="90" w:lineRule="exact"/>
        <w:rPr>
          <w:rFonts w:ascii="Arial" w:cs="Arial" w:eastAsia="Arial" w:hAnsi="Arial"/>
          <w:sz w:val="18"/>
          <w:szCs w:val="18"/>
          <w:color w:val="auto"/>
        </w:rPr>
      </w:pPr>
    </w:p>
    <w:p>
      <w:pPr>
        <w:jc w:val="both"/>
        <w:ind w:left="460" w:right="500" w:hanging="438"/>
        <w:spacing w:after="0" w:line="264"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460" w:right="460" w:hanging="438"/>
        <w:spacing w:after="0" w:line="308" w:lineRule="auto"/>
        <w:tabs>
          <w:tab w:leader="none" w:pos="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460" w:right="80" w:hanging="438"/>
        <w:spacing w:after="0" w:line="264"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880" w:right="320" w:hanging="440"/>
        <w:spacing w:after="0" w:line="264" w:lineRule="auto"/>
        <w:tabs>
          <w:tab w:leader="none" w:pos="8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880" w:right="20" w:hanging="440"/>
        <w:spacing w:after="0" w:line="264" w:lineRule="auto"/>
        <w:tabs>
          <w:tab w:leader="none" w:pos="8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880" w:right="800" w:hanging="440"/>
        <w:spacing w:after="0" w:line="334" w:lineRule="auto"/>
        <w:tabs>
          <w:tab w:leader="none" w:pos="88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880" w:right="40" w:hanging="440"/>
        <w:spacing w:after="0" w:line="264" w:lineRule="auto"/>
        <w:tabs>
          <w:tab w:leader="none" w:pos="8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460" w:right="200" w:hanging="438"/>
        <w:spacing w:after="0" w:line="308" w:lineRule="auto"/>
        <w:tabs>
          <w:tab w:leader="none" w:pos="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880" w:right="220" w:hanging="440"/>
        <w:spacing w:after="0" w:line="277" w:lineRule="auto"/>
        <w:tabs>
          <w:tab w:leader="none" w:pos="8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880" w:right="180" w:hanging="440"/>
        <w:spacing w:after="0" w:line="277" w:lineRule="auto"/>
        <w:tabs>
          <w:tab w:leader="none" w:pos="8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120"/>
        <w:spacing w:after="0"/>
        <w:rPr>
          <w:sz w:val="20"/>
          <w:szCs w:val="20"/>
          <w:color w:val="auto"/>
        </w:rPr>
      </w:pPr>
      <w:r>
        <w:rPr>
          <w:rFonts w:ascii="Arial" w:cs="Arial" w:eastAsia="Arial" w:hAnsi="Arial"/>
          <w:sz w:val="14"/>
          <w:szCs w:val="14"/>
          <w:color w:val="auto"/>
        </w:rPr>
        <w:t>/s/ MICHELE G. BUCK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35934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3593465" cy="8890"/>
                    </a:xfrm>
                    <a:prstGeom prst="rect">
                      <a:avLst/>
                    </a:prstGeom>
                    <a:noFill/>
                  </pic:spPr>
                </pic:pic>
              </a:graphicData>
            </a:graphic>
          </wp:anchor>
        </w:drawing>
      </w:r>
    </w:p>
    <w:p>
      <w:pPr>
        <w:spacing w:after="0" w:line="112" w:lineRule="exact"/>
        <w:rPr>
          <w:sz w:val="20"/>
          <w:szCs w:val="20"/>
          <w:color w:val="auto"/>
        </w:rPr>
      </w:pPr>
    </w:p>
    <w:p>
      <w:pPr>
        <w:ind w:left="2320"/>
        <w:spacing w:after="0"/>
        <w:rPr>
          <w:sz w:val="20"/>
          <w:szCs w:val="20"/>
          <w:color w:val="auto"/>
        </w:rPr>
      </w:pPr>
      <w:r>
        <w:rPr>
          <w:rFonts w:ascii="Arial" w:cs="Arial" w:eastAsia="Arial" w:hAnsi="Arial"/>
          <w:sz w:val="14"/>
          <w:szCs w:val="14"/>
          <w:b w:val="1"/>
          <w:bCs w:val="1"/>
          <w:color w:val="auto"/>
        </w:rPr>
        <w:t>Michele G. Buck</w:t>
      </w:r>
    </w:p>
    <w:p>
      <w:pPr>
        <w:spacing w:after="0" w:line="4" w:lineRule="exact"/>
        <w:rPr>
          <w:sz w:val="20"/>
          <w:szCs w:val="20"/>
          <w:color w:val="auto"/>
        </w:rPr>
      </w:pPr>
    </w:p>
    <w:p>
      <w:pPr>
        <w:jc w:val="center"/>
        <w:ind w:right="5760"/>
        <w:spacing w:after="0"/>
        <w:rPr>
          <w:sz w:val="20"/>
          <w:szCs w:val="20"/>
          <w:color w:val="auto"/>
        </w:rPr>
      </w:pPr>
      <w:r>
        <w:rPr>
          <w:rFonts w:ascii="Arial" w:cs="Arial" w:eastAsia="Arial" w:hAnsi="Arial"/>
          <w:sz w:val="14"/>
          <w:szCs w:val="14"/>
          <w:b w:val="1"/>
          <w:bCs w:val="1"/>
          <w:color w:val="auto"/>
        </w:rPr>
        <w:t>Chief Executive Officer</w:t>
      </w:r>
    </w:p>
    <w:p>
      <w:pPr>
        <w:spacing w:after="0" w:line="26" w:lineRule="exact"/>
        <w:rPr>
          <w:sz w:val="20"/>
          <w:szCs w:val="20"/>
          <w:color w:val="auto"/>
        </w:rPr>
      </w:pPr>
    </w:p>
    <w:p>
      <w:pPr>
        <w:jc w:val="center"/>
        <w:ind w:right="5760"/>
        <w:spacing w:after="0"/>
        <w:rPr>
          <w:sz w:val="20"/>
          <w:szCs w:val="20"/>
          <w:color w:val="auto"/>
        </w:rPr>
      </w:pPr>
      <w:r>
        <w:rPr>
          <w:rFonts w:ascii="Arial" w:cs="Arial" w:eastAsia="Arial" w:hAnsi="Arial"/>
          <w:sz w:val="14"/>
          <w:szCs w:val="14"/>
          <w:b w:val="1"/>
          <w:bCs w:val="1"/>
          <w:color w:val="auto"/>
        </w:rPr>
        <w:t>July 25, 2019</w:t>
      </w:r>
    </w:p>
    <w:p>
      <w:pPr>
        <w:sectPr>
          <w:pgSz w:w="11900" w:h="16838" w:orient="portrait"/>
          <w:cols w:equalWidth="0" w:num="1">
            <w:col w:w="11420"/>
          </w:cols>
          <w:pgMar w:left="240" w:top="121"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Steven E. Voskuil, certify that:</w:t>
      </w:r>
    </w:p>
    <w:p>
      <w:pPr>
        <w:spacing w:after="0" w:line="90" w:lineRule="exact"/>
        <w:rPr>
          <w:sz w:val="20"/>
          <w:szCs w:val="20"/>
          <w:color w:val="auto"/>
        </w:rPr>
      </w:pPr>
    </w:p>
    <w:p>
      <w:pPr>
        <w:ind w:left="460" w:hanging="438"/>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Hershey Company;</w:t>
      </w:r>
    </w:p>
    <w:p>
      <w:pPr>
        <w:spacing w:after="0" w:line="90" w:lineRule="exact"/>
        <w:rPr>
          <w:rFonts w:ascii="Arial" w:cs="Arial" w:eastAsia="Arial" w:hAnsi="Arial"/>
          <w:sz w:val="18"/>
          <w:szCs w:val="18"/>
          <w:color w:val="auto"/>
        </w:rPr>
      </w:pPr>
    </w:p>
    <w:p>
      <w:pPr>
        <w:jc w:val="both"/>
        <w:ind w:left="460" w:right="500" w:hanging="438"/>
        <w:spacing w:after="0" w:line="264"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460" w:right="460" w:hanging="438"/>
        <w:spacing w:after="0" w:line="308" w:lineRule="auto"/>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460" w:right="80" w:hanging="438"/>
        <w:spacing w:after="0" w:line="264"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880" w:right="320" w:hanging="440"/>
        <w:spacing w:after="0" w:line="264" w:lineRule="auto"/>
        <w:tabs>
          <w:tab w:leader="none" w:pos="8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880" w:right="20" w:hanging="440"/>
        <w:spacing w:after="0" w:line="264" w:lineRule="auto"/>
        <w:tabs>
          <w:tab w:leader="none" w:pos="8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880" w:right="800" w:hanging="440"/>
        <w:spacing w:after="0" w:line="334" w:lineRule="auto"/>
        <w:tabs>
          <w:tab w:leader="none" w:pos="88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880" w:right="40" w:hanging="440"/>
        <w:spacing w:after="0" w:line="264" w:lineRule="auto"/>
        <w:tabs>
          <w:tab w:leader="none" w:pos="8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460" w:right="200" w:hanging="438"/>
        <w:spacing w:after="0" w:line="308" w:lineRule="auto"/>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880" w:right="220" w:hanging="440"/>
        <w:spacing w:after="0" w:line="277" w:lineRule="auto"/>
        <w:tabs>
          <w:tab w:leader="none" w:pos="8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880" w:right="180" w:hanging="440"/>
        <w:spacing w:after="0" w:line="277" w:lineRule="auto"/>
        <w:tabs>
          <w:tab w:leader="none" w:pos="8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2" w:lineRule="exact"/>
        <w:rPr>
          <w:sz w:val="20"/>
          <w:szCs w:val="20"/>
          <w:color w:val="auto"/>
        </w:rPr>
      </w:pPr>
    </w:p>
    <w:p>
      <w:pPr>
        <w:ind w:left="2040"/>
        <w:spacing w:after="0"/>
        <w:rPr>
          <w:sz w:val="20"/>
          <w:szCs w:val="20"/>
          <w:color w:val="auto"/>
        </w:rPr>
      </w:pPr>
      <w:r>
        <w:rPr>
          <w:rFonts w:ascii="Arial" w:cs="Arial" w:eastAsia="Arial" w:hAnsi="Arial"/>
          <w:sz w:val="14"/>
          <w:szCs w:val="14"/>
          <w:color w:val="auto"/>
        </w:rPr>
        <w:t>/S/ STEVEN E. VOSKUIL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35934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3593465" cy="8890"/>
                    </a:xfrm>
                    <a:prstGeom prst="rect">
                      <a:avLst/>
                    </a:prstGeom>
                    <a:noFill/>
                  </pic:spPr>
                </pic:pic>
              </a:graphicData>
            </a:graphic>
          </wp:anchor>
        </w:drawing>
      </w:r>
    </w:p>
    <w:p>
      <w:pPr>
        <w:spacing w:after="0" w:line="112" w:lineRule="exact"/>
        <w:rPr>
          <w:sz w:val="20"/>
          <w:szCs w:val="20"/>
          <w:color w:val="auto"/>
        </w:rPr>
      </w:pPr>
    </w:p>
    <w:p>
      <w:pPr>
        <w:ind w:left="2300"/>
        <w:spacing w:after="0"/>
        <w:rPr>
          <w:sz w:val="20"/>
          <w:szCs w:val="20"/>
          <w:color w:val="auto"/>
        </w:rPr>
      </w:pPr>
      <w:r>
        <w:rPr>
          <w:rFonts w:ascii="Arial" w:cs="Arial" w:eastAsia="Arial" w:hAnsi="Arial"/>
          <w:sz w:val="14"/>
          <w:szCs w:val="14"/>
          <w:b w:val="1"/>
          <w:bCs w:val="1"/>
          <w:color w:val="auto"/>
        </w:rPr>
        <w:t>Steven E. Voskuil</w:t>
      </w:r>
    </w:p>
    <w:p>
      <w:pPr>
        <w:spacing w:after="0" w:line="4" w:lineRule="exact"/>
        <w:rPr>
          <w:sz w:val="20"/>
          <w:szCs w:val="20"/>
          <w:color w:val="auto"/>
        </w:rPr>
      </w:pPr>
    </w:p>
    <w:p>
      <w:pPr>
        <w:jc w:val="center"/>
        <w:ind w:right="5760"/>
        <w:spacing w:after="0"/>
        <w:rPr>
          <w:sz w:val="20"/>
          <w:szCs w:val="20"/>
          <w:color w:val="auto"/>
        </w:rPr>
      </w:pPr>
      <w:r>
        <w:rPr>
          <w:rFonts w:ascii="Arial" w:cs="Arial" w:eastAsia="Arial" w:hAnsi="Arial"/>
          <w:sz w:val="14"/>
          <w:szCs w:val="14"/>
          <w:b w:val="1"/>
          <w:bCs w:val="1"/>
          <w:color w:val="auto"/>
        </w:rPr>
        <w:t>Chief Financial Officer</w:t>
      </w:r>
    </w:p>
    <w:p>
      <w:pPr>
        <w:spacing w:after="0" w:line="26" w:lineRule="exact"/>
        <w:rPr>
          <w:sz w:val="20"/>
          <w:szCs w:val="20"/>
          <w:color w:val="auto"/>
        </w:rPr>
      </w:pPr>
    </w:p>
    <w:p>
      <w:pPr>
        <w:jc w:val="center"/>
        <w:ind w:right="5760"/>
        <w:spacing w:after="0"/>
        <w:rPr>
          <w:sz w:val="20"/>
          <w:szCs w:val="20"/>
          <w:color w:val="auto"/>
        </w:rPr>
      </w:pPr>
      <w:r>
        <w:rPr>
          <w:rFonts w:ascii="Arial" w:cs="Arial" w:eastAsia="Arial" w:hAnsi="Arial"/>
          <w:sz w:val="14"/>
          <w:szCs w:val="14"/>
          <w:b w:val="1"/>
          <w:bCs w:val="1"/>
          <w:color w:val="auto"/>
        </w:rPr>
        <w:t>July 25, 2019</w:t>
      </w:r>
    </w:p>
    <w:p>
      <w:pPr>
        <w:sectPr>
          <w:pgSz w:w="11900" w:h="16838" w:orient="portrait"/>
          <w:cols w:equalWidth="0" w:num="1">
            <w:col w:w="11420"/>
          </w:cols>
          <w:pgMar w:left="240" w:top="121"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Pursuant to Section 906 of the Sarbanes-Oxley Act of 2002, the undersigned officers of The Hershey Company (the “Company”) hereby certify, to the best of their knowledge, that the Company’s Quarterly Report on Form 10-Q for the quarterly period ended June 30, 2019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322"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Date: July 25, 2019</w:t>
            </w:r>
          </w:p>
        </w:tc>
        <w:tc>
          <w:tcPr>
            <w:tcW w:w="3740" w:type="dxa"/>
            <w:vAlign w:val="bottom"/>
          </w:tcPr>
          <w:p>
            <w:pPr>
              <w:jc w:val="center"/>
              <w:ind w:left="76"/>
              <w:spacing w:after="0"/>
              <w:rPr>
                <w:sz w:val="20"/>
                <w:szCs w:val="20"/>
                <w:color w:val="auto"/>
              </w:rPr>
            </w:pPr>
            <w:r>
              <w:rPr>
                <w:rFonts w:ascii="Arial" w:cs="Arial" w:eastAsia="Arial" w:hAnsi="Arial"/>
                <w:sz w:val="18"/>
                <w:szCs w:val="18"/>
                <w:color w:val="auto"/>
                <w:w w:val="97"/>
              </w:rPr>
              <w:t>/s/ MICHELE G. BUCK</w:t>
            </w:r>
          </w:p>
        </w:tc>
      </w:tr>
      <w:tr>
        <w:trPr>
          <w:trHeight w:val="27"/>
        </w:trPr>
        <w:tc>
          <w:tcPr>
            <w:tcW w:w="3040" w:type="dxa"/>
            <w:vAlign w:val="bottom"/>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331"/>
        </w:trPr>
        <w:tc>
          <w:tcPr>
            <w:tcW w:w="3040" w:type="dxa"/>
            <w:vAlign w:val="bottom"/>
          </w:tcPr>
          <w:p>
            <w:pPr>
              <w:spacing w:after="0"/>
              <w:rPr>
                <w:sz w:val="24"/>
                <w:szCs w:val="24"/>
                <w:color w:val="auto"/>
              </w:rPr>
            </w:pPr>
          </w:p>
        </w:tc>
        <w:tc>
          <w:tcPr>
            <w:tcW w:w="3740" w:type="dxa"/>
            <w:vAlign w:val="bottom"/>
          </w:tcPr>
          <w:p>
            <w:pPr>
              <w:jc w:val="center"/>
              <w:spacing w:after="0"/>
              <w:rPr>
                <w:sz w:val="20"/>
                <w:szCs w:val="20"/>
                <w:color w:val="auto"/>
              </w:rPr>
            </w:pPr>
            <w:r>
              <w:rPr>
                <w:rFonts w:ascii="Arial" w:cs="Arial" w:eastAsia="Arial" w:hAnsi="Arial"/>
                <w:sz w:val="16"/>
                <w:szCs w:val="16"/>
                <w:b w:val="1"/>
                <w:bCs w:val="1"/>
                <w:color w:val="auto"/>
                <w:w w:val="93"/>
              </w:rPr>
              <w:t>Michele G. Buck</w:t>
            </w:r>
          </w:p>
        </w:tc>
      </w:tr>
      <w:tr>
        <w:trPr>
          <w:trHeight w:val="210"/>
        </w:trPr>
        <w:tc>
          <w:tcPr>
            <w:tcW w:w="3040" w:type="dxa"/>
            <w:vAlign w:val="bottom"/>
          </w:tcPr>
          <w:p>
            <w:pPr>
              <w:spacing w:after="0"/>
              <w:rPr>
                <w:sz w:val="18"/>
                <w:szCs w:val="18"/>
                <w:color w:val="auto"/>
              </w:rPr>
            </w:pPr>
          </w:p>
        </w:tc>
        <w:tc>
          <w:tcPr>
            <w:tcW w:w="3740" w:type="dxa"/>
            <w:vAlign w:val="bottom"/>
          </w:tcPr>
          <w:p>
            <w:pPr>
              <w:jc w:val="center"/>
              <w:spacing w:after="0"/>
              <w:rPr>
                <w:sz w:val="20"/>
                <w:szCs w:val="20"/>
                <w:color w:val="auto"/>
              </w:rPr>
            </w:pPr>
            <w:r>
              <w:rPr>
                <w:rFonts w:ascii="Arial" w:cs="Arial" w:eastAsia="Arial" w:hAnsi="Arial"/>
                <w:sz w:val="16"/>
                <w:szCs w:val="16"/>
                <w:b w:val="1"/>
                <w:bCs w:val="1"/>
                <w:color w:val="auto"/>
                <w:w w:val="93"/>
              </w:rPr>
              <w:t>Chief Executive Officer</w:t>
            </w:r>
          </w:p>
        </w:tc>
      </w:tr>
      <w:tr>
        <w:trPr>
          <w:trHeight w:val="546"/>
        </w:trPr>
        <w:tc>
          <w:tcPr>
            <w:tcW w:w="3040" w:type="dxa"/>
            <w:vAlign w:val="bottom"/>
          </w:tcPr>
          <w:p>
            <w:pPr>
              <w:spacing w:after="0"/>
              <w:rPr>
                <w:sz w:val="20"/>
                <w:szCs w:val="20"/>
                <w:color w:val="auto"/>
              </w:rPr>
            </w:pPr>
            <w:r>
              <w:rPr>
                <w:rFonts w:ascii="Arial" w:cs="Arial" w:eastAsia="Arial" w:hAnsi="Arial"/>
                <w:sz w:val="18"/>
                <w:szCs w:val="18"/>
                <w:color w:val="auto"/>
              </w:rPr>
              <w:t>Date: July 25, 2019</w:t>
            </w:r>
          </w:p>
        </w:tc>
        <w:tc>
          <w:tcPr>
            <w:tcW w:w="3740" w:type="dxa"/>
            <w:vAlign w:val="bottom"/>
          </w:tcPr>
          <w:p>
            <w:pPr>
              <w:jc w:val="center"/>
              <w:ind w:left="76"/>
              <w:spacing w:after="0"/>
              <w:rPr>
                <w:sz w:val="20"/>
                <w:szCs w:val="20"/>
                <w:color w:val="auto"/>
              </w:rPr>
            </w:pPr>
            <w:r>
              <w:rPr>
                <w:rFonts w:ascii="Arial" w:cs="Arial" w:eastAsia="Arial" w:hAnsi="Arial"/>
                <w:sz w:val="18"/>
                <w:szCs w:val="18"/>
                <w:color w:val="auto"/>
                <w:w w:val="96"/>
              </w:rPr>
              <w:t>/s/ STEVEN E. VOSKUIL</w:t>
            </w:r>
          </w:p>
        </w:tc>
      </w:tr>
      <w:tr>
        <w:trPr>
          <w:trHeight w:val="27"/>
        </w:trPr>
        <w:tc>
          <w:tcPr>
            <w:tcW w:w="3040" w:type="dxa"/>
            <w:vAlign w:val="bottom"/>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331"/>
        </w:trPr>
        <w:tc>
          <w:tcPr>
            <w:tcW w:w="3040" w:type="dxa"/>
            <w:vAlign w:val="bottom"/>
          </w:tcPr>
          <w:p>
            <w:pPr>
              <w:spacing w:after="0"/>
              <w:rPr>
                <w:sz w:val="24"/>
                <w:szCs w:val="24"/>
                <w:color w:val="auto"/>
              </w:rPr>
            </w:pPr>
          </w:p>
        </w:tc>
        <w:tc>
          <w:tcPr>
            <w:tcW w:w="3740" w:type="dxa"/>
            <w:vAlign w:val="bottom"/>
          </w:tcPr>
          <w:p>
            <w:pPr>
              <w:jc w:val="center"/>
              <w:spacing w:after="0"/>
              <w:rPr>
                <w:sz w:val="20"/>
                <w:szCs w:val="20"/>
                <w:color w:val="auto"/>
              </w:rPr>
            </w:pPr>
            <w:r>
              <w:rPr>
                <w:rFonts w:ascii="Arial" w:cs="Arial" w:eastAsia="Arial" w:hAnsi="Arial"/>
                <w:sz w:val="16"/>
                <w:szCs w:val="16"/>
                <w:b w:val="1"/>
                <w:bCs w:val="1"/>
                <w:color w:val="auto"/>
                <w:w w:val="89"/>
              </w:rPr>
              <w:t>Steven E. Voskuil</w:t>
            </w:r>
          </w:p>
        </w:tc>
      </w:tr>
      <w:tr>
        <w:trPr>
          <w:trHeight w:val="210"/>
        </w:trPr>
        <w:tc>
          <w:tcPr>
            <w:tcW w:w="3040" w:type="dxa"/>
            <w:vAlign w:val="bottom"/>
          </w:tcPr>
          <w:p>
            <w:pPr>
              <w:spacing w:after="0"/>
              <w:rPr>
                <w:sz w:val="18"/>
                <w:szCs w:val="18"/>
                <w:color w:val="auto"/>
              </w:rPr>
            </w:pPr>
          </w:p>
        </w:tc>
        <w:tc>
          <w:tcPr>
            <w:tcW w:w="3740" w:type="dxa"/>
            <w:vAlign w:val="bottom"/>
          </w:tcPr>
          <w:p>
            <w:pPr>
              <w:jc w:val="center"/>
              <w:spacing w:after="0"/>
              <w:rPr>
                <w:sz w:val="20"/>
                <w:szCs w:val="20"/>
                <w:color w:val="auto"/>
              </w:rPr>
            </w:pPr>
            <w:r>
              <w:rPr>
                <w:rFonts w:ascii="Arial" w:cs="Arial" w:eastAsia="Arial" w:hAnsi="Arial"/>
                <w:sz w:val="16"/>
                <w:szCs w:val="16"/>
                <w:b w:val="1"/>
                <w:bCs w:val="1"/>
                <w:color w:val="auto"/>
                <w:w w:val="94"/>
              </w:rPr>
              <w:t>Chief Financial Officer</w:t>
            </w:r>
          </w:p>
        </w:tc>
      </w:tr>
    </w:tbl>
    <w:p>
      <w:pPr>
        <w:spacing w:after="0" w:line="18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1)"/>
      <w:numFmt w:val="lowerLetter"/>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1"/>
      <w:numFmt w:val="decimal"/>
      <w:start w:val="1"/>
    </w:lvl>
    <w:lvl w:ilvl="1">
      <w:lvlJc w:val="left"/>
      <w:lvlText w:val="(%2)"/>
      <w:numFmt w:val="decimal"/>
      <w:start w:val="1"/>
    </w:lvl>
  </w:abstractNum>
  <w:abstractNum w:abstractNumId="8">
    <w:nsid w:val="3F2DBA31"/>
    <w:multiLevelType w:val="hybridMultilevel"/>
    <w:lvl w:ilvl="0">
      <w:lvlJc w:val="left"/>
      <w:lvlText w:val="%1."/>
      <w:numFmt w:val="decimal"/>
      <w:start w:val="10"/>
    </w:lvl>
    <w:lvl w:ilvl="1">
      <w:lvlJc w:val="left"/>
      <w:lvlText w:val="%2"/>
      <w:numFmt w:val="decimal"/>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1)"/>
      <w:numFmt w:val="decimal"/>
      <w:start w:val="1"/>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
      <w:numFmt w:val="bullet"/>
      <w:start w:val="1"/>
    </w:lvl>
    <w:lvl w:ilvl="1">
      <w:lvlJc w:val="left"/>
      <w:lvlText w:val="◦"/>
      <w:numFmt w:val="bullet"/>
      <w:start w:val="1"/>
    </w:lvl>
  </w:abstractNum>
  <w:abstractNum w:abstractNumId="18">
    <w:nsid w:val="6763845E"/>
    <w:multiLevelType w:val="hybridMultilevel"/>
    <w:lvl w:ilvl="0">
      <w:lvlJc w:val="left"/>
      <w:lvlText w:val="•"/>
      <w:numFmt w:val="bullet"/>
      <w:start w:val="1"/>
    </w:lvl>
    <w:lvl w:ilvl="1">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1)"/>
      <w:numFmt w:val="decimal"/>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
      <w:numFmt w:val="bullet"/>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4" Type="http://schemas.openxmlformats.org/officeDocument/2006/relationships/hyperlink" Target="http://www.sec.gov/Archives/edgar/data/47111/000004711119000029/exhibit101-creditagre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2019-12-28T10:07:50Z</dcterms:created>
  <dcterms:modified xsi:type="dcterms:W3CDTF">2019-12-28T10:07:50Z</dcterms:modified>
</cp:coreProperties>
</file>