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Quintero-Johnson Marie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 E. CHOCOLATE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HERSHEY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HERSHEY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HSY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26"/>
        <w:gridCol w:w="903"/>
        <w:gridCol w:w="772"/>
        <w:gridCol w:w="600"/>
        <w:gridCol w:w="347"/>
        <w:gridCol w:w="1012"/>
        <w:gridCol w:w="449"/>
        <w:gridCol w:w="612"/>
        <w:gridCol w:w="1273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282.486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1,654.063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total amount of securities reported as directly owned in Column 5 includes 8.144 shares acquired on September 15, 2026, pursuant to a dividend reinvestment feature of the Company's Directors' Compensation Plan, the provisions of which are substantially similar to the dividend reinvestment features of the broad-based dividend reinvestment plan available generally to Company stockholders.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Kathleen S. Purcell, Agent for Marie Quintero-Johnson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3374" TargetMode="External"/><Relationship Id="rId5" Type="http://schemas.openxmlformats.org/officeDocument/2006/relationships/hyperlink" Target="http://www.sec.gov/cgi-bin/browse-edgar?action=getcompany&amp;CIK=000004711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618</Words>
  <Characters>3409</Characters>
  <CharactersWithSpaces>3961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