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400" w:right="1280" w:hanging="298"/>
        <w:spacing w:after="0" w:line="235" w:lineRule="auto"/>
        <w:tabs>
          <w:tab w:leader="none" w:pos="140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1, 2018</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400" w:right="1260" w:hanging="339"/>
        <w:spacing w:after="0"/>
        <w:tabs>
          <w:tab w:leader="none" w:pos="14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______to_______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HERSHEY COMPANY</w:t>
      </w: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87" w:right="239" w:bottom="1440" w:gutter="0" w:footer="0" w:header="0"/>
        </w:sectPr>
      </w:pPr>
    </w:p>
    <w:p>
      <w:pPr>
        <w:spacing w:after="0" w:line="304"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23-0691590</w:t>
      </w:r>
    </w:p>
    <w:p>
      <w:pPr>
        <w:spacing w:after="0" w:line="86" w:lineRule="exact"/>
        <w:rPr>
          <w:sz w:val="24"/>
          <w:szCs w:val="24"/>
          <w:color w:val="auto"/>
        </w:rPr>
      </w:pPr>
    </w:p>
    <w:p>
      <w:pPr>
        <w:sectPr>
          <w:pgSz w:w="11900" w:h="16838" w:orient="portrait"/>
          <w:cols w:equalWidth="0" w:num="2">
            <w:col w:w="7440" w:space="720"/>
            <w:col w:w="3260"/>
          </w:cols>
          <w:pgMar w:left="240" w:top="887" w:right="239" w:bottom="1440" w:gutter="0" w:footer="0" w:header="0"/>
          <w:type w:val="continuous"/>
        </w:sectPr>
      </w:pPr>
    </w:p>
    <w:p>
      <w:pPr>
        <w:jc w:val="center"/>
        <w:ind w:right="800"/>
        <w:spacing w:after="0"/>
        <w:rPr>
          <w:sz w:val="20"/>
          <w:szCs w:val="20"/>
          <w:color w:val="auto"/>
        </w:rPr>
      </w:pPr>
      <w:r>
        <w:rPr>
          <w:rFonts w:ascii="Arial" w:cs="Arial" w:eastAsia="Arial" w:hAnsi="Arial"/>
          <w:sz w:val="16"/>
          <w:szCs w:val="16"/>
          <w:color w:val="auto"/>
        </w:rPr>
        <w:t>(State or other jurisdiction of incorporation</w:t>
      </w:r>
    </w:p>
    <w:p>
      <w:pPr>
        <w:spacing w:after="0" w:line="46"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90" w:lineRule="exact"/>
        <w:rPr>
          <w:sz w:val="24"/>
          <w:szCs w:val="24"/>
          <w:color w:val="auto"/>
        </w:rPr>
      </w:pPr>
    </w:p>
    <w:p>
      <w:pPr>
        <w:sectPr>
          <w:pgSz w:w="11900" w:h="16838" w:orient="portrait"/>
          <w:cols w:equalWidth="0" w:num="2">
            <w:col w:w="6580" w:space="720"/>
            <w:col w:w="4120"/>
          </w:cols>
          <w:pgMar w:left="240" w:top="887"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100 Crystal A Drive, Hershey, PA</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17033</w:t>
      </w:r>
    </w:p>
    <w:p>
      <w:pPr>
        <w:sectPr>
          <w:pgSz w:w="11900" w:h="16838" w:orient="portrait"/>
          <w:cols w:equalWidth="0" w:num="1">
            <w:col w:w="11420"/>
          </w:cols>
          <w:pgMar w:left="240" w:top="887" w:right="239" w:bottom="1440" w:gutter="0" w:footer="0" w:header="0"/>
          <w:type w:val="continuous"/>
        </w:sectPr>
      </w:pP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717-534-4200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87" w:right="23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6">
            <w:col w:w="2280" w:space="720"/>
            <w:col w:w="220" w:space="720"/>
            <w:col w:w="2080" w:space="720"/>
            <w:col w:w="240" w:space="720"/>
            <w:col w:w="2060" w:space="720"/>
            <w:col w:w="940"/>
          </w:cols>
          <w:pgMar w:left="240" w:top="887"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2240" w:space="720"/>
            <w:col w:w="160" w:space="240"/>
            <w:col w:w="3620" w:space="720"/>
            <w:col w:w="2060" w:space="720"/>
            <w:col w:w="940"/>
          </w:cols>
          <w:pgMar w:left="240" w:top="887" w:right="239" w:bottom="1440" w:gutter="0" w:footer="0" w:header="0"/>
          <w:type w:val="continuous"/>
        </w:sect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Common Stock, one dollar par value—148,647,172 shares, as of April 20,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Class B Common Stock, one dollar par value—60,619,777 shares, as of April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April 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8300" w:type="dxa"/>
            <w:vAlign w:val="bottom"/>
            <w:tcBorders>
              <w:bottom w:val="single" w:sz="8" w:color="CCEEFF"/>
            </w:tcBorders>
            <w:gridSpan w:val="10"/>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Consolidated Statements of Income for the Three Months Ended April 1, 2018 and April 2, 2017</w:t>
              </w:r>
            </w:hyperlink>
          </w:p>
        </w:tc>
        <w:tc>
          <w:tcPr>
            <w:tcW w:w="3960" w:type="dxa"/>
            <w:vAlign w:val="bottom"/>
            <w:tcBorders>
              <w:bottom w:val="single" w:sz="8" w:color="CCEEFF"/>
            </w:tcBorders>
            <w:gridSpan w:val="3"/>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for the Three Months Ended April 1, 2018 and April 2, 2017</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Balance Sheets as of April 1, 2018 and December 31, 2017</w:t>
              </w:r>
            </w:hyperlink>
          </w:p>
        </w:tc>
        <w:tc>
          <w:tcPr>
            <w:tcW w:w="568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April 1, 2018 and April 2, 2017</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940" w:type="dxa"/>
            <w:vAlign w:val="bottom"/>
            <w:gridSpan w:val="19"/>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Stockholders' Equity for the Three Months Ended April 1, 2018</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540" w:type="dxa"/>
            <w:vAlign w:val="bottom"/>
            <w:tcBorders>
              <w:top w:val="single" w:sz="8" w:color="0000EE"/>
            </w:tcBorders>
            <w:gridSpan w:val="14"/>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4400" w:type="dxa"/>
            <w:vAlign w:val="bottom"/>
            <w:tcBorders>
              <w:top w:val="single" w:sz="8" w:color="CCEEFF"/>
            </w:tcBorders>
            <w:gridSpan w:val="5"/>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2. 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27</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980" w:type="dxa"/>
            <w:vAlign w:val="bottom"/>
            <w:tcBorders>
              <w:top w:val="single" w:sz="8" w:color="0000EE"/>
            </w:tcBorders>
            <w:gridSpan w:val="16"/>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3. Quantitative and Qualitative Disclosures About Market Risk</w:t>
              </w:r>
            </w:hyperlink>
          </w:p>
        </w:tc>
        <w:tc>
          <w:tcPr>
            <w:tcW w:w="406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4. 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1180" w:type="dxa"/>
            <w:vAlign w:val="bottom"/>
            <w:gridSpan w:val="21"/>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PART II. 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Item1. Legal Proceedings</w:t>
              </w:r>
            </w:hyperlink>
          </w:p>
        </w:tc>
        <w:tc>
          <w:tcPr>
            <w:tcW w:w="8620" w:type="dxa"/>
            <w:vAlign w:val="bottom"/>
            <w:tcBorders>
              <w:top w:val="single" w:sz="8" w:color="CCEEFF"/>
            </w:tcBorders>
            <w:gridSpan w:val="1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1A. Risk Factors</w:t>
              </w:r>
            </w:hyperlink>
          </w:p>
        </w:tc>
        <w:tc>
          <w:tcPr>
            <w:tcW w:w="946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2. 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3. 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60" w:type="dxa"/>
            <w:vAlign w:val="bottom"/>
            <w:tcBorders>
              <w:top w:val="single" w:sz="8" w:color="0000EE"/>
            </w:tcBorders>
            <w:gridSpan w:val="11"/>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4. Mine Safety Disclosures</w:t>
              </w:r>
            </w:hyperlink>
          </w:p>
        </w:tc>
        <w:tc>
          <w:tcPr>
            <w:tcW w:w="818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Item 5. Other Information</w:t>
              </w:r>
            </w:hyperlink>
          </w:p>
        </w:tc>
        <w:tc>
          <w:tcPr>
            <w:tcW w:w="91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6. 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Signatures</w:t>
              </w:r>
            </w:hyperlink>
          </w:p>
        </w:tc>
        <w:tc>
          <w:tcPr>
            <w:tcW w:w="10420" w:type="dxa"/>
            <w:vAlign w:val="bottom"/>
            <w:gridSpan w:val="18"/>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c>
          <w:tcPr>
            <w:tcW w:w="20" w:type="dxa"/>
            <w:vAlign w:val="bottom"/>
          </w:tcPr>
          <w:p>
            <w:pPr>
              <w:spacing w:after="0"/>
              <w:rPr>
                <w:sz w:val="17"/>
                <w:szCs w:val="17"/>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60" w:type="dxa"/>
            <w:vAlign w:val="bottom"/>
            <w:gridSpan w:val="4"/>
          </w:tcPr>
          <w:p>
            <w:pPr>
              <w:jc w:val="right"/>
              <w:ind w:right="12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2"/>
          </w:tcPr>
          <w:p>
            <w:pPr>
              <w:ind w:left="260"/>
              <w:spacing w:after="0"/>
              <w:rPr>
                <w:sz w:val="20"/>
                <w:szCs w:val="20"/>
                <w:color w:val="auto"/>
              </w:rPr>
            </w:pPr>
            <w:r>
              <w:rPr>
                <w:rFonts w:ascii="Arial" w:cs="Arial" w:eastAsia="Arial" w:hAnsi="Arial"/>
                <w:sz w:val="18"/>
                <w:szCs w:val="18"/>
                <w:b w:val="1"/>
                <w:bCs w:val="1"/>
                <w:color w:val="auto"/>
              </w:rPr>
              <w:t>April 1, 2018</w:t>
            </w:r>
          </w:p>
        </w:tc>
        <w:tc>
          <w:tcPr>
            <w:tcW w:w="380" w:type="dxa"/>
            <w:vAlign w:val="bottom"/>
          </w:tcPr>
          <w:p>
            <w:pPr>
              <w:spacing w:after="0"/>
              <w:rPr>
                <w:sz w:val="20"/>
                <w:szCs w:val="20"/>
                <w:color w:val="auto"/>
              </w:rPr>
            </w:pPr>
          </w:p>
        </w:tc>
        <w:tc>
          <w:tcPr>
            <w:tcW w:w="1780" w:type="dxa"/>
            <w:vAlign w:val="bottom"/>
          </w:tcPr>
          <w:p>
            <w:pPr>
              <w:jc w:val="right"/>
              <w:ind w:right="450"/>
              <w:spacing w:after="0"/>
              <w:rPr>
                <w:sz w:val="20"/>
                <w:szCs w:val="20"/>
                <w:color w:val="auto"/>
              </w:rPr>
            </w:pPr>
            <w:r>
              <w:rPr>
                <w:rFonts w:ascii="Arial" w:cs="Arial" w:eastAsia="Arial" w:hAnsi="Arial"/>
                <w:sz w:val="18"/>
                <w:szCs w:val="18"/>
                <w:b w:val="1"/>
                <w:bCs w:val="1"/>
                <w:color w:val="auto"/>
              </w:rPr>
              <w:t>April 2, 2017</w:t>
            </w: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1,971,959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1,879,678</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997,899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970,326</w:t>
            </w: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974,060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909,352</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Selling, marketing and administrative expense</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485,324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459,386</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Long-lived asset impairment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208,712</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Business realignment costs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8,224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44,017</w:t>
            </w: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480,512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197,237</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29,339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23,741</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5,135</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449,231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168,361</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70,113</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Net income including noncontrolling interest</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350,719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98,248</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(26,796)</w:t>
            </w:r>
          </w:p>
        </w:tc>
      </w:tr>
      <w:tr>
        <w:trPr>
          <w:trHeight w:val="297"/>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350,203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125,044</w:t>
            </w:r>
          </w:p>
        </w:tc>
      </w:tr>
      <w:tr>
        <w:trPr>
          <w:trHeight w:val="311"/>
        </w:trPr>
        <w:tc>
          <w:tcPr>
            <w:tcW w:w="7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share—basic:</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0.55</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share—diluted:</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0.55</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Dividends paid per share:</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0.618</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0.596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0.562</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6"/>
              </w:rPr>
              <w:t>April 1, 2018</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4"/>
              </w:rPr>
              <w:t>April 2, 2017</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Pre-Tax</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 (Expense)</w:t>
            </w:r>
          </w:p>
        </w:tc>
        <w:tc>
          <w:tcPr>
            <w:tcW w:w="140" w:type="dxa"/>
            <w:vAlign w:val="bottom"/>
          </w:tcPr>
          <w:p>
            <w:pPr>
              <w:spacing w:after="0"/>
              <w:rPr>
                <w:sz w:val="13"/>
                <w:szCs w:val="13"/>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After-Tax</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including noncontrolling interest</w:t>
            </w: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350,719</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98,248</w:t>
            </w:r>
          </w:p>
        </w:tc>
        <w:tc>
          <w:tcPr>
            <w:tcW w:w="0" w:type="dxa"/>
            <w:vAlign w:val="bottom"/>
          </w:tcPr>
          <w:p>
            <w:pPr>
              <w:spacing w:after="0"/>
              <w:rPr>
                <w:sz w:val="1"/>
                <w:szCs w:val="1"/>
                <w:color w:val="auto"/>
              </w:rPr>
            </w:pPr>
          </w:p>
        </w:tc>
      </w:tr>
      <w:tr>
        <w:trPr>
          <w:trHeight w:val="258"/>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income (loss), net of tax:</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13,951</w:t>
            </w:r>
          </w:p>
        </w:tc>
        <w:tc>
          <w:tcPr>
            <w:tcW w:w="0" w:type="dxa"/>
            <w:vAlign w:val="bottom"/>
          </w:tcPr>
          <w:p>
            <w:pPr>
              <w:spacing w:after="0"/>
              <w:rPr>
                <w:sz w:val="1"/>
                <w:szCs w:val="1"/>
                <w:color w:val="auto"/>
              </w:rPr>
            </w:pP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Pension and post-retirement benefit plans: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actuarial gain (loss) and prior service cost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64"/>
        </w:trPr>
        <w:tc>
          <w:tcPr>
            <w:tcW w:w="5380" w:type="dxa"/>
            <w:vAlign w:val="bottom"/>
          </w:tcPr>
          <w:p>
            <w:pPr>
              <w:ind w:left="280"/>
              <w:spacing w:after="0"/>
              <w:rPr>
                <w:sz w:val="20"/>
                <w:szCs w:val="20"/>
                <w:color w:val="auto"/>
              </w:rPr>
            </w:pPr>
            <w:r>
              <w:rPr>
                <w:rFonts w:ascii="Arial" w:cs="Arial" w:eastAsia="Arial" w:hAnsi="Arial"/>
                <w:sz w:val="14"/>
                <w:szCs w:val="14"/>
                <w:color w:val="auto"/>
              </w:rPr>
              <w:t>Reclassification of tax effects relating to U.S. tax reform</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(36,535)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(36,535)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Cash flow hedges: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(losses) on cash flow hedging derivatives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264"/>
        </w:trPr>
        <w:tc>
          <w:tcPr>
            <w:tcW w:w="5380" w:type="dxa"/>
            <w:vAlign w:val="bottom"/>
          </w:tcPr>
          <w:p>
            <w:pPr>
              <w:ind w:left="280"/>
              <w:spacing w:after="0"/>
              <w:rPr>
                <w:sz w:val="20"/>
                <w:szCs w:val="20"/>
                <w:color w:val="auto"/>
              </w:rPr>
            </w:pPr>
            <w:r>
              <w:rPr>
                <w:rFonts w:ascii="Arial" w:cs="Arial" w:eastAsia="Arial" w:hAnsi="Arial"/>
                <w:sz w:val="14"/>
                <w:szCs w:val="14"/>
                <w:color w:val="auto"/>
              </w:rPr>
              <w:t>Reclassification of tax effects relating to U.S. tax reform</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(11,121)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283"/>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10,335</w:t>
            </w:r>
          </w:p>
        </w:tc>
        <w:tc>
          <w:tcPr>
            <w:tcW w:w="1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(50,280)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(39,945)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22,442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18,818</w:t>
            </w:r>
          </w:p>
        </w:tc>
        <w:tc>
          <w:tcPr>
            <w:tcW w:w="0" w:type="dxa"/>
            <w:vAlign w:val="bottom"/>
          </w:tcPr>
          <w:p>
            <w:pPr>
              <w:spacing w:after="0"/>
              <w:rPr>
                <w:sz w:val="1"/>
                <w:szCs w:val="1"/>
                <w:color w:val="auto"/>
              </w:rPr>
            </w:pPr>
          </w:p>
        </w:tc>
      </w:tr>
      <w:tr>
        <w:trPr>
          <w:trHeight w:val="245"/>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comprehensive income including noncontrolling interest</w:t>
            </w:r>
          </w:p>
        </w:tc>
        <w:tc>
          <w:tcPr>
            <w:tcW w:w="1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310,774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117,066</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(26,456)</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attributable to The Hershey Company</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309,474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143,522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April 1, 2018</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380,179</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receivable—trade, net</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614,295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588,262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752,836</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397,307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280,633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2,270,496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2,001,910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2,119,016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2,106,697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1,645,274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821,061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intangibles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1,032,848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369,156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251,879</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7,332,798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5,553,726</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519,988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523,229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676,134</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Accrued income taxes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17,723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2,246,485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559,359</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303,062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300,098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3,705,507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2,076,543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2,059,934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2,061,023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438,939</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142,516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45,656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6,343,143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4,622,161</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at April 1, 2018 and December 31, 2017</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w w:val="99"/>
              </w:rPr>
              <w:t>Common stock, shares issued: 299,281,967 at April 1, 2018 and December 31, 2017</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299,281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Class B common stock, shares issued: 60,619,777 at April 1, 2018 and December 31, 2017</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925,965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924,978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6,634,316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6,371,082</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w w:val="92"/>
              </w:rPr>
              <w:t>Treasury—common stock shares, at cost: 150,559,192 at April 1, 2018 and 149,040,927 at</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December 31, 2017</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(6,593,579)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(6,426,877)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(313,746)</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972,128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915,338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989,655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931,565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7,332,798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5,553,726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80" w:type="dxa"/>
            <w:vAlign w:val="bottom"/>
            <w:gridSpan w:val="2"/>
          </w:tcPr>
          <w:p>
            <w:pPr>
              <w:ind w:left="320"/>
              <w:spacing w:after="0"/>
              <w:rPr>
                <w:sz w:val="20"/>
                <w:szCs w:val="20"/>
                <w:color w:val="auto"/>
              </w:rPr>
            </w:pPr>
            <w:r>
              <w:rPr>
                <w:rFonts w:ascii="Arial" w:cs="Arial" w:eastAsia="Arial" w:hAnsi="Arial"/>
                <w:sz w:val="14"/>
                <w:szCs w:val="14"/>
                <w:b w:val="1"/>
                <w:bCs w:val="1"/>
                <w:color w:val="auto"/>
              </w:rPr>
              <w:t>April 1, 2018</w:t>
            </w:r>
          </w:p>
        </w:tc>
        <w:tc>
          <w:tcPr>
            <w:tcW w:w="660" w:type="dxa"/>
            <w:vAlign w:val="bottom"/>
          </w:tcPr>
          <w:p>
            <w:pPr>
              <w:spacing w:after="0"/>
              <w:rPr>
                <w:sz w:val="22"/>
                <w:szCs w:val="22"/>
                <w:color w:val="auto"/>
              </w:rPr>
            </w:pPr>
          </w:p>
        </w:tc>
        <w:tc>
          <w:tcPr>
            <w:tcW w:w="1480" w:type="dxa"/>
            <w:vAlign w:val="bottom"/>
          </w:tcPr>
          <w:p>
            <w:pPr>
              <w:jc w:val="right"/>
              <w:ind w:right="548"/>
              <w:spacing w:after="0"/>
              <w:rPr>
                <w:sz w:val="20"/>
                <w:szCs w:val="20"/>
                <w:color w:val="auto"/>
              </w:rPr>
            </w:pPr>
            <w:r>
              <w:rPr>
                <w:rFonts w:ascii="Arial" w:cs="Arial" w:eastAsia="Arial" w:hAnsi="Arial"/>
                <w:sz w:val="14"/>
                <w:szCs w:val="14"/>
                <w:b w:val="1"/>
                <w:bCs w:val="1"/>
                <w:color w:val="auto"/>
              </w:rPr>
              <w:t>April 2, 2017</w:t>
            </w:r>
          </w:p>
        </w:tc>
      </w:tr>
      <w:tr>
        <w:trPr>
          <w:trHeight w:val="270"/>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420" w:type="dxa"/>
            <w:vAlign w:val="bottom"/>
            <w:tcBorders>
              <w:top w:val="single" w:sz="8" w:color="auto"/>
            </w:tcBorders>
            <w:shd w:val="clear" w:color="auto" w:fill="CCEEFF"/>
          </w:tcPr>
          <w:p>
            <w:pPr>
              <w:spacing w:after="0"/>
              <w:rPr>
                <w:sz w:val="23"/>
                <w:szCs w:val="23"/>
                <w:color w:val="auto"/>
              </w:rPr>
            </w:pPr>
          </w:p>
        </w:tc>
        <w:tc>
          <w:tcPr>
            <w:tcW w:w="1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350,719</w:t>
            </w:r>
          </w:p>
        </w:tc>
        <w:tc>
          <w:tcPr>
            <w:tcW w:w="120" w:type="dxa"/>
            <w:vAlign w:val="bottom"/>
          </w:tcPr>
          <w:p>
            <w:pPr>
              <w:spacing w:after="0"/>
              <w:rPr>
                <w:sz w:val="22"/>
                <w:szCs w:val="22"/>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98,248</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74,416</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64,952</w:t>
            </w: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12,122</w:t>
            </w: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42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2,521</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(14,780)</w:t>
            </w: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 of long-lived assets (see Note 8)</w:t>
            </w:r>
          </w:p>
        </w:tc>
        <w:tc>
          <w:tcPr>
            <w:tcW w:w="42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208,712</w:t>
            </w: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Write-down of equity investments</w:t>
            </w:r>
          </w:p>
        </w:tc>
        <w:tc>
          <w:tcPr>
            <w:tcW w:w="42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9,055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11,512</w:t>
            </w: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Changes in assets and liabilities, net of business acquisitions and divestitures:</w:t>
            </w:r>
          </w:p>
        </w:tc>
        <w:tc>
          <w:tcPr>
            <w:tcW w:w="4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receivable—trade, net</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(14,398)</w:t>
            </w: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Inventories</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(11,266)</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(49,726)</w:t>
            </w: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7,309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(31,232)</w:t>
            </w: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(146,623)</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(124,664)</w:t>
            </w: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Accrued income taxes</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82,231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76,779</w:t>
            </w: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Contributions to pension and other benefit plans</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(7,449)</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(11,576)</w:t>
            </w:r>
          </w:p>
        </w:tc>
      </w:tr>
      <w:tr>
        <w:trPr>
          <w:trHeight w:val="270"/>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Other assets and liabilities</w:t>
            </w:r>
          </w:p>
        </w:tc>
        <w:tc>
          <w:tcPr>
            <w:tcW w:w="4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(9,866)</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8,513</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4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352,057</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234,462</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4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Capital additions (including software)</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(60,133)</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(33,297)</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property, plant and equipment</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(6,281)</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(7,948)</w:t>
            </w:r>
          </w:p>
        </w:tc>
      </w:tr>
      <w:tr>
        <w:trPr>
          <w:trHeight w:val="270"/>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Business acquisition, net of cash and cash equivalents acquired</w:t>
            </w:r>
          </w:p>
        </w:tc>
        <w:tc>
          <w:tcPr>
            <w:tcW w:w="4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(915,457)</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4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(981,759)</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(40,684)</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4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Net increase (decrease) in short-term debt</w:t>
            </w:r>
          </w:p>
        </w:tc>
        <w:tc>
          <w:tcPr>
            <w:tcW w:w="42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1,686,816</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(146,604)</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long-term debt</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(607,922)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Repayment of tax receivable obligation</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(42,500)</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dividends paid</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(134,300)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(128,017)</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4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(178,073)</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4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17,841</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4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725,905</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(256,874)</w:t>
            </w: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4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1,160</w:t>
            </w:r>
          </w:p>
        </w:tc>
      </w:tr>
      <w:tr>
        <w:trPr>
          <w:trHeight w:val="250"/>
        </w:trPr>
        <w:tc>
          <w:tcPr>
            <w:tcW w:w="6980" w:type="dxa"/>
            <w:vAlign w:val="bottom"/>
          </w:tcPr>
          <w:p>
            <w:pPr>
              <w:ind w:left="40"/>
              <w:spacing w:after="0"/>
              <w:rPr>
                <w:sz w:val="20"/>
                <w:szCs w:val="20"/>
                <w:color w:val="auto"/>
              </w:rPr>
            </w:pPr>
            <w:r>
              <w:rPr>
                <w:rFonts w:ascii="Arial" w:cs="Arial" w:eastAsia="Arial" w:hAnsi="Arial"/>
                <w:sz w:val="14"/>
                <w:szCs w:val="14"/>
                <w:color w:val="auto"/>
              </w:rPr>
              <w:t>Increase (decrease) in cash and cash equivalents</w:t>
            </w:r>
          </w:p>
        </w:tc>
        <w:tc>
          <w:tcPr>
            <w:tcW w:w="420" w:type="dxa"/>
            <w:vAlign w:val="bottom"/>
          </w:tcPr>
          <w:p>
            <w:pPr>
              <w:spacing w:after="0"/>
              <w:rPr>
                <w:sz w:val="21"/>
                <w:szCs w:val="21"/>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96,255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(61,936)</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4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380,179</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296,967</w:t>
            </w:r>
          </w:p>
        </w:tc>
      </w:tr>
      <w:tr>
        <w:trPr>
          <w:trHeight w:val="28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476,434</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235,031</w:t>
            </w:r>
          </w:p>
        </w:tc>
      </w:tr>
      <w:tr>
        <w:trPr>
          <w:trHeight w:val="251"/>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4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Interest paid</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38,323</w:t>
            </w:r>
          </w:p>
        </w:tc>
        <w:tc>
          <w:tcPr>
            <w:tcW w:w="120" w:type="dxa"/>
            <w:vAlign w:val="bottom"/>
          </w:tcPr>
          <w:p>
            <w:pPr>
              <w:spacing w:after="0"/>
              <w:rPr>
                <w:sz w:val="22"/>
                <w:szCs w:val="22"/>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33,732</w:t>
            </w:r>
          </w:p>
        </w:tc>
      </w:tr>
      <w:tr>
        <w:trPr>
          <w:trHeight w:val="276"/>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Income taxes paid</w:t>
            </w:r>
          </w:p>
        </w:tc>
        <w:tc>
          <w:tcPr>
            <w:tcW w:w="4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12,817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7,532</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2017</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Dividends (including dividend equivalents):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Common Stock, $0.656 per share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Class B Common Stock, $0.596 per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Reclassification of tax effects relating to U.S. tax reform</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April 1, 2018</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Arial" w:cs="Arial" w:eastAsia="Arial" w:hAnsi="Arial"/>
          <w:sz w:val="18"/>
          <w:szCs w:val="18"/>
          <w:b w:val="1"/>
          <w:bCs w:val="1"/>
          <w:color w:val="auto"/>
        </w:rPr>
        <w:t>THE HERSHEY COMPANY</w:t>
      </w:r>
    </w:p>
    <w:p>
      <w:pPr>
        <w:ind w:left="32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2880"/>
        <w:spacing w:after="0" w:line="204" w:lineRule="auto"/>
        <w:rPr>
          <w:sz w:val="20"/>
          <w:szCs w:val="20"/>
          <w:color w:val="auto"/>
        </w:rPr>
      </w:pPr>
      <w:r>
        <w:rPr>
          <w:rFonts w:ascii="Arial" w:cs="Arial" w:eastAsia="Arial" w:hAnsi="Arial"/>
          <w:sz w:val="18"/>
          <w:szCs w:val="18"/>
          <w:b w:val="1"/>
          <w:bCs w:val="1"/>
          <w:color w:val="auto"/>
        </w:rPr>
        <w:t>(in thousands)</w:t>
      </w:r>
    </w:p>
    <w:p>
      <w:pPr>
        <w:jc w:val="center"/>
        <w:ind w:right="288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Interests in</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924,978</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6,371,082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(6,426,877)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931,565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350,203</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350,719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7,711</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(98,495)</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(98,495)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(36,130)</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(36,130)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10,474</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10,474</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(9,487)</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11,371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(178,073)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(178,073)</w:t>
            </w:r>
          </w:p>
        </w:tc>
        <w:tc>
          <w:tcPr>
            <w:tcW w:w="0" w:type="dxa"/>
            <w:vAlign w:val="bottom"/>
          </w:tcPr>
          <w:p>
            <w:pPr>
              <w:spacing w:after="0"/>
              <w:rPr>
                <w:sz w:val="1"/>
                <w:szCs w:val="1"/>
                <w:color w:val="auto"/>
              </w:rPr>
            </w:pPr>
          </w:p>
        </w:tc>
      </w:tr>
      <w:tr>
        <w:trPr>
          <w:trHeight w:val="50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9"/>
              </w:rPr>
              <w:t>$  925,965</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$6,634,316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(6,593,579)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(354,475)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17,527</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989,655</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-2100580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-1757680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-1414145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-1071245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-676910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-187960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640" w:space="200"/>
            <w:col w:w="8540"/>
          </w:cols>
          <w:pgMar w:left="280" w:top="55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w:t>
      </w:r>
    </w:p>
    <w:p>
      <w:pPr>
        <w:spacing w:after="0" w:line="13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which are, in our opinion, necessary for a fair presentation of the results of operations, financial position, and cash flows for the indicated periods.</w:t>
      </w:r>
    </w:p>
    <w:p>
      <w:pPr>
        <w:spacing w:after="0" w:line="3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Operating results for the quarter ended April 1, 2018 may not be indicative of the results that may be expected for the year ending December 31, 2018 because of seasonal effects on our business. These financial statements should be read in conjunction with our Annual Report on Form 10-K for the year ended December 31, 2017 (our “2017 Annual Report on Form 10-K”), which provides a more complete understanding of our accounting policies, financial position, operating results and other matters.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The majority of our revenue is derived by fulfilling customer orders for the purchase of our products, including chocolate, sweets, mints and other grocery and snack offerings. We recognize revenue at the point in time that control of the ordered product(s) is transferred to the customer, which is typically upon delivery to the customer or other customer-designated delivery point. Shipping and handling costs incurred to deliver product to the customer are recorded within cost of sales. Amounts billed and due from our customers are classified as accounts receivables on the balance sheet and require payment on a short-term basis.</w:t>
      </w:r>
    </w:p>
    <w:p>
      <w:pPr>
        <w:spacing w:after="0" w:line="188"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Revenue is measured as the amount of consideration we expect to receive in exchange for fulfilling product orders. Sales, value add, and other taxes we collect concurrent with revenue-producing activities are excluded from revenue. Incidental items that are immaterial in the context of the contract are recognized as expense. The amount of consideration we expect to receive and revenue we recognize includes estimates of variable consideration, including costs for trade promotional programs, consumer incentives, and allowances and discounts associated with aged or potentially unsaleable products. These estimates are based upon our analysis of the programs offered, historical trends, expectations regarding customer and consumer participation, sales and payment trends and our experience with payment patterns associated with similar programs offered in the past. We review and update these estimates regularly and the impact of any adjustments are recognized in the period the adjustments are identified. The adjustments recognized in first quarter of 2018 and 2017 resulting from updated estimates of revenue for prior year product sales were not significant.</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also recognize a minor amount of royalty income (less than 1% of our consolidated net sales) from sales-based licensing arrangements, pursuant to which revenue is recognized as the third-party licensee sales occur.</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majority of our products are confectionery and confectionery-based and, therefore, exhibit similar economic characteristics, such that they are based on similar ingredients and are marketed and sold through the same channels to the same customers. See Note 12 for revenues reported by geographic segment, which is consistent with how we organize and manage our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(ASC Topic 606), which replaces numerous requirements in U.S. GAAP, including industry-specific requirements, and provides companies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single revenue recognition model for recognizing revenue from contracts with customers. On January 1, 2018, we adopted the requirements of ASC Topic</w:t>
      </w:r>
    </w:p>
    <w:p>
      <w:pPr>
        <w:ind w:right="20"/>
        <w:spacing w:after="0" w:line="273" w:lineRule="auto"/>
        <w:rPr>
          <w:sz w:val="20"/>
          <w:szCs w:val="20"/>
          <w:color w:val="auto"/>
        </w:rPr>
      </w:pPr>
      <w:r>
        <w:rPr>
          <w:rFonts w:ascii="Arial" w:cs="Arial" w:eastAsia="Arial" w:hAnsi="Arial"/>
          <w:sz w:val="17"/>
          <w:szCs w:val="17"/>
          <w:color w:val="auto"/>
        </w:rPr>
        <w:t>606 and all the related amendments to all of our contracts using the modified retrospective method. Upon completing our implementation assessment of Topic ASC 606, we concluded that no adjustment was required to the opening balance of retained earnings at the date of initial application. The comparative information has also not been restated and continues to be reported under the accounting standards in effect for those periods. Additional disclosures required by ASC Topic 606 are presented within the aforementioned Revenue Recognition policy disclosure.</w:t>
      </w:r>
    </w:p>
    <w:p>
      <w:pPr>
        <w:spacing w:after="0" w:line="12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xml:space="preserve"> This ASU requires the income tax consequences of intra-entity transfers of assets other than inventory to be recognized when the intra-entity transfer occurs rather than deferring recognition of income tax consequences until the transfer was made with an outside party. We adopted the provisions of this ASU in the first quarter of 2018. Adoption of the new standard did not have a material impact on our Consolidated Financial Statements.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Compensation-Retirement Benefits (Topic 715)</w:t>
      </w:r>
      <w:r>
        <w:rPr>
          <w:rFonts w:ascii="Arial" w:cs="Arial" w:eastAsia="Arial" w:hAnsi="Arial"/>
          <w:sz w:val="18"/>
          <w:szCs w:val="18"/>
          <w:color w:val="auto"/>
        </w:rPr>
        <w:t>. This ASU requires an employer to report the service cost component of net benefit cost in the same 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presented, or disclosed separately. In addition, only the service cost component may be eligible for capitalization where applicable. The amendments should be applied on a retrospective basis. We adopted the provisions of this ASU in the first quarter of 2018, with retrospective adjustment to the comparative period determined using the previously disclosed service cost and other costs from our prior year pension and other post-retirement benefit plan footnote. As a result, the following amounts were reclassified in the first quarter of 2017 to correspond to the current year presentation: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right"/>
              <w:ind w:right="334"/>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9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80" w:type="dxa"/>
            <w:vAlign w:val="bottom"/>
          </w:tcPr>
          <w:p>
            <w:pPr>
              <w:jc w:val="right"/>
              <w:ind w:right="614"/>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9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Reclassified from:</w:t>
            </w: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2,792</w:t>
            </w:r>
          </w:p>
        </w:tc>
      </w:tr>
      <w:tr>
        <w:trPr>
          <w:trHeight w:val="27"/>
        </w:trPr>
        <w:tc>
          <w:tcPr>
            <w:tcW w:w="9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2,514</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Reclassified to Other (income) expense,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5,306</w:t>
            </w:r>
          </w:p>
        </w:tc>
      </w:tr>
      <w:tr>
        <w:trPr>
          <w:trHeight w:val="20"/>
        </w:trPr>
        <w:tc>
          <w:tcPr>
            <w:tcW w:w="9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252525"/>
        </w:rPr>
        <w:t>The adoption of this ASU had no impact on our consolidated balance sheets or statements of cash flows.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This ASU permits a company to reclassify the income tax effects of the 2017 Tax Cuts and Jobs Act</w:t>
      </w:r>
      <w:r>
        <w:rPr>
          <w:rFonts w:ascii="Arial" w:cs="Arial" w:eastAsia="Arial" w:hAnsi="Arial"/>
          <w:sz w:val="17"/>
          <w:szCs w:val="17"/>
          <w:i w:val="1"/>
          <w:iCs w:val="1"/>
          <w:color w:val="auto"/>
        </w:rPr>
        <w:t xml:space="preserve"> </w:t>
      </w:r>
      <w:r>
        <w:rPr>
          <w:rFonts w:ascii="Arial" w:cs="Arial" w:eastAsia="Arial" w:hAnsi="Arial"/>
          <w:sz w:val="17"/>
          <w:szCs w:val="17"/>
          <w:color w:val="auto"/>
        </w:rPr>
        <w:t>(“U.S. tax reform”) on items within accumulated other comprehensive income (“AOCI”) to retained earnings. We adopted the provisions of this ASU in the first quarter of 2018. We elected to reclassify the income tax effects of the 2017 U.S. tax reform from items in AOCI as of January 1, 2018 so that the tax effects of items within AOCI are reflected at the appropriate tax rate. The impact of the adoption resulted in a $47,656 decrease to AOCI and a corresponding increase to retained earnings. This amount is considered “provisional” based on reasonable estimates as the Company continues to collect and analyze detailed information about the associated impact of items under U.S. tax reform.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ASU will require lessees to recognize a right-of-use asset and lease liability for all leases with terms of more than 12 months. Recognition, measurement and presentation of expenses will depend on classification as a finance or operating lease. This ASU also requires certain quantitative and qualitative disclosures. Accounting guidance for lessors is largely unchanged. The guidance originally required entities to apply ASU 2016-02 on a modified retrospective basis; however, the FASB has recently proposed guidance that would allow adoption of the standard as of the effective date without restating prior periods. ASU 2016-02 is effective for us beginning January 1, 2019. We are in the process of completing an inventory of our lease arrangements and analyzing contracts for potential accounting implications in order to determine the impact that the adoption of ASU 2016-02 will have on our consolidated financial statements and related disclosures. Based on our assessment to date, we expect adoption of this standard to result in a material increase in lease-related assets and liabilities on our Consolidated Balance Sheets; however, we do not expect it to have a significant impact on our Consolidated Statements of Income or Cash Flows.</w:t>
      </w:r>
    </w:p>
    <w:p>
      <w:pPr>
        <w:spacing w:after="0" w:line="11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which amends ASC 815. The purpose of this ASU is to better align accounting rules with a company’s risk management activities and financial reporting for hedging relationships, better reflect economic results of hedging in financial statements, simplify hedge accounting requirements and improve the disclosures of hedging arrangements. The amendment should be applied using the modified retrospective transition method. ASU 2017-12 is effective for annual periods beginning after December 15, 2018 and interim periods within those annual periods, with early adoption permitted. We will adopt the provisions of this ASU in the first quarter of 2019. Adoption of the new standard is not expected to have a material impact on our Consolidated Financial Statements.</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1"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w:t>
      </w:r>
    </w:p>
    <w:p>
      <w:pPr>
        <w:spacing w:after="0" w:line="17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On January 31,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w:t>
      </w:r>
      <w:r>
        <w:rPr>
          <w:rFonts w:ascii="Arial" w:cs="Arial" w:eastAsia="Arial" w:hAnsi="Arial"/>
          <w:sz w:val="17"/>
          <w:szCs w:val="17"/>
          <w:i w:val="1"/>
          <w:iCs w:val="1"/>
          <w:color w:val="auto"/>
        </w:rPr>
        <w:t>Paqui</w:t>
      </w:r>
      <w:r>
        <w:rPr>
          <w:rFonts w:ascii="Arial" w:cs="Arial" w:eastAsia="Arial" w:hAnsi="Arial"/>
          <w:sz w:val="17"/>
          <w:szCs w:val="17"/>
          <w:color w:val="auto"/>
        </w:rPr>
        <w:t xml:space="preserve"> and </w:t>
      </w:r>
      <w:r>
        <w:rPr>
          <w:rFonts w:ascii="Arial" w:cs="Arial" w:eastAsia="Arial" w:hAnsi="Arial"/>
          <w:sz w:val="17"/>
          <w:szCs w:val="17"/>
          <w:i w:val="1"/>
          <w:iCs w:val="1"/>
          <w:color w:val="auto"/>
        </w:rPr>
        <w:t>Tyrrells</w:t>
      </w:r>
      <w:r>
        <w:rPr>
          <w:rFonts w:ascii="Arial" w:cs="Arial" w:eastAsia="Arial" w:hAnsi="Arial"/>
          <w:sz w:val="17"/>
          <w:szCs w:val="17"/>
          <w:color w:val="auto"/>
        </w:rPr>
        <w:t xml:space="preserve">. Amplify's anchor brand, </w:t>
      </w:r>
      <w:r>
        <w:rPr>
          <w:rFonts w:ascii="Arial" w:cs="Arial" w:eastAsia="Arial" w:hAnsi="Arial"/>
          <w:sz w:val="17"/>
          <w:szCs w:val="17"/>
          <w:i w:val="1"/>
          <w:iCs w:val="1"/>
          <w:color w:val="auto"/>
        </w:rPr>
        <w:t>SkinnyPop</w:t>
      </w:r>
      <w:r>
        <w:rPr>
          <w:rFonts w:ascii="Arial" w:cs="Arial" w:eastAsia="Arial" w:hAnsi="Arial"/>
          <w:sz w:val="17"/>
          <w:szCs w:val="17"/>
          <w:color w:val="auto"/>
        </w:rPr>
        <w:t>, is a market-leading ready-to-eat popcorn brand and is available in a wide range of food distribution channels in the United States.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$968,781 included payment of $12.00 per share for Amplify's outstanding common stock (for a total of $907,766), as well as payment of Amplify's transaction related expenses, including accelerated equity compensation, consultant fees and other deal costs. The business enables us to capture more consumer snacking occasions by contributing a new portfolio of brands.</w:t>
      </w:r>
    </w:p>
    <w:p>
      <w:pPr>
        <w:spacing w:after="0" w:line="1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acquisition has been accounted for as a purchase and, accordingly, Amplify's results of operations have been included within the North America segment results in our consolidated financial statements since the date of acquisition. The purchase consideration, net of cash acquired totaling $53,324, was allocated to assets acquired and liabilities assumed based on their respective fair values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receivable</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41,152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35,509</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Plant, property and equipment, net</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71,093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939,388</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intangible assets</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payable</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(109,565)</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Current debt</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(610,836)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Non-current deferred income taxes</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(5,149)</w:t>
            </w:r>
          </w:p>
        </w:tc>
      </w:tr>
      <w:tr>
        <w:trPr>
          <w:trHeight w:val="27"/>
        </w:trPr>
        <w:tc>
          <w:tcPr>
            <w:tcW w:w="92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Net assets acquired</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915,457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purchase price allocation presented above is preliminary. We are in the process of refining the valuation of acquired assets and liabilities, including goodwill, and expect to finalize the purchase price allocation by the end of 2018. In connection with the acquisition, the Company agreed to pay in full all outstanding debt owed by Amplify under its existing credit agreement as of January 31, 2018, as well as the amount due under Amplify's existing tax receivable agreement. The Company funded the acquisition and repayment of the acquired debt utilizing the proceeds from the issuance of commercial paper.</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Goodwill is being determined as the excess of the purchase price over the fair value of the net assets acquired (including the identifiable intangible assets) and is not expected to be deductible for tax purposes. The goodwill that will result from the acquisition is attributable primarily to cost-reduction synergies as Amplify leverages Hershey's resources, expertise and capability-building.</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intangible assets includes trademarks of $648,000 and customer relationships of $34,000. Trademarks were assigned estimated useful lives ranging from 28 to 38 years and customer relationships were assigned estimated useful lives ranging from 14 to 18 years.</w:t>
      </w:r>
    </w:p>
    <w:p>
      <w:pPr>
        <w:spacing w:after="0" w:line="17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 Under these valuation approaches, we are required to make estimates and assumptions about sales, operating margins, growth rates, royalty rates and discount rates based on budgets, business plans, economic projections, anticipated future cash flows and marketplace data.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incurred acquisition-related costs of $20,577 related to the acquisition of Amplify, the majority of which were incurred during the three months ended April 1, 2018. Acquisition-related costs consisted primarily of legal fees, consultant fees, valuation fees and other deal costs and are recorded in the selling, marketing and administrative expense caption within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three months ended April 1, 2018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821,061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Acquired during the period (see Note 2)</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939,388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939,388</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Reclassified to assets held for sale (see Note 7)</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(109,064)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currency translation and other</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(6,111)</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1,625,854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1,645,274</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1000"/>
              <w:spacing w:after="0"/>
              <w:rPr>
                <w:sz w:val="20"/>
                <w:szCs w:val="20"/>
                <w:color w:val="auto"/>
              </w:rPr>
            </w:pPr>
            <w:r>
              <w:rPr>
                <w:rFonts w:ascii="Arial" w:cs="Arial" w:eastAsia="Arial" w:hAnsi="Arial"/>
                <w:sz w:val="16"/>
                <w:szCs w:val="16"/>
                <w:b w:val="1"/>
                <w:bCs w:val="1"/>
                <w:color w:val="auto"/>
              </w:rPr>
              <w:t>April 1, 2018</w:t>
            </w:r>
          </w:p>
        </w:tc>
        <w:tc>
          <w:tcPr>
            <w:tcW w:w="160" w:type="dxa"/>
            <w:vAlign w:val="bottom"/>
          </w:tcPr>
          <w:p>
            <w:pPr>
              <w:spacing w:after="0"/>
              <w:rPr>
                <w:sz w:val="18"/>
                <w:szCs w:val="18"/>
                <w:color w:val="auto"/>
              </w:rPr>
            </w:pPr>
          </w:p>
        </w:tc>
        <w:tc>
          <w:tcPr>
            <w:tcW w:w="30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915,672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(41,556)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277,473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(37,510)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(34,659)</w:t>
            </w: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16,771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(15,975)</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1,089,495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(88,144)</w:t>
            </w:r>
          </w:p>
        </w:tc>
      </w:tr>
      <w:tr>
        <w:trPr>
          <w:trHeight w:val="32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35,050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34,636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1,032,848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369,156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three months ended April 1, 2018 and April 2, 2017 was $8,451 and $7,151,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As a source of short-term financing, we utilize cash on hand and commercial paper or bank loans with an original maturity of three months or less. We maintain a $1.0 billion unsecured revolving credit facility, which currently expires in November 2020. This agreement also includes an option to increase borrowings by an additional $400 million with the consent of the lenders. On January 8, 2018, we entered into an additional unsecured revolving credit facility that provides for borrowings up to $1.5 billion. This facility is scheduled to expire on January 7, 2019.</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April 1, 2018, we were in compliance with all covenants pertaining to the credit agreement, and we had no significant compensating balance agreements that legally restricted these funds. For more information, refer to the Consolidated Financial Statements included in our 2017 Annual Report on Form 10-K.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We had short-term foreign bank loans against these lines of credit for $100,347 at April 1, 2018 and $110,684 at December 31, 2017. Commitment fees relating to our revolving credit facility and lines of credit are not material.</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April 1, 2018, we had outstanding commercial paper totaling $2,146,138, at a weighted average interest rate of 1.8%. At December 31, 2017, we had outstanding commercial paper totaling $448,675, at a weighted average interest rate of 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1, 2018</w:t>
            </w:r>
          </w:p>
        </w:tc>
        <w:tc>
          <w:tcPr>
            <w:tcW w:w="240" w:type="dxa"/>
            <w:vAlign w:val="bottom"/>
          </w:tcPr>
          <w:p>
            <w:pPr>
              <w:spacing w:after="0"/>
              <w:rPr>
                <w:sz w:val="16"/>
                <w:szCs w:val="16"/>
                <w:color w:val="auto"/>
              </w:rPr>
            </w:pPr>
          </w:p>
        </w:tc>
        <w:tc>
          <w:tcPr>
            <w:tcW w:w="158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1.60% Notes due 2018</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4.125% Notes due 2020</w:t>
            </w: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8.8% Debentures due 2021</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2.625% Notes due 2023</w:t>
            </w: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3.20% Notes due 2025</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2.30% Notes due 2026</w:t>
            </w: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7.2% Debentures due 2027</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3.375% Notes due 2046</w:t>
            </w: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99,194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(16,427)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2,362,996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2,361,121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Less—current portion</w:t>
            </w: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303,062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300,098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2,059,934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2,061,023</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0"/>
                <w:szCs w:val="20"/>
                <w:color w:val="auto"/>
              </w:rPr>
            </w:pPr>
            <w:r>
              <w:rPr>
                <w:rFonts w:ascii="Arial" w:cs="Arial" w:eastAsia="Arial" w:hAnsi="Arial"/>
                <w:sz w:val="18"/>
                <w:szCs w:val="18"/>
                <w:color w:val="auto"/>
              </w:rPr>
              <w:t>Net interest expense consists of the following:</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April 1, 2018</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April 2, 2017</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24,954</w:t>
            </w:r>
          </w:p>
        </w:tc>
        <w:tc>
          <w:tcPr>
            <w:tcW w:w="0" w:type="dxa"/>
            <w:vAlign w:val="bottom"/>
          </w:tcPr>
          <w:p>
            <w:pPr>
              <w:spacing w:after="0"/>
              <w:rPr>
                <w:sz w:val="1"/>
                <w:szCs w:val="1"/>
                <w:color w:val="auto"/>
              </w:rPr>
            </w:pPr>
          </w:p>
        </w:tc>
      </w:tr>
      <w:tr>
        <w:trPr>
          <w:trHeight w:val="243"/>
        </w:trPr>
        <w:tc>
          <w:tcPr>
            <w:tcW w:w="7660" w:type="dxa"/>
            <w:vAlign w:val="bottom"/>
          </w:tcPr>
          <w:p>
            <w:pPr>
              <w:spacing w:after="0"/>
              <w:rPr>
                <w:sz w:val="20"/>
                <w:szCs w:val="20"/>
                <w:color w:val="auto"/>
              </w:rPr>
            </w:pPr>
            <w:r>
              <w:rPr>
                <w:rFonts w:ascii="Arial" w:cs="Arial" w:eastAsia="Arial" w:hAnsi="Arial"/>
                <w:sz w:val="18"/>
                <w:szCs w:val="18"/>
                <w:color w:val="auto"/>
              </w:rPr>
              <w:t>Capitalized interest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29,339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$397,674 as of April 1, 2018 and $405,288 as of December 31, 2017.</w:t>
      </w:r>
    </w:p>
    <w:p>
      <w:pPr>
        <w:spacing w:after="0" w:line="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12,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and Brazilian real.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$114,884 at April 1, 2018 and $135,962 at December 31, 2017.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$2,791 at April 1, 2018 and December 31, 2017, respectively. The change in fair value on these instruments is recorded directly in cost of sales or selling, marketing and administrative expense, depending on the nature of the underlying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April 1, 2018 and December 31, 2017.</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April 1, 2018 and December 31, 2017 was $29,999 and $25,246, respectively.</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1"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derivative assets and liabilities within the Consolidated Balance Sheets as of April 1, 2018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gridSpan w:val="5"/>
          </w:tcPr>
          <w:p>
            <w:pPr>
              <w:ind w:left="900"/>
              <w:spacing w:after="0"/>
              <w:rPr>
                <w:sz w:val="20"/>
                <w:szCs w:val="20"/>
                <w:color w:val="auto"/>
              </w:rPr>
            </w:pPr>
            <w:r>
              <w:rPr>
                <w:rFonts w:ascii="Arial" w:cs="Arial" w:eastAsia="Arial" w:hAnsi="Arial"/>
                <w:sz w:val="16"/>
                <w:szCs w:val="16"/>
                <w:b w:val="1"/>
                <w:bCs w:val="1"/>
                <w:color w:val="auto"/>
              </w:rPr>
              <w:t>April 1, 2018</w:t>
            </w:r>
          </w:p>
        </w:tc>
        <w:tc>
          <w:tcPr>
            <w:tcW w:w="280" w:type="dxa"/>
            <w:vAlign w:val="bottom"/>
          </w:tcPr>
          <w:p>
            <w:pPr>
              <w:spacing w:after="0"/>
              <w:rPr>
                <w:sz w:val="18"/>
                <w:szCs w:val="18"/>
                <w:color w:val="auto"/>
              </w:rPr>
            </w:pPr>
          </w:p>
        </w:tc>
        <w:tc>
          <w:tcPr>
            <w:tcW w:w="290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1,427</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3,054</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6,378</w:t>
            </w: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22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60" w:hanging="330"/>
        <w:spacing w:after="0" w:line="25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April 1, 2018, amounts reflected on a net basis in liabilities were assets of $59,650 and liabilities of $65,152, which are associated with cash transfers receivable or payable on commodities futures contracts reflecting the change in quoted market prices on the last trading day for the period. The comparable amounts reflected on a net basis in liabilities at December 31, 2017 were assets of $48,505 and liabilities of $50,179. At April 1, 2018 and December 31, 2017, the remaining amount reflected in assets and liabilities related to the fair value of other non-exchange traded derivative instruments,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April 1, 2018 and April 2, 2017 was as follows: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left="573"/>
              <w:spacing w:after="0"/>
              <w:rPr>
                <w:sz w:val="20"/>
                <w:szCs w:val="20"/>
                <w:color w:val="auto"/>
              </w:rPr>
            </w:pPr>
            <w:r>
              <w:rPr>
                <w:rFonts w:ascii="Arial" w:cs="Arial" w:eastAsia="Arial" w:hAnsi="Arial"/>
                <w:sz w:val="16"/>
                <w:szCs w:val="16"/>
                <w:b w:val="1"/>
                <w:bCs w:val="1"/>
                <w:color w:val="auto"/>
                <w:w w:val="92"/>
              </w:rPr>
              <w:t>income (a)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4"/>
                <w:szCs w:val="24"/>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66,590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4,245</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3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66,045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4,245</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(2,260)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78"/>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570"/>
              <w:spacing w:after="0"/>
              <w:rPr>
                <w:sz w:val="20"/>
                <w:szCs w:val="20"/>
                <w:color w:val="auto"/>
              </w:rPr>
            </w:pPr>
            <w:r>
              <w:rPr>
                <w:rFonts w:ascii="Arial" w:cs="Arial" w:eastAsia="Arial" w:hAnsi="Arial"/>
                <w:sz w:val="18"/>
                <w:szCs w:val="18"/>
                <w:color w:val="auto"/>
                <w:w w:val="79"/>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right="18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from accumulated OCI into earnings in the next 12 months was approximately $6,572 as of April 1, 2018. This amount was primarily associated with interest rate swap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months ended April 1, 2018 and 2017, we recognized a net pretax benefit to interest expense of $278 and $898 relating to our fixed-to-floating interest swap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2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1"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 on a recurring basis as of April 1, 2018 and December 31, 2017:</w:t>
      </w:r>
    </w:p>
    <w:p>
      <w:pPr>
        <w:spacing w:after="0" w:line="112"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34290</wp:posOffset>
            </wp:positionV>
            <wp:extent cx="4356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April 1, 2018:</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3,013</w:t>
            </w:r>
          </w:p>
        </w:tc>
        <w:tc>
          <w:tcPr>
            <w:tcW w:w="100" w:type="dxa"/>
            <w:vAlign w:val="bottom"/>
          </w:tcPr>
          <w:p>
            <w:pPr>
              <w:spacing w:after="0"/>
              <w:rPr>
                <w:sz w:val="21"/>
                <w:szCs w:val="21"/>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3,013</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4560" w:type="dxa"/>
            <w:vAlign w:val="bottom"/>
            <w:gridSpan w:val="2"/>
          </w:tcPr>
          <w:p>
            <w:pPr>
              <w:ind w:left="28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2,499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2,499</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6,424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6,424</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28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1,581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4560" w:type="dxa"/>
            <w:vAlign w:val="bottom"/>
            <w:gridSpan w:val="2"/>
          </w:tcPr>
          <w:p>
            <w:pPr>
              <w:ind w:left="28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1,897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3,054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660" w:right="18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short-term investments, accounts receivable, accounts payable and short-term debt approximated fair values as of April 1, 2018 and December 31, 2017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0" w:type="dxa"/>
            <w:vAlign w:val="bottom"/>
            <w:gridSpan w:val="5"/>
          </w:tcPr>
          <w:p>
            <w:pPr>
              <w:ind w:left="128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3700" w:type="dxa"/>
            <w:vAlign w:val="bottom"/>
            <w:gridSpan w:val="4"/>
          </w:tcPr>
          <w:p>
            <w:pPr>
              <w:jc w:val="right"/>
              <w:ind w:right="1332"/>
              <w:spacing w:after="0"/>
              <w:rPr>
                <w:sz w:val="20"/>
                <w:szCs w:val="20"/>
                <w:color w:val="auto"/>
              </w:rPr>
            </w:pPr>
            <w:r>
              <w:rPr>
                <w:rFonts w:ascii="Arial" w:cs="Arial" w:eastAsia="Arial" w:hAnsi="Arial"/>
                <w:sz w:val="18"/>
                <w:szCs w:val="18"/>
                <w:b w:val="1"/>
                <w:bCs w:val="1"/>
                <w:color w:val="auto"/>
              </w:rPr>
              <w:t>Carrying Value</w:t>
            </w:r>
          </w:p>
        </w:tc>
      </w:tr>
      <w:tr>
        <w:trPr>
          <w:trHeight w:val="27"/>
        </w:trPr>
        <w:tc>
          <w:tcPr>
            <w:tcW w:w="3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ind w:left="240"/>
              <w:spacing w:after="0"/>
              <w:rPr>
                <w:sz w:val="20"/>
                <w:szCs w:val="20"/>
                <w:color w:val="auto"/>
              </w:rPr>
            </w:pPr>
            <w:r>
              <w:rPr>
                <w:rFonts w:ascii="Arial" w:cs="Arial" w:eastAsia="Arial" w:hAnsi="Arial"/>
                <w:sz w:val="16"/>
                <w:szCs w:val="16"/>
                <w:b w:val="1"/>
                <w:bCs w:val="1"/>
                <w:color w:val="auto"/>
              </w:rPr>
              <w:t>April 1, 2018</w:t>
            </w:r>
          </w:p>
        </w:tc>
        <w:tc>
          <w:tcPr>
            <w:tcW w:w="24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2017</w:t>
            </w:r>
          </w:p>
        </w:tc>
        <w:tc>
          <w:tcPr>
            <w:tcW w:w="360" w:type="dxa"/>
            <w:vAlign w:val="bottom"/>
          </w:tcPr>
          <w:p>
            <w:pPr>
              <w:spacing w:after="0"/>
              <w:rPr>
                <w:sz w:val="20"/>
                <w:szCs w:val="20"/>
                <w:color w:val="auto"/>
              </w:rPr>
            </w:pPr>
          </w:p>
        </w:tc>
        <w:tc>
          <w:tcPr>
            <w:tcW w:w="1720" w:type="dxa"/>
            <w:vAlign w:val="bottom"/>
            <w:gridSpan w:val="2"/>
          </w:tcPr>
          <w:p>
            <w:pPr>
              <w:ind w:left="240"/>
              <w:spacing w:after="0"/>
              <w:rPr>
                <w:sz w:val="20"/>
                <w:szCs w:val="20"/>
                <w:color w:val="auto"/>
              </w:rPr>
            </w:pPr>
            <w:r>
              <w:rPr>
                <w:rFonts w:ascii="Arial" w:cs="Arial" w:eastAsia="Arial" w:hAnsi="Arial"/>
                <w:sz w:val="16"/>
                <w:szCs w:val="16"/>
                <w:b w:val="1"/>
                <w:bCs w:val="1"/>
                <w:color w:val="auto"/>
              </w:rPr>
              <w:t>April 1, 2018</w:t>
            </w:r>
          </w:p>
        </w:tc>
        <w:tc>
          <w:tcPr>
            <w:tcW w:w="240" w:type="dxa"/>
            <w:vAlign w:val="bottom"/>
          </w:tcPr>
          <w:p>
            <w:pPr>
              <w:spacing w:after="0"/>
              <w:rPr>
                <w:sz w:val="20"/>
                <w:szCs w:val="20"/>
                <w:color w:val="auto"/>
              </w:rPr>
            </w:pPr>
          </w:p>
        </w:tc>
        <w:tc>
          <w:tcPr>
            <w:tcW w:w="174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December 31, 2017</w:t>
            </w:r>
          </w:p>
        </w:tc>
      </w:tr>
      <w:tr>
        <w:trPr>
          <w:trHeight w:val="33"/>
        </w:trPr>
        <w:tc>
          <w:tcPr>
            <w:tcW w:w="3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300,098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2,063,730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2,113,296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2,059,934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2,061,023</w:t>
            </w:r>
          </w:p>
        </w:tc>
      </w:tr>
      <w:tr>
        <w:trPr>
          <w:trHeight w:val="27"/>
        </w:trPr>
        <w:tc>
          <w:tcPr>
            <w:tcW w:w="3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2,366,148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2,412,726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2,362,996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2,361,121</w:t>
            </w:r>
          </w:p>
        </w:tc>
      </w:tr>
      <w:tr>
        <w:trPr>
          <w:trHeight w:val="20"/>
        </w:trPr>
        <w:tc>
          <w:tcPr>
            <w:tcW w:w="3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assets and liabilities that are recorded at fair value on a recurring basis, GAAP requires that, under certain circumstances, we also record assets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liabilities at fair value on a nonrecurring basis. In connection with the Amplify acquisition, during the first quarter of 2018, as discussed in Note 2,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used various valuation techniques to determine fair value, with the primary techniques being discounted cash flow analysis, relief-from-royalty, and a form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multi-period excess earnings valuation approaches, which use significant unobservable inputs, or Level 3 inputs, as defined by the fair value hierarchy.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2017, as discussed in Note 8, we recorded impairment charges totaling $105,992 to write-down distributor relationship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trademark intangible assets that had been recognized in connection with the 2014 SGM acquisition and wrote-down property, plant and equipment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$102,720. These charges were determined by comparing the fair value of the assets to their carrying value. The fair value of the assets were derived using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an estimated market liquidation approach and discounted cash flow analyses based on Level 3 inputs.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ASSETS AND LIABILITIES HELD FOR SALE</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April 1, 2018, assets and liabilities relating to the following three disposal groups have been classified as held for sale, in each case stated at the lower of net book value or estimated sales value less costs to sell:</w:t>
      </w:r>
    </w:p>
    <w:p>
      <w:pPr>
        <w:spacing w:after="0" w:line="116" w:lineRule="exact"/>
        <w:rPr>
          <w:sz w:val="20"/>
          <w:szCs w:val="20"/>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 China facilities that were taken out of operation and classified as assets held for sale during the first quarter of 2017 in connection with the 2016 Operational Optimization Program.</w:t>
      </w:r>
    </w:p>
    <w:p>
      <w:pPr>
        <w:spacing w:after="0" w:line="3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Licensing rights for a non-core trademark relating to a brand marketed outside of the U.S. that met the held for sale criteria in the first quarter of 2018. The sale of these licensing rights was completed in April of 2018.</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Assets and liabilities comprising a portion of the recently acquired Amplify business that met the held for sale criteria in the first quarter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sale of each of these disposal groups is expected to be completed before the end of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amounts classified as assets and liabilities held for sale at April 1, 2018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held for sale, included in prepaid expenses and other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92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25,001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5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5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5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182,354</w:t>
            </w: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Arial" w:cs="Arial" w:eastAsia="Arial" w:hAnsi="Arial"/>
                <w:sz w:val="18"/>
                <w:szCs w:val="18"/>
                <w:color w:val="auto"/>
              </w:rPr>
              <w:t>Non-current assets</w:t>
            </w:r>
          </w:p>
        </w:tc>
        <w:tc>
          <w:tcPr>
            <w:tcW w:w="5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13,008</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231,994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shd w:val="clear" w:color="auto" w:fill="CCEEFF"/>
              </w:rPr>
              <w:t>Liabilities held for sale, included in accrued liabilities</w:t>
            </w:r>
          </w:p>
        </w:tc>
        <w:tc>
          <w:tcPr>
            <w:tcW w:w="5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592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26,804</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Other long-term liabilities</w:t>
            </w:r>
          </w:p>
        </w:tc>
        <w:tc>
          <w:tcPr>
            <w:tcW w:w="5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28,918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120" w:type="dxa"/>
            <w:vAlign w:val="bottom"/>
            <w:vMerge w:val="restart"/>
          </w:tcPr>
          <w:p>
            <w:pPr>
              <w:jc w:val="right"/>
              <w:ind w:right="3370"/>
              <w:spacing w:after="0"/>
              <w:rPr>
                <w:sz w:val="20"/>
                <w:szCs w:val="20"/>
                <w:color w:val="auto"/>
              </w:rPr>
            </w:pPr>
            <w:r>
              <w:rPr>
                <w:rFonts w:ascii="Arial" w:cs="Arial" w:eastAsia="Arial" w:hAnsi="Arial"/>
                <w:sz w:val="18"/>
                <w:szCs w:val="18"/>
                <w:color w:val="auto"/>
              </w:rPr>
              <w:t>16</w:t>
            </w: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12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REALIGNMENT ACTIVITIES</w:t>
      </w:r>
    </w:p>
    <w:p>
      <w:pPr>
        <w:spacing w:after="0" w:line="17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are currently executing upon several business realignment initiatives designed to increase our efficiency and focus our business in support of our key growth strategies. Costs recorded during the three months ended April 1, 2018 and April 2, 2017 related to these activities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gridSpan w:val="4"/>
          </w:tcPr>
          <w:p>
            <w:pPr>
              <w:jc w:val="right"/>
              <w:ind w:right="115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1, 2018</w:t>
            </w:r>
          </w:p>
        </w:tc>
        <w:tc>
          <w:tcPr>
            <w:tcW w:w="320" w:type="dxa"/>
            <w:vAlign w:val="bottom"/>
          </w:tcPr>
          <w:p>
            <w:pPr>
              <w:spacing w:after="0"/>
              <w:rPr>
                <w:sz w:val="20"/>
                <w:szCs w:val="20"/>
                <w:color w:val="auto"/>
              </w:rPr>
            </w:pPr>
          </w:p>
        </w:tc>
        <w:tc>
          <w:tcPr>
            <w:tcW w:w="1620" w:type="dxa"/>
            <w:vAlign w:val="bottom"/>
          </w:tcPr>
          <w:p>
            <w:pPr>
              <w:jc w:val="right"/>
              <w:ind w:right="431"/>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29,567</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10,088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4,822</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3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13,828</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program costs</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15,951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46,988</w:t>
            </w: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2017, the Company's Board of Directors unanimously approved several initiatives under a single program designed to drive continued net sales, operating income and earnings per-share diluted growth over the next several years. This program is focused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estimates that the “Margin for Growth” program will result in total pre-tax charges of $375,000 to $425,000 from 2017 to 2019. This estimate includes plant and office closure expenses of $100,000 to $115,000, net intangible asset impairment charges of $100,000 to $110,000, employee separation costs of $80,000 to $100,000, contract termination costs of approximately $25,000, and other business realignment costs of $70,000 to $75,000. The cash portion of the total charge is estimated to be $150,000 to $175,000. The Company expects that implementation of the program will reduce its global workforce by approximately 15%, with a majority of the reductions coming from hourly headcount positions outside of the United States.</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three months ended April 1, 2018 and April 2, 2017, we recognized estimated employee severance totaling $4,048 and $29,567, respectively. These charges relate largely to our initiative to improve the cost structure of our China business, as well as our initiative to further streamline our corporate operating model. We also recognized non-cash, asset-related incremental depreciation expense totaling $717 as part of optimizing the global supply chain. In addition, for the three months ended April 1, 2018 and April 2, 2017, we also incurred other program costs totaling $10,088 and $4,822, respectively, which relate primarily to third-party charges in support of our initiative to improve global efficiency and effectiveness.</w:t>
      </w:r>
    </w:p>
    <w:p>
      <w:pPr>
        <w:spacing w:after="0" w:line="1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program included an initiative to optimize the manufacturing operations supporting our China business. When the program was approved in 2017,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impairment charges totaling $208,712, with $105,992 representing the portion of the impairment loss that was allocated to the distributor relationship and trademark intangible assets that had been recognized in connection with the 2014 SGM acquisition and $102,720 representing the portion of the impairment loss that was allocated to property, plant and equipment. These impairment charges are recorded in the long-lived asset impairment charges caption within the Consolidated Statements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includes select facility consolidations. The program encompassed the transition of our China chocolate and SGM operations into a united </w:t>
      </w:r>
      <w:r>
        <w:rPr>
          <w:rFonts w:ascii="Arial" w:cs="Arial" w:eastAsia="Arial" w:hAnsi="Arial"/>
          <w:sz w:val="18"/>
          <w:szCs w:val="18"/>
          <w:i w:val="1"/>
          <w:iCs w:val="1"/>
          <w:color w:val="auto"/>
        </w:rPr>
        <w:t>Golden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Hershey </w:t>
      </w:r>
      <w:r>
        <w:rPr>
          <w:rFonts w:ascii="Arial" w:cs="Arial" w:eastAsia="Arial" w:hAnsi="Arial"/>
          <w:sz w:val="18"/>
          <w:szCs w:val="18"/>
          <w:color w:val="auto"/>
        </w:rPr>
        <w:t>platform, including the integration of the China sales force, as well as workforce planning efforts and the consolidation of production within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China and North America.</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the three months ended April 1, 2018, we incurred pre-tax costs totaling $1,098, relating primarily to third-party charges in support of our initiative to optimize our production and supply chain network. For the three months ended April 2, 2017, we incurred pre-tax costs totaling $12,599, primarily related to employee severance associated with the workforce planning efforts within North America. We currently expect to incur additional cash costs of approximately $7,700 over the next nine months to complete the remaining facility consolidation efforts relating to this program.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Costs associated with business realignment activities are classified in our Consolidated Statements of Income for the three months ended April 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 2017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4"/>
          </w:tcPr>
          <w:p>
            <w:pPr>
              <w:jc w:val="right"/>
              <w:ind w:right="9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1, 2018</w:t>
            </w:r>
          </w:p>
        </w:tc>
        <w:tc>
          <w:tcPr>
            <w:tcW w:w="260" w:type="dxa"/>
            <w:vAlign w:val="bottom"/>
          </w:tcPr>
          <w:p>
            <w:pPr>
              <w:spacing w:after="0"/>
              <w:rPr>
                <w:sz w:val="20"/>
                <w:szCs w:val="20"/>
                <w:color w:val="auto"/>
              </w:rPr>
            </w:pPr>
          </w:p>
        </w:tc>
        <w:tc>
          <w:tcPr>
            <w:tcW w:w="1440" w:type="dxa"/>
            <w:vAlign w:val="bottom"/>
          </w:tcPr>
          <w:p>
            <w:pPr>
              <w:jc w:val="right"/>
              <w:ind w:right="312"/>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2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2,481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44,017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15,951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46,988</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 cumulative program to date basis, the costs and related benefits of the Margin for Growth Program are approximately 50% to the North America segment and 50% to the International and Other segment. In addition, the costs and related benefits of the Operational Optimization Program relate approximately 35% to the North America segment and 65% to the International and Other segment. However, segment operating results do not include these business realignment expenses because we evaluate segment performance excluding such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three months ended April 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1"/>
              <w:spacing w:after="0"/>
              <w:rPr>
                <w:sz w:val="20"/>
                <w:szCs w:val="20"/>
                <w:color w:val="auto"/>
              </w:rPr>
            </w:pPr>
            <w:r>
              <w:rPr>
                <w:rFonts w:ascii="Arial" w:cs="Arial" w:eastAsia="Arial" w:hAnsi="Arial"/>
                <w:sz w:val="16"/>
                <w:szCs w:val="16"/>
                <w:b w:val="1"/>
                <w:bCs w:val="1"/>
                <w:color w:val="auto"/>
              </w:rPr>
              <w:t>Total</w:t>
            </w:r>
          </w:p>
        </w:tc>
      </w:tr>
      <w:tr>
        <w:trPr>
          <w:trHeight w:val="33"/>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2017</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38,992</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2018 business realignment charges (1)</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13,215</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(22,353)</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669</w:t>
            </w:r>
          </w:p>
        </w:tc>
      </w:tr>
      <w:tr>
        <w:trPr>
          <w:trHeight w:val="27"/>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April 1, 2018 (reported within accrued and other long-term liabilities)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30,523</w:t>
            </w: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right="140" w:hanging="330"/>
        <w:spacing w:after="0" w:line="286" w:lineRule="auto"/>
        <w:tabs>
          <w:tab w:leader="none" w:pos="50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costs reflected in the liability roll-forward represent employee-related and certain third-party service provider charges. These costs do not include items charged directly to expense, such as accelerated depreciation and amortization and certain of the third-party charges associated with various programs, as those items are not reflected in the business realignment liability in our Consolidated Balance Sheets.</w:t>
      </w:r>
    </w:p>
    <w:p>
      <w:pPr>
        <w:spacing w:after="0" w:line="188" w:lineRule="exact"/>
        <w:rPr>
          <w:rFonts w:ascii="Arial" w:cs="Arial" w:eastAsia="Arial" w:hAnsi="Arial"/>
          <w:sz w:val="17"/>
          <w:szCs w:val="17"/>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majority of our taxable income is generated in the U.S. and taxed at the U.S. statutory rate of 21%. The effective tax rates for the three months ended April 1, 2018 and April 2, 2017 were 21.9% and 41.6%, respectively. Relative to the statutory rate, the 2018 effective tax rate was impacted by state and local taxes, partially offset by a favorable rate differential relating to foreign operations. The 2017 effective rate, relative to the previous U.S. statutory rate of 35%, was impacted by non-benefited costs resulting from the Margin for Growth Program, partially offset by a favorable foreign rate differential relating to foreign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Hershey and its subsidiaries file tax returns in the U.S., including various state and local returns, and in foreign jurisdictions. We believe adequate provision has been made for all income tax uncertainties. We are routinely audited by taxing authorities in our filing jurisdictions, and a number of these audits are currently underway. We reasonably expect reductions in the liability for unrecognized tax benefits of approximately $10,053 within the next 12 months because of the expiration of statutes of limitations and settlements of tax audits.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Cuts and Jobs Act of 2017</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U.S. Tax Cuts and Jobs Act, enacted in December 2017, (“U.S. tax reform”) significantly changed U.S. corporate income tax laws by, among other things, reducing the U.S. corporate income tax rate to 21% starting in 2018 and creating a territorial tax system with a one-time mandatory tax on previously deferred foreign earnings of U.S. subsidiaries. Under GAAP (specifically, ASC Topic 740), the effects of changes in tax rates and laws on deferred tax balances are recognized in the period in which the new legislation is enacted.</w:t>
      </w:r>
    </w:p>
    <w:p>
      <w:pPr>
        <w:spacing w:after="0" w:line="13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During the fourth quarter of 2017, we recorded a net provisional charge of $32,500, which included the estimated impact of the one-time mandatory tax on previously deferred earnings of non-U.S. subsidiaries offset in part by the benefit from revaluation of net deferred tax liabilities based on the new lower corporate income tax rate. The impact of the U.S. tax reform may differ from this estimate, possibly materially, due to, among other things, changes in interpretations and assumptions made, additional guidance that may be issued and actions taken by Hershey as a result of the U.S. tax reform. During the three months ended April 1, 2018, there were no adjustments to the recorded provisional amount.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OTHER POST-RETIREMENT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April 1, 2018 and April 2, 2017 were as follows:</w:t>
      </w:r>
    </w:p>
    <w:p>
      <w:pPr>
        <w:spacing w:after="0" w:line="185" w:lineRule="exact"/>
        <w:rPr>
          <w:sz w:val="20"/>
          <w:szCs w:val="20"/>
          <w:color w:val="auto"/>
        </w:rPr>
      </w:pPr>
    </w:p>
    <w:p>
      <w:pPr>
        <w:ind w:left="4900"/>
        <w:spacing w:after="0"/>
        <w:tabs>
          <w:tab w:leader="none" w:pos="886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37465</wp:posOffset>
            </wp:positionV>
            <wp:extent cx="4905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86" w:lineRule="exact"/>
        <w:rPr>
          <w:sz w:val="20"/>
          <w:szCs w:val="20"/>
          <w:color w:val="auto"/>
        </w:rPr>
      </w:pPr>
    </w:p>
    <w:p>
      <w:pPr>
        <w:jc w:val="center"/>
        <w:ind w:left="37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37465</wp:posOffset>
            </wp:positionV>
            <wp:extent cx="24098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80" w:lineRule="exact"/>
        <w:rPr>
          <w:sz w:val="20"/>
          <w:szCs w:val="20"/>
          <w:color w:val="auto"/>
        </w:rPr>
      </w:pPr>
    </w:p>
    <w:p>
      <w:pPr>
        <w:ind w:left="4100"/>
        <w:spacing w:after="0"/>
        <w:tabs>
          <w:tab w:leader="none" w:pos="6020" w:val="left"/>
        </w:tabs>
        <w:rPr>
          <w:sz w:val="20"/>
          <w:szCs w:val="20"/>
          <w:color w:val="auto"/>
        </w:rPr>
      </w:pPr>
      <w:r>
        <w:rPr>
          <w:rFonts w:ascii="Arial" w:cs="Arial" w:eastAsia="Arial" w:hAnsi="Arial"/>
          <w:sz w:val="16"/>
          <w:szCs w:val="16"/>
          <w:b w:val="1"/>
          <w:bCs w:val="1"/>
          <w:color w:val="auto"/>
        </w:rPr>
        <w:t>April 1, 2018</w:t>
      </w:r>
      <w:r>
        <w:rPr>
          <w:sz w:val="20"/>
          <w:szCs w:val="20"/>
          <w:color w:val="auto"/>
        </w:rPr>
        <w:tab/>
      </w:r>
      <w:r>
        <w:rPr>
          <w:rFonts w:ascii="Arial" w:cs="Arial" w:eastAsia="Arial" w:hAnsi="Arial"/>
          <w:sz w:val="15"/>
          <w:szCs w:val="15"/>
          <w:b w:val="1"/>
          <w:bCs w:val="1"/>
          <w:color w:val="auto"/>
        </w:rPr>
        <w:t>April 2, 2017</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37465</wp:posOffset>
            </wp:positionV>
            <wp:extent cx="24269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80"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b w:val="1"/>
          <w:bCs w:val="1"/>
          <w:color w:val="auto"/>
        </w:rPr>
        <w:t>April 1, 2018</w:t>
      </w:r>
      <w:r>
        <w:rPr>
          <w:sz w:val="20"/>
          <w:szCs w:val="20"/>
          <w:color w:val="auto"/>
        </w:rPr>
        <w:tab/>
      </w:r>
      <w:r>
        <w:rPr>
          <w:rFonts w:ascii="Arial" w:cs="Arial" w:eastAsia="Arial" w:hAnsi="Arial"/>
          <w:sz w:val="15"/>
          <w:szCs w:val="15"/>
          <w:b w:val="1"/>
          <w:bCs w:val="1"/>
          <w:color w:val="auto"/>
        </w:rPr>
        <w:t>April 2, 2017</w:t>
      </w:r>
    </w:p>
    <w:p>
      <w:pPr>
        <w:spacing w:after="0" w:line="39" w:lineRule="exact"/>
        <w:rPr>
          <w:sz w:val="20"/>
          <w:szCs w:val="20"/>
          <w:color w:val="auto"/>
        </w:rPr>
      </w:pPr>
    </w:p>
    <w:p>
      <w:pPr>
        <w:sectPr>
          <w:pgSz w:w="11900" w:h="16838" w:orient="portrait"/>
          <w:cols w:equalWidth="0" w:num="2">
            <w:col w:w="7280" w:space="720"/>
            <w:col w:w="340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68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6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7,839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10,299</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2,208</w:t>
            </w:r>
          </w:p>
        </w:tc>
      </w:tr>
      <w:tr>
        <w:trPr>
          <w:trHeight w:val="27"/>
        </w:trPr>
        <w:tc>
          <w:tcPr>
            <w:tcW w:w="3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6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3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8,422</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Total net periodic benefit cost</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8,085</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2,460</w:t>
            </w:r>
          </w:p>
        </w:tc>
      </w:tr>
      <w:tr>
        <w:trPr>
          <w:trHeight w:val="20"/>
        </w:trPr>
        <w:tc>
          <w:tcPr>
            <w:tcW w:w="3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made contributions of $1,005 and $6,444 to the pension plans and other benefits plans, respectively, during the first quarter of 2018. In the first quarter of 2017, we made contributions of $4,692 and $6,884 to our pension plans and other benefit plans, respectively. The contributions in 2018 and 2017 also included benefit payments from our non-qualified pension plans and post-retirement benefit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COMPENSATION PLANS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 conduct of our business is dependent. These programs and the accounting treatment related thereto are described in Note 10 to the Consolidated Financial Statements included in our 2017 Annual Report on Form 10-K.</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gridSpan w:val="4"/>
          </w:tcPr>
          <w:p>
            <w:pPr>
              <w:jc w:val="right"/>
              <w:ind w:right="91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7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1, 2018</w:t>
            </w:r>
          </w:p>
        </w:tc>
        <w:tc>
          <w:tcPr>
            <w:tcW w:w="300" w:type="dxa"/>
            <w:vAlign w:val="bottom"/>
          </w:tcPr>
          <w:p>
            <w:pPr>
              <w:spacing w:after="0"/>
              <w:rPr>
                <w:sz w:val="20"/>
                <w:szCs w:val="20"/>
                <w:color w:val="auto"/>
              </w:rPr>
            </w:pPr>
          </w:p>
        </w:tc>
        <w:tc>
          <w:tcPr>
            <w:tcW w:w="1460" w:type="dxa"/>
            <w:vAlign w:val="bottom"/>
          </w:tcPr>
          <w:p>
            <w:pPr>
              <w:jc w:val="right"/>
              <w:ind w:right="293"/>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7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12,122</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Related income tax benefit</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3,818</w:t>
            </w:r>
          </w:p>
        </w:tc>
      </w:tr>
    </w:tbl>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April 1, 2018, total stock-based compensation cost related to non-vested awards not yet recognized was $90,074 and the weighted-average period over which this amount is expected to be recognized was approximately 2.4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April 1, 2018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Exercise Price (per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5,921,062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917,610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$99.90</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(169,356)</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$50.07</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(68,104)</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$101.12</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April 1, 2018</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6,601,212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$91.44</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71,544</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April 1, 2018</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4,336,884</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$86.58</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4.7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67,353</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weighted-average fair value of options granted was $15.58 and $15.78 per share for the periods ended April 1, 2018 and April 2, 2017, respectively. The fair value was estimated on the date of grant using a Black-Scholes option-pricing model and the following weighted-average assumptions:</w:t>
      </w:r>
    </w:p>
    <w:p>
      <w:pPr>
        <w:spacing w:after="0" w:line="84"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37465</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1920" w:type="dxa"/>
            <w:vAlign w:val="bottom"/>
          </w:tcPr>
          <w:p>
            <w:pPr>
              <w:ind w:left="880"/>
              <w:spacing w:after="0"/>
              <w:rPr>
                <w:sz w:val="20"/>
                <w:szCs w:val="20"/>
                <w:color w:val="auto"/>
              </w:rPr>
            </w:pPr>
            <w:r>
              <w:rPr>
                <w:rFonts w:ascii="Arial" w:cs="Arial" w:eastAsia="Arial" w:hAnsi="Arial"/>
                <w:sz w:val="16"/>
                <w:szCs w:val="16"/>
                <w:b w:val="1"/>
                <w:bCs w:val="1"/>
                <w:color w:val="auto"/>
              </w:rPr>
              <w:t>April 1, 2018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jc w:val="right"/>
              <w:ind w:right="692"/>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61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6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560" w:type="dxa"/>
            <w:vAlign w:val="bottom"/>
          </w:tcPr>
          <w:p>
            <w:pPr>
              <w:jc w:val="right"/>
              <w:ind w:right="92"/>
              <w:spacing w:after="0"/>
              <w:rPr>
                <w:sz w:val="20"/>
                <w:szCs w:val="20"/>
                <w:color w:val="auto"/>
              </w:rPr>
            </w:pPr>
            <w:r>
              <w:rPr>
                <w:rFonts w:ascii="Arial" w:cs="Arial" w:eastAsia="Arial" w:hAnsi="Arial"/>
                <w:sz w:val="18"/>
                <w:szCs w:val="18"/>
                <w:color w:val="auto"/>
              </w:rPr>
              <w:t>6.8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$9,145 and $15,181 for the periods ended April 1, 2018 and April 2, 2017,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April 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923,364</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302,947</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$98.27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 (1)</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(113,461)</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(157,152)</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(31,181)</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Outstanding as of April 1, 2018</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924,517</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$102.09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April 1, 2018</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40" w:type="dxa"/>
            <w:vAlign w:val="bottom"/>
          </w:tcPr>
          <w:p>
            <w:pPr>
              <w:jc w:val="right"/>
              <w:ind w:right="691"/>
              <w:spacing w:after="0"/>
              <w:rPr>
                <w:sz w:val="20"/>
                <w:szCs w:val="20"/>
                <w:color w:val="auto"/>
              </w:rPr>
            </w:pPr>
            <w:r>
              <w:rPr>
                <w:rFonts w:ascii="Arial" w:cs="Arial" w:eastAsia="Arial" w:hAnsi="Arial"/>
                <w:sz w:val="16"/>
                <w:szCs w:val="16"/>
                <w:b w:val="1"/>
                <w:bCs w:val="1"/>
                <w:color w:val="auto"/>
                <w:w w:val="99"/>
              </w:rPr>
              <w:t>April 2, 2017</w:t>
            </w:r>
          </w:p>
        </w:tc>
        <w:tc>
          <w:tcPr>
            <w:tcW w:w="0" w:type="dxa"/>
            <w:vAlign w:val="bottom"/>
          </w:tcPr>
          <w:p>
            <w:pPr>
              <w:spacing w:after="0"/>
              <w:rPr>
                <w:sz w:val="1"/>
                <w:szCs w:val="1"/>
                <w:color w:val="auto"/>
              </w:rPr>
            </w:pPr>
          </w:p>
        </w:tc>
      </w:tr>
      <w:tr>
        <w:trPr>
          <w:trHeight w:val="33"/>
        </w:trPr>
        <w:tc>
          <w:tcPr>
            <w:tcW w:w="6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17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6"/>
              </w:rPr>
              <w:t>302,947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351,793</w:t>
            </w: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Arial" w:cs="Arial" w:eastAsia="Arial" w:hAnsi="Arial"/>
                <w:sz w:val="18"/>
                <w:szCs w:val="18"/>
                <w:color w:val="auto"/>
              </w:rPr>
              <w:t>Weighted-average fair value at date of grant</w:t>
            </w:r>
          </w:p>
        </w:tc>
        <w:tc>
          <w:tcPr>
            <w:tcW w:w="1760" w:type="dxa"/>
            <w:vAlign w:val="bottom"/>
            <w:vMerge w:val="restart"/>
          </w:tcPr>
          <w:p>
            <w:pPr>
              <w:jc w:val="right"/>
              <w:ind w:right="1573"/>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ind w:right="111"/>
              <w:spacing w:after="0"/>
              <w:rPr>
                <w:sz w:val="20"/>
                <w:szCs w:val="20"/>
                <w:color w:val="auto"/>
              </w:rPr>
            </w:pPr>
            <w:r>
              <w:rPr>
                <w:rFonts w:ascii="Arial" w:cs="Arial" w:eastAsia="Arial" w:hAnsi="Arial"/>
                <w:sz w:val="18"/>
                <w:szCs w:val="18"/>
                <w:color w:val="auto"/>
              </w:rPr>
              <w:t>98.27</w:t>
            </w:r>
          </w:p>
        </w:tc>
        <w:tc>
          <w:tcPr>
            <w:tcW w:w="100" w:type="dxa"/>
            <w:vAlign w:val="bottom"/>
          </w:tcPr>
          <w:p>
            <w:pPr>
              <w:spacing w:after="0"/>
              <w:rPr>
                <w:sz w:val="21"/>
                <w:szCs w:val="21"/>
                <w:color w:val="auto"/>
              </w:rPr>
            </w:pPr>
          </w:p>
        </w:tc>
        <w:tc>
          <w:tcPr>
            <w:tcW w:w="800" w:type="dxa"/>
            <w:vAlign w:val="bottom"/>
            <w:vMerge w:val="restart"/>
          </w:tcPr>
          <w:p>
            <w:pPr>
              <w:jc w:val="right"/>
              <w:ind w:right="590"/>
              <w:spacing w:after="0"/>
              <w:rPr>
                <w:sz w:val="20"/>
                <w:szCs w:val="20"/>
                <w:color w:val="auto"/>
              </w:rPr>
            </w:pPr>
            <w:r>
              <w:rPr>
                <w:rFonts w:ascii="Arial" w:cs="Arial" w:eastAsia="Arial" w:hAnsi="Arial"/>
                <w:sz w:val="18"/>
                <w:szCs w:val="18"/>
                <w:color w:val="auto"/>
                <w:w w:val="99"/>
              </w:rPr>
              <w:t>$</w:t>
            </w:r>
          </w:p>
        </w:tc>
        <w:tc>
          <w:tcPr>
            <w:tcW w:w="1740" w:type="dxa"/>
            <w:vAlign w:val="bottom"/>
            <w:vMerge w:val="restart"/>
          </w:tcPr>
          <w:p>
            <w:pPr>
              <w:jc w:val="right"/>
              <w:ind w:right="111"/>
              <w:spacing w:after="0"/>
              <w:rPr>
                <w:sz w:val="20"/>
                <w:szCs w:val="20"/>
                <w:color w:val="auto"/>
              </w:rPr>
            </w:pPr>
            <w:r>
              <w:rPr>
                <w:rFonts w:ascii="Arial" w:cs="Arial" w:eastAsia="Arial" w:hAnsi="Arial"/>
                <w:sz w:val="18"/>
                <w:szCs w:val="18"/>
                <w:color w:val="auto"/>
              </w:rPr>
              <w:t>111.28</w:t>
            </w:r>
          </w:p>
        </w:tc>
        <w:tc>
          <w:tcPr>
            <w:tcW w:w="0" w:type="dxa"/>
            <w:vAlign w:val="bottom"/>
          </w:tcPr>
          <w:p>
            <w:pPr>
              <w:spacing w:after="0"/>
              <w:rPr>
                <w:sz w:val="1"/>
                <w:szCs w:val="1"/>
                <w:color w:val="auto"/>
              </w:rPr>
            </w:pPr>
          </w:p>
        </w:tc>
      </w:tr>
      <w:tr>
        <w:trPr>
          <w:trHeight w:val="81"/>
        </w:trPr>
        <w:tc>
          <w:tcPr>
            <w:tcW w:w="612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17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1760" w:type="dxa"/>
            <w:vAlign w:val="bottom"/>
          </w:tcPr>
          <w:p>
            <w:pPr>
              <w:jc w:val="right"/>
              <w:ind w:right="157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1"/>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17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12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7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$15,605 and $18,883 for the periods ended April 1, 2018 and April 2, 2017, respectively.</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358,209 units as of April 1, 2018.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80" w:hanging="328"/>
        <w:spacing w:after="0" w:line="266"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right="20" w:hanging="328"/>
        <w:spacing w:after="0" w:line="266"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International and Other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and Other is a combination of all other operating segments that are not individually material, including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 regions where we operate outside of North America. We currently have operations and manufacture product in China, Mexico, Brazil, India and Malaysia,</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120"/>
        <w:spacing w:after="0" w:line="306" w:lineRule="auto"/>
        <w:rPr>
          <w:sz w:val="20"/>
          <w:szCs w:val="20"/>
          <w:color w:val="auto"/>
        </w:rPr>
      </w:pPr>
      <w:r>
        <w:rPr>
          <w:rFonts w:ascii="Arial" w:cs="Arial" w:eastAsia="Arial" w:hAnsi="Arial"/>
          <w:sz w:val="18"/>
          <w:szCs w:val="18"/>
          <w:color w:val="auto"/>
        </w:rPr>
        <w:t>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Dubai, and Singapore, as well as operations associated with licensing the use of certain of the Company's trademarks and products to third parties around the world.</w:t>
      </w:r>
    </w:p>
    <w:p>
      <w:pPr>
        <w:spacing w:after="0" w:line="106"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Accounting policies associated with our operating segments are generally the same as those described in Note 1 to the Consolidated Financial Statements included in our 2017 Annual Report on Form 10-K.</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in Note 5, derivatives used to manage commodity price risk are not designated for hedge accounting treatment. These derivatives are recognized at fair market value with the resulting realized and unrealized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Three Months Ended</w:t>
            </w:r>
          </w:p>
        </w:tc>
        <w:tc>
          <w:tcPr>
            <w:tcW w:w="1880" w:type="dxa"/>
            <w:vAlign w:val="bottom"/>
          </w:tcPr>
          <w:p>
            <w:pPr>
              <w:spacing w:after="0"/>
              <w:rPr>
                <w:sz w:val="18"/>
                <w:szCs w:val="18"/>
                <w:color w:val="auto"/>
              </w:rPr>
            </w:pPr>
          </w:p>
        </w:tc>
      </w:tr>
      <w:tr>
        <w:trPr>
          <w:trHeight w:val="33"/>
        </w:trPr>
        <w:tc>
          <w:tcPr>
            <w:tcW w:w="58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1"/>
        </w:trPr>
        <w:tc>
          <w:tcPr>
            <w:tcW w:w="5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00" w:type="dxa"/>
            <w:vAlign w:val="bottom"/>
            <w:gridSpan w:val="2"/>
          </w:tcPr>
          <w:p>
            <w:pPr>
              <w:ind w:left="420"/>
              <w:spacing w:after="0"/>
              <w:rPr>
                <w:sz w:val="20"/>
                <w:szCs w:val="20"/>
                <w:color w:val="auto"/>
              </w:rPr>
            </w:pPr>
            <w:r>
              <w:rPr>
                <w:rFonts w:ascii="Arial" w:cs="Arial" w:eastAsia="Arial" w:hAnsi="Arial"/>
                <w:sz w:val="16"/>
                <w:szCs w:val="16"/>
                <w:b w:val="1"/>
                <w:bCs w:val="1"/>
                <w:color w:val="auto"/>
              </w:rPr>
              <w:t>April 1, 2018</w:t>
            </w:r>
          </w:p>
        </w:tc>
        <w:tc>
          <w:tcPr>
            <w:tcW w:w="840" w:type="dxa"/>
            <w:vAlign w:val="bottom"/>
          </w:tcPr>
          <w:p>
            <w:pPr>
              <w:spacing w:after="0"/>
              <w:rPr>
                <w:sz w:val="20"/>
                <w:szCs w:val="20"/>
                <w:color w:val="auto"/>
              </w:rPr>
            </w:pPr>
          </w:p>
        </w:tc>
        <w:tc>
          <w:tcPr>
            <w:tcW w:w="1880" w:type="dxa"/>
            <w:vAlign w:val="bottom"/>
          </w:tcPr>
          <w:p>
            <w:pPr>
              <w:jc w:val="right"/>
              <w:ind w:right="771"/>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58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91"/>
              <w:spacing w:after="0"/>
              <w:rPr>
                <w:sz w:val="20"/>
                <w:szCs w:val="20"/>
                <w:color w:val="auto"/>
              </w:rPr>
            </w:pPr>
            <w:r>
              <w:rPr>
                <w:rFonts w:ascii="Arial" w:cs="Arial" w:eastAsia="Arial" w:hAnsi="Arial"/>
                <w:sz w:val="18"/>
                <w:szCs w:val="18"/>
                <w:color w:val="auto"/>
              </w:rPr>
              <w:t>1,751,688</w:t>
            </w:r>
          </w:p>
        </w:tc>
        <w:tc>
          <w:tcPr>
            <w:tcW w:w="12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1,677,146</w:t>
            </w:r>
          </w:p>
        </w:tc>
      </w:tr>
      <w:tr>
        <w:trPr>
          <w:trHeight w:val="27"/>
        </w:trPr>
        <w:tc>
          <w:tcPr>
            <w:tcW w:w="5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54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220,271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202,532</w:t>
            </w:r>
          </w:p>
        </w:tc>
      </w:tr>
      <w:tr>
        <w:trPr>
          <w:trHeight w:val="297"/>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1,971,959</w:t>
            </w:r>
          </w:p>
        </w:tc>
        <w:tc>
          <w:tcPr>
            <w:tcW w:w="12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1,879,678</w:t>
            </w:r>
          </w:p>
        </w:tc>
      </w:tr>
      <w:tr>
        <w:trPr>
          <w:trHeight w:val="311"/>
        </w:trPr>
        <w:tc>
          <w:tcPr>
            <w:tcW w:w="58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5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534,426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552,759</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540" w:type="dxa"/>
            <w:vAlign w:val="bottom"/>
          </w:tcPr>
          <w:p>
            <w:pPr>
              <w:spacing w:after="0"/>
              <w:rPr>
                <w:sz w:val="21"/>
                <w:szCs w:val="21"/>
                <w:color w:val="auto"/>
              </w:rPr>
            </w:pPr>
          </w:p>
        </w:tc>
        <w:tc>
          <w:tcPr>
            <w:tcW w:w="2180" w:type="dxa"/>
            <w:vAlign w:val="bottom"/>
          </w:tcPr>
          <w:p>
            <w:pPr>
              <w:jc w:val="right"/>
              <w:ind w:right="91"/>
              <w:spacing w:after="0"/>
              <w:rPr>
                <w:sz w:val="20"/>
                <w:szCs w:val="20"/>
                <w:color w:val="auto"/>
              </w:rPr>
            </w:pPr>
            <w:r>
              <w:rPr>
                <w:rFonts w:ascii="Arial" w:cs="Arial" w:eastAsia="Arial" w:hAnsi="Arial"/>
                <w:sz w:val="18"/>
                <w:szCs w:val="18"/>
                <w:color w:val="auto"/>
              </w:rPr>
              <w:t>17,680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1,723</w:t>
            </w:r>
          </w:p>
        </w:tc>
      </w:tr>
      <w:tr>
        <w:trPr>
          <w:trHeight w:val="27"/>
        </w:trPr>
        <w:tc>
          <w:tcPr>
            <w:tcW w:w="58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 (1)</w:t>
            </w:r>
          </w:p>
        </w:tc>
        <w:tc>
          <w:tcPr>
            <w:tcW w:w="5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552,106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554,482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Unallocated corporate expense (2)</w:t>
            </w:r>
          </w:p>
        </w:tc>
        <w:tc>
          <w:tcPr>
            <w:tcW w:w="540" w:type="dxa"/>
            <w:vAlign w:val="bottom"/>
          </w:tcPr>
          <w:p>
            <w:pPr>
              <w:spacing w:after="0"/>
              <w:rPr>
                <w:sz w:val="21"/>
                <w:szCs w:val="21"/>
                <w:color w:val="auto"/>
              </w:rPr>
            </w:pPr>
          </w:p>
        </w:tc>
        <w:tc>
          <w:tcPr>
            <w:tcW w:w="2180" w:type="dxa"/>
            <w:vAlign w:val="bottom"/>
          </w:tcPr>
          <w:p>
            <w:pPr>
              <w:jc w:val="right"/>
              <w:ind w:right="91"/>
              <w:spacing w:after="0"/>
              <w:rPr>
                <w:sz w:val="20"/>
                <w:szCs w:val="20"/>
                <w:color w:val="auto"/>
              </w:rPr>
            </w:pPr>
            <w:r>
              <w:rPr>
                <w:rFonts w:ascii="Arial" w:cs="Arial" w:eastAsia="Arial" w:hAnsi="Arial"/>
                <w:sz w:val="18"/>
                <w:szCs w:val="18"/>
                <w:color w:val="auto"/>
              </w:rPr>
              <w:t>123,967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118,333</w:t>
            </w:r>
          </w:p>
        </w:tc>
      </w:tr>
      <w:tr>
        <w:trPr>
          <w:trHeight w:val="27"/>
        </w:trPr>
        <w:tc>
          <w:tcPr>
            <w:tcW w:w="5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on commodity derivatives</w:t>
            </w:r>
          </w:p>
        </w:tc>
        <w:tc>
          <w:tcPr>
            <w:tcW w:w="5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(96,250)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(17,088)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540" w:type="dxa"/>
            <w:vAlign w:val="bottom"/>
          </w:tcPr>
          <w:p>
            <w:pPr>
              <w:spacing w:after="0"/>
              <w:rPr>
                <w:sz w:val="21"/>
                <w:szCs w:val="21"/>
                <w:color w:val="auto"/>
              </w:rPr>
            </w:pPr>
          </w:p>
        </w:tc>
        <w:tc>
          <w:tcPr>
            <w:tcW w:w="2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208,712</w:t>
            </w:r>
          </w:p>
        </w:tc>
      </w:tr>
      <w:tr>
        <w:trPr>
          <w:trHeight w:val="27"/>
        </w:trPr>
        <w:tc>
          <w:tcPr>
            <w:tcW w:w="5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5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15,951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46,988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540" w:type="dxa"/>
            <w:vAlign w:val="bottom"/>
          </w:tcPr>
          <w:p>
            <w:pPr>
              <w:spacing w:after="0"/>
              <w:rPr>
                <w:sz w:val="21"/>
                <w:szCs w:val="21"/>
                <w:color w:val="auto"/>
              </w:rPr>
            </w:pPr>
          </w:p>
        </w:tc>
        <w:tc>
          <w:tcPr>
            <w:tcW w:w="2180" w:type="dxa"/>
            <w:vAlign w:val="bottom"/>
          </w:tcPr>
          <w:p>
            <w:pPr>
              <w:jc w:val="right"/>
              <w:ind w:right="91"/>
              <w:spacing w:after="0"/>
              <w:rPr>
                <w:sz w:val="20"/>
                <w:szCs w:val="20"/>
                <w:color w:val="auto"/>
              </w:rPr>
            </w:pPr>
            <w:r>
              <w:rPr>
                <w:rFonts w:ascii="Arial" w:cs="Arial" w:eastAsia="Arial" w:hAnsi="Arial"/>
                <w:sz w:val="18"/>
                <w:szCs w:val="18"/>
                <w:color w:val="auto"/>
              </w:rPr>
              <w:t>27,926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300</w:t>
            </w:r>
          </w:p>
        </w:tc>
      </w:tr>
      <w:tr>
        <w:trPr>
          <w:trHeight w:val="27"/>
        </w:trPr>
        <w:tc>
          <w:tcPr>
            <w:tcW w:w="58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5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480,512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197,237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spacing w:after="0"/>
              <w:rPr>
                <w:sz w:val="21"/>
                <w:szCs w:val="21"/>
                <w:color w:val="auto"/>
              </w:rPr>
            </w:pPr>
          </w:p>
        </w:tc>
        <w:tc>
          <w:tcPr>
            <w:tcW w:w="2180" w:type="dxa"/>
            <w:vAlign w:val="bottom"/>
          </w:tcPr>
          <w:p>
            <w:pPr>
              <w:jc w:val="right"/>
              <w:ind w:right="91"/>
              <w:spacing w:after="0"/>
              <w:rPr>
                <w:sz w:val="20"/>
                <w:szCs w:val="20"/>
                <w:color w:val="auto"/>
              </w:rPr>
            </w:pPr>
            <w:r>
              <w:rPr>
                <w:rFonts w:ascii="Arial" w:cs="Arial" w:eastAsia="Arial" w:hAnsi="Arial"/>
                <w:sz w:val="18"/>
                <w:szCs w:val="18"/>
                <w:color w:val="auto"/>
              </w:rPr>
              <w:t>29,339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23,741</w:t>
            </w:r>
          </w:p>
        </w:tc>
      </w:tr>
      <w:tr>
        <w:trPr>
          <w:trHeight w:val="27"/>
        </w:trPr>
        <w:tc>
          <w:tcPr>
            <w:tcW w:w="5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1,942</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5,135</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449,231</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168,361</w:t>
            </w:r>
          </w:p>
        </w:tc>
      </w:tr>
      <w:tr>
        <w:trPr>
          <w:trHeight w:val="20"/>
        </w:trPr>
        <w:tc>
          <w:tcPr>
            <w:tcW w:w="5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right="46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Segment income for the three months ended April 2, 2017 has been revised to conform to the current definition of segment income, which has been updated for the exclusion of certain pension-related costs.</w:t>
      </w:r>
    </w:p>
    <w:p>
      <w:pPr>
        <w:spacing w:after="0" w:line="35" w:lineRule="exact"/>
        <w:rPr>
          <w:rFonts w:ascii="Arial" w:cs="Arial" w:eastAsia="Arial" w:hAnsi="Arial"/>
          <w:sz w:val="18"/>
          <w:szCs w:val="18"/>
          <w:color w:val="auto"/>
        </w:rPr>
      </w:pPr>
    </w:p>
    <w:p>
      <w:pPr>
        <w:ind w:left="340" w:right="340" w:hanging="332"/>
        <w:spacing w:after="0" w:line="31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(gains) losses on commodity derivatives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3"/>
          </w:tcPr>
          <w:p>
            <w:pPr>
              <w:jc w:val="right"/>
              <w:ind w:right="75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254"/>
              <w:spacing w:after="0"/>
              <w:rPr>
                <w:sz w:val="20"/>
                <w:szCs w:val="20"/>
                <w:color w:val="auto"/>
              </w:rPr>
            </w:pPr>
            <w:r>
              <w:rPr>
                <w:rFonts w:ascii="Arial" w:cs="Arial" w:eastAsia="Arial" w:hAnsi="Arial"/>
                <w:sz w:val="16"/>
                <w:szCs w:val="16"/>
                <w:b w:val="1"/>
                <w:bCs w:val="1"/>
                <w:color w:val="auto"/>
              </w:rPr>
              <w:t>April 1, 2018</w:t>
            </w:r>
          </w:p>
        </w:tc>
        <w:tc>
          <w:tcPr>
            <w:tcW w:w="320" w:type="dxa"/>
            <w:vAlign w:val="bottom"/>
          </w:tcPr>
          <w:p>
            <w:pPr>
              <w:spacing w:after="0"/>
              <w:rPr>
                <w:sz w:val="20"/>
                <w:szCs w:val="20"/>
                <w:color w:val="auto"/>
              </w:rPr>
            </w:pPr>
          </w:p>
        </w:tc>
        <w:tc>
          <w:tcPr>
            <w:tcW w:w="1340" w:type="dxa"/>
            <w:vAlign w:val="bottom"/>
          </w:tcPr>
          <w:p>
            <w:pPr>
              <w:jc w:val="right"/>
              <w:ind w:right="212"/>
              <w:spacing w:after="0"/>
              <w:rPr>
                <w:sz w:val="20"/>
                <w:szCs w:val="20"/>
                <w:color w:val="auto"/>
              </w:rPr>
            </w:pPr>
            <w:r>
              <w:rPr>
                <w:rFonts w:ascii="Arial" w:cs="Arial" w:eastAsia="Arial" w:hAnsi="Arial"/>
                <w:sz w:val="16"/>
                <w:szCs w:val="16"/>
                <w:b w:val="1"/>
                <w:bCs w:val="1"/>
                <w:color w:val="auto"/>
              </w:rPr>
              <w:t>April 2, 2017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(gains) losses on mark-to-market valuation of commodity derivative positions recognized in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(66,590)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losses on commodity derivative positions reclassified from unallocated to segment income</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(29,660)</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(22,624)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mark-to-market valuation of commodity derivative positions recognized in unallocated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(96,250)</w:t>
            </w:r>
          </w:p>
        </w:tc>
        <w:tc>
          <w:tcPr>
            <w:tcW w:w="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gains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As of April 1, 2018, the cumulative amount of mark-to-market losses on commodity derivatives that have been recognized in our consolidated cost of sales and not yet allocated to reportable segments was $31,696. Based on our forecasts of the timing of the recognition of the underlying hedged items, we expect to reclassify net pretax losses on commodity derivatives of $77,411 to segment operating results in the next twelve months.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gridSpan w:val="4"/>
          </w:tcPr>
          <w:p>
            <w:pPr>
              <w:jc w:val="right"/>
              <w:ind w:right="111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April 1, 2018</w:t>
            </w:r>
          </w:p>
        </w:tc>
        <w:tc>
          <w:tcPr>
            <w:tcW w:w="340" w:type="dxa"/>
            <w:vAlign w:val="bottom"/>
          </w:tcPr>
          <w:p>
            <w:pPr>
              <w:spacing w:after="0"/>
              <w:rPr>
                <w:sz w:val="20"/>
                <w:szCs w:val="20"/>
                <w:color w:val="auto"/>
              </w:rPr>
            </w:pPr>
          </w:p>
        </w:tc>
        <w:tc>
          <w:tcPr>
            <w:tcW w:w="1600" w:type="dxa"/>
            <w:vAlign w:val="bottom"/>
          </w:tcPr>
          <w:p>
            <w:pPr>
              <w:jc w:val="right"/>
              <w:ind w:right="392"/>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14,288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12,966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(1)</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10,749</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74,416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64,952</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8. Such amounts are not included within our measure of segment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TREASURY STOCK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185"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Three Months Ended April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37465</wp:posOffset>
            </wp:positionV>
            <wp:extent cx="2778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320" w:type="dxa"/>
            <w:vAlign w:val="bottom"/>
          </w:tcPr>
          <w:p>
            <w:pPr>
              <w:ind w:left="840"/>
              <w:spacing w:after="0"/>
              <w:rPr>
                <w:sz w:val="20"/>
                <w:szCs w:val="20"/>
                <w:color w:val="auto"/>
              </w:rPr>
            </w:pPr>
            <w:r>
              <w:rPr>
                <w:rFonts w:ascii="Arial" w:cs="Arial" w:eastAsia="Arial" w:hAnsi="Arial"/>
                <w:sz w:val="16"/>
                <w:szCs w:val="16"/>
                <w:b w:val="1"/>
                <w:bCs w:val="1"/>
                <w:color w:val="auto"/>
                <w:w w:val="86"/>
              </w:rPr>
              <w:t>Shares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733"/>
              <w:spacing w:after="0"/>
              <w:rPr>
                <w:sz w:val="20"/>
                <w:szCs w:val="20"/>
                <w:color w:val="auto"/>
              </w:rPr>
            </w:pPr>
            <w:r>
              <w:rPr>
                <w:rFonts w:ascii="Arial" w:cs="Arial" w:eastAsia="Arial" w:hAnsi="Arial"/>
                <w:sz w:val="16"/>
                <w:szCs w:val="16"/>
                <w:b w:val="1"/>
                <w:bCs w:val="1"/>
                <w:color w:val="auto"/>
              </w:rPr>
              <w:t>Dollars</w:t>
            </w:r>
          </w:p>
        </w:tc>
      </w:tr>
      <w:tr>
        <w:trPr>
          <w:trHeight w:val="47"/>
        </w:trPr>
        <w:tc>
          <w:tcPr>
            <w:tcW w:w="68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533"/>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repurchased in the open market under pre-approved share repurchase programs</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1,406,093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140,000</w:t>
            </w:r>
          </w:p>
        </w:tc>
      </w:tr>
      <w:tr>
        <w:trPr>
          <w:trHeight w:val="229"/>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Shares repurchased to replace Treasury Stock issued for stock options and incentive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compensation</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385,461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38,073</w:t>
            </w:r>
          </w:p>
        </w:tc>
      </w:tr>
      <w:tr>
        <w:trPr>
          <w:trHeight w:val="27"/>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 repurchases</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1,791,554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178,073</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Shares issued for stock options and incentive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(273,289)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(11,372)</w:t>
            </w:r>
          </w:p>
        </w:tc>
      </w:tr>
      <w:tr>
        <w:trPr>
          <w:trHeight w:val="27"/>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1,518,265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166,701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$500,000 share repurchase program approved by our Board of Directors in January 2016 was completed in the first quarter of 2018. In October 2017, our Board of Directors approved an additional $100,000 share repurchase authorization, to commence after the existing 2016 authorization was completed. As of April 1, 2018, $60,000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remained available for repurchases of our Common Stock under this program.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NONCONTROLLING INTEREST</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venture partners.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 roll-forward showing the 2018 activity relating to the noncontrolling interest follows:</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948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April 1, 2018</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17,527</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April 2,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14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220" w:type="dxa"/>
            <w:vAlign w:val="bottom"/>
          </w:tcPr>
          <w:p>
            <w:pPr>
              <w:jc w:val="right"/>
              <w:ind w:right="6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93,949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34,068</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157,952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57,951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256,122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94,081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91,766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33,278</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150,114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256,122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94,081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91,766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33,278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 common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to Common stock</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94,081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350,203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93,738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125,044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33,253</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150,114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211,955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214,522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earnings per share calculations for the three months ended April 1, 2018 and April 2, 2017 excluded 3,689 and 2,067 stock options (in thousands), respectively, that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2, 2017</w:t>
            </w:r>
          </w:p>
        </w:tc>
        <w:tc>
          <w:tcPr>
            <w:tcW w:w="52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Write-down of equity investments in partnerships qualifying for tax credits</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40"/>
              <w:spacing w:after="0"/>
              <w:rPr>
                <w:sz w:val="20"/>
                <w:szCs w:val="20"/>
                <w:color w:val="auto"/>
              </w:rPr>
            </w:pPr>
            <w:r>
              <w:rPr>
                <w:rFonts w:ascii="Arial" w:cs="Arial" w:eastAsia="Arial" w:hAnsi="Arial"/>
                <w:sz w:val="18"/>
                <w:szCs w:val="18"/>
                <w:color w:val="auto"/>
                <w:w w:val="93"/>
              </w:rPr>
              <w:t>Non-service cost components of net periodic benefit cost relating to pension and other post-retirement</w:t>
            </w: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benefit plans</w:t>
            </w:r>
          </w:p>
        </w:tc>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5,306</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1,606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1,942</w:t>
            </w:r>
          </w:p>
        </w:tc>
        <w:tc>
          <w:tcPr>
            <w:tcW w:w="1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5,135</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BALANCE SHEET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6"/>
                <w:szCs w:val="16"/>
                <w:b w:val="1"/>
                <w:bCs w:val="1"/>
                <w:color w:val="auto"/>
              </w:rPr>
              <w:t>April 1, 2018</w:t>
            </w:r>
          </w:p>
        </w:tc>
        <w:tc>
          <w:tcPr>
            <w:tcW w:w="380" w:type="dxa"/>
            <w:vAlign w:val="bottom"/>
          </w:tcPr>
          <w:p>
            <w:pPr>
              <w:spacing w:after="0"/>
              <w:rPr>
                <w:sz w:val="18"/>
                <w:szCs w:val="18"/>
                <w:color w:val="auto"/>
              </w:rPr>
            </w:pP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6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Raw materials</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257,079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224,940</w:t>
            </w: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Goods in process</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125,401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93,627</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46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569,767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614,945</w:t>
            </w:r>
          </w:p>
        </w:tc>
      </w:tr>
      <w:tr>
        <w:trPr>
          <w:trHeight w:val="33"/>
        </w:trPr>
        <w:tc>
          <w:tcPr>
            <w:tcW w:w="6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at FIFO</w:t>
            </w:r>
          </w:p>
        </w:tc>
        <w:tc>
          <w:tcPr>
            <w:tcW w:w="4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952,247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933,512</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Adjustment to LIFO</w:t>
            </w:r>
          </w:p>
        </w:tc>
        <w:tc>
          <w:tcPr>
            <w:tcW w:w="4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(169,787)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(180,676)</w:t>
            </w:r>
          </w:p>
        </w:tc>
      </w:tr>
      <w:tr>
        <w:trPr>
          <w:trHeight w:val="33"/>
        </w:trPr>
        <w:tc>
          <w:tcPr>
            <w:tcW w:w="6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782,460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752,836</w:t>
            </w:r>
          </w:p>
        </w:tc>
      </w:tr>
      <w:tr>
        <w:trPr>
          <w:trHeight w:val="20"/>
        </w:trPr>
        <w:tc>
          <w:tcPr>
            <w:tcW w:w="6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Prepaid expenses and other:</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32,158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128,735</w:t>
            </w: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231,994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21,124</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133,155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130,774</w:t>
            </w:r>
          </w:p>
        </w:tc>
      </w:tr>
      <w:tr>
        <w:trPr>
          <w:trHeight w:val="33"/>
        </w:trPr>
        <w:tc>
          <w:tcPr>
            <w:tcW w:w="6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prepaid expenses and other</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397,307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280,633</w:t>
            </w:r>
          </w:p>
        </w:tc>
      </w:tr>
      <w:tr>
        <w:trPr>
          <w:trHeight w:val="20"/>
        </w:trPr>
        <w:tc>
          <w:tcPr>
            <w:tcW w:w="6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Land</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109,147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108,300</w:t>
            </w: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1,221,515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1,214,158</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46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2,972,871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2,925,353</w:t>
            </w: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 in progress</w:t>
            </w:r>
          </w:p>
        </w:tc>
        <w:tc>
          <w:tcPr>
            <w:tcW w:w="4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220,757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212,912</w:t>
            </w:r>
          </w:p>
        </w:tc>
      </w:tr>
      <w:tr>
        <w:trPr>
          <w:trHeight w:val="217"/>
        </w:trPr>
        <w:tc>
          <w:tcPr>
            <w:tcW w:w="6540" w:type="dxa"/>
            <w:vAlign w:val="bottom"/>
          </w:tcPr>
          <w:p>
            <w:pPr>
              <w:ind w:left="180"/>
              <w:spacing w:after="0"/>
              <w:rPr>
                <w:sz w:val="20"/>
                <w:szCs w:val="20"/>
                <w:color w:val="auto"/>
              </w:rPr>
            </w:pPr>
            <w:r>
              <w:rPr>
                <w:rFonts w:ascii="Arial" w:cs="Arial" w:eastAsia="Arial" w:hAnsi="Arial"/>
                <w:sz w:val="16"/>
                <w:szCs w:val="16"/>
                <w:color w:val="auto"/>
              </w:rPr>
              <w:t>Property, plant and equipment, gross</w:t>
            </w:r>
          </w:p>
        </w:tc>
        <w:tc>
          <w:tcPr>
            <w:tcW w:w="4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4,524,290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4,460,723</w:t>
            </w: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4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(2,405,274)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(2,354,026)</w:t>
            </w:r>
          </w:p>
        </w:tc>
      </w:tr>
      <w:tr>
        <w:trPr>
          <w:trHeight w:val="297"/>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2,119,016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2,106,697</w:t>
            </w:r>
          </w:p>
        </w:tc>
      </w:tr>
      <w:tr>
        <w:trPr>
          <w:trHeight w:val="217"/>
        </w:trPr>
        <w:tc>
          <w:tcPr>
            <w:tcW w:w="6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software, net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104,881</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153,942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146,998</w:t>
            </w:r>
          </w:p>
        </w:tc>
      </w:tr>
      <w:tr>
        <w:trPr>
          <w:trHeight w:val="33"/>
        </w:trPr>
        <w:tc>
          <w:tcPr>
            <w:tcW w:w="6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251,879</w:t>
            </w:r>
          </w:p>
        </w:tc>
      </w:tr>
      <w:tr>
        <w:trPr>
          <w:trHeight w:val="20"/>
        </w:trPr>
        <w:tc>
          <w:tcPr>
            <w:tcW w:w="6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Payroll, compensation and benefits</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126,557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190,863</w:t>
            </w: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 and promotion</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285,970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305,107</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Liabilities held for sale</w:t>
            </w:r>
          </w:p>
        </w:tc>
        <w:tc>
          <w:tcPr>
            <w:tcW w:w="46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28,918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182,264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180,164</w:t>
            </w:r>
          </w:p>
        </w:tc>
      </w:tr>
      <w:tr>
        <w:trPr>
          <w:trHeight w:val="284"/>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accrued liabilities</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623,709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676,134</w:t>
            </w:r>
          </w:p>
        </w:tc>
      </w:tr>
      <w:tr>
        <w:trPr>
          <w:trHeight w:val="217"/>
        </w:trPr>
        <w:tc>
          <w:tcPr>
            <w:tcW w:w="6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Post-retirement benefits liabilities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215,320</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Pension benefits liabilities</w:t>
            </w:r>
          </w:p>
        </w:tc>
        <w:tc>
          <w:tcPr>
            <w:tcW w:w="46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38,799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39,410</w:t>
            </w: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183,514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184,209</w:t>
            </w:r>
          </w:p>
        </w:tc>
      </w:tr>
      <w:tr>
        <w:trPr>
          <w:trHeight w:val="284"/>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other long-term liabilities</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435,186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438,939</w:t>
            </w:r>
          </w:p>
        </w:tc>
      </w:tr>
      <w:tr>
        <w:trPr>
          <w:trHeight w:val="217"/>
        </w:trPr>
        <w:tc>
          <w:tcPr>
            <w:tcW w:w="6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(91,837)</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Pension and post-retirement benefit plans, net of tax</w:t>
            </w:r>
          </w:p>
        </w:tc>
        <w:tc>
          <w:tcPr>
            <w:tcW w:w="4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(201,989)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(169,526)</w:t>
            </w:r>
          </w:p>
        </w:tc>
      </w:tr>
      <w:tr>
        <w:trPr>
          <w:trHeight w:val="33"/>
        </w:trPr>
        <w:tc>
          <w:tcPr>
            <w:tcW w:w="6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flow hedges, net of tax</w:t>
            </w:r>
          </w:p>
        </w:tc>
        <w:tc>
          <w:tcPr>
            <w:tcW w:w="4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(58,598)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(52,383)</w:t>
            </w:r>
          </w:p>
        </w:tc>
      </w:tr>
      <w:tr>
        <w:trPr>
          <w:trHeight w:val="244"/>
        </w:trPr>
        <w:tc>
          <w:tcPr>
            <w:tcW w:w="6540" w:type="dxa"/>
            <w:vAlign w:val="bottom"/>
          </w:tcPr>
          <w:p>
            <w:pPr>
              <w:spacing w:after="0"/>
              <w:rPr>
                <w:sz w:val="20"/>
                <w:szCs w:val="20"/>
                <w:color w:val="auto"/>
              </w:rPr>
            </w:pPr>
            <w:r>
              <w:rPr>
                <w:rFonts w:ascii="Arial" w:cs="Arial" w:eastAsia="Arial" w:hAnsi="Arial"/>
                <w:sz w:val="16"/>
                <w:szCs w:val="16"/>
                <w:color w:val="auto"/>
              </w:rPr>
              <w:t>Total accumulated other comprehensive loss</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(354,475)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(313,746)</w:t>
            </w:r>
          </w:p>
        </w:tc>
      </w:tr>
      <w:tr>
        <w:trPr>
          <w:trHeight w:val="20"/>
        </w:trPr>
        <w:tc>
          <w:tcPr>
            <w:tcW w:w="6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21" w:right="359" w:bottom="474" w:gutter="0" w:footer="0" w:header="0"/>
        </w:sect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300"/>
          </w:cols>
          <w:pgMar w:left="240" w:top="121" w:right="359" w:bottom="474"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2017 Annual Report on Form 10-K for information concerning the key risks to achieving future performance goals.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Overview presented below is an executive-level summary highlighting the key trends and measures on which the Company’s management focuses in evaluating its financial condition and operating performance. Certain earnings and performance measures within the Overview include financial information determined on a non-GAAP basis, which aligns with how management internally evaluates the Company's results of operations, determines incentive compensation, and assesses the impact of known trends and uncertainties on the business. A detailed reconciliation of the non-GAAP financial measures referenced herein to their nearest comparable GAAP financial measures follows this summary. For a detailed analysis of the Company's operations prepared in accordance with accounting principles generally accepted in the United States of America ("GAAP"), referred to as "reported" herein, refer to the discussion and analysis in the Consolidated Results of Operations.</w:t>
      </w:r>
    </w:p>
    <w:p>
      <w:pPr>
        <w:spacing w:after="0" w:line="124"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 xml:space="preserve">In January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w:t>
      </w:r>
      <w:r>
        <w:rPr>
          <w:rFonts w:ascii="Arial" w:cs="Arial" w:eastAsia="Arial" w:hAnsi="Arial"/>
          <w:sz w:val="17"/>
          <w:szCs w:val="17"/>
          <w:i w:val="1"/>
          <w:iCs w:val="1"/>
          <w:color w:val="auto"/>
        </w:rPr>
        <w:t>Paqui</w:t>
      </w:r>
      <w:r>
        <w:rPr>
          <w:rFonts w:ascii="Arial" w:cs="Arial" w:eastAsia="Arial" w:hAnsi="Arial"/>
          <w:sz w:val="17"/>
          <w:szCs w:val="17"/>
          <w:color w:val="auto"/>
        </w:rPr>
        <w:t xml:space="preserve"> and </w:t>
      </w:r>
      <w:r>
        <w:rPr>
          <w:rFonts w:ascii="Arial" w:cs="Arial" w:eastAsia="Arial" w:hAnsi="Arial"/>
          <w:sz w:val="17"/>
          <w:szCs w:val="17"/>
          <w:i w:val="1"/>
          <w:iCs w:val="1"/>
          <w:color w:val="auto"/>
        </w:rPr>
        <w:t>Tyrrells</w:t>
      </w:r>
      <w:r>
        <w:rPr>
          <w:rFonts w:ascii="Arial" w:cs="Arial" w:eastAsia="Arial" w:hAnsi="Arial"/>
          <w:sz w:val="17"/>
          <w:szCs w:val="17"/>
          <w:color w:val="auto"/>
        </w:rPr>
        <w:t xml:space="preserve">. Amplify's anchor brand, </w:t>
      </w:r>
      <w:r>
        <w:rPr>
          <w:rFonts w:ascii="Arial" w:cs="Arial" w:eastAsia="Arial" w:hAnsi="Arial"/>
          <w:sz w:val="17"/>
          <w:szCs w:val="17"/>
          <w:i w:val="1"/>
          <w:iCs w:val="1"/>
          <w:color w:val="auto"/>
        </w:rPr>
        <w:t>SkinnyPop</w:t>
      </w:r>
      <w:r>
        <w:rPr>
          <w:rFonts w:ascii="Arial" w:cs="Arial" w:eastAsia="Arial" w:hAnsi="Arial"/>
          <w:sz w:val="17"/>
          <w:szCs w:val="17"/>
          <w:color w:val="auto"/>
        </w:rPr>
        <w:t>, is a market-leading ready-to-eat popcorn brand and is available in a wide range of food distribution channels in the United States. The business enables us to capture more consumer snacking occasions by contributing a new portfolio of brands.</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Our first quarter 2018 net sales totaled $1,972.0 million, an increase of 4.9%, versus $1,879.7 million for the first quarter 2017. Excluding a 0.5% impact from favorable foreign exchange rates, our net sales increased 4.4%. Net sales growth was driven primarily by the Amplify acquisition.</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reported gross margin was 49.4% for the first quarter 2018, an increase of 100 basis points compared to the first quarter 2017. Our first quarter 2018 non-GAAP gross margin was 44.9%, a decrease of 260 basis points compared to the first quarter 2017 due to unfavorable mix, higher freight and logistics costs, as well as incremental investments in trade promotional spending and packaging.</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first quarter 2018 reported net income and EPS-diluted totaled $350.2 million and $1.65, respectively, compared to the first quarter 2017 reported net income and EPS-diluted of $125.0 million and $0.58, respectively. From a non-GAAP perspective, first quarter 2018 adjusted net income was $298.0 million, an increase of 6.7% versus $279.3 million in the first quarter 2017. Our adjusted EPS-diluted for the first quarter 2018 was $1.41 compared to $1.30 for the first quarter 2017, an increase of 8.5%.</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23"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NON-GAAP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Certain Financial Measures</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comparability of certain of our financial measures is impacted by unallocated mark-to-market (gains) losses on commodity derivatives, costs associated with business realignment activities, costs relating to the integration of acquisitions, impairment of long-lived assets and other non-recurring gains and losses.</w:t>
      </w:r>
    </w:p>
    <w:p>
      <w:pPr>
        <w:spacing w:after="0" w:line="12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Reconciliations of the non-GAAP financial measures referenced in MD&amp;A to their nearest comparable GAAP financial measures as presented in the Consolidated Statements of Income are provided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conjunction with the adoption of ASU 2017-07, </w:t>
      </w:r>
      <w:r>
        <w:rPr>
          <w:rFonts w:ascii="Arial" w:cs="Arial" w:eastAsia="Arial" w:hAnsi="Arial"/>
          <w:sz w:val="18"/>
          <w:szCs w:val="18"/>
          <w:i w:val="1"/>
          <w:iCs w:val="1"/>
          <w:color w:val="auto"/>
        </w:rPr>
        <w:t>Compensation-Retirement Benefits (Topic 715)</w:t>
      </w:r>
      <w:r>
        <w:rPr>
          <w:rFonts w:ascii="Arial" w:cs="Arial" w:eastAsia="Arial" w:hAnsi="Arial"/>
          <w:sz w:val="18"/>
          <w:szCs w:val="18"/>
          <w:color w:val="auto"/>
        </w:rPr>
        <w:t>, in the first quarter of 2018, the Company elected to discontinue its practice of excluding the non-service related components of its net periodic benefit cost in deriving its non-GAAP financial measures, with a minor exception. Historically, the Company excluded from its non-GAAP results the following components relating to its pension benefit plans: interest cost, expected return on plan assets, amortization of net loss (gain), and settlement and curtailment charges. The Company did not historically exclude from its non-GAAP results the non-service related components relating to its other post retirement benefit plans. Starting with the first quarter of 2018, the Company will continue to exclude from its non-GAAP results the portion of pension settlement and/or curtailment charges relating to Company-directed initiatives, such as significant business realignment events and benefit plan terminations or amendments. As a result of this change, the non-GAAP reconciliations presented for the quarter ended April 2, 2017 that follow have been revised to conform to this updated presentation. The revision in the Company’s determination of non-GAAP earnings resulted in a reduction of $0.01 to adjusted earnings per share-diluted from $1.31 to $1.30 for the three months ended April 2, 2017.</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823" w:right="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6880" w:type="dxa"/>
            <w:vAlign w:val="bottom"/>
            <w:gridSpan w:val="4"/>
          </w:tcPr>
          <w:p>
            <w:pPr>
              <w:ind w:left="1320"/>
              <w:spacing w:after="0"/>
              <w:rPr>
                <w:sz w:val="20"/>
                <w:szCs w:val="20"/>
                <w:color w:val="auto"/>
              </w:rPr>
            </w:pPr>
            <w:r>
              <w:rPr>
                <w:rFonts w:ascii="Arial" w:cs="Arial" w:eastAsia="Arial" w:hAnsi="Arial"/>
                <w:sz w:val="16"/>
                <w:szCs w:val="16"/>
                <w:b w:val="1"/>
                <w:bCs w:val="1"/>
                <w:color w:val="auto"/>
              </w:rPr>
              <w:t>Reconciliation of Certain Non-GAAP Financial Measures</w:t>
            </w: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7"/>
        </w:trPr>
        <w:tc>
          <w:tcPr>
            <w:tcW w:w="69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380" w:type="dxa"/>
            <w:vAlign w:val="bottom"/>
          </w:tcPr>
          <w:p>
            <w:pPr>
              <w:spacing w:after="0"/>
              <w:rPr>
                <w:sz w:val="22"/>
                <w:szCs w:val="22"/>
                <w:color w:val="auto"/>
              </w:rPr>
            </w:pPr>
          </w:p>
        </w:tc>
        <w:tc>
          <w:tcPr>
            <w:tcW w:w="4060" w:type="dxa"/>
            <w:vAlign w:val="bottom"/>
            <w:gridSpan w:val="4"/>
          </w:tcPr>
          <w:p>
            <w:pPr>
              <w:jc w:val="right"/>
              <w:ind w:right="139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69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20"/>
                <w:szCs w:val="20"/>
                <w:color w:val="auto"/>
              </w:rPr>
            </w:pPr>
          </w:p>
        </w:tc>
        <w:tc>
          <w:tcPr>
            <w:tcW w:w="1920" w:type="dxa"/>
            <w:vAlign w:val="bottom"/>
            <w:gridSpan w:val="2"/>
          </w:tcPr>
          <w:p>
            <w:pPr>
              <w:ind w:left="260"/>
              <w:spacing w:after="0"/>
              <w:rPr>
                <w:sz w:val="20"/>
                <w:szCs w:val="20"/>
                <w:color w:val="auto"/>
              </w:rPr>
            </w:pPr>
            <w:r>
              <w:rPr>
                <w:rFonts w:ascii="Arial" w:cs="Arial" w:eastAsia="Arial" w:hAnsi="Arial"/>
                <w:sz w:val="16"/>
                <w:szCs w:val="16"/>
                <w:b w:val="1"/>
                <w:bCs w:val="1"/>
                <w:color w:val="auto"/>
              </w:rPr>
              <w:t>April 1, 2018</w:t>
            </w:r>
          </w:p>
        </w:tc>
        <w:tc>
          <w:tcPr>
            <w:tcW w:w="360" w:type="dxa"/>
            <w:vAlign w:val="bottom"/>
          </w:tcPr>
          <w:p>
            <w:pPr>
              <w:spacing w:after="0"/>
              <w:rPr>
                <w:sz w:val="20"/>
                <w:szCs w:val="20"/>
                <w:color w:val="auto"/>
              </w:rPr>
            </w:pPr>
          </w:p>
        </w:tc>
        <w:tc>
          <w:tcPr>
            <w:tcW w:w="1780" w:type="dxa"/>
            <w:vAlign w:val="bottom"/>
          </w:tcPr>
          <w:p>
            <w:pPr>
              <w:jc w:val="right"/>
              <w:ind w:right="539"/>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24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(Revised)</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Reported gross profit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974,060</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909,352</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gains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(17,088)</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2,214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45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6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gross profit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884,986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892,754</w:t>
            </w:r>
          </w:p>
        </w:tc>
      </w:tr>
      <w:tr>
        <w:trPr>
          <w:trHeight w:val="163"/>
        </w:trPr>
        <w:tc>
          <w:tcPr>
            <w:tcW w:w="240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Reported operating profit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480,512</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197,237</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gains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(17,088)</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15,951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46,988</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380" w:type="dxa"/>
            <w:vAlign w:val="bottom"/>
          </w:tcPr>
          <w:p>
            <w:pPr>
              <w:spacing w:after="0"/>
              <w:rPr>
                <w:sz w:val="20"/>
                <w:szCs w:val="20"/>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208,712</w:t>
            </w:r>
          </w:p>
        </w:tc>
      </w:tr>
      <w:tr>
        <w:trPr>
          <w:trHeight w:val="33"/>
        </w:trPr>
        <w:tc>
          <w:tcPr>
            <w:tcW w:w="24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w:t>
            </w:r>
          </w:p>
        </w:tc>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428,139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436,149</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40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shd w:val="clear" w:color="auto" w:fill="CCEEFF"/>
              </w:rPr>
              <w:t>Reported provision for income taxes</w:t>
            </w:r>
          </w:p>
        </w:tc>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70,113</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3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(8,941)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1,199</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11,471</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5,403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Long-lived asset impairment charges*</w:t>
            </w:r>
          </w:p>
        </w:tc>
        <w:tc>
          <w:tcPr>
            <w:tcW w:w="3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45,201</w:t>
            </w:r>
          </w:p>
        </w:tc>
      </w:tr>
      <w:tr>
        <w:trPr>
          <w:trHeight w:val="284"/>
        </w:trPr>
        <w:tc>
          <w:tcPr>
            <w:tcW w:w="6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provision for income taxes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98,801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128,098</w:t>
            </w:r>
          </w:p>
        </w:tc>
      </w:tr>
      <w:tr>
        <w:trPr>
          <w:trHeight w:val="163"/>
        </w:trPr>
        <w:tc>
          <w:tcPr>
            <w:tcW w:w="240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Reported 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350,203</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125,044</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gains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(18,287)</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12,124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35,517</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380" w:type="dxa"/>
            <w:vAlign w:val="bottom"/>
          </w:tcPr>
          <w:p>
            <w:pPr>
              <w:spacing w:after="0"/>
              <w:rPr>
                <w:sz w:val="20"/>
                <w:szCs w:val="20"/>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163,511</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Noncontrolling interest share of business realignment and impairment charges</w:t>
            </w: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(26,666)</w:t>
            </w:r>
          </w:p>
        </w:tc>
      </w:tr>
      <w:tr>
        <w:trPr>
          <w:trHeight w:val="284"/>
        </w:trPr>
        <w:tc>
          <w:tcPr>
            <w:tcW w:w="6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net income</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297,997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279,305</w:t>
            </w:r>
          </w:p>
        </w:tc>
      </w:tr>
      <w:tr>
        <w:trPr>
          <w:trHeight w:val="163"/>
        </w:trPr>
        <w:tc>
          <w:tcPr>
            <w:tcW w:w="240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Reported EPS - Diluted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0.58</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gains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3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0.17</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380" w:type="dxa"/>
            <w:vAlign w:val="bottom"/>
          </w:tcPr>
          <w:p>
            <w:pPr>
              <w:spacing w:after="0"/>
              <w:rPr>
                <w:sz w:val="20"/>
                <w:szCs w:val="20"/>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0.76</w:t>
            </w:r>
          </w:p>
        </w:tc>
      </w:tr>
      <w:tr>
        <w:trPr>
          <w:trHeight w:val="33"/>
        </w:trPr>
        <w:tc>
          <w:tcPr>
            <w:tcW w:w="2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Noncontrolling interest share of business realignment and impairment charges</w:t>
            </w:r>
          </w:p>
        </w:tc>
        <w:tc>
          <w:tcPr>
            <w:tcW w:w="3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4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Non-GAAP EPS - Diluted</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r>
      <w:tr>
        <w:trPr>
          <w:trHeight w:val="20"/>
        </w:trPr>
        <w:tc>
          <w:tcPr>
            <w:tcW w:w="2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tax effect for each adjustment is determined by calculating the tax impact of the adjustment on the Company's quarterly effective tax rate.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29</w:t>
      </w:r>
    </w:p>
    <w:p>
      <w:pPr>
        <w:sectPr>
          <w:pgSz w:w="11900" w:h="16838" w:orient="portrait"/>
          <w:cols w:equalWidth="0" w:num="1">
            <w:col w:w="11420"/>
          </w:cols>
          <w:pgMar w:left="240" w:top="747" w:right="239" w:bottom="1440" w:gutter="0" w:footer="0" w:header="0"/>
        </w:sectPr>
      </w:pPr>
    </w:p>
    <w:bookmarkStart w:id="31" w:name="page32"/>
    <w:bookmarkEnd w:id="31"/>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17"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46355</wp:posOffset>
            </wp:positionV>
            <wp:extent cx="28727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1640" w:type="dxa"/>
            <w:vAlign w:val="bottom"/>
          </w:tcPr>
          <w:p>
            <w:pPr>
              <w:ind w:left="640"/>
              <w:spacing w:after="0"/>
              <w:rPr>
                <w:sz w:val="20"/>
                <w:szCs w:val="20"/>
                <w:color w:val="auto"/>
              </w:rPr>
            </w:pPr>
            <w:r>
              <w:rPr>
                <w:rFonts w:ascii="Arial" w:cs="Arial" w:eastAsia="Arial" w:hAnsi="Arial"/>
                <w:sz w:val="16"/>
                <w:szCs w:val="16"/>
                <w:b w:val="1"/>
                <w:bCs w:val="1"/>
                <w:color w:val="auto"/>
              </w:rPr>
              <w:t>April 1, 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jc w:val="right"/>
              <w:ind w:right="579"/>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6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(Revised)</w:t>
            </w:r>
          </w:p>
        </w:tc>
      </w:tr>
      <w:tr>
        <w:trPr>
          <w:trHeight w:val="237"/>
        </w:trPr>
        <w:tc>
          <w:tcPr>
            <w:tcW w:w="8540" w:type="dxa"/>
            <w:vAlign w:val="bottom"/>
            <w:gridSpan w:val="2"/>
          </w:tcPr>
          <w:p>
            <w:pPr>
              <w:ind w:left="40"/>
              <w:spacing w:after="0"/>
              <w:rPr>
                <w:sz w:val="20"/>
                <w:szCs w:val="20"/>
                <w:color w:val="auto"/>
              </w:rPr>
            </w:pPr>
            <w:r>
              <w:rPr>
                <w:rFonts w:ascii="Arial" w:cs="Arial" w:eastAsia="Arial" w:hAnsi="Arial"/>
                <w:sz w:val="16"/>
                <w:szCs w:val="16"/>
                <w:color w:val="auto"/>
              </w:rPr>
              <w:t>As reported gross margin</w:t>
            </w:r>
          </w:p>
        </w:tc>
        <w:tc>
          <w:tcPr>
            <w:tcW w:w="56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33"/>
        </w:trPr>
        <w:tc>
          <w:tcPr>
            <w:tcW w:w="6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gross margin (1)</w:t>
            </w:r>
          </w:p>
        </w:tc>
        <w:tc>
          <w:tcPr>
            <w:tcW w:w="1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324"/>
        </w:trPr>
        <w:tc>
          <w:tcPr>
            <w:tcW w:w="6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operating profit margin</w:t>
            </w:r>
          </w:p>
        </w:tc>
        <w:tc>
          <w:tcPr>
            <w:tcW w:w="1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37"/>
        </w:trPr>
        <w:tc>
          <w:tcPr>
            <w:tcW w:w="8540" w:type="dxa"/>
            <w:vAlign w:val="bottom"/>
            <w:gridSpan w:val="2"/>
          </w:tcPr>
          <w:p>
            <w:pPr>
              <w:ind w:left="40"/>
              <w:spacing w:after="0"/>
              <w:rPr>
                <w:sz w:val="20"/>
                <w:szCs w:val="20"/>
                <w:color w:val="auto"/>
              </w:rPr>
            </w:pPr>
            <w:r>
              <w:rPr>
                <w:rFonts w:ascii="Arial" w:cs="Arial" w:eastAsia="Arial" w:hAnsi="Arial"/>
                <w:sz w:val="16"/>
                <w:szCs w:val="16"/>
                <w:color w:val="auto"/>
              </w:rPr>
              <w:t>Non-GAAP operating profit margin (2)</w:t>
            </w:r>
          </w:p>
        </w:tc>
        <w:tc>
          <w:tcPr>
            <w:tcW w:w="5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33"/>
        </w:trPr>
        <w:tc>
          <w:tcPr>
            <w:tcW w:w="6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324"/>
        </w:trPr>
        <w:tc>
          <w:tcPr>
            <w:tcW w:w="69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r>
      <w:tr>
        <w:trPr>
          <w:trHeight w:val="237"/>
        </w:trPr>
        <w:tc>
          <w:tcPr>
            <w:tcW w:w="8540" w:type="dxa"/>
            <w:vAlign w:val="bottom"/>
            <w:gridSpan w:val="2"/>
          </w:tcPr>
          <w:p>
            <w:pPr>
              <w:ind w:left="40"/>
              <w:spacing w:after="0"/>
              <w:rPr>
                <w:sz w:val="20"/>
                <w:szCs w:val="20"/>
                <w:color w:val="auto"/>
              </w:rPr>
            </w:pPr>
            <w:r>
              <w:rPr>
                <w:rFonts w:ascii="Arial" w:cs="Arial" w:eastAsia="Arial" w:hAnsi="Arial"/>
                <w:sz w:val="16"/>
                <w:szCs w:val="16"/>
                <w:color w:val="auto"/>
              </w:rPr>
              <w:t>As reported effective tax rate</w:t>
            </w:r>
          </w:p>
        </w:tc>
        <w:tc>
          <w:tcPr>
            <w:tcW w:w="56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33"/>
        </w:trPr>
        <w:tc>
          <w:tcPr>
            <w:tcW w:w="6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effective tax rate (3)</w:t>
            </w:r>
          </w:p>
        </w:tc>
        <w:tc>
          <w:tcPr>
            <w:tcW w:w="1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41"/>
        </w:trPr>
        <w:tc>
          <w:tcPr>
            <w:tcW w:w="69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r>
    </w:tbl>
    <w:p>
      <w:pPr>
        <w:spacing w:after="0" w:line="20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(gains) losses on commodity derivatives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mark-to-market (gains) losses on commodity derivatives are recorded as unallocated and excluded from adjusted results until such time as the related inventory is sold, at which time the corresponding (gains) losses are reclassified from unallocated to segment income.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three months ended April 1, 2018 and April 2, 2017, the net adjustment recognized within unallocated was a gain of $96.3 million and a gain of $17.1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periodically undertake restructuring and cost reduction activities as part of ongoing efforts to enhance long-term profitability. For the three months ended April 1, 2018 and April 2, 2017, we incurred $16.0 million and $47.0 million, respectively, of pre-tax costs related to business realignment activities. See Note 8 to the Unaudited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Acquisition-related costs</w:t>
      </w:r>
    </w:p>
    <w:p>
      <w:pPr>
        <w:spacing w:after="0" w:line="2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For the three months ended April 1, 2018 and April 2, 2017, we incurred expenses totaling $27.9 million and $0.3 million, respectively. 2018 costs related to the acquisition of Amplify Snack Brands, Inc., specifically, legal and consultant fees, as well as other costs relating to the integration of the business.</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2017 costs related to the integration of the 2016 acquisition of Ripple Brand Collective, LLC as we incorporate this business into our operating practices and information systems. See Note 2 to the Unaudited Consolidated Financial Statements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 impairment charges</w:t>
      </w:r>
    </w:p>
    <w:p>
      <w:pPr>
        <w:spacing w:after="0" w:line="23"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color w:val="auto"/>
        </w:rPr>
        <w:t>For the three months ended April 2, 2017, we incurred $208.7 million of pre-tax long-lived asset impairment charges related to certain business realignment activities. This includes a write-down of certain intangible assets that had been recognized in connection with the 2014 SGM acquisition and write-down of property, plant and equipment. See Note 8 to the Unaudited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Noncontrolling interest share of business realignment and impairment charges</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Certain of the business realignment and impairment charges recorded for the three months ended April 2, 2017, in connection with the Margin for Growth Program, related to Lotte Shanghai Foods Co., Ltd., a joint venture in which we own a 50% controlling interest. Therefore, we have also adjusted for the portion of these charges included within the income (loss) attributed to the non-controlling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 present this information for historical periods, current period net sales for entities reporting in other than the U.S. dollar are translated into U.S. dollars at the average monthly exchange rates in effect during the corresponding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reported and constant currency growth rates is provided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Three Months Ended April 1, 2018</w:t>
            </w:r>
          </w:p>
        </w:tc>
        <w:tc>
          <w:tcPr>
            <w:tcW w:w="242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09"/>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Impact of Foreign Currency</w:t>
            </w: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Percentage Change on Constant</w:t>
            </w:r>
          </w:p>
        </w:tc>
      </w:tr>
      <w:tr>
        <w:trPr>
          <w:trHeight w:val="210"/>
        </w:trPr>
        <w:tc>
          <w:tcPr>
            <w:tcW w:w="3900" w:type="dxa"/>
            <w:vAlign w:val="bottom"/>
          </w:tcPr>
          <w:p>
            <w:pPr>
              <w:spacing w:after="0"/>
              <w:rPr>
                <w:sz w:val="18"/>
                <w:szCs w:val="18"/>
                <w:color w:val="auto"/>
              </w:rPr>
            </w:pPr>
          </w:p>
        </w:tc>
        <w:tc>
          <w:tcPr>
            <w:tcW w:w="2520" w:type="dxa"/>
            <w:vAlign w:val="bottom"/>
            <w:gridSpan w:val="2"/>
          </w:tcPr>
          <w:p>
            <w:pPr>
              <w:ind w:left="100"/>
              <w:spacing w:after="0"/>
              <w:rPr>
                <w:sz w:val="20"/>
                <w:szCs w:val="20"/>
                <w:color w:val="auto"/>
              </w:rPr>
            </w:pPr>
            <w:r>
              <w:rPr>
                <w:rFonts w:ascii="Arial" w:cs="Arial" w:eastAsia="Arial" w:hAnsi="Arial"/>
                <w:sz w:val="16"/>
                <w:szCs w:val="16"/>
                <w:b w:val="1"/>
                <w:bCs w:val="1"/>
                <w:color w:val="auto"/>
                <w:w w:val="97"/>
              </w:rPr>
              <w:t>Percentage Change as Reported</w:t>
            </w:r>
          </w:p>
        </w:tc>
        <w:tc>
          <w:tcPr>
            <w:tcW w:w="2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Exchange</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39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Canada</w:t>
            </w:r>
          </w:p>
        </w:tc>
        <w:tc>
          <w:tcPr>
            <w:tcW w:w="24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39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324"/>
        </w:trPr>
        <w:tc>
          <w:tcPr>
            <w:tcW w:w="3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Mexico</w:t>
            </w:r>
          </w:p>
        </w:tc>
        <w:tc>
          <w:tcPr>
            <w:tcW w:w="24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39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India</w:t>
            </w:r>
          </w:p>
        </w:tc>
        <w:tc>
          <w:tcPr>
            <w:tcW w:w="242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33"/>
        </w:trPr>
        <w:tc>
          <w:tcPr>
            <w:tcW w:w="39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Greater China</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39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324"/>
        </w:trPr>
        <w:tc>
          <w:tcPr>
            <w:tcW w:w="390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r>
      <w:tr>
        <w:trPr>
          <w:trHeight w:val="250"/>
        </w:trPr>
        <w:tc>
          <w:tcPr>
            <w:tcW w:w="390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1"/>
                <w:szCs w:val="21"/>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39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jc w:val="right"/>
              <w:ind w:right="13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560" w:type="dxa"/>
            <w:vAlign w:val="bottom"/>
          </w:tcPr>
          <w:p>
            <w:pPr>
              <w:jc w:val="right"/>
              <w:ind w:right="463"/>
              <w:spacing w:after="0"/>
              <w:rPr>
                <w:sz w:val="20"/>
                <w:szCs w:val="20"/>
                <w:color w:val="auto"/>
              </w:rPr>
            </w:pPr>
            <w:r>
              <w:rPr>
                <w:rFonts w:ascii="Arial" w:cs="Arial" w:eastAsia="Arial" w:hAnsi="Arial"/>
                <w:sz w:val="14"/>
                <w:szCs w:val="14"/>
                <w:b w:val="1"/>
                <w:bCs w:val="1"/>
                <w:color w:val="auto"/>
              </w:rPr>
              <w:t>Percent</w:t>
            </w:r>
          </w:p>
        </w:tc>
      </w:tr>
      <w:tr>
        <w:trPr>
          <w:trHeight w:val="263"/>
        </w:trPr>
        <w:tc>
          <w:tcPr>
            <w:tcW w:w="5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 2018</w:t>
            </w:r>
          </w:p>
        </w:tc>
        <w:tc>
          <w:tcPr>
            <w:tcW w:w="400" w:type="dxa"/>
            <w:vAlign w:val="bottom"/>
          </w:tcPr>
          <w:p>
            <w:pPr>
              <w:spacing w:after="0"/>
              <w:rPr>
                <w:sz w:val="22"/>
                <w:szCs w:val="22"/>
                <w:color w:val="auto"/>
              </w:rPr>
            </w:pPr>
          </w:p>
        </w:tc>
        <w:tc>
          <w:tcPr>
            <w:tcW w:w="1620" w:type="dxa"/>
            <w:vAlign w:val="bottom"/>
          </w:tcPr>
          <w:p>
            <w:pPr>
              <w:jc w:val="right"/>
              <w:ind w:right="539"/>
              <w:spacing w:after="0"/>
              <w:rPr>
                <w:sz w:val="20"/>
                <w:szCs w:val="20"/>
                <w:color w:val="auto"/>
              </w:rPr>
            </w:pPr>
            <w:r>
              <w:rPr>
                <w:rFonts w:ascii="Arial" w:cs="Arial" w:eastAsia="Arial" w:hAnsi="Arial"/>
                <w:sz w:val="14"/>
                <w:szCs w:val="14"/>
                <w:b w:val="1"/>
                <w:bCs w:val="1"/>
                <w:color w:val="auto"/>
              </w:rPr>
              <w:t>April 2, 2017</w:t>
            </w:r>
          </w:p>
        </w:tc>
        <w:tc>
          <w:tcPr>
            <w:tcW w:w="100" w:type="dxa"/>
            <w:vAlign w:val="bottom"/>
          </w:tcPr>
          <w:p>
            <w:pPr>
              <w:spacing w:after="0"/>
              <w:rPr>
                <w:sz w:val="22"/>
                <w:szCs w:val="22"/>
                <w:color w:val="auto"/>
              </w:rPr>
            </w:pPr>
          </w:p>
        </w:tc>
        <w:tc>
          <w:tcPr>
            <w:tcW w:w="1560" w:type="dxa"/>
            <w:vAlign w:val="bottom"/>
          </w:tcPr>
          <w:p>
            <w:pPr>
              <w:jc w:val="right"/>
              <w:ind w:right="463"/>
              <w:spacing w:after="0"/>
              <w:rPr>
                <w:sz w:val="20"/>
                <w:szCs w:val="20"/>
                <w:color w:val="auto"/>
              </w:rPr>
            </w:pPr>
            <w:r>
              <w:rPr>
                <w:rFonts w:ascii="Arial" w:cs="Arial" w:eastAsia="Arial" w:hAnsi="Arial"/>
                <w:sz w:val="14"/>
                <w:szCs w:val="14"/>
                <w:b w:val="1"/>
                <w:bCs w:val="1"/>
                <w:color w:val="auto"/>
              </w:rPr>
              <w:t>Change</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40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1,972.0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1,879.7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400" w:type="dxa"/>
            <w:vAlign w:val="bottom"/>
          </w:tcPr>
          <w:p>
            <w:pPr>
              <w:spacing w:after="0"/>
              <w:rPr>
                <w:sz w:val="20"/>
                <w:szCs w:val="20"/>
                <w:color w:val="auto"/>
              </w:rPr>
            </w:pP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997.9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970.3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2.8 %</w:t>
            </w:r>
          </w:p>
        </w:tc>
      </w:tr>
      <w:tr>
        <w:trPr>
          <w:trHeight w:val="33"/>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974.1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909.4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i w:val="1"/>
                <w:iCs w:val="1"/>
                <w:color w:val="auto"/>
              </w:rPr>
              <w:t>Gross Margin</w:t>
            </w:r>
          </w:p>
        </w:tc>
        <w:tc>
          <w:tcPr>
            <w:tcW w:w="4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49.4%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48.4%</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485.3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459.4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31"/>
        </w:trPr>
        <w:tc>
          <w:tcPr>
            <w:tcW w:w="5620" w:type="dxa"/>
            <w:vAlign w:val="bottom"/>
          </w:tcPr>
          <w:p>
            <w:pPr>
              <w:ind w:left="200"/>
              <w:spacing w:after="0"/>
              <w:rPr>
                <w:sz w:val="20"/>
                <w:szCs w:val="20"/>
                <w:color w:val="auto"/>
              </w:rPr>
            </w:pPr>
            <w:r>
              <w:rPr>
                <w:rFonts w:ascii="Arial" w:cs="Arial" w:eastAsia="Arial" w:hAnsi="Arial"/>
                <w:sz w:val="16"/>
                <w:szCs w:val="16"/>
                <w:i w:val="1"/>
                <w:iCs w:val="1"/>
                <w:color w:val="auto"/>
              </w:rPr>
              <w:t>SM&amp;A Expense as a percent of net sales</w:t>
            </w:r>
          </w:p>
        </w:tc>
        <w:tc>
          <w:tcPr>
            <w:tcW w:w="4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24.6%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24.4%</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Long-Lived Asset Impairment Charges</w:t>
            </w:r>
          </w:p>
        </w:tc>
        <w:tc>
          <w:tcPr>
            <w:tcW w:w="4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NM</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Business Realignment Costs</w:t>
            </w:r>
          </w:p>
        </w:tc>
        <w:tc>
          <w:tcPr>
            <w:tcW w:w="400" w:type="dxa"/>
            <w:vAlign w:val="bottom"/>
          </w:tcPr>
          <w:p>
            <w:pPr>
              <w:spacing w:after="0"/>
              <w:rPr>
                <w:sz w:val="20"/>
                <w:szCs w:val="20"/>
                <w:color w:val="auto"/>
              </w:rPr>
            </w:pP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44.0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(81.3)%</w:t>
            </w:r>
          </w:p>
        </w:tc>
      </w:tr>
      <w:tr>
        <w:trPr>
          <w:trHeight w:val="33"/>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4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480.5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143.6 %</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i w:val="1"/>
                <w:iCs w:val="1"/>
                <w:color w:val="auto"/>
              </w:rPr>
              <w:t>Operating Profit Margin</w:t>
            </w:r>
          </w:p>
        </w:tc>
        <w:tc>
          <w:tcPr>
            <w:tcW w:w="4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i w:val="1"/>
                <w:iCs w:val="1"/>
                <w:color w:val="auto"/>
              </w:rPr>
              <w:t>24.4%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i w:val="1"/>
                <w:iCs w:val="1"/>
                <w:color w:val="auto"/>
              </w:rPr>
              <w:t>10.5%</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23.6 %</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400" w:type="dxa"/>
            <w:vAlign w:val="bottom"/>
          </w:tcPr>
          <w:p>
            <w:pPr>
              <w:spacing w:after="0"/>
              <w:rPr>
                <w:sz w:val="20"/>
                <w:szCs w:val="20"/>
                <w:color w:val="auto"/>
              </w:rPr>
            </w:pP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(62.2)%</w:t>
            </w:r>
          </w:p>
        </w:tc>
      </w:tr>
      <w:tr>
        <w:trPr>
          <w:trHeight w:val="33"/>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40.5 %</w:t>
            </w:r>
          </w:p>
        </w:tc>
      </w:tr>
      <w:tr>
        <w:trPr>
          <w:trHeight w:val="217"/>
        </w:trPr>
        <w:tc>
          <w:tcPr>
            <w:tcW w:w="5620" w:type="dxa"/>
            <w:vAlign w:val="bottom"/>
          </w:tcPr>
          <w:p>
            <w:pPr>
              <w:ind w:left="180"/>
              <w:spacing w:after="0"/>
              <w:rPr>
                <w:sz w:val="20"/>
                <w:szCs w:val="20"/>
                <w:color w:val="auto"/>
              </w:rPr>
            </w:pPr>
            <w:r>
              <w:rPr>
                <w:rFonts w:ascii="Arial" w:cs="Arial" w:eastAsia="Arial" w:hAnsi="Arial"/>
                <w:sz w:val="16"/>
                <w:szCs w:val="16"/>
                <w:i w:val="1"/>
                <w:iCs w:val="1"/>
                <w:color w:val="auto"/>
              </w:rPr>
              <w:t>Effective Income Tax Rate</w:t>
            </w:r>
          </w:p>
        </w:tc>
        <w:tc>
          <w:tcPr>
            <w:tcW w:w="4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21.9%</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41.6%</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Income Including Noncontrolling Interest</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257.0 %</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w:t>
            </w:r>
          </w:p>
        </w:tc>
        <w:tc>
          <w:tcPr>
            <w:tcW w:w="400" w:type="dxa"/>
            <w:vAlign w:val="bottom"/>
          </w:tcPr>
          <w:p>
            <w:pPr>
              <w:spacing w:after="0"/>
              <w:rPr>
                <w:sz w:val="20"/>
                <w:szCs w:val="20"/>
                <w:color w:val="auto"/>
              </w:rPr>
            </w:pP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1560" w:type="dxa"/>
            <w:vAlign w:val="bottom"/>
          </w:tcPr>
          <w:p>
            <w:pPr>
              <w:jc w:val="right"/>
              <w:ind w:right="143"/>
              <w:spacing w:after="0"/>
              <w:rPr>
                <w:sz w:val="20"/>
                <w:szCs w:val="20"/>
                <w:color w:val="auto"/>
              </w:rPr>
            </w:pPr>
            <w:r>
              <w:rPr>
                <w:rFonts w:ascii="Arial" w:cs="Arial" w:eastAsia="Arial" w:hAnsi="Arial"/>
                <w:sz w:val="16"/>
                <w:szCs w:val="16"/>
                <w:color w:val="auto"/>
              </w:rPr>
              <w:t>NM</w:t>
            </w:r>
          </w:p>
        </w:tc>
      </w:tr>
      <w:tr>
        <w:trPr>
          <w:trHeight w:val="33"/>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Income Attributable to The Hershey Company</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350.2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180.1 %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Net Income Per Share—Diluted</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184.5 %</w:t>
            </w: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2018 vs. First Quarter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sales increased 4.9% in the first quarter of 2018 compared to the same period of 2017, reflecting a benefit from the recent Amplify acquisition of 3.4%, a volume increase of 2.4%, and a favorable impact from foreign currency exchange rates of 0.5%, partially offset by unfavorable price realization of 1.4%. Excluding foreign currency, our first quarter net sales increased 4.4%. Consolidated volumes increased as a result of higher sales volume in the United States, which benefited from the timing of shipments relating to certain summer promotional activity, as well as solid marketplace growth in Mexico, Brazil and India. The benefit from Amplify and volume increases were partially offset by unfavorable net price realization, which was attributed to unfavorable trade promotional expense in both the North America and International and Other segments versus the prior year.</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first quarter of 2018, our total U.S. retail takeaway, including Amplify, increased 10.2% in the expanded multi-outlet combined plus convenience store channels (IRI MULO + C-Stores), which includes candy, mint, gum, salty snacks, snack bars, meat snacks and grocery items. This was driven by our U.S. candy, mint and gum ("CMG") consumer takeaway, which increased 10.7%, due to the benefit of an earlier Easter. The CMG category grew 11.8%, resulting in a CMG market share loss of approximately 30 basis points for the first quarter of 2018.</w:t>
      </w:r>
    </w:p>
    <w:p>
      <w:pPr>
        <w:spacing w:after="0" w:line="13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23" w:right="23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color w:val="auto"/>
        </w:rPr>
        <w:t>Incorporated ("IRI"), the Company's market insights and analytics provider, and provide a means to assess our retail takeaway and market position relative to the overall category.</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Cost of sales increased 2.8% in the first quarter of 2018 compared to the same period of 2017. The increase was driven by higher sales volume, higher manufacturing and logistics costs and unfavorable mix. This was offset by an incremental $79.2 million favorable impact from marking-to-market our commodity derivative instruments intended to economically hedge future years' commodity purchases and supply chain productivity.</w:t>
      </w:r>
    </w:p>
    <w:p>
      <w:pPr>
        <w:spacing w:after="0" w:line="9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Gross margin increased by 100 basis points in the first quarter of 2018 compared to the same period of 2017. Lower commodity costs coupled with the favorable year-over-year mark-to-market impact from commodity derivative instruments and supply chain productivity contributed to the improvement in gross margin. However, higher supply chain costs and unfavorable product mix partially offset the increase in gross margin.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Selling, marketing and administrative (“SM&amp;A”) expenses increased $25.9 million or 5.6% in the first quarter of 2018. Total advertising and related consumer marketing expenses declined 5.3% due mainly to spend optimization and shifts relating to our emerging brands; however, advertising and related consumer marketing on our core U.S. confection brands increased. Selling, marketing and administrative expenses, excluding advertising and related consumer marketing, increased approximately 12.7% in the first quarter due to incremental expenses from the Amplify acquisition and higher expenses related to the multi-year implementation of our enterprise resource planning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 Impairment Charges</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2017, we recorded long-lived asset impairment charges totaling $106.0 million to write-down distributor relationship and trademark intangible assets that had been recognized in connection with the 2014 SGM acquisition and wrote-down property, plant and equipment by $102.7 million. See Note 8 to the Unaudited Consolidated Financial Statements for more information.</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the first quarter of 2018 and 2017, we recorded business realignment costs of $8.2 million and $44.0 million, respectively. The costs related primarily to the Margin for Growth Program, which is discussed in more detail in Note 8 to the Unaudited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Operating profit increased 143.6% in the first quarter of 2018 compared to the same period of 2017 primarily due to the higher gross profit, lower business realignment costs and the absence of impairment charges in the 2018 period, partly offset by higher SM&amp;A, as discussed previously. Operating profit margin increased to 24.4% in 2018 from 10.5% in 2017 driven by these same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Net interest expense was $5.6 million higher in the first quarter of 2018 compared to the same period of 2017. The increase was due to higher levels of commercial paper to fund Amplify acquisition, as well as higher interest rates on commercial paper during the 2018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(income) expense, net totaled an expense of $1.9 million in the first quarter of 2018 compared to an expense of $5.1 million in the first quarter of 2017. The decrease was primarily due to a minimal gain on non-service cost components of net periodic benefit cost relating to pension and other post-retirement benefit plans during 2018, compared to a loss of $5.3 million during the 2017 period.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746"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Our effective income tax rate was 21.9% for the first quarter of 2018 compared with 41.6% for the first quarter of 2017, with the lower 2018 rate reflecting the impact of the U.S. tax reform. Relative to the statutory rate, the 2018 effective tax rate was impacted by state and local taxes, partially offset by a favorable rate differential relating to foreign operations. The 2017 effective rate, relative to the previous U.S. statutory rate of 35%, was impacted by non-benefited costs resulting from the Margin for Growth Program, partially offset by a favorable foreign rate differential relating to foreign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Net income increased $225.2 million, or 180.1%, while EPS-diluted increased $1.07, or 184.5%, in the first quarter of 2018 compared to the same period of 2017. The increase in both net income and EPS-diluted were driven by 2018 higher gross profit, lower business realignment costs, and the absence of impairment charges, which were partly offset by higher income taxes and higher SM&amp;A, as noted above. Our 2018 EPS-diluted also benefited from lower weighted-average shares outstanding as a result of share repurchases, including a prior year repurchase from the Milton Hershey School Trust, as well as current year repurchases pursuant to our Board-approved repurchase programs.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integral to our ongoing operations. For further information, see the Non-GAAP Information section of this MD&amp;A.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gridSpan w:val="4"/>
          </w:tcPr>
          <w:p>
            <w:pPr>
              <w:jc w:val="right"/>
              <w:ind w:right="115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1, 2018</w:t>
            </w:r>
          </w:p>
        </w:tc>
        <w:tc>
          <w:tcPr>
            <w:tcW w:w="320" w:type="dxa"/>
            <w:vAlign w:val="bottom"/>
          </w:tcPr>
          <w:p>
            <w:pPr>
              <w:spacing w:after="0"/>
              <w:rPr>
                <w:sz w:val="20"/>
                <w:szCs w:val="20"/>
                <w:color w:val="auto"/>
              </w:rPr>
            </w:pPr>
          </w:p>
        </w:tc>
        <w:tc>
          <w:tcPr>
            <w:tcW w:w="1620" w:type="dxa"/>
            <w:vAlign w:val="bottom"/>
          </w:tcPr>
          <w:p>
            <w:pPr>
              <w:jc w:val="right"/>
              <w:ind w:right="431"/>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1,751,688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1,677,146</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202,532</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1,971,959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1,879,678</w:t>
            </w:r>
          </w:p>
        </w:tc>
      </w:tr>
      <w:tr>
        <w:trPr>
          <w:trHeight w:val="311"/>
        </w:trPr>
        <w:tc>
          <w:tcPr>
            <w:tcW w:w="7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534,426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552,759</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17,680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1,723</w:t>
            </w:r>
          </w:p>
        </w:tc>
      </w:tr>
      <w:tr>
        <w:trPr>
          <w:trHeight w:val="27"/>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 (1)</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554,482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Unallocated corporate expense (2)</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123,967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118,333</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on commodity derivatives (3)</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3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208,712</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46,988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27,926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7"/>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480,512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197,237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29,339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23,741</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5,135</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449,231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168,361</w:t>
            </w: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50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Segment income for the three months ended April 2, 2017 has been revised to conform to the current definition of segment income, which has been updated for the exclusion of certain pension-related costs.</w:t>
      </w:r>
    </w:p>
    <w:p>
      <w:pPr>
        <w:spacing w:after="0" w:line="37" w:lineRule="exact"/>
        <w:rPr>
          <w:rFonts w:ascii="Arial" w:cs="Arial" w:eastAsia="Arial" w:hAnsi="Arial"/>
          <w:sz w:val="16"/>
          <w:szCs w:val="16"/>
          <w:color w:val="auto"/>
        </w:rPr>
      </w:pPr>
    </w:p>
    <w:p>
      <w:pPr>
        <w:ind w:left="340" w:right="60" w:hanging="332"/>
        <w:spacing w:after="0" w:line="26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28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(gains) losses on mark-to-market valuation of commodity derivative positions recognized in unallocated derivative (gains) losses. See Note 12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88.8% and 89.2% of our net sales for the three months ended April 1, 2018 and April 2, 2017, respectively. North America results for the three months ended April 1, 2018 and April 2, 2017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3"/>
          </w:tcPr>
          <w:p>
            <w:pPr>
              <w:jc w:val="right"/>
              <w:ind w:right="12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20" w:type="dxa"/>
            <w:vAlign w:val="bottom"/>
          </w:tcPr>
          <w:p>
            <w:pPr>
              <w:jc w:val="right"/>
              <w:ind w:right="699"/>
              <w:spacing w:after="0"/>
              <w:rPr>
                <w:sz w:val="20"/>
                <w:szCs w:val="20"/>
                <w:color w:val="auto"/>
              </w:rPr>
            </w:pPr>
            <w:r>
              <w:rPr>
                <w:rFonts w:ascii="Arial" w:cs="Arial" w:eastAsia="Arial" w:hAnsi="Arial"/>
                <w:sz w:val="14"/>
                <w:szCs w:val="14"/>
                <w:b w:val="1"/>
                <w:bCs w:val="1"/>
                <w:color w:val="auto"/>
              </w:rPr>
              <w:t>Percent</w:t>
            </w:r>
          </w:p>
        </w:tc>
      </w:tr>
      <w:tr>
        <w:trPr>
          <w:trHeight w:val="264"/>
        </w:trPr>
        <w:tc>
          <w:tcPr>
            <w:tcW w:w="5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jc w:val="right"/>
              <w:ind w:right="556"/>
              <w:spacing w:after="0"/>
              <w:rPr>
                <w:sz w:val="20"/>
                <w:szCs w:val="20"/>
                <w:color w:val="auto"/>
              </w:rPr>
            </w:pPr>
            <w:r>
              <w:rPr>
                <w:rFonts w:ascii="Arial" w:cs="Arial" w:eastAsia="Arial" w:hAnsi="Arial"/>
                <w:sz w:val="14"/>
                <w:szCs w:val="14"/>
                <w:b w:val="1"/>
                <w:bCs w:val="1"/>
                <w:color w:val="auto"/>
              </w:rPr>
              <w:t>April 1, 2018</w:t>
            </w:r>
          </w:p>
        </w:tc>
        <w:tc>
          <w:tcPr>
            <w:tcW w:w="420" w:type="dxa"/>
            <w:vAlign w:val="bottom"/>
          </w:tcPr>
          <w:p>
            <w:pPr>
              <w:spacing w:after="0"/>
              <w:rPr>
                <w:sz w:val="22"/>
                <w:szCs w:val="22"/>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April 2, 2017</w:t>
            </w:r>
          </w:p>
        </w:tc>
        <w:tc>
          <w:tcPr>
            <w:tcW w:w="2020" w:type="dxa"/>
            <w:vAlign w:val="bottom"/>
          </w:tcPr>
          <w:p>
            <w:pPr>
              <w:jc w:val="right"/>
              <w:ind w:right="699"/>
              <w:spacing w:after="0"/>
              <w:rPr>
                <w:sz w:val="20"/>
                <w:szCs w:val="20"/>
                <w:color w:val="auto"/>
              </w:rPr>
            </w:pPr>
            <w:r>
              <w:rPr>
                <w:rFonts w:ascii="Arial" w:cs="Arial" w:eastAsia="Arial" w:hAnsi="Arial"/>
                <w:sz w:val="14"/>
                <w:szCs w:val="14"/>
                <w:b w:val="1"/>
                <w:bCs w:val="1"/>
                <w:color w:val="auto"/>
              </w:rPr>
              <w:t>Change</w:t>
            </w:r>
          </w:p>
        </w:tc>
      </w:tr>
      <w:tr>
        <w:trPr>
          <w:trHeight w:val="264"/>
        </w:trPr>
        <w:tc>
          <w:tcPr>
            <w:tcW w:w="52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28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1,751.7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1,677.1</w:t>
            </w:r>
          </w:p>
        </w:tc>
        <w:tc>
          <w:tcPr>
            <w:tcW w:w="1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760" w:type="dxa"/>
            <w:vAlign w:val="bottom"/>
          </w:tcPr>
          <w:p>
            <w:pPr>
              <w:jc w:val="right"/>
              <w:ind w:right="156"/>
              <w:spacing w:after="0"/>
              <w:rPr>
                <w:sz w:val="20"/>
                <w:szCs w:val="20"/>
                <w:color w:val="auto"/>
              </w:rPr>
            </w:pPr>
            <w:r>
              <w:rPr>
                <w:rFonts w:ascii="Arial" w:cs="Arial" w:eastAsia="Arial" w:hAnsi="Arial"/>
                <w:sz w:val="18"/>
                <w:szCs w:val="18"/>
                <w:color w:val="auto"/>
              </w:rPr>
              <w:t>534.4</w:t>
            </w:r>
          </w:p>
        </w:tc>
        <w:tc>
          <w:tcPr>
            <w:tcW w:w="420" w:type="dxa"/>
            <w:vAlign w:val="bottom"/>
          </w:tcPr>
          <w:p>
            <w:pPr>
              <w:spacing w:after="0"/>
              <w:rPr>
                <w:sz w:val="21"/>
                <w:szCs w:val="21"/>
                <w:color w:val="auto"/>
              </w:rPr>
            </w:pP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552.8</w:t>
            </w:r>
          </w:p>
        </w:tc>
        <w:tc>
          <w:tcPr>
            <w:tcW w:w="1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30.5%</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810"/>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jc w:val="right"/>
              <w:ind w:right="1356"/>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Results of Operations - First Quarter 2018 vs. First Quarter 2017</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Net sales of our North America segment increased $74.6 million or 4.4% in 2018 compared to 2017, which includes a 3.8% benefit from the Amplify acquisition. Despite a shorter Easter season, volume increased by 1.8% due to the timing of shipments relating to certain summer promotional activity, as well as innovation, specifically, </w:t>
      </w:r>
      <w:r>
        <w:rPr>
          <w:rFonts w:ascii="Arial" w:cs="Arial" w:eastAsia="Arial" w:hAnsi="Arial"/>
          <w:sz w:val="18"/>
          <w:szCs w:val="18"/>
          <w:i w:val="1"/>
          <w:iCs w:val="1"/>
          <w:color w:val="auto"/>
        </w:rPr>
        <w:t>Hershey's Gold</w:t>
      </w:r>
      <w:r>
        <w:rPr>
          <w:rFonts w:ascii="Arial" w:cs="Arial" w:eastAsia="Arial" w:hAnsi="Arial"/>
          <w:sz w:val="18"/>
          <w:szCs w:val="18"/>
          <w:color w:val="auto"/>
        </w:rPr>
        <w:t>. Net price realization decreased by 1.4% due to unfavorable trade promotional expense in support of 2018 programming. Excluding the favorable impact of foreign currency exchange rates of 0.2%, the net sales of our North America segment increased by approximately 4.2%.</w:t>
      </w:r>
    </w:p>
    <w:p>
      <w:pPr>
        <w:spacing w:after="0" w:line="10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North America segment income decreased $18.4 million or 3.3% in 2018 compared to 2017, primarily due to the higher trade promotional expense, higher logistics costs, unfavorable sales mix and manufacturing variances, and incremental amortization expense from the Amplify acquisition. These higher expenses more than offset reductions in advertising and related consumer market expense, which declined by 5.7% versus the first quarter of 2017, with the reduction driven by spend optimization and shifts relating to our emerging brands, as advertising and related consumer marketing on our core U.S. brands increased during the quarter.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Mexico, Brazil, India, Greater China and other regional markets, along with exports to these regions. While a less significant component, this segment also includes our global retail operations, including Hershey’s Chocolate World stores in Hershey, Pennsylvania, New York City, Las Vegas, Niagara Falls (Ontario), Dubai and Singapore, as well as operations associated with licensing the use of certain trademarks and products to third parties around the world. International and Other accounted for 11.2% and 10.8% of our net sales for the three months ended April 1, 2018 and April 2, 2017, respectively. International and Other results for the three months ended April 1, 2018 and April 2, 2017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right"/>
              <w:ind w:right="679"/>
              <w:spacing w:after="0"/>
              <w:rPr>
                <w:sz w:val="20"/>
                <w:szCs w:val="20"/>
                <w:color w:val="auto"/>
              </w:rPr>
            </w:pPr>
            <w:r>
              <w:rPr>
                <w:rFonts w:ascii="Arial" w:cs="Arial" w:eastAsia="Arial" w:hAnsi="Arial"/>
                <w:sz w:val="14"/>
                <w:szCs w:val="14"/>
                <w:b w:val="1"/>
                <w:bCs w:val="1"/>
                <w:color w:val="auto"/>
              </w:rPr>
              <w:t>Percent</w:t>
            </w:r>
          </w:p>
        </w:tc>
      </w:tr>
      <w:tr>
        <w:trPr>
          <w:trHeight w:val="264"/>
        </w:trPr>
        <w:tc>
          <w:tcPr>
            <w:tcW w:w="5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2018</w:t>
            </w:r>
          </w:p>
        </w:tc>
        <w:tc>
          <w:tcPr>
            <w:tcW w:w="6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2, 2017</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Change</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84"/>
              </w:rPr>
              <w:t>220.3</w:t>
            </w:r>
          </w:p>
        </w:tc>
        <w:tc>
          <w:tcPr>
            <w:tcW w:w="146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4"/>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400" w:type="dxa"/>
            <w:vAlign w:val="bottom"/>
          </w:tcPr>
          <w:p>
            <w:pPr>
              <w:spacing w:after="0"/>
              <w:rPr>
                <w:sz w:val="21"/>
                <w:szCs w:val="21"/>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17.7</w:t>
            </w:r>
          </w:p>
        </w:tc>
        <w:tc>
          <w:tcPr>
            <w:tcW w:w="146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926.1%</w:t>
            </w:r>
          </w:p>
        </w:tc>
      </w:tr>
      <w:tr>
        <w:trPr>
          <w:trHeight w:val="27"/>
        </w:trPr>
        <w:tc>
          <w:tcPr>
            <w:tcW w:w="5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8.0%</w:t>
            </w:r>
          </w:p>
        </w:tc>
        <w:tc>
          <w:tcPr>
            <w:tcW w:w="14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0.9%</w:t>
            </w:r>
          </w:p>
        </w:tc>
        <w:tc>
          <w:tcPr>
            <w:tcW w:w="1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r>
      <w:tr>
        <w:trPr>
          <w:trHeight w:val="27"/>
        </w:trPr>
        <w:tc>
          <w:tcPr>
            <w:tcW w:w="5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2018 vs. First Quarter 2017</w:t>
      </w:r>
    </w:p>
    <w:p>
      <w:pPr>
        <w:spacing w:after="0" w:line="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Net sales of our International and Other segment increased $17.8 million or 8.8% in 2018 compared to 2017, reflecting volume increases of 8.1% and a favorable impact from foreign currency exchange rates of 2.4%, partially offset by unfavorable price realization of 1.7%. Excluding the favorable impact of foreign currency exchange rates, the net sales of our International and Other segment increased by approximately 6.4%.</w:t>
      </w:r>
    </w:p>
    <w:p>
      <w:pPr>
        <w:spacing w:after="0" w:line="16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volume increase is primarily attributed to solid marketplace growth in Mexico, Brazil and India, which increased constant currency net sales by 7.0%, 12.1% and 26.2%, respectively. Additionally, our China business improved as we continue to execute on our Margin for Growth Program and focus on optimizing our product offerings. The unfavorable net price realization was driven by increased levels of trade promotional spending compared to the prior year, particularly in China and was in line with our expectations.</w:t>
      </w:r>
    </w:p>
    <w:p>
      <w:pPr>
        <w:spacing w:after="0" w:line="10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International and Other segment generated income of $17.7 million in 2018 compared to $1.7 million in 2017, with the improvement primarily resulting from execution of our Margin for Growth program in China, as we optimize the product portfolio and focus on advertising and marketing investments to support profitable growth. Additionally, segment income benefited from continued growth in India versus the prior year.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first quarter of 2018, unallocated corporate expense totaled $124.0 million, as compared to $118.3 million in the same period of 2017. The increase was driven by the Amplify acquisition and spending on the multi-year implementation of our enterprise resource planning system, which more than offset savings in other areas of corporate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April 1, 2018, our cash and cash equivalents totaled $476.4 million. At December 31, 2017, our cash and cash equivalents totaled $380.2 million. Our cash and cash equivalents during the first three months of 2018 increased $96.2 million compared to the 2017 year-end balance as a result of the net cash provided by certain activities outlined in the following discussion.</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Approximately 80% of the balance of our cash and cash equivalents at April 1, 2018 was held by subsidiaries domiciled outside of the United States. The Company recognized the one-time U.S. repatriation tax due under U.S. tax reform during the fourth quarter of 2017 and, as a result, repatriation of these amounts would not be subject to additional U.S. federal income tax but would be subject to applicable withholding taxes in the relevant jurisdiction. Our intent is to permanently reinvest these funds outside of the United States. The cash that our foreign subsidiaries hold for indefinite reinvestment is expected to be used to finance foreign operations and investments. We believe we have sufficient liquidity to satisfy our cash needs, including our cash needs in the United States.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 of Cash Flows:</w:t>
      </w:r>
    </w:p>
    <w:p>
      <w:pPr>
        <w:spacing w:after="0" w:line="230"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1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 millions of dollars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(used in):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Investing activities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cash and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1860" w:type="dxa"/>
            <w:vAlign w:val="bottom"/>
            <w:gridSpan w:val="2"/>
          </w:tcPr>
          <w:p>
            <w:pPr>
              <w:ind w:left="280"/>
              <w:spacing w:after="0"/>
              <w:rPr>
                <w:sz w:val="20"/>
                <w:szCs w:val="20"/>
                <w:color w:val="auto"/>
              </w:rPr>
            </w:pPr>
            <w:r>
              <w:rPr>
                <w:rFonts w:ascii="Arial" w:cs="Arial" w:eastAsia="Arial" w:hAnsi="Arial"/>
                <w:sz w:val="14"/>
                <w:szCs w:val="14"/>
                <w:b w:val="1"/>
                <w:bCs w:val="1"/>
                <w:color w:val="auto"/>
              </w:rPr>
              <w:t>April 1, 2018</w:t>
            </w:r>
          </w:p>
        </w:tc>
        <w:tc>
          <w:tcPr>
            <w:tcW w:w="480" w:type="dxa"/>
            <w:vAlign w:val="bottom"/>
          </w:tcPr>
          <w:p>
            <w:pPr>
              <w:spacing w:after="0"/>
              <w:rPr>
                <w:sz w:val="16"/>
                <w:szCs w:val="16"/>
                <w:color w:val="auto"/>
              </w:rPr>
            </w:pPr>
          </w:p>
        </w:tc>
        <w:tc>
          <w:tcPr>
            <w:tcW w:w="1740" w:type="dxa"/>
            <w:vAlign w:val="bottom"/>
          </w:tcPr>
          <w:p>
            <w:pPr>
              <w:jc w:val="right"/>
              <w:ind w:right="573"/>
              <w:spacing w:after="0"/>
              <w:rPr>
                <w:sz w:val="20"/>
                <w:szCs w:val="20"/>
                <w:color w:val="auto"/>
              </w:rPr>
            </w:pPr>
            <w:r>
              <w:rPr>
                <w:rFonts w:ascii="Arial" w:cs="Arial" w:eastAsia="Arial" w:hAnsi="Arial"/>
                <w:sz w:val="14"/>
                <w:szCs w:val="14"/>
                <w:b w:val="1"/>
                <w:bCs w:val="1"/>
                <w:color w:val="auto"/>
              </w:rPr>
              <w:t>April 2, 2017</w:t>
            </w:r>
          </w:p>
        </w:tc>
      </w:tr>
      <w:tr>
        <w:trPr>
          <w:trHeight w:val="513"/>
        </w:trPr>
        <w:tc>
          <w:tcPr>
            <w:tcW w:w="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4"/>
                <w:szCs w:val="24"/>
                <w:color w:val="auto"/>
              </w:rPr>
            </w:pPr>
          </w:p>
        </w:tc>
        <w:tc>
          <w:tcPr>
            <w:tcW w:w="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234.5</w:t>
            </w:r>
          </w:p>
        </w:tc>
      </w:tr>
      <w:tr>
        <w:trPr>
          <w:trHeight w:val="284"/>
        </w:trPr>
        <w:tc>
          <w:tcPr>
            <w:tcW w:w="4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(981.8)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0"/>
        </w:trPr>
        <w:tc>
          <w:tcPr>
            <w:tcW w:w="480" w:type="dxa"/>
            <w:vAlign w:val="bottom"/>
          </w:tcPr>
          <w:p>
            <w:pPr>
              <w:spacing w:after="0"/>
              <w:rPr>
                <w:sz w:val="23"/>
                <w:szCs w:val="23"/>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725.9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(256.9)</w:t>
            </w:r>
          </w:p>
        </w:tc>
      </w:tr>
      <w:tr>
        <w:trPr>
          <w:trHeight w:val="284"/>
        </w:trPr>
        <w:tc>
          <w:tcPr>
            <w:tcW w:w="48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41"/>
        </w:trPr>
        <w:tc>
          <w:tcPr>
            <w:tcW w:w="4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-736600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-385445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-1097280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6140" w:space="720"/>
            <w:col w:w="4560"/>
          </w:cols>
          <w:pgMar w:left="240" w:top="823" w:right="239" w:bottom="1440" w:gutter="0" w:footer="0" w:header="0"/>
          <w:type w:val="continuous"/>
        </w:sectPr>
      </w:pPr>
    </w:p>
    <w:p>
      <w:pPr>
        <w:ind w:right="40"/>
        <w:spacing w:after="0" w:line="277" w:lineRule="auto"/>
        <w:rPr>
          <w:sz w:val="20"/>
          <w:szCs w:val="20"/>
          <w:color w:val="auto"/>
        </w:rPr>
      </w:pPr>
      <w:r>
        <w:rPr>
          <w:rFonts w:ascii="Arial" w:cs="Arial" w:eastAsia="Arial" w:hAnsi="Arial"/>
          <w:sz w:val="18"/>
          <w:szCs w:val="18"/>
          <w:color w:val="auto"/>
        </w:rPr>
        <w:t>We generated cash of $352.1 million for operating activities in the first three months of 2018, an increase of $117.6 million compared to $234.5 million in the same period of 2017. This increase in net cash from operating activities was mainly driven by the following factors:</w:t>
      </w:r>
    </w:p>
    <w:p>
      <w:pPr>
        <w:spacing w:after="0" w:line="116" w:lineRule="exact"/>
        <w:rPr>
          <w:sz w:val="20"/>
          <w:szCs w:val="20"/>
          <w:color w:val="auto"/>
        </w:rPr>
      </w:pPr>
    </w:p>
    <w:p>
      <w:pPr>
        <w:ind w:left="340" w:right="2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income adjusted for non-cash charges to operations (including depreciation, amortization, stock-based compensation, deferred income taxes, long-lived asset charges, write-down of equity investments and other charges) contributed $67 million of additional cash flow in 2018 relative to 2017.</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23" w:right="239" w:bottom="1440" w:gutter="0" w:footer="0" w:header="0"/>
          <w:type w:val="continuous"/>
        </w:sectPr>
      </w:pPr>
    </w:p>
    <w:bookmarkStart w:id="39" w:name="page40"/>
    <w:bookmarkEnd w:id="39"/>
    <w:p>
      <w:pPr>
        <w:ind w:left="340" w:right="5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Prepaid expenses and other current assets generated cash of $7 million in 2018, compared to a use of cash of $31 million in 2017. This $38 million fluctuation was mainly driven by the timing of payments to outside vendors and service providers.</w:t>
      </w:r>
    </w:p>
    <w:p>
      <w:pPr>
        <w:spacing w:after="0" w:line="116" w:lineRule="exact"/>
        <w:rPr>
          <w:rFonts w:ascii="Arial" w:cs="Arial" w:eastAsia="Arial" w:hAnsi="Arial"/>
          <w:sz w:val="18"/>
          <w:szCs w:val="18"/>
          <w:color w:val="auto"/>
        </w:rPr>
      </w:pPr>
    </w:p>
    <w:p>
      <w:pPr>
        <w:ind w:left="340" w:right="40" w:hanging="332"/>
        <w:spacing w:after="0" w:line="279"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Working capital (comprised of trade accounts receivable, inventory, accounts payable and accrued liabilities) consumed cash of $168 million in 2018 and $189 million in 2017. This $21 million fluctuation was mainly due to lower investments in inventory resulting from a shorter Easter season as compared to prior year. This benefit was partially offset by additional spending necessary to settle certain accrued liabilities acquired in conjunction with the Amplify acquisition, specifically Amplify's acquisition-related costs and accelerated equity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used cash of $981.8 million for investing activities in the first three months of 2018, an increase of $941.1 million compared to $40.7 million in the same period of 2017. This increase in net cash used in investing activities was mainly driven by the following factors:</w:t>
      </w:r>
    </w:p>
    <w:p>
      <w:pPr>
        <w:spacing w:after="0" w:line="116" w:lineRule="exact"/>
        <w:rPr>
          <w:sz w:val="20"/>
          <w:szCs w:val="20"/>
          <w:color w:val="auto"/>
        </w:rPr>
      </w:pPr>
    </w:p>
    <w:p>
      <w:pPr>
        <w:ind w:left="340" w:right="100" w:hanging="332"/>
        <w:spacing w:after="0" w:line="264"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w:t>
      </w:r>
      <w:r>
        <w:rPr>
          <w:rFonts w:ascii="Arial" w:cs="Arial" w:eastAsia="Arial" w:hAnsi="Arial"/>
          <w:sz w:val="18"/>
          <w:szCs w:val="18"/>
          <w:color w:val="auto"/>
        </w:rPr>
        <w:t>. Capital expenditures, including capitalized software, primarily to support capacity expansion, innovation and cost savings, were $60.1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three months of 2018 compared to $33.3 million in the same period of 2017. For full year 2018, we expect capital expenditures, including capitalized software, to approximate $355 million to $375 million.</w:t>
      </w:r>
    </w:p>
    <w:p>
      <w:pPr>
        <w:spacing w:after="0" w:line="127" w:lineRule="exact"/>
        <w:rPr>
          <w:rFonts w:ascii="Arial" w:cs="Arial" w:eastAsia="Arial" w:hAnsi="Arial"/>
          <w:sz w:val="18"/>
          <w:szCs w:val="18"/>
          <w:i w:val="1"/>
          <w:iCs w:val="1"/>
          <w:color w:val="auto"/>
        </w:rPr>
      </w:pPr>
    </w:p>
    <w:p>
      <w:pPr>
        <w:ind w:left="340" w:right="240" w:hanging="332"/>
        <w:spacing w:after="0" w:line="264"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Business Acquisition</w:t>
      </w:r>
      <w:r>
        <w:rPr>
          <w:rFonts w:ascii="Arial" w:cs="Arial" w:eastAsia="Arial" w:hAnsi="Arial"/>
          <w:sz w:val="18"/>
          <w:szCs w:val="18"/>
          <w:color w:val="auto"/>
        </w:rPr>
        <w:t>. In January 2018, we acquired Amplify for $915 million, net of cash acquired. We had no acquisition or divestiture activity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2017 period. Further details regarding our business acquisition activity are provided in Note 2 to the Unaudited Consolidated Financial Statements.</w:t>
      </w:r>
    </w:p>
    <w:p>
      <w:pPr>
        <w:spacing w:after="0" w:line="127" w:lineRule="exact"/>
        <w:rPr>
          <w:rFonts w:ascii="Arial" w:cs="Arial" w:eastAsia="Arial" w:hAnsi="Arial"/>
          <w:sz w:val="18"/>
          <w:szCs w:val="18"/>
          <w:i w:val="1"/>
          <w:iCs w:val="1"/>
          <w:color w:val="auto"/>
        </w:rPr>
      </w:pPr>
    </w:p>
    <w:p>
      <w:pPr>
        <w:ind w:left="340" w:right="36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$6.3 million in the first three months of 2018, compared to $7.9 million in the same period of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generated cash of $725.9 million for financing activities in the first three months of 2018, an increase of $982.8 million compared to cash used of $256.9 million in the same period of 2017. This increase in net cash used in financing activities was mainly driven by the following factors:</w:t>
      </w:r>
    </w:p>
    <w:p>
      <w:pPr>
        <w:spacing w:after="0" w:line="93" w:lineRule="exact"/>
        <w:rPr>
          <w:sz w:val="20"/>
          <w:szCs w:val="20"/>
          <w:color w:val="auto"/>
        </w:rPr>
      </w:pPr>
    </w:p>
    <w:p>
      <w:pPr>
        <w:ind w:left="340" w:hanging="332"/>
        <w:spacing w:after="0" w:line="297"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During the first three months of 2018, we generated cash flow of $1.7 billion through the issuance of short-term commercial paper, partially offset by payments in short-term foreign borrowings. We utilized the proceeds from the issuance of commercial paper to fund the Amplify acquisition and repayment of Amplify's outstanding debt owed under its existing credit agreement. During the first three months of 2017, we reduced commercial paper borrowings by $126 million and repaid $19 million of short-term foreign borrowings.</w:t>
      </w:r>
    </w:p>
    <w:p>
      <w:pPr>
        <w:spacing w:after="0" w:line="104" w:lineRule="exact"/>
        <w:rPr>
          <w:rFonts w:ascii="Arial" w:cs="Arial" w:eastAsia="Arial" w:hAnsi="Arial"/>
          <w:sz w:val="16"/>
          <w:szCs w:val="16"/>
          <w:i w:val="1"/>
          <w:iCs w:val="1"/>
          <w:color w:val="auto"/>
        </w:rPr>
      </w:pPr>
    </w:p>
    <w:p>
      <w:pPr>
        <w:ind w:left="340" w:right="260" w:hanging="332"/>
        <w:spacing w:after="0" w:line="264"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During the first three months of 2018, we repaid $607.9 million of debt assumed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Amplify acquisition, including all of the outstanding debt owed by Amplify under its existing credit agreement. We had minimal long-term repayment activity during the first three months of 2017.</w:t>
      </w:r>
    </w:p>
    <w:p>
      <w:pPr>
        <w:spacing w:after="0" w:line="127" w:lineRule="exact"/>
        <w:rPr>
          <w:rFonts w:ascii="Arial" w:cs="Arial" w:eastAsia="Arial" w:hAnsi="Arial"/>
          <w:sz w:val="18"/>
          <w:szCs w:val="18"/>
          <w:i w:val="1"/>
          <w:iCs w:val="1"/>
          <w:color w:val="auto"/>
        </w:rPr>
      </w:pPr>
    </w:p>
    <w:p>
      <w:pPr>
        <w:ind w:left="340" w:right="300" w:hanging="332"/>
        <w:spacing w:after="0" w:line="277"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Tax receivable obligation. </w:t>
      </w:r>
      <w:r>
        <w:rPr>
          <w:rFonts w:ascii="Arial" w:cs="Arial" w:eastAsia="Arial" w:hAnsi="Arial"/>
          <w:sz w:val="18"/>
          <w:szCs w:val="18"/>
          <w:color w:val="auto"/>
        </w:rPr>
        <w:t>In connection with the Amplify acquisition, the Company agreed to make a payment to the counterparty of a tax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During the first three months of 2018, we paid $42.5 million of the tax receivable obligation.</w:t>
      </w:r>
    </w:p>
    <w:p>
      <w:pPr>
        <w:spacing w:after="0" w:line="116" w:lineRule="exact"/>
        <w:rPr>
          <w:rFonts w:ascii="Arial" w:cs="Arial" w:eastAsia="Arial" w:hAnsi="Arial"/>
          <w:sz w:val="18"/>
          <w:szCs w:val="18"/>
          <w:i w:val="1"/>
          <w:iCs w:val="1"/>
          <w:color w:val="auto"/>
        </w:rPr>
      </w:pPr>
    </w:p>
    <w:p>
      <w:pPr>
        <w:ind w:left="340" w:right="20" w:hanging="332"/>
        <w:spacing w:after="0" w:line="264"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used cash for total share repurchases of $178 million during the first three months of 2018 pursuant to our practice of replenishing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issued for stock options and incentive compensation, as well as shares repurchased in the open market under pre-approved share repurchase programs. We had no share repurchases during the first three months of 2017.</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40" w:name="page41"/>
    <w:bookmarkEnd w:id="40"/>
    <w:p>
      <w:pPr>
        <w:ind w:left="340" w:right="40" w:hanging="332"/>
        <w:spacing w:after="0" w:line="277"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$134.3 million during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2018, an increase of $6.3 million compared to $128.0 million in the same period of 2017.</w:t>
      </w:r>
    </w:p>
    <w:p>
      <w:pPr>
        <w:spacing w:after="0" w:line="116" w:lineRule="exact"/>
        <w:rPr>
          <w:rFonts w:ascii="Arial" w:cs="Arial" w:eastAsia="Arial" w:hAnsi="Arial"/>
          <w:sz w:val="18"/>
          <w:szCs w:val="18"/>
          <w:i w:val="1"/>
          <w:iCs w:val="1"/>
          <w:color w:val="auto"/>
        </w:rPr>
      </w:pPr>
    </w:p>
    <w:p>
      <w:pPr>
        <w:ind w:left="340" w:hanging="332"/>
        <w:spacing w:after="0" w:line="342" w:lineRule="auto"/>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Proceeds from the exercise of stock options. </w:t>
      </w:r>
      <w:r>
        <w:rPr>
          <w:rFonts w:ascii="Arial" w:cs="Arial" w:eastAsia="Arial" w:hAnsi="Arial"/>
          <w:sz w:val="16"/>
          <w:szCs w:val="16"/>
          <w:color w:val="auto"/>
        </w:rPr>
        <w:t>We received $1.9 million from employee exercises of stock options, net of employee taxes withheld from</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awards, during the first three months of 2018, a decrease of $15.9 million compared to $17.8 million in the same period of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Information on recently adopted and recently issued accounting standards is included in Note 1 to the Unaudited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240" w:top="746" w:right="5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70" w:lineRule="exact"/>
        <w:rPr>
          <w:sz w:val="20"/>
          <w:szCs w:val="20"/>
          <w:color w:val="auto"/>
        </w:rPr>
      </w:pPr>
    </w:p>
    <w:p>
      <w:pPr>
        <w:ind w:left="260" w:right="44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Issues or concerns related to the quality and safety of our products, ingredients or packaging could cause a product recall and/or result in harm to the Company’s reputation, negatively impacting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42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financial results may be adversely impacted by the failure to successfully execute or integrate acquisitions, divestitures and joint ventures;</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international operations may not achieve projected growth objectives, which could adversely impact our overall business and results of operations;</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171" w:lineRule="exact"/>
        <w:rPr>
          <w:rFonts w:ascii="Arial" w:cs="Arial" w:eastAsia="Arial" w:hAnsi="Arial"/>
          <w:sz w:val="18"/>
          <w:szCs w:val="18"/>
          <w:color w:val="auto"/>
        </w:rPr>
      </w:pPr>
    </w:p>
    <w:p>
      <w:pPr>
        <w:ind w:left="260" w:right="6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Complications with the design or implementation of our new enterprise resource planning system could adversely impact our business and operations; and</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other matters as discussed in our 2017 Annual Report on Form 10-K.</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823"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total notional amount of interest rate swaps outstanding was $350 million at April 1, 2018 and December 31, 2017. The notional amount relates to fixed-to-floating interest rate swaps which convert a comparable amount of fixed-rate debt to variable rate debt at April 1, 2018 and December 31, 2017. A hypothetical 100 basis point increase in interest rates applied to this now variable rate debt as of April 1, 2018 would have increased interest expense by approximately $0.9 million for the first three months of 2018 and $3.5 million for the full year 2017.</w:t>
      </w:r>
    </w:p>
    <w:p>
      <w:pPr>
        <w:spacing w:after="0" w:line="13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April 1, 2018 and December 31, 2017 by approximately $126 million and $134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$15.6 million as of April 1, 2018 and $19.7 million as of December 31, 2017. Our open commodity contracts had a notional value of $397.7 million as of April 1, 2018 and $405.3 million as of December 31, 2017. At the end of the first quarter of 2018, the potential change in fair value of commodity derivative instruments, assuming a 10% decrease in the underlying commodity price, would have increased our net unrealized losses by $42.7 million, generally offset by a reduction in the cost of the underlying commodity purchases.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2017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April 1, 2018. Based on this evaluation, our Chief Executive Officer and Chief Financial Officer concluded that our disclosure controls and procedures were effective as of April 1, 2018.</w:t>
      </w:r>
    </w:p>
    <w:p>
      <w:pPr>
        <w:spacing w:after="0" w:line="12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with initial changes to our consolidated financial reporting to take place in the second quarter of 2018. There have been no changes in our internal control over financial reporting during the quarter ended April 1, 2018 that have materially affected, or are reasonably likely to materially affect, our internal control over financial reporting. However, as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April 1, 2018 that have materially affected, or are reasonably likely to materially affect, our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823"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legal proceedings is included in Note 15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When evaluating an investment in our Common Stock, investors should consider carefully, among other things, the risk factors previously disclosed in</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Part I, Item 1A, “Risk Factors,” of our 2017 Annual Report on Form 10-K and the information contained in this Quarterly Report on Form 10-Q and our other reports and registration statements filed with the SEC. There have been no material changes in our risk factors since the filing of our 2017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 10b-18(a)(3) under the Securities Exchange Act of 1934, as amended) of Hershey, for each fiscal month in the three months ended October 1, 2017:</w:t>
      </w: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Approximate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Dollar Value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center"/>
              <w:ind w:left="15"/>
              <w:spacing w:after="0"/>
              <w:rPr>
                <w:sz w:val="20"/>
                <w:szCs w:val="20"/>
                <w:color w:val="auto"/>
              </w:rPr>
            </w:pPr>
            <w:r>
              <w:rPr>
                <w:rFonts w:ascii="Arial" w:cs="Arial" w:eastAsia="Arial" w:hAnsi="Arial"/>
                <w:sz w:val="16"/>
                <w:szCs w:val="16"/>
                <w:b w:val="1"/>
                <w:bCs w:val="1"/>
                <w:color w:val="auto"/>
                <w:w w:val="88"/>
              </w:rPr>
              <w:t>Shares Purchased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ind w:left="14"/>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 Price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as Part of Publicly</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Yet Be Purchased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ind w:left="34"/>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Paid</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8"/>
              </w:rPr>
              <w:t>Announced Plans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3120" w:type="dxa"/>
            <w:vAlign w:val="bottom"/>
            <w:gridSpan w:val="2"/>
          </w:tcPr>
          <w:p>
            <w:pPr>
              <w:ind w:left="1260"/>
              <w:spacing w:after="0"/>
              <w:rPr>
                <w:sz w:val="20"/>
                <w:szCs w:val="20"/>
                <w:color w:val="auto"/>
              </w:rPr>
            </w:pPr>
            <w:r>
              <w:rPr>
                <w:rFonts w:ascii="Arial" w:cs="Arial" w:eastAsia="Arial" w:hAnsi="Arial"/>
                <w:sz w:val="16"/>
                <w:szCs w:val="16"/>
                <w:b w:val="1"/>
                <w:bCs w:val="1"/>
                <w:color w:val="auto"/>
              </w:rPr>
              <w:t>Period</w:t>
            </w:r>
          </w:p>
        </w:tc>
        <w:tc>
          <w:tcPr>
            <w:tcW w:w="1760" w:type="dxa"/>
            <w:vAlign w:val="bottom"/>
          </w:tcPr>
          <w:p>
            <w:pPr>
              <w:jc w:val="center"/>
              <w:ind w:left="34"/>
              <w:spacing w:after="0"/>
              <w:rPr>
                <w:sz w:val="20"/>
                <w:szCs w:val="20"/>
                <w:color w:val="auto"/>
              </w:rPr>
            </w:pPr>
            <w:r>
              <w:rPr>
                <w:rFonts w:ascii="Arial" w:cs="Arial" w:eastAsia="Arial" w:hAnsi="Arial"/>
                <w:sz w:val="16"/>
                <w:szCs w:val="16"/>
                <w:b w:val="1"/>
                <w:bCs w:val="1"/>
                <w:color w:val="auto"/>
                <w:w w:val="90"/>
              </w:rPr>
              <w:t>Purchased (1)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per Share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or Programs (2)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Programs (2)</w:t>
            </w:r>
          </w:p>
        </w:tc>
      </w:tr>
      <w:tr>
        <w:trPr>
          <w:trHeight w:val="3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ind w:right="277"/>
              <w:spacing w:after="0"/>
              <w:rPr>
                <w:sz w:val="20"/>
                <w:szCs w:val="20"/>
                <w:color w:val="auto"/>
              </w:rPr>
            </w:pPr>
            <w:r>
              <w:rPr>
                <w:rFonts w:ascii="Arial" w:cs="Arial" w:eastAsia="Arial" w:hAnsi="Arial"/>
                <w:sz w:val="14"/>
                <w:szCs w:val="14"/>
                <w:b w:val="1"/>
                <w:bCs w:val="1"/>
                <w:color w:val="auto"/>
                <w:w w:val="95"/>
              </w:rPr>
              <w:t>(in thousands of dollars)</w:t>
            </w: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through January 28</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200,000</w:t>
            </w: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January 29 through February 25</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790,000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99.75</w:t>
            </w:r>
          </w:p>
        </w:tc>
        <w:tc>
          <w:tcPr>
            <w:tcW w:w="120" w:type="dxa"/>
            <w:vAlign w:val="bottom"/>
          </w:tcPr>
          <w:p>
            <w:pPr>
              <w:spacing w:after="0"/>
              <w:rPr>
                <w:sz w:val="22"/>
                <w:szCs w:val="22"/>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790,000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
              <w:spacing w:after="0"/>
              <w:rPr>
                <w:sz w:val="20"/>
                <w:szCs w:val="20"/>
                <w:color w:val="auto"/>
              </w:rPr>
            </w:pPr>
            <w:r>
              <w:rPr>
                <w:rFonts w:ascii="Arial" w:cs="Arial" w:eastAsia="Arial" w:hAnsi="Arial"/>
                <w:sz w:val="18"/>
                <w:szCs w:val="18"/>
                <w:color w:val="auto"/>
              </w:rPr>
              <w:t>121,195</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84"/>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25 through April 1</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1,001,554</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99.11</w:t>
            </w:r>
          </w:p>
        </w:tc>
        <w:tc>
          <w:tcPr>
            <w:tcW w:w="1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616,093</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60,000</w:t>
            </w:r>
          </w:p>
        </w:tc>
      </w:tr>
      <w:tr>
        <w:trPr>
          <w:trHeight w:val="27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1,791,554</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99.40</w:t>
            </w:r>
          </w:p>
        </w:tc>
        <w:tc>
          <w:tcPr>
            <w:tcW w:w="120" w:type="dxa"/>
            <w:vAlign w:val="bottom"/>
          </w:tcPr>
          <w:p>
            <w:pPr>
              <w:spacing w:after="0"/>
              <w:rPr>
                <w:sz w:val="23"/>
                <w:szCs w:val="23"/>
                <w:color w:val="auto"/>
              </w:rPr>
            </w:pPr>
          </w:p>
        </w:tc>
        <w:tc>
          <w:tcPr>
            <w:tcW w:w="1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1,406,093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67" w:lineRule="exact"/>
        <w:rPr>
          <w:sz w:val="20"/>
          <w:szCs w:val="20"/>
          <w:color w:val="auto"/>
        </w:rPr>
      </w:pPr>
    </w:p>
    <w:p>
      <w:pPr>
        <w:ind w:right="52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three months ended April 1, 2018, 385,461 shares of Common Stock were purchased in open market transactions in connection with our practice of buying back shares sufficient to offset those issued under incentive compensation plans.</w:t>
      </w:r>
    </w:p>
    <w:p>
      <w:pPr>
        <w:spacing w:after="0" w:line="8" w:lineRule="exact"/>
        <w:rPr>
          <w:rFonts w:ascii="Arial" w:cs="Arial" w:eastAsia="Arial" w:hAnsi="Arial"/>
          <w:sz w:val="18"/>
          <w:szCs w:val="18"/>
          <w:color w:val="auto"/>
        </w:rPr>
      </w:pPr>
    </w:p>
    <w:p>
      <w:pPr>
        <w:ind w:firstLine="8"/>
        <w:spacing w:after="0" w:line="312"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January 2016, our Board of Directors approved a $500 million share repurchase authorization. This program was completed in the first quarter of 2018. In October 2017, our Board of Directors approved an additional $100 million share repurchase authorization. As of April 1, 2018, approximately $60 million remained available for repurchases of our Common Stock under this program. The share repurchase program does not have an expiration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740" w:type="dxa"/>
            <w:vAlign w:val="bottom"/>
            <w:gridSpan w:val="6"/>
          </w:tcPr>
          <w:p>
            <w:pPr>
              <w:ind w:left="126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440" w:type="dxa"/>
            <w:vAlign w:val="bottom"/>
            <w:gridSpan w:val="3"/>
            <w:shd w:val="clear" w:color="auto" w:fill="CCEEFF"/>
          </w:tcPr>
          <w:p>
            <w:pPr>
              <w:spacing w:after="0"/>
              <w:rPr>
                <w:sz w:val="15"/>
                <w:szCs w:val="15"/>
                <w:color w:val="auto"/>
              </w:rPr>
            </w:pPr>
          </w:p>
        </w:tc>
        <w:tc>
          <w:tcPr>
            <w:tcW w:w="280" w:type="dxa"/>
            <w:vAlign w:val="bottom"/>
            <w:shd w:val="clear" w:color="auto" w:fill="CCEEFF"/>
          </w:tcPr>
          <w:p>
            <w:pPr>
              <w:jc w:val="center"/>
              <w:spacing w:after="0" w:line="183" w:lineRule="exact"/>
              <w:rPr>
                <w:rFonts w:ascii="Arial" w:cs="Arial" w:eastAsia="Arial" w:hAnsi="Arial"/>
                <w:sz w:val="16"/>
                <w:szCs w:val="16"/>
                <w:color w:val="0000FF"/>
                <w:w w:val="89"/>
              </w:rPr>
            </w:pPr>
            <w:hyperlink r:id="rId3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4"/>
            <w:shd w:val="clear" w:color="auto" w:fill="CCEEFF"/>
          </w:tcPr>
          <w:p>
            <w:pPr>
              <w:spacing w:after="0" w:line="183" w:lineRule="exact"/>
              <w:rPr>
                <w:rFonts w:ascii="Arial" w:cs="Arial" w:eastAsia="Arial" w:hAnsi="Arial"/>
                <w:sz w:val="16"/>
                <w:szCs w:val="16"/>
                <w:color w:val="0000FF"/>
                <w:w w:val="97"/>
              </w:rPr>
            </w:pPr>
            <w:hyperlink r:id="rId30">
              <w:r>
                <w:rPr>
                  <w:rFonts w:ascii="Arial" w:cs="Arial" w:eastAsia="Arial" w:hAnsi="Arial"/>
                  <w:sz w:val="16"/>
                  <w:szCs w:val="16"/>
                  <w:color w:val="0000FF"/>
                  <w:w w:val="97"/>
                </w:rPr>
                <w:t>364 Day Credit Agreement, dated as of January 8, 2018, among the Company, Citibank, N.A., Bank of America, N.A. and Royal Bank of Canada is</w:t>
              </w:r>
            </w:hyperlink>
          </w:p>
        </w:tc>
      </w:tr>
      <w:tr>
        <w:trPr>
          <w:trHeight w:val="20"/>
        </w:trPr>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4"/>
            <w:shd w:val="clear" w:color="auto" w:fill="CCEEFF"/>
          </w:tcPr>
          <w:p>
            <w:pPr>
              <w:spacing w:after="0" w:line="183" w:lineRule="exact"/>
              <w:rPr>
                <w:rFonts w:ascii="Arial" w:cs="Arial" w:eastAsia="Arial" w:hAnsi="Arial"/>
                <w:sz w:val="16"/>
                <w:szCs w:val="16"/>
                <w:color w:val="0000FF"/>
              </w:rPr>
            </w:pPr>
            <w:hyperlink r:id="rId30">
              <w:r>
                <w:rPr>
                  <w:rFonts w:ascii="Arial" w:cs="Arial" w:eastAsia="Arial" w:hAnsi="Arial"/>
                  <w:sz w:val="16"/>
                  <w:szCs w:val="16"/>
                  <w:color w:val="0000FF"/>
                </w:rPr>
                <w:t>incorporated by reference from Exhibit 10.1 to the Company’s Current Report on Form 8-K filed January 9, 2018</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9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189"/>
        </w:trPr>
        <w:tc>
          <w:tcPr>
            <w:tcW w:w="720" w:type="dxa"/>
            <w:vAlign w:val="bottom"/>
            <w:gridSpan w:val="4"/>
          </w:tcPr>
          <w:p>
            <w:pPr>
              <w:jc w:val="center"/>
              <w:ind w:left="359"/>
              <w:spacing w:after="0"/>
              <w:rPr>
                <w:rFonts w:ascii="Arial" w:cs="Arial" w:eastAsia="Arial" w:hAnsi="Arial"/>
                <w:sz w:val="16"/>
                <w:szCs w:val="16"/>
                <w:color w:val="0000FF"/>
                <w:w w:val="89"/>
              </w:rPr>
            </w:pPr>
            <w:hyperlink w:anchor="page47">
              <w:r>
                <w:rPr>
                  <w:rFonts w:ascii="Arial" w:cs="Arial" w:eastAsia="Arial" w:hAnsi="Arial"/>
                  <w:sz w:val="16"/>
                  <w:szCs w:val="16"/>
                  <w:color w:val="0000FF"/>
                  <w:w w:val="89"/>
                </w:rPr>
                <w:t>12.</w:t>
              </w:r>
              <w:r>
                <w:rPr>
                  <w:rFonts w:ascii="Arial" w:cs="Arial" w:eastAsia="Arial" w:hAnsi="Arial"/>
                  <w:sz w:val="16"/>
                  <w:szCs w:val="16"/>
                  <w:u w:val="single" w:color="auto"/>
                  <w:color w:val="0000FF"/>
                  <w:w w:val="89"/>
                </w:rPr>
                <w:t>1</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4"/>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Computation of Ratio of Earnings to Fixed Charges.</w:t>
              </w:r>
            </w:hyperlink>
            <w:r>
              <w:rPr>
                <w:rFonts w:ascii="Arial" w:cs="Arial" w:eastAsia="Arial" w:hAnsi="Arial"/>
                <w:sz w:val="16"/>
                <w:szCs w:val="16"/>
                <w:color w:val="000000"/>
              </w:rPr>
              <w: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3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720" w:type="dxa"/>
            <w:vAlign w:val="bottom"/>
            <w:gridSpan w:val="4"/>
            <w:shd w:val="clear" w:color="auto" w:fill="CCEEFF"/>
          </w:tcPr>
          <w:p>
            <w:pPr>
              <w:jc w:val="center"/>
              <w:ind w:left="359"/>
              <w:spacing w:after="0"/>
              <w:rPr>
                <w:rFonts w:ascii="Arial" w:cs="Arial" w:eastAsia="Arial" w:hAnsi="Arial"/>
                <w:sz w:val="16"/>
                <w:szCs w:val="16"/>
                <w:color w:val="0000FF"/>
                <w:w w:val="89"/>
              </w:rPr>
            </w:pPr>
            <w:hyperlink w:anchor="page48">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14"/>
            <w:shd w:val="clear" w:color="auto" w:fill="CCEEFF"/>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396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720" w:type="dxa"/>
            <w:vAlign w:val="bottom"/>
            <w:gridSpan w:val="4"/>
          </w:tcPr>
          <w:p>
            <w:pPr>
              <w:jc w:val="center"/>
              <w:ind w:left="359"/>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4"/>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Certification of Patricia A. Little, Chief Financial Officer, pursuant to Section 302 of the Sarbanes-Oxley Act of 2002.</w:t>
              </w:r>
            </w:hyperlink>
            <w:r>
              <w:rPr>
                <w:rFonts w:ascii="Arial" w:cs="Arial" w:eastAsia="Arial" w:hAnsi="Arial"/>
                <w:sz w:val="16"/>
                <w:szCs w:val="16"/>
                <w:color w:val="000000"/>
              </w:rPr>
              <w: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39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440" w:type="dxa"/>
            <w:vAlign w:val="bottom"/>
            <w:gridSpan w:val="3"/>
            <w:shd w:val="clear" w:color="auto" w:fill="CCEEFF"/>
          </w:tcPr>
          <w:p>
            <w:pPr>
              <w:spacing w:after="0"/>
              <w:rPr>
                <w:sz w:val="16"/>
                <w:szCs w:val="16"/>
                <w:color w:val="auto"/>
              </w:rPr>
            </w:pPr>
          </w:p>
        </w:tc>
        <w:tc>
          <w:tcPr>
            <w:tcW w:w="280" w:type="dxa"/>
            <w:vAlign w:val="bottom"/>
            <w:shd w:val="clear" w:color="auto" w:fill="CCEEFF"/>
          </w:tcPr>
          <w:p>
            <w:pPr>
              <w:jc w:val="center"/>
              <w:spacing w:after="0"/>
              <w:rPr>
                <w:rFonts w:ascii="Arial" w:cs="Arial" w:eastAsia="Arial" w:hAnsi="Arial"/>
                <w:sz w:val="16"/>
                <w:szCs w:val="16"/>
                <w:color w:val="0000FF"/>
                <w:w w:val="89"/>
              </w:rPr>
            </w:pPr>
            <w:hyperlink w:anchor="page50">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14"/>
            <w:shd w:val="clear" w:color="auto" w:fill="CCEEFF"/>
          </w:tcPr>
          <w:p>
            <w:pPr>
              <w:spacing w:after="0"/>
              <w:rPr>
                <w:rFonts w:ascii="Arial" w:cs="Arial" w:eastAsia="Arial" w:hAnsi="Arial"/>
                <w:sz w:val="16"/>
                <w:szCs w:val="16"/>
                <w:color w:val="0000FF"/>
                <w:w w:val="95"/>
              </w:rPr>
            </w:pPr>
            <w:hyperlink w:anchor="page50">
              <w:r>
                <w:rPr>
                  <w:rFonts w:ascii="Arial" w:cs="Arial" w:eastAsia="Arial" w:hAnsi="Arial"/>
                  <w:sz w:val="16"/>
                  <w:szCs w:val="16"/>
                  <w:color w:val="0000FF"/>
                  <w:w w:val="95"/>
                </w:rPr>
                <w:t>Certification of Michele G. Buck, Chief Executive Officer, and Patricia A. Little, Chief Financial Officer, pursuant to Section 906 of the Sarbanes-Oxley</w:t>
              </w:r>
            </w:hyperlink>
          </w:p>
        </w:tc>
      </w:tr>
      <w:tr>
        <w:trPr>
          <w:trHeight w:val="20"/>
        </w:trPr>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580" w:type="dxa"/>
            <w:vAlign w:val="bottom"/>
            <w:gridSpan w:val="6"/>
            <w:shd w:val="clear" w:color="auto" w:fill="0000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4"/>
            <w:shd w:val="clear" w:color="auto" w:fill="CCEEFF"/>
          </w:tcPr>
          <w:p>
            <w:pPr>
              <w:spacing w:after="0" w:line="183" w:lineRule="exact"/>
              <w:rPr>
                <w:rFonts w:ascii="Arial" w:cs="Arial" w:eastAsia="Arial" w:hAnsi="Arial"/>
                <w:sz w:val="16"/>
                <w:szCs w:val="16"/>
                <w:color w:val="0000FF"/>
              </w:rPr>
            </w:pPr>
            <w:hyperlink w:anchor="page50">
              <w:r>
                <w:rPr>
                  <w:rFonts w:ascii="Arial" w:cs="Arial" w:eastAsia="Arial" w:hAnsi="Arial"/>
                  <w:sz w:val="16"/>
                  <w:szCs w:val="16"/>
                  <w:color w:val="0000FF"/>
                </w:rPr>
                <w:t>Act of 2002.</w:t>
              </w:r>
              <w:r>
                <w:rPr>
                  <w:rFonts w:ascii="Arial" w:cs="Arial" w:eastAsia="Arial" w:hAnsi="Arial"/>
                  <w:sz w:val="16"/>
                  <w:szCs w:val="16"/>
                  <w:color w:val="000000"/>
                </w:rPr>
                <w:t>**</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9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189"/>
        </w:trPr>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6"/>
          </w:tcPr>
          <w:p>
            <w:pPr>
              <w:jc w:val="center"/>
              <w:ind w:right="440"/>
              <w:spacing w:after="0"/>
              <w:rPr>
                <w:sz w:val="20"/>
                <w:szCs w:val="20"/>
                <w:color w:val="auto"/>
              </w:rPr>
            </w:pPr>
            <w:r>
              <w:rPr>
                <w:rFonts w:ascii="Arial" w:cs="Arial" w:eastAsia="Arial" w:hAnsi="Arial"/>
                <w:sz w:val="16"/>
                <w:szCs w:val="16"/>
                <w:color w:val="0000FF"/>
                <w:w w:val="96"/>
              </w:rPr>
              <w:t>101.</w:t>
            </w:r>
            <w:r>
              <w:rPr>
                <w:rFonts w:ascii="Arial" w:cs="Arial" w:eastAsia="Arial" w:hAnsi="Arial"/>
                <w:sz w:val="16"/>
                <w:szCs w:val="16"/>
                <w:u w:val="single" w:color="auto"/>
                <w:color w:val="0000FF"/>
                <w:w w:val="96"/>
              </w:rPr>
              <w:t>INS</w:t>
            </w:r>
          </w:p>
        </w:tc>
        <w:tc>
          <w:tcPr>
            <w:tcW w:w="10120" w:type="dxa"/>
            <w:vAlign w:val="bottom"/>
            <w:gridSpan w:val="14"/>
          </w:tcPr>
          <w:p>
            <w:pPr>
              <w:spacing w:after="0"/>
              <w:rPr>
                <w:sz w:val="20"/>
                <w:szCs w:val="20"/>
                <w:color w:val="auto"/>
              </w:rPr>
            </w:pPr>
            <w:r>
              <w:rPr>
                <w:rFonts w:ascii="Arial" w:cs="Arial" w:eastAsia="Arial" w:hAnsi="Arial"/>
                <w:sz w:val="16"/>
                <w:szCs w:val="16"/>
                <w:color w:val="0000FF"/>
              </w:rPr>
              <w:t>XBRL Instance Document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FF"/>
                <w:w w:val="92"/>
              </w:rPr>
              <w:t>101.</w:t>
            </w:r>
            <w:r>
              <w:rPr>
                <w:rFonts w:ascii="Arial" w:cs="Arial" w:eastAsia="Arial" w:hAnsi="Arial"/>
                <w:sz w:val="16"/>
                <w:szCs w:val="16"/>
                <w:u w:val="single" w:color="auto"/>
                <w:color w:val="0000FF"/>
                <w:w w:val="92"/>
              </w:rPr>
              <w:t>SCH</w:t>
            </w:r>
          </w:p>
        </w:tc>
        <w:tc>
          <w:tcPr>
            <w:tcW w:w="10120" w:type="dxa"/>
            <w:vAlign w:val="bottom"/>
            <w:gridSpan w:val="14"/>
            <w:shd w:val="clear" w:color="auto" w:fill="CCEEFF"/>
          </w:tcPr>
          <w:p>
            <w:pPr>
              <w:spacing w:after="0"/>
              <w:rPr>
                <w:sz w:val="20"/>
                <w:szCs w:val="20"/>
                <w:color w:val="auto"/>
              </w:rPr>
            </w:pPr>
            <w:r>
              <w:rPr>
                <w:rFonts w:ascii="Arial" w:cs="Arial" w:eastAsia="Arial" w:hAnsi="Arial"/>
                <w:sz w:val="16"/>
                <w:szCs w:val="16"/>
                <w:color w:val="0000FF"/>
              </w:rPr>
              <w:t>XBRL Taxonomy Extension Schema</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1020" w:type="dxa"/>
            <w:vAlign w:val="bottom"/>
            <w:gridSpan w:val="7"/>
          </w:tcPr>
          <w:p>
            <w:pPr>
              <w:jc w:val="center"/>
              <w:ind w:right="420"/>
              <w:spacing w:after="0"/>
              <w:rPr>
                <w:sz w:val="20"/>
                <w:szCs w:val="20"/>
                <w:color w:val="auto"/>
              </w:rPr>
            </w:pPr>
            <w:r>
              <w:rPr>
                <w:rFonts w:ascii="Arial" w:cs="Arial" w:eastAsia="Arial" w:hAnsi="Arial"/>
                <w:sz w:val="16"/>
                <w:szCs w:val="16"/>
                <w:color w:val="0000FF"/>
                <w:w w:val="96"/>
              </w:rPr>
              <w:t>101.</w:t>
            </w:r>
            <w:r>
              <w:rPr>
                <w:rFonts w:ascii="Arial" w:cs="Arial" w:eastAsia="Arial" w:hAnsi="Arial"/>
                <w:sz w:val="16"/>
                <w:szCs w:val="16"/>
                <w:u w:val="single" w:color="auto"/>
                <w:color w:val="0000FF"/>
                <w:w w:val="96"/>
              </w:rPr>
              <w:t>CAL</w:t>
            </w:r>
          </w:p>
        </w:tc>
        <w:tc>
          <w:tcPr>
            <w:tcW w:w="10120" w:type="dxa"/>
            <w:vAlign w:val="bottom"/>
            <w:gridSpan w:val="14"/>
          </w:tcPr>
          <w:p>
            <w:pPr>
              <w:spacing w:after="0"/>
              <w:rPr>
                <w:sz w:val="20"/>
                <w:szCs w:val="20"/>
                <w:color w:val="auto"/>
              </w:rPr>
            </w:pPr>
            <w:r>
              <w:rPr>
                <w:rFonts w:ascii="Arial" w:cs="Arial" w:eastAsia="Arial" w:hAnsi="Arial"/>
                <w:sz w:val="16"/>
                <w:szCs w:val="16"/>
                <w:color w:val="0000FF"/>
              </w:rPr>
              <w:t>XBRL Taxonomy Extension Calculation Linkbase</w:t>
            </w:r>
          </w:p>
        </w:tc>
      </w:tr>
      <w:tr>
        <w:trPr>
          <w:trHeight w:val="61"/>
        </w:trPr>
        <w:tc>
          <w:tcPr>
            <w:tcW w:w="28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FF"/>
                <w:w w:val="97"/>
              </w:rPr>
              <w:t>101.</w:t>
            </w:r>
            <w:r>
              <w:rPr>
                <w:rFonts w:ascii="Arial" w:cs="Arial" w:eastAsia="Arial" w:hAnsi="Arial"/>
                <w:sz w:val="16"/>
                <w:szCs w:val="16"/>
                <w:u w:val="single" w:color="auto"/>
                <w:color w:val="0000FF"/>
                <w:w w:val="97"/>
              </w:rPr>
              <w:t>LAB</w:t>
            </w:r>
          </w:p>
        </w:tc>
        <w:tc>
          <w:tcPr>
            <w:tcW w:w="10120" w:type="dxa"/>
            <w:vAlign w:val="bottom"/>
            <w:gridSpan w:val="14"/>
            <w:shd w:val="clear" w:color="auto" w:fill="CCEEFF"/>
          </w:tcPr>
          <w:p>
            <w:pPr>
              <w:spacing w:after="0"/>
              <w:rPr>
                <w:sz w:val="20"/>
                <w:szCs w:val="20"/>
                <w:color w:val="auto"/>
              </w:rPr>
            </w:pPr>
            <w:r>
              <w:rPr>
                <w:rFonts w:ascii="Arial" w:cs="Arial" w:eastAsia="Arial" w:hAnsi="Arial"/>
                <w:sz w:val="16"/>
                <w:szCs w:val="16"/>
                <w:color w:val="0000FF"/>
              </w:rPr>
              <w:t>XBRL Taxonomy Extension Label Linkbase</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1020" w:type="dxa"/>
            <w:vAlign w:val="bottom"/>
            <w:gridSpan w:val="7"/>
          </w:tcPr>
          <w:p>
            <w:pPr>
              <w:jc w:val="center"/>
              <w:ind w:right="400"/>
              <w:spacing w:after="0"/>
              <w:rPr>
                <w:sz w:val="20"/>
                <w:szCs w:val="20"/>
                <w:color w:val="auto"/>
              </w:rPr>
            </w:pPr>
            <w:r>
              <w:rPr>
                <w:rFonts w:ascii="Arial" w:cs="Arial" w:eastAsia="Arial" w:hAnsi="Arial"/>
                <w:sz w:val="16"/>
                <w:szCs w:val="16"/>
                <w:color w:val="0000FF"/>
                <w:w w:val="90"/>
              </w:rPr>
              <w:t>101.</w:t>
            </w:r>
            <w:r>
              <w:rPr>
                <w:rFonts w:ascii="Arial" w:cs="Arial" w:eastAsia="Arial" w:hAnsi="Arial"/>
                <w:sz w:val="16"/>
                <w:szCs w:val="16"/>
                <w:u w:val="single" w:color="auto"/>
                <w:color w:val="0000FF"/>
                <w:w w:val="90"/>
              </w:rPr>
              <w:t>PRE</w:t>
            </w:r>
          </w:p>
        </w:tc>
        <w:tc>
          <w:tcPr>
            <w:tcW w:w="10120" w:type="dxa"/>
            <w:vAlign w:val="bottom"/>
            <w:gridSpan w:val="14"/>
          </w:tcPr>
          <w:p>
            <w:pPr>
              <w:spacing w:after="0"/>
              <w:rPr>
                <w:sz w:val="20"/>
                <w:szCs w:val="20"/>
                <w:color w:val="auto"/>
              </w:rPr>
            </w:pPr>
            <w:r>
              <w:rPr>
                <w:rFonts w:ascii="Arial" w:cs="Arial" w:eastAsia="Arial" w:hAnsi="Arial"/>
                <w:sz w:val="16"/>
                <w:szCs w:val="16"/>
                <w:color w:val="0000FF"/>
              </w:rPr>
              <w:t>XBRL Taxonomy Extension Presentation Linkbase</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3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FF"/>
                <w:w w:val="94"/>
              </w:rPr>
              <w:t>101.</w:t>
            </w:r>
            <w:r>
              <w:rPr>
                <w:rFonts w:ascii="Arial" w:cs="Arial" w:eastAsia="Arial" w:hAnsi="Arial"/>
                <w:sz w:val="16"/>
                <w:szCs w:val="16"/>
                <w:u w:val="single" w:color="auto"/>
                <w:color w:val="0000FF"/>
                <w:w w:val="94"/>
              </w:rPr>
              <w:t>DEF</w:t>
            </w:r>
          </w:p>
        </w:tc>
        <w:tc>
          <w:tcPr>
            <w:tcW w:w="10120" w:type="dxa"/>
            <w:vAlign w:val="bottom"/>
            <w:gridSpan w:val="14"/>
            <w:shd w:val="clear" w:color="auto" w:fill="CCEEFF"/>
          </w:tcPr>
          <w:p>
            <w:pPr>
              <w:spacing w:after="0"/>
              <w:rPr>
                <w:sz w:val="20"/>
                <w:szCs w:val="20"/>
                <w:color w:val="auto"/>
              </w:rPr>
            </w:pPr>
            <w:r>
              <w:rPr>
                <w:rFonts w:ascii="Arial" w:cs="Arial" w:eastAsia="Arial" w:hAnsi="Arial"/>
                <w:sz w:val="16"/>
                <w:szCs w:val="16"/>
                <w:color w:val="0000FF"/>
              </w:rPr>
              <w:t>XBRL Taxonomy Extension Definition Linkbase</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bl>
    <w:p>
      <w:pPr>
        <w:spacing w:after="0" w:line="341" w:lineRule="exact"/>
        <w:rPr>
          <w:sz w:val="20"/>
          <w:szCs w:val="20"/>
          <w:color w:val="auto"/>
        </w:rPr>
      </w:pPr>
    </w:p>
    <w:p>
      <w:pPr>
        <w:ind w:left="1300" w:hanging="759"/>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300" w:hanging="799"/>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3" w:right="239" w:bottom="1440" w:gutter="0" w:footer="0" w:header="0"/>
        </w:sectPr>
      </w:pPr>
    </w:p>
    <w:bookmarkStart w:id="45" w:name="page46"/>
    <w:bookmarkEnd w:id="45"/>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574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70"/>
        </w:trPr>
        <w:tc>
          <w:tcPr>
            <w:tcW w:w="2680" w:type="dxa"/>
            <w:vAlign w:val="bottom"/>
          </w:tcPr>
          <w:p>
            <w:pPr>
              <w:spacing w:after="0"/>
              <w:rPr>
                <w:sz w:val="23"/>
                <w:szCs w:val="23"/>
                <w:color w:val="auto"/>
              </w:rPr>
            </w:pPr>
          </w:p>
        </w:tc>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April 26, 2018</w:t>
            </w:r>
          </w:p>
        </w:tc>
        <w:tc>
          <w:tcPr>
            <w:tcW w:w="5740" w:type="dxa"/>
            <w:vAlign w:val="bottom"/>
          </w:tcPr>
          <w:p>
            <w:pPr>
              <w:ind w:left="100"/>
              <w:spacing w:after="0"/>
              <w:rPr>
                <w:sz w:val="20"/>
                <w:szCs w:val="20"/>
                <w:color w:val="auto"/>
              </w:rPr>
            </w:pPr>
            <w:r>
              <w:rPr>
                <w:rFonts w:ascii="Arial" w:cs="Arial" w:eastAsia="Arial" w:hAnsi="Arial"/>
                <w:sz w:val="18"/>
                <w:szCs w:val="18"/>
                <w:color w:val="auto"/>
              </w:rPr>
              <w:t>/s/ Patricia A. Little</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Patricia A. Little</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Senior Vice President, Chief Financial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April 26, 2018</w:t>
            </w:r>
          </w:p>
        </w:tc>
        <w:tc>
          <w:tcPr>
            <w:tcW w:w="5740" w:type="dxa"/>
            <w:vAlign w:val="bottom"/>
          </w:tcPr>
          <w:p>
            <w:pPr>
              <w:ind w:left="100"/>
              <w:spacing w:after="0"/>
              <w:rPr>
                <w:sz w:val="20"/>
                <w:szCs w:val="20"/>
                <w:color w:val="auto"/>
              </w:rPr>
            </w:pPr>
            <w:r>
              <w:rPr>
                <w:rFonts w:ascii="Arial" w:cs="Arial" w:eastAsia="Arial" w:hAnsi="Arial"/>
                <w:sz w:val="18"/>
                <w:szCs w:val="18"/>
                <w:color w:val="auto"/>
              </w:rPr>
              <w:t>/s/ Javier H. Idrovo</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Javier H. Idrovo</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Chief Accounting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Accounting Officer)</w:t>
            </w:r>
          </w:p>
        </w:tc>
      </w:tr>
      <w:tr>
        <w:trPr>
          <w:trHeight w:val="918"/>
        </w:trPr>
        <w:tc>
          <w:tcPr>
            <w:tcW w:w="2680" w:type="dxa"/>
            <w:vAlign w:val="bottom"/>
          </w:tcPr>
          <w:p>
            <w:pPr>
              <w:spacing w:after="0"/>
              <w:rPr>
                <w:sz w:val="24"/>
                <w:szCs w:val="24"/>
                <w:color w:val="auto"/>
              </w:rPr>
            </w:pPr>
          </w:p>
        </w:tc>
        <w:tc>
          <w:tcPr>
            <w:tcW w:w="5740" w:type="dxa"/>
            <w:vAlign w:val="bottom"/>
          </w:tcPr>
          <w:p>
            <w:pPr>
              <w:ind w:left="196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240"/>
          </w:cols>
          <w:pgMar w:left="240" w:top="580" w:right="4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for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gridSpan w:val="4"/>
          </w:tcPr>
          <w:p>
            <w:pPr>
              <w:jc w:val="right"/>
              <w:ind w:right="143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ind w:left="260"/>
              <w:spacing w:after="0"/>
              <w:rPr>
                <w:sz w:val="20"/>
                <w:szCs w:val="20"/>
                <w:color w:val="auto"/>
              </w:rPr>
            </w:pPr>
            <w:r>
              <w:rPr>
                <w:rFonts w:ascii="Arial" w:cs="Arial" w:eastAsia="Arial" w:hAnsi="Arial"/>
                <w:sz w:val="16"/>
                <w:szCs w:val="16"/>
                <w:b w:val="1"/>
                <w:bCs w:val="1"/>
                <w:color w:val="auto"/>
              </w:rPr>
              <w:t>April 1, 2018</w:t>
            </w:r>
          </w:p>
        </w:tc>
        <w:tc>
          <w:tcPr>
            <w:tcW w:w="380" w:type="dxa"/>
            <w:vAlign w:val="bottom"/>
          </w:tcPr>
          <w:p>
            <w:pPr>
              <w:spacing w:after="0"/>
              <w:rPr>
                <w:sz w:val="20"/>
                <w:szCs w:val="20"/>
                <w:color w:val="auto"/>
              </w:rPr>
            </w:pPr>
          </w:p>
        </w:tc>
        <w:tc>
          <w:tcPr>
            <w:tcW w:w="1780" w:type="dxa"/>
            <w:vAlign w:val="bottom"/>
          </w:tcPr>
          <w:p>
            <w:pPr>
              <w:jc w:val="right"/>
              <w:ind w:right="551"/>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324"/>
        </w:trPr>
        <w:tc>
          <w:tcPr>
            <w:tcW w:w="6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449,231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168,361</w:t>
            </w:r>
          </w:p>
        </w:tc>
      </w:tr>
      <w:tr>
        <w:trPr>
          <w:trHeight w:val="189"/>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(deduct):</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189"/>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36,674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27,702</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3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233</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183"/>
        </w:trPr>
        <w:tc>
          <w:tcPr>
            <w:tcW w:w="68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Earnings as adjusted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484,875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195,312</w:t>
            </w: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76"/>
        </w:trPr>
        <w:tc>
          <w:tcPr>
            <w:tcW w:w="6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Charges: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189"/>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expensed and capitalized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24,954</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Amortization of deferred debt issuance costs</w:t>
            </w:r>
          </w:p>
        </w:tc>
        <w:tc>
          <w:tcPr>
            <w:tcW w:w="3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398</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Portion of rents representative of the interest factor (a)</w:t>
            </w: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3,821</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w:t>
            </w:r>
          </w:p>
        </w:tc>
      </w:tr>
      <w:tr>
        <w:trPr>
          <w:trHeight w:val="183"/>
        </w:trPr>
        <w:tc>
          <w:tcPr>
            <w:tcW w:w="68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fixed charges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36,674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27,702</w:t>
            </w: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76"/>
        </w:trPr>
        <w:tc>
          <w:tcPr>
            <w:tcW w:w="6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Portion of rents representative of the interest factor consists of one-third of rental expense for operating leases.</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April 26, 2018</w:t>
      </w:r>
    </w:p>
    <w:p>
      <w:pPr>
        <w:sectPr>
          <w:pgSz w:w="11900" w:h="16838" w:orient="portrait"/>
          <w:cols w:equalWidth="0" w:num="1">
            <w:col w:w="11420"/>
          </w:cols>
          <w:pgMar w:left="240" w:top="36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Patricia A. Little</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April 26, 2018</w:t>
      </w:r>
    </w:p>
    <w:p>
      <w:pPr>
        <w:sectPr>
          <w:pgSz w:w="11900" w:h="16838" w:orient="portrait"/>
          <w:cols w:equalWidth="0" w:num="1">
            <w:col w:w="11420"/>
          </w:cols>
          <w:pgMar w:left="240" w:top="36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April 1, 2018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April 26, 2018</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April 26, 2018</w:t>
            </w:r>
          </w:p>
        </w:tc>
        <w:tc>
          <w:tcPr>
            <w:tcW w:w="3740" w:type="dxa"/>
            <w:vAlign w:val="bottom"/>
          </w:tcPr>
          <w:p>
            <w:pPr>
              <w:jc w:val="center"/>
              <w:ind w:left="96"/>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Patricia A. Little</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lvl w:ilvl="1">
      <w:lvlJc w:val="left"/>
      <w:lvlText w:val="(%2)"/>
      <w:numFmt w:val="decimal"/>
      <w:start w:val="1"/>
    </w:lvl>
  </w:abstractNum>
  <w:abstractNum w:abstractNumId="7">
    <w:nsid w:val="25E45D32"/>
    <w:multiLevelType w:val="hybridMultilevel"/>
    <w:lvl w:ilvl="0">
      <w:lvlJc w:val="left"/>
      <w:lvlText w:val="%1."/>
      <w:numFmt w:val="decimal"/>
      <w:start w:val="9"/>
    </w:lvl>
    <w:lvl w:ilvl="1">
      <w:lvlJc w:val="left"/>
      <w:lvlText w:val="%2"/>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0" Type="http://schemas.openxmlformats.org/officeDocument/2006/relationships/hyperlink" Target="http://www.sec.gov/Archives/edgar/data/47111/000004711118000002/exhibit101-364daycredi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2019-12-28T22:54:46Z</dcterms:created>
  <dcterms:modified xsi:type="dcterms:W3CDTF">2019-12-28T22:54:46Z</dcterms:modified>
</cp:coreProperties>
</file>