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44" w:lineRule="exact"/>
        <w:rPr>
          <w:sz w:val="24"/>
          <w:szCs w:val="24"/>
          <w:color w:val="auto"/>
        </w:rPr>
      </w:pPr>
    </w:p>
    <w:p>
      <w:pPr>
        <w:ind w:left="520" w:hanging="343"/>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29, 2025</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 w:lineRule="exact"/>
        <w:rPr>
          <w:sz w:val="24"/>
          <w:szCs w:val="24"/>
          <w:color w:val="auto"/>
        </w:rPr>
      </w:pPr>
    </w:p>
    <w:p>
      <w:pPr>
        <w:ind w:left="520" w:hanging="343"/>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______to_______</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058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THE HERSHEY COMPANY</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58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80" w:type="dxa"/>
            <w:vAlign w:val="bottom"/>
          </w:tcPr>
          <w:p>
            <w:pPr>
              <w:jc w:val="right"/>
              <w:ind w:right="2190"/>
              <w:spacing w:after="0"/>
              <w:rPr>
                <w:sz w:val="20"/>
                <w:szCs w:val="20"/>
                <w:color w:val="auto"/>
              </w:rPr>
            </w:pPr>
            <w:r>
              <w:rPr>
                <w:rFonts w:ascii="Times New Roman" w:cs="Times New Roman" w:eastAsia="Times New Roman" w:hAnsi="Times New Roman"/>
                <w:sz w:val="18"/>
                <w:szCs w:val="18"/>
                <w:b w:val="1"/>
                <w:bCs w:val="1"/>
                <w:color w:val="auto"/>
              </w:rPr>
              <w:t>23-0691590</w:t>
            </w:r>
          </w:p>
        </w:tc>
      </w:tr>
      <w:tr>
        <w:trPr>
          <w:trHeight w:val="234"/>
        </w:trPr>
        <w:tc>
          <w:tcPr>
            <w:tcW w:w="6920" w:type="dxa"/>
            <w:vAlign w:val="bottom"/>
            <w:gridSpan w:val="5"/>
          </w:tcPr>
          <w:p>
            <w:pPr>
              <w:jc w:val="center"/>
              <w:ind w:right="142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28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43"/>
        </w:trPr>
        <w:tc>
          <w:tcPr>
            <w:tcW w:w="3580" w:type="dxa"/>
            <w:vAlign w:val="bottom"/>
          </w:tcPr>
          <w:p>
            <w:pPr>
              <w:spacing w:after="0"/>
              <w:rPr>
                <w:sz w:val="21"/>
                <w:szCs w:val="21"/>
                <w:color w:val="auto"/>
              </w:rPr>
            </w:pPr>
          </w:p>
        </w:tc>
        <w:tc>
          <w:tcPr>
            <w:tcW w:w="7620" w:type="dxa"/>
            <w:vAlign w:val="bottom"/>
            <w:gridSpan w:val="5"/>
          </w:tcPr>
          <w:p>
            <w:pPr>
              <w:jc w:val="center"/>
              <w:ind w:right="3410"/>
              <w:spacing w:after="0"/>
              <w:rPr>
                <w:sz w:val="20"/>
                <w:szCs w:val="20"/>
                <w:color w:val="auto"/>
              </w:rPr>
            </w:pPr>
            <w:r>
              <w:rPr>
                <w:rFonts w:ascii="Times New Roman" w:cs="Times New Roman" w:eastAsia="Times New Roman" w:hAnsi="Times New Roman"/>
                <w:sz w:val="18"/>
                <w:szCs w:val="18"/>
                <w:b w:val="1"/>
                <w:bCs w:val="1"/>
                <w:color w:val="auto"/>
                <w:w w:val="98"/>
              </w:rPr>
              <w:t>19 East Chocolate Avenue, Hershey, PA 17033</w:t>
            </w:r>
          </w:p>
        </w:tc>
      </w:tr>
      <w:tr>
        <w:trPr>
          <w:trHeight w:val="176"/>
        </w:trPr>
        <w:tc>
          <w:tcPr>
            <w:tcW w:w="3580" w:type="dxa"/>
            <w:vAlign w:val="bottom"/>
          </w:tcPr>
          <w:p>
            <w:pPr>
              <w:spacing w:after="0"/>
              <w:rPr>
                <w:sz w:val="15"/>
                <w:szCs w:val="15"/>
                <w:color w:val="auto"/>
              </w:rPr>
            </w:pPr>
          </w:p>
        </w:tc>
        <w:tc>
          <w:tcPr>
            <w:tcW w:w="7620" w:type="dxa"/>
            <w:vAlign w:val="bottom"/>
            <w:gridSpan w:val="5"/>
          </w:tcPr>
          <w:p>
            <w:pPr>
              <w:jc w:val="center"/>
              <w:ind w:right="3410"/>
              <w:spacing w:after="0" w:line="176" w:lineRule="exact"/>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r>
      <w:tr>
        <w:trPr>
          <w:trHeight w:val="184"/>
        </w:trPr>
        <w:tc>
          <w:tcPr>
            <w:tcW w:w="3580" w:type="dxa"/>
            <w:vAlign w:val="bottom"/>
          </w:tcPr>
          <w:p>
            <w:pPr>
              <w:spacing w:after="0"/>
              <w:rPr>
                <w:sz w:val="16"/>
                <w:szCs w:val="16"/>
                <w:color w:val="auto"/>
              </w:rPr>
            </w:pPr>
          </w:p>
        </w:tc>
        <w:tc>
          <w:tcPr>
            <w:tcW w:w="3240" w:type="dxa"/>
            <w:vAlign w:val="bottom"/>
            <w:gridSpan w:val="3"/>
          </w:tcPr>
          <w:p>
            <w:pPr>
              <w:jc w:val="center"/>
              <w:ind w:left="7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(717) 534-4200</w:t>
            </w: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r>
      <w:tr>
        <w:trPr>
          <w:trHeight w:val="234"/>
        </w:trPr>
        <w:tc>
          <w:tcPr>
            <w:tcW w:w="3580" w:type="dxa"/>
            <w:vAlign w:val="bottom"/>
          </w:tcPr>
          <w:p>
            <w:pPr>
              <w:spacing w:after="0"/>
              <w:rPr>
                <w:sz w:val="20"/>
                <w:szCs w:val="20"/>
                <w:color w:val="auto"/>
              </w:rPr>
            </w:pPr>
          </w:p>
        </w:tc>
        <w:tc>
          <w:tcPr>
            <w:tcW w:w="7620" w:type="dxa"/>
            <w:vAlign w:val="bottom"/>
            <w:gridSpan w:val="5"/>
          </w:tcPr>
          <w:p>
            <w:pPr>
              <w:jc w:val="center"/>
              <w:ind w:right="34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73"/>
        </w:trPr>
        <w:tc>
          <w:tcPr>
            <w:tcW w:w="3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4280" w:type="dxa"/>
            <w:vAlign w:val="bottom"/>
          </w:tcPr>
          <w:p>
            <w:pPr>
              <w:spacing w:after="0"/>
              <w:rPr>
                <w:sz w:val="24"/>
                <w:szCs w:val="24"/>
                <w:color w:val="auto"/>
              </w:rPr>
            </w:pPr>
          </w:p>
        </w:tc>
      </w:tr>
      <w:tr>
        <w:trPr>
          <w:trHeight w:val="198"/>
        </w:trPr>
        <w:tc>
          <w:tcPr>
            <w:tcW w:w="11200" w:type="dxa"/>
            <w:vAlign w:val="bottom"/>
            <w:gridSpan w:val="6"/>
          </w:tcPr>
          <w:p>
            <w:pPr>
              <w:jc w:val="center"/>
              <w:spacing w:after="0" w:line="199" w:lineRule="exact"/>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r>
      <w:tr>
        <w:trPr>
          <w:trHeight w:val="238"/>
        </w:trPr>
        <w:tc>
          <w:tcPr>
            <w:tcW w:w="6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4280" w:type="dxa"/>
            <w:vAlign w:val="bottom"/>
          </w:tcPr>
          <w:p>
            <w:pPr>
              <w:spacing w:after="0"/>
              <w:rPr>
                <w:sz w:val="20"/>
                <w:szCs w:val="20"/>
                <w:color w:val="auto"/>
              </w:rPr>
            </w:pPr>
          </w:p>
        </w:tc>
      </w:tr>
      <w:tr>
        <w:trPr>
          <w:trHeight w:val="243"/>
        </w:trPr>
        <w:tc>
          <w:tcPr>
            <w:tcW w:w="35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580" w:type="dxa"/>
            <w:vAlign w:val="bottom"/>
            <w:tcBorders>
              <w:top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9"/>
              </w:rPr>
              <w:t>Common Stock, one dollar par value</w:t>
            </w: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HSY</w:t>
            </w:r>
          </w:p>
        </w:tc>
        <w:tc>
          <w:tcPr>
            <w:tcW w:w="100" w:type="dxa"/>
            <w:vAlign w:val="bottom"/>
          </w:tcPr>
          <w:p>
            <w:pPr>
              <w:spacing w:after="0"/>
              <w:rPr>
                <w:sz w:val="19"/>
                <w:szCs w:val="19"/>
                <w:color w:val="auto"/>
              </w:rPr>
            </w:pPr>
          </w:p>
        </w:tc>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287" w:lineRule="exact"/>
        <w:rPr>
          <w:sz w:val="24"/>
          <w:szCs w:val="24"/>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3140" w:val="left"/>
        </w:tabs>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198" w:lineRule="exact"/>
        <w:rPr>
          <w:sz w:val="24"/>
          <w:szCs w:val="24"/>
          <w:color w:val="auto"/>
        </w:rPr>
      </w:pPr>
    </w:p>
    <w:p>
      <w:pPr>
        <w:ind w:right="120"/>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7" w:lineRule="exact"/>
        <w:tabs>
          <w:tab w:leader="none" w:pos="66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198" w:lineRule="exact"/>
        <w:rPr>
          <w:sz w:val="24"/>
          <w:szCs w:val="24"/>
          <w:color w:val="auto"/>
        </w:rPr>
      </w:pPr>
    </w:p>
    <w:p>
      <w:pPr>
        <w:ind w:right="320"/>
        <w:spacing w:after="0" w:line="22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in Rule 12b-2 of the Exchange Act. (Check one):</w:t>
      </w:r>
    </w:p>
    <w:p>
      <w:pPr>
        <w:spacing w:after="0" w:line="56" w:lineRule="exact"/>
        <w:rPr>
          <w:sz w:val="24"/>
          <w:szCs w:val="24"/>
          <w:color w:val="auto"/>
        </w:rPr>
      </w:pPr>
    </w:p>
    <w:p>
      <w:pPr>
        <w:ind w:left="160"/>
        <w:spacing w:after="0" w:line="207" w:lineRule="exact"/>
        <w:tabs>
          <w:tab w:leader="none" w:pos="1920" w:val="left"/>
          <w:tab w:leader="none" w:pos="8720" w:val="left"/>
          <w:tab w:leader="none" w:pos="1092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Accelerated filer</w:t>
      </w:r>
      <w:r>
        <w:rPr>
          <w:rFonts w:ascii="Wingdings" w:cs="Wingdings" w:eastAsia="Wingdings" w:hAnsi="Wingdings"/>
          <w:sz w:val="18"/>
          <w:szCs w:val="18"/>
          <w:b w:val="1"/>
          <w:bCs w:val="1"/>
          <w:color w:val="auto"/>
        </w:rPr>
        <w:t xml:space="preserve">  </w:t>
      </w: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Non-accelerated filer</w:t>
      </w:r>
      <w:r>
        <w:rPr>
          <w:rFonts w:ascii="Wingdings" w:cs="Wingdings" w:eastAsia="Wingdings" w:hAnsi="Wingdings"/>
          <w:sz w:val="18"/>
          <w:szCs w:val="18"/>
          <w:b w:val="1"/>
          <w:bCs w:val="1"/>
          <w:color w:val="auto"/>
        </w:rPr>
        <w:t xml:space="preserve">  </w:t>
      </w: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Smaller reporting company</w:t>
      </w:r>
      <w:r>
        <w:rPr>
          <w:rFonts w:ascii="Wingdings" w:cs="Wingdings" w:eastAsia="Wingdings" w:hAnsi="Wingdings"/>
          <w:sz w:val="18"/>
          <w:szCs w:val="18"/>
          <w:b w:val="1"/>
          <w:bCs w:val="1"/>
          <w:color w:val="auto"/>
        </w:rPr>
        <w:t xml:space="preserve">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333" w:lineRule="exact"/>
        <w:rPr>
          <w:sz w:val="24"/>
          <w:szCs w:val="24"/>
          <w:color w:val="auto"/>
        </w:rPr>
      </w:pPr>
    </w:p>
    <w:p>
      <w:pPr>
        <w:ind w:right="16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line="207" w:lineRule="exact"/>
        <w:tabs>
          <w:tab w:leader="none" w:pos="88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ind w:left="660"/>
        <w:spacing w:after="0" w:line="219" w:lineRule="auto"/>
        <w:rPr>
          <w:sz w:val="20"/>
          <w:szCs w:val="20"/>
          <w:color w:val="auto"/>
        </w:rPr>
      </w:pPr>
      <w:r>
        <w:rPr>
          <w:rFonts w:ascii="Times New Roman" w:cs="Times New Roman" w:eastAsia="Times New Roman" w:hAnsi="Times New Roman"/>
          <w:sz w:val="18"/>
          <w:szCs w:val="18"/>
          <w:color w:val="auto"/>
        </w:rPr>
        <w:t>Common Stock, one dollar par value—148,110,715 shares, as of July 25, 2025.</w:t>
      </w:r>
    </w:p>
    <w:p>
      <w:pPr>
        <w:ind w:left="660"/>
        <w:spacing w:after="0"/>
        <w:rPr>
          <w:sz w:val="20"/>
          <w:szCs w:val="20"/>
          <w:color w:val="auto"/>
        </w:rPr>
      </w:pPr>
      <w:r>
        <w:rPr>
          <w:rFonts w:ascii="Times New Roman" w:cs="Times New Roman" w:eastAsia="Times New Roman" w:hAnsi="Times New Roman"/>
          <w:sz w:val="18"/>
          <w:szCs w:val="18"/>
          <w:color w:val="auto"/>
        </w:rPr>
        <w:t>Class B Common Stock, one dollar par value—54,613,514 shares, as of July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Ended June 29,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20" w:type="dxa"/>
            <w:vAlign w:val="bottom"/>
            <w:gridSpan w:val="10"/>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1102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880" w:type="dxa"/>
            <w:vAlign w:val="bottom"/>
            <w:gridSpan w:val="20"/>
          </w:tcPr>
          <w:p>
            <w:pPr>
              <w:ind w:left="120"/>
              <w:spacing w:after="0" w:line="189"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8140" w:type="dxa"/>
            <w:vAlign w:val="bottom"/>
            <w:gridSpan w:val="21"/>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Income for the Three and Six Months Ended June 29, 2025 and June 30, 2024</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Three and Six Months Ended June 29, 2025 and June 30, 2024</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30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Balance Sheets as of June 29, 2025 and December 31, 2024</w:t>
            </w:r>
          </w:p>
        </w:tc>
        <w:tc>
          <w:tcPr>
            <w:tcW w:w="5520" w:type="dxa"/>
            <w:vAlign w:val="bottom"/>
            <w:gridSpan w:val="6"/>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Six Months Ended June 29, 2025 and June 30, 2024</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80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Stockholders’ Equity for the Three and Six Months Ended June 29, 2025 and June 30, 2024</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900" w:type="dxa"/>
            <w:vAlign w:val="bottom"/>
            <w:gridSpan w:val="40"/>
          </w:tcPr>
          <w:p>
            <w:pPr>
              <w:ind w:left="80"/>
              <w:spacing w:after="0" w:line="189" w:lineRule="exact"/>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800" w:type="dxa"/>
            <w:vAlign w:val="bottom"/>
            <w:gridSpan w:val="38"/>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0000FF"/>
              </w:rPr>
              <w:t>Note 1 - Summary of Significant Accounting Policies</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0" w:type="dxa"/>
            <w:vAlign w:val="bottom"/>
            <w:gridSpan w:val="38"/>
          </w:tcPr>
          <w:p>
            <w:pPr>
              <w:ind w:left="320"/>
              <w:spacing w:after="0" w:line="189" w:lineRule="exact"/>
              <w:rPr>
                <w:sz w:val="20"/>
                <w:szCs w:val="20"/>
                <w:color w:val="auto"/>
              </w:rPr>
            </w:pPr>
            <w:r>
              <w:rPr>
                <w:rFonts w:ascii="Times New Roman" w:cs="Times New Roman" w:eastAsia="Times New Roman" w:hAnsi="Times New Roman"/>
                <w:sz w:val="18"/>
                <w:szCs w:val="18"/>
                <w:color w:val="0000FF"/>
              </w:rPr>
              <w:t>Note 2 - Business Acquisitions</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800" w:type="dxa"/>
            <w:vAlign w:val="bottom"/>
            <w:gridSpan w:val="38"/>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0000FF"/>
              </w:rPr>
              <w:t>Note 3 - Goodwill and Intangible Assets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0" w:type="dxa"/>
            <w:vAlign w:val="bottom"/>
            <w:gridSpan w:val="38"/>
          </w:tcPr>
          <w:p>
            <w:pPr>
              <w:ind w:left="320"/>
              <w:spacing w:after="0" w:line="189" w:lineRule="exact"/>
              <w:rPr>
                <w:sz w:val="20"/>
                <w:szCs w:val="20"/>
                <w:color w:val="auto"/>
              </w:rPr>
            </w:pPr>
            <w:r>
              <w:rPr>
                <w:rFonts w:ascii="Times New Roman" w:cs="Times New Roman" w:eastAsia="Times New Roman" w:hAnsi="Times New Roman"/>
                <w:sz w:val="18"/>
                <w:szCs w:val="18"/>
                <w:color w:val="0000FF"/>
              </w:rPr>
              <w:t>Note 4 - Short and Long-Term Debt</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800" w:type="dxa"/>
            <w:vAlign w:val="bottom"/>
            <w:gridSpan w:val="38"/>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0000FF"/>
              </w:rPr>
              <w:t>Note 5 - Derivative Instruments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0" w:type="dxa"/>
            <w:vAlign w:val="bottom"/>
            <w:gridSpan w:val="38"/>
          </w:tcPr>
          <w:p>
            <w:pPr>
              <w:ind w:left="320"/>
              <w:spacing w:after="0" w:line="189" w:lineRule="exact"/>
              <w:rPr>
                <w:sz w:val="20"/>
                <w:szCs w:val="20"/>
                <w:color w:val="auto"/>
              </w:rPr>
            </w:pPr>
            <w:r>
              <w:rPr>
                <w:rFonts w:ascii="Times New Roman" w:cs="Times New Roman" w:eastAsia="Times New Roman" w:hAnsi="Times New Roman"/>
                <w:sz w:val="18"/>
                <w:szCs w:val="18"/>
                <w:color w:val="0000FF"/>
              </w:rPr>
              <w:t>Note 6 - Fair Value Measurements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800" w:type="dxa"/>
            <w:vAlign w:val="bottom"/>
            <w:gridSpan w:val="38"/>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0000FF"/>
              </w:rPr>
              <w:t>Note 7 - Leases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16</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0" w:type="dxa"/>
            <w:vAlign w:val="bottom"/>
            <w:gridSpan w:val="38"/>
          </w:tcPr>
          <w:p>
            <w:pPr>
              <w:ind w:left="320"/>
              <w:spacing w:after="0" w:line="189" w:lineRule="exact"/>
              <w:rPr>
                <w:sz w:val="20"/>
                <w:szCs w:val="20"/>
                <w:color w:val="auto"/>
              </w:rPr>
            </w:pPr>
            <w:r>
              <w:rPr>
                <w:rFonts w:ascii="Times New Roman" w:cs="Times New Roman" w:eastAsia="Times New Roman" w:hAnsi="Times New Roman"/>
                <w:sz w:val="18"/>
                <w:szCs w:val="18"/>
                <w:color w:val="0000FF"/>
              </w:rPr>
              <w:t>Note 8 - Investments in Unconsolidated Affiliates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800" w:type="dxa"/>
            <w:vAlign w:val="bottom"/>
            <w:gridSpan w:val="38"/>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0000FF"/>
              </w:rPr>
              <w:t>Note 9 - Business Realignment Activities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0" w:type="dxa"/>
            <w:vAlign w:val="bottom"/>
            <w:gridSpan w:val="38"/>
          </w:tcPr>
          <w:p>
            <w:pPr>
              <w:ind w:left="320"/>
              <w:spacing w:after="0" w:line="189" w:lineRule="exact"/>
              <w:rPr>
                <w:sz w:val="20"/>
                <w:szCs w:val="20"/>
                <w:color w:val="auto"/>
              </w:rPr>
            </w:pPr>
            <w:r>
              <w:rPr>
                <w:rFonts w:ascii="Times New Roman" w:cs="Times New Roman" w:eastAsia="Times New Roman" w:hAnsi="Times New Roman"/>
                <w:sz w:val="18"/>
                <w:szCs w:val="18"/>
                <w:color w:val="0000FF"/>
              </w:rPr>
              <w:t>Note 10 - Income Taxes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800" w:type="dxa"/>
            <w:vAlign w:val="bottom"/>
            <w:gridSpan w:val="38"/>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0000FF"/>
              </w:rPr>
              <w:t>Note 11 - Pension and Other Post-Retirement Benefit Plans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0" w:type="dxa"/>
            <w:vAlign w:val="bottom"/>
            <w:gridSpan w:val="38"/>
          </w:tcPr>
          <w:p>
            <w:pPr>
              <w:ind w:left="320"/>
              <w:spacing w:after="0" w:line="189" w:lineRule="exact"/>
              <w:rPr>
                <w:sz w:val="20"/>
                <w:szCs w:val="20"/>
                <w:color w:val="auto"/>
              </w:rPr>
            </w:pPr>
            <w:r>
              <w:rPr>
                <w:rFonts w:ascii="Times New Roman" w:cs="Times New Roman" w:eastAsia="Times New Roman" w:hAnsi="Times New Roman"/>
                <w:sz w:val="18"/>
                <w:szCs w:val="18"/>
                <w:color w:val="0000FF"/>
              </w:rPr>
              <w:t>Note 12 - Stock Compensation Plans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800" w:type="dxa"/>
            <w:vAlign w:val="bottom"/>
            <w:gridSpan w:val="38"/>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0000FF"/>
              </w:rPr>
              <w:t>Note 13 - Segment Information</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24</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0" w:type="dxa"/>
            <w:vAlign w:val="bottom"/>
            <w:gridSpan w:val="38"/>
          </w:tcPr>
          <w:p>
            <w:pPr>
              <w:ind w:left="320"/>
              <w:spacing w:after="0" w:line="189" w:lineRule="exact"/>
              <w:rPr>
                <w:sz w:val="20"/>
                <w:szCs w:val="20"/>
                <w:color w:val="auto"/>
              </w:rPr>
            </w:pPr>
            <w:r>
              <w:rPr>
                <w:rFonts w:ascii="Times New Roman" w:cs="Times New Roman" w:eastAsia="Times New Roman" w:hAnsi="Times New Roman"/>
                <w:sz w:val="18"/>
                <w:szCs w:val="18"/>
                <w:color w:val="0000FF"/>
              </w:rPr>
              <w:t>Note 14 - Treasury Stock Activity</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800" w:type="dxa"/>
            <w:vAlign w:val="bottom"/>
            <w:gridSpan w:val="38"/>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0000FF"/>
              </w:rPr>
              <w:t>Note 15 - Contingencies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29</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0" w:type="dxa"/>
            <w:vAlign w:val="bottom"/>
            <w:gridSpan w:val="38"/>
          </w:tcPr>
          <w:p>
            <w:pPr>
              <w:ind w:left="320"/>
              <w:spacing w:after="0" w:line="189" w:lineRule="exact"/>
              <w:rPr>
                <w:sz w:val="20"/>
                <w:szCs w:val="20"/>
                <w:color w:val="auto"/>
              </w:rPr>
            </w:pPr>
            <w:r>
              <w:rPr>
                <w:rFonts w:ascii="Times New Roman" w:cs="Times New Roman" w:eastAsia="Times New Roman" w:hAnsi="Times New Roman"/>
                <w:sz w:val="18"/>
                <w:szCs w:val="18"/>
                <w:color w:val="0000FF"/>
              </w:rPr>
              <w:t>Note 16 - Earnings Per Share</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800" w:type="dxa"/>
            <w:vAlign w:val="bottom"/>
            <w:gridSpan w:val="38"/>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0000FF"/>
              </w:rPr>
              <w:t>Note 17 - Other (Income) Expense, Net</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0" w:type="dxa"/>
            <w:vAlign w:val="bottom"/>
            <w:gridSpan w:val="38"/>
          </w:tcPr>
          <w:p>
            <w:pPr>
              <w:ind w:left="320"/>
              <w:spacing w:after="0" w:line="189" w:lineRule="exact"/>
              <w:rPr>
                <w:sz w:val="20"/>
                <w:szCs w:val="20"/>
                <w:color w:val="auto"/>
              </w:rPr>
            </w:pPr>
            <w:r>
              <w:rPr>
                <w:rFonts w:ascii="Times New Roman" w:cs="Times New Roman" w:eastAsia="Times New Roman" w:hAnsi="Times New Roman"/>
                <w:sz w:val="18"/>
                <w:szCs w:val="18"/>
                <w:color w:val="0000FF"/>
              </w:rPr>
              <w:t>Note 18 - Supplemental Balance Sheet Information</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20" w:type="dxa"/>
            <w:vAlign w:val="bottom"/>
            <w:tcBorders>
              <w:bottom w:val="single" w:sz="8" w:color="0000FF"/>
            </w:tcBorders>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880" w:type="dxa"/>
            <w:vAlign w:val="bottom"/>
            <w:tcBorders>
              <w:bottom w:val="single" w:sz="8" w:color="CCEEFF"/>
            </w:tcBorders>
            <w:gridSpan w:val="5"/>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1020" w:type="dxa"/>
            <w:vAlign w:val="bottom"/>
            <w:gridSpan w:val="41"/>
          </w:tcPr>
          <w:p>
            <w:pPr>
              <w:ind w:left="120"/>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340" w:type="dxa"/>
            <w:vAlign w:val="bottom"/>
            <w:tcBorders>
              <w:bottom w:val="single" w:sz="8" w:color="0000FF"/>
            </w:tcBorders>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4. Controls and Procedures</w:t>
            </w:r>
          </w:p>
        </w:tc>
        <w:tc>
          <w:tcPr>
            <w:tcW w:w="8560" w:type="dxa"/>
            <w:vAlign w:val="bottom"/>
            <w:tcBorders>
              <w:bottom w:val="single" w:sz="8" w:color="CCEEFF"/>
            </w:tcBorders>
            <w:gridSpan w:val="27"/>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102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FF"/>
              </w:rPr>
              <w:t>PART II. OTHER INFORMATION</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0000FF"/>
            </w:tcBorders>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 Legal Proceedings</w:t>
            </w:r>
          </w:p>
        </w:tc>
        <w:tc>
          <w:tcPr>
            <w:tcW w:w="9000" w:type="dxa"/>
            <w:vAlign w:val="bottom"/>
            <w:tcBorders>
              <w:bottom w:val="single" w:sz="8" w:color="CCEEFF"/>
            </w:tcBorders>
            <w:gridSpan w:val="31"/>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1020" w:type="dxa"/>
            <w:vAlign w:val="bottom"/>
            <w:gridSpan w:val="41"/>
          </w:tcPr>
          <w:p>
            <w:pPr>
              <w:ind w:left="120"/>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9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900" w:type="dxa"/>
            <w:vAlign w:val="bottom"/>
            <w:tcBorders>
              <w:top w:val="single" w:sz="8" w:color="0000FF"/>
            </w:tcBorders>
            <w:gridSpan w:val="32"/>
          </w:tcPr>
          <w:p>
            <w:pPr>
              <w:spacing w:after="0" w:line="189"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6000" w:type="dxa"/>
            <w:vAlign w:val="bottom"/>
            <w:tcBorders>
              <w:top w:val="single" w:sz="8" w:color="CCEEFF"/>
            </w:tcBorders>
            <w:gridSpan w:val="8"/>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340" w:type="dxa"/>
            <w:vAlign w:val="bottom"/>
            <w:tcBorders>
              <w:bottom w:val="single" w:sz="8" w:color="0000FF"/>
            </w:tcBorders>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4. Mine Safety Disclosures</w:t>
            </w:r>
          </w:p>
        </w:tc>
        <w:tc>
          <w:tcPr>
            <w:tcW w:w="8560" w:type="dxa"/>
            <w:vAlign w:val="bottom"/>
            <w:tcBorders>
              <w:bottom w:val="single" w:sz="8" w:color="CCEEFF"/>
            </w:tcBorders>
            <w:gridSpan w:val="27"/>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1020" w:type="dxa"/>
            <w:vAlign w:val="bottom"/>
            <w:gridSpan w:val="41"/>
          </w:tcPr>
          <w:p>
            <w:pPr>
              <w:ind w:left="120"/>
              <w:spacing w:after="0" w:line="189" w:lineRule="exact"/>
              <w:rPr>
                <w:sz w:val="20"/>
                <w:szCs w:val="20"/>
                <w:color w:val="auto"/>
              </w:rPr>
            </w:pPr>
            <w:r>
              <w:rPr>
                <w:rFonts w:ascii="Times New Roman" w:cs="Times New Roman" w:eastAsia="Times New Roman" w:hAnsi="Times New Roman"/>
                <w:sz w:val="18"/>
                <w:szCs w:val="18"/>
                <w:color w:val="0000FF"/>
              </w:rPr>
              <w:t>Item 5. Other Information</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9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 Exhibits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02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52</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659765</wp:posOffset>
            </wp:positionV>
            <wp:extent cx="19685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38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56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5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June 29, 2025</w:t>
            </w: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June 30, 2024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June 29, 2025</w:t>
            </w: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June 30, 2024</w:t>
            </w: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2,614,718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2,074,480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5,420,137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5,327,229</w:t>
            </w:r>
          </w:p>
        </w:tc>
      </w:tr>
      <w:tr>
        <w:trPr>
          <w:trHeight w:val="230"/>
        </w:trPr>
        <w:tc>
          <w:tcPr>
            <w:tcW w:w="5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1,818,445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1,240,735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3,679,597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2,817,403</w:t>
            </w:r>
          </w:p>
        </w:tc>
      </w:tr>
      <w:tr>
        <w:trPr>
          <w:trHeight w:val="223"/>
        </w:trPr>
        <w:tc>
          <w:tcPr>
            <w:tcW w:w="5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796,273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833,745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1,740,540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2,509,826</w:t>
            </w:r>
          </w:p>
        </w:tc>
      </w:tr>
      <w:tr>
        <w:trPr>
          <w:trHeight w:val="229"/>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marketing and administrative expense</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603,207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540,987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1,161,879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1,158,968</w:t>
            </w:r>
          </w:p>
        </w:tc>
      </w:tr>
      <w:tr>
        <w:trPr>
          <w:trHeight w:val="23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realignment costs</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r>
      <w:tr>
        <w:trPr>
          <w:trHeight w:val="223"/>
        </w:trPr>
        <w:tc>
          <w:tcPr>
            <w:tcW w:w="5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1,345,921</w:t>
            </w:r>
          </w:p>
        </w:tc>
      </w:tr>
      <w:tr>
        <w:trPr>
          <w:trHeight w:val="230"/>
        </w:trPr>
        <w:tc>
          <w:tcPr>
            <w:tcW w:w="5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81,195</w:t>
            </w:r>
          </w:p>
        </w:tc>
      </w:tr>
      <w:tr>
        <w:trPr>
          <w:trHeight w:val="229"/>
        </w:trPr>
        <w:tc>
          <w:tcPr>
            <w:tcW w:w="51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32,594</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245,874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1,232,132</w:t>
            </w:r>
          </w:p>
        </w:tc>
      </w:tr>
      <w:tr>
        <w:trPr>
          <w:trHeight w:val="229"/>
        </w:trPr>
        <w:tc>
          <w:tcPr>
            <w:tcW w:w="51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86,393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64,980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185,844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253,785</w:t>
            </w:r>
          </w:p>
        </w:tc>
      </w:tr>
      <w:tr>
        <w:trPr>
          <w:trHeight w:val="248"/>
        </w:trPr>
        <w:tc>
          <w:tcPr>
            <w:tcW w:w="5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180,894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978,347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share—basic:</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29"/>
        </w:trPr>
        <w:tc>
          <w:tcPr>
            <w:tcW w:w="5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Class B common stock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70"/>
        </w:trPr>
        <w:tc>
          <w:tcPr>
            <w:tcW w:w="5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share—diluted:</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30"/>
        </w:trPr>
        <w:tc>
          <w:tcPr>
            <w:tcW w:w="5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Class B common stock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70"/>
        </w:trPr>
        <w:tc>
          <w:tcPr>
            <w:tcW w:w="5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paid per share: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r>
      <w:tr>
        <w:trPr>
          <w:trHeight w:val="230"/>
        </w:trPr>
        <w:tc>
          <w:tcPr>
            <w:tcW w:w="5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Class B common stock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r>
    </w:tbl>
    <w:p>
      <w:pPr>
        <w:spacing w:after="0" w:line="3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448310</wp:posOffset>
            </wp:positionV>
            <wp:extent cx="19685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51" w:right="59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p>
      <w:pPr>
        <w:spacing w:after="0" w:line="42" w:lineRule="exact"/>
        <w:rPr>
          <w:sz w:val="20"/>
          <w:szCs w:val="20"/>
          <w:color w:val="auto"/>
        </w:rPr>
      </w:pPr>
    </w:p>
    <w:p>
      <w:pPr>
        <w:ind w:left="20" w:right="60"/>
        <w:spacing w:after="0" w:line="253" w:lineRule="auto"/>
        <w:rPr>
          <w:sz w:val="20"/>
          <w:szCs w:val="20"/>
          <w:color w:val="auto"/>
        </w:rPr>
      </w:pPr>
      <w:r>
        <w:rPr>
          <w:rFonts w:ascii="Times New Roman" w:cs="Times New Roman" w:eastAsia="Times New Roman" w:hAnsi="Times New Roman"/>
          <w:sz w:val="14"/>
          <w:szCs w:val="14"/>
          <w:b w:val="1"/>
          <w:bCs w:val="1"/>
          <w:color w:val="auto"/>
        </w:rPr>
        <w:t>Other comprehensive income, net of tax:</w:t>
      </w:r>
    </w:p>
    <w:p>
      <w:pPr>
        <w:ind w:left="140" w:right="520"/>
        <w:spacing w:after="0" w:line="251" w:lineRule="auto"/>
        <w:rPr>
          <w:sz w:val="20"/>
          <w:szCs w:val="20"/>
          <w:color w:val="auto"/>
        </w:rPr>
      </w:pPr>
      <w:r>
        <w:rPr>
          <w:rFonts w:ascii="Times New Roman" w:cs="Times New Roman" w:eastAsia="Times New Roman" w:hAnsi="Times New Roman"/>
          <w:sz w:val="14"/>
          <w:szCs w:val="14"/>
          <w:color w:val="auto"/>
        </w:rPr>
        <w:t>Foreign currency translation adjustments:</w:t>
      </w:r>
    </w:p>
    <w:p>
      <w:pPr>
        <w:spacing w:after="0" w:line="1" w:lineRule="exact"/>
        <w:rPr>
          <w:sz w:val="20"/>
          <w:szCs w:val="20"/>
          <w:color w:val="auto"/>
        </w:rPr>
      </w:pPr>
    </w:p>
    <w:p>
      <w:pPr>
        <w:ind w:left="220" w:right="100"/>
        <w:spacing w:after="0" w:line="251" w:lineRule="auto"/>
        <w:rPr>
          <w:sz w:val="20"/>
          <w:szCs w:val="20"/>
          <w:color w:val="auto"/>
        </w:rPr>
      </w:pPr>
      <w:r>
        <w:rPr>
          <w:rFonts w:ascii="Times New Roman" w:cs="Times New Roman" w:eastAsia="Times New Roman" w:hAnsi="Times New Roman"/>
          <w:sz w:val="14"/>
          <w:szCs w:val="14"/>
          <w:color w:val="auto"/>
        </w:rPr>
        <w:t>Foreign currency translation gains (losses) during period</w:t>
      </w:r>
    </w:p>
    <w:p>
      <w:pPr>
        <w:spacing w:after="0" w:line="1" w:lineRule="exact"/>
        <w:rPr>
          <w:sz w:val="20"/>
          <w:szCs w:val="20"/>
          <w:color w:val="auto"/>
        </w:rPr>
      </w:pPr>
    </w:p>
    <w:p>
      <w:pPr>
        <w:ind w:left="140" w:right="100"/>
        <w:spacing w:after="0" w:line="251" w:lineRule="auto"/>
        <w:rPr>
          <w:sz w:val="20"/>
          <w:szCs w:val="20"/>
          <w:color w:val="auto"/>
        </w:rPr>
      </w:pPr>
      <w:r>
        <w:rPr>
          <w:rFonts w:ascii="Times New Roman" w:cs="Times New Roman" w:eastAsia="Times New Roman" w:hAnsi="Times New Roman"/>
          <w:sz w:val="14"/>
          <w:szCs w:val="14"/>
          <w:color w:val="auto"/>
        </w:rPr>
        <w:t>Pension and post-retirement benefit plans:</w:t>
      </w:r>
    </w:p>
    <w:p>
      <w:pPr>
        <w:spacing w:after="0" w:line="1" w:lineRule="exact"/>
        <w:rPr>
          <w:sz w:val="20"/>
          <w:szCs w:val="20"/>
          <w:color w:val="auto"/>
        </w:rPr>
      </w:pPr>
    </w:p>
    <w:p>
      <w:pPr>
        <w:ind w:left="220" w:right="20"/>
        <w:spacing w:after="0" w:line="251" w:lineRule="auto"/>
        <w:rPr>
          <w:sz w:val="20"/>
          <w:szCs w:val="20"/>
          <w:color w:val="auto"/>
        </w:rPr>
      </w:pPr>
      <w:r>
        <w:rPr>
          <w:rFonts w:ascii="Times New Roman" w:cs="Times New Roman" w:eastAsia="Times New Roman" w:hAnsi="Times New Roman"/>
          <w:sz w:val="14"/>
          <w:szCs w:val="14"/>
          <w:color w:val="auto"/>
        </w:rPr>
        <w:t>Net actuarial gain (loss) and service cost</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Reclassification to earnings</w:t>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Cash flow hedges:</w:t>
      </w:r>
    </w:p>
    <w:p>
      <w:pPr>
        <w:spacing w:after="0" w:line="42" w:lineRule="exact"/>
        <w:rPr>
          <w:sz w:val="20"/>
          <w:szCs w:val="20"/>
          <w:color w:val="auto"/>
        </w:rPr>
      </w:pPr>
    </w:p>
    <w:p>
      <w:pPr>
        <w:ind w:left="220"/>
        <w:spacing w:after="0" w:line="251" w:lineRule="auto"/>
        <w:rPr>
          <w:sz w:val="20"/>
          <w:szCs w:val="20"/>
          <w:color w:val="auto"/>
        </w:rPr>
      </w:pPr>
      <w:r>
        <w:rPr>
          <w:rFonts w:ascii="Times New Roman" w:cs="Times New Roman" w:eastAsia="Times New Roman" w:hAnsi="Times New Roman"/>
          <w:sz w:val="14"/>
          <w:szCs w:val="14"/>
          <w:color w:val="auto"/>
        </w:rPr>
        <w:t>Gains (losses) on cash flow hedging derivatives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Reclassification to earnings</w:t>
      </w:r>
    </w:p>
    <w:p>
      <w:pPr>
        <w:spacing w:after="0" w:line="20" w:lineRule="exact"/>
        <w:rPr>
          <w:sz w:val="20"/>
          <w:szCs w:val="20"/>
          <w:color w:val="auto"/>
        </w:rPr>
      </w:pPr>
      <w:r>
        <w:rPr>
          <w:sz w:val="20"/>
          <w:szCs w:val="20"/>
          <w:color w:val="auto"/>
        </w:rPr>
        <w:br w:type="column"/>
      </w:r>
    </w:p>
    <w:p>
      <w:pPr>
        <w:jc w:val="center"/>
        <w:ind w:right="2560"/>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256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25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5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8"/>
          </w:tcPr>
          <w:p>
            <w:pPr>
              <w:ind w:left="2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8"/>
          </w:tcPr>
          <w:p>
            <w:pPr>
              <w:ind w:left="4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29, 2025</w:t>
            </w:r>
          </w:p>
        </w:tc>
        <w:tc>
          <w:tcPr>
            <w:tcW w:w="80" w:type="dxa"/>
            <w:vAlign w:val="bottom"/>
          </w:tcPr>
          <w:p>
            <w:pPr>
              <w:spacing w:after="0"/>
              <w:rPr>
                <w:sz w:val="19"/>
                <w:szCs w:val="19"/>
                <w:color w:val="auto"/>
              </w:rPr>
            </w:pPr>
          </w:p>
        </w:tc>
        <w:tc>
          <w:tcPr>
            <w:tcW w:w="21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80" w:type="dxa"/>
            <w:vAlign w:val="bottom"/>
          </w:tcPr>
          <w:p>
            <w:pPr>
              <w:spacing w:after="0"/>
              <w:rPr>
                <w:sz w:val="19"/>
                <w:szCs w:val="19"/>
                <w:color w:val="auto"/>
              </w:rPr>
            </w:pPr>
          </w:p>
        </w:tc>
        <w:tc>
          <w:tcPr>
            <w:tcW w:w="20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29, 2025</w:t>
            </w:r>
          </w:p>
        </w:tc>
        <w:tc>
          <w:tcPr>
            <w:tcW w:w="80" w:type="dxa"/>
            <w:vAlign w:val="bottom"/>
          </w:tcPr>
          <w:p>
            <w:pPr>
              <w:spacing w:after="0"/>
              <w:rPr>
                <w:sz w:val="19"/>
                <w:szCs w:val="19"/>
                <w:color w:val="auto"/>
              </w:rPr>
            </w:pPr>
          </w:p>
        </w:tc>
        <w:tc>
          <w:tcPr>
            <w:tcW w:w="21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0" w:type="dxa"/>
            <w:vAlign w:val="bottom"/>
          </w:tcPr>
          <w:p>
            <w:pPr>
              <w:spacing w:after="0"/>
              <w:rPr>
                <w:sz w:val="1"/>
                <w:szCs w:val="1"/>
                <w:color w:val="auto"/>
              </w:rPr>
            </w:pPr>
          </w:p>
        </w:tc>
      </w:tr>
      <w:tr>
        <w:trPr>
          <w:trHeight w:val="131"/>
        </w:trPr>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7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Tax</w:t>
            </w:r>
          </w:p>
        </w:tc>
        <w:tc>
          <w:tcPr>
            <w:tcW w:w="6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After-</w:t>
            </w:r>
          </w:p>
        </w:tc>
        <w:tc>
          <w:tcPr>
            <w:tcW w:w="8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7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80" w:type="dxa"/>
            <w:vAlign w:val="bottom"/>
          </w:tcPr>
          <w:p>
            <w:pPr>
              <w:spacing w:after="0"/>
              <w:rPr>
                <w:sz w:val="11"/>
                <w:szCs w:val="11"/>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7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Tax</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After-Tax</w:t>
            </w:r>
          </w:p>
        </w:tc>
        <w:tc>
          <w:tcPr>
            <w:tcW w:w="8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7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0" w:type="dxa"/>
            <w:vAlign w:val="bottom"/>
          </w:tcPr>
          <w:p>
            <w:pPr>
              <w:spacing w:after="0"/>
              <w:rPr>
                <w:sz w:val="1"/>
                <w:szCs w:val="1"/>
                <w:color w:val="auto"/>
              </w:rPr>
            </w:pPr>
          </w:p>
        </w:tc>
      </w:tr>
      <w:tr>
        <w:trPr>
          <w:trHeight w:val="146"/>
        </w:trPr>
        <w:tc>
          <w:tcPr>
            <w:tcW w:w="720" w:type="dxa"/>
            <w:vAlign w:val="bottom"/>
            <w:gridSpan w:val="2"/>
            <w:vMerge w:val="continue"/>
          </w:tcPr>
          <w:p>
            <w:pPr>
              <w:spacing w:after="0"/>
              <w:rPr>
                <w:sz w:val="12"/>
                <w:szCs w:val="12"/>
                <w:color w:val="auto"/>
              </w:rPr>
            </w:pPr>
          </w:p>
        </w:tc>
        <w:tc>
          <w:tcPr>
            <w:tcW w:w="7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(Expense)</w:t>
            </w:r>
          </w:p>
        </w:tc>
        <w:tc>
          <w:tcPr>
            <w:tcW w:w="6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(Expense)</w:t>
            </w: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(Expense)</w:t>
            </w: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(Expense)</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4"/>
        </w:trPr>
        <w:tc>
          <w:tcPr>
            <w:tcW w:w="5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$ 62,719</w:t>
            </w:r>
          </w:p>
        </w:tc>
        <w:tc>
          <w:tcPr>
            <w:tcW w:w="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$ 180,894</w:t>
            </w:r>
          </w:p>
        </w:tc>
        <w:tc>
          <w:tcPr>
            <w:tcW w:w="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w w:val="99"/>
              </w:rPr>
              <w:t>$ 286,922</w:t>
            </w:r>
          </w:p>
        </w:tc>
        <w:tc>
          <w:tcPr>
            <w:tcW w:w="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$ 978,347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-144780</wp:posOffset>
            </wp:positionV>
            <wp:extent cx="703770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13716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205740</wp:posOffset>
            </wp:positionV>
            <wp:extent cx="7037705"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93"/>
              </w:rPr>
              <w:t>$ 21,641</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21,641</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(26,844)</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(26,844)</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$ 31,545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31,545</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(31,842)</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(31,842)</w:t>
            </w:r>
          </w:p>
        </w:tc>
      </w:tr>
      <w:tr>
        <w:trPr>
          <w:trHeight w:val="675"/>
        </w:trPr>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260" w:type="dxa"/>
            <w:vAlign w:val="bottom"/>
          </w:tcPr>
          <w:p>
            <w:pPr>
              <w:spacing w:after="0"/>
              <w:rPr>
                <w:sz w:val="24"/>
                <w:szCs w:val="24"/>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286</w:t>
            </w:r>
          </w:p>
        </w:tc>
        <w:tc>
          <w:tcPr>
            <w:tcW w:w="240" w:type="dxa"/>
            <w:vAlign w:val="bottom"/>
          </w:tcPr>
          <w:p>
            <w:pPr>
              <w:spacing w:after="0"/>
              <w:rPr>
                <w:sz w:val="24"/>
                <w:szCs w:val="24"/>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271</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w:t>
            </w:r>
          </w:p>
        </w:tc>
        <w:tc>
          <w:tcPr>
            <w:tcW w:w="180" w:type="dxa"/>
            <w:vAlign w:val="bottom"/>
          </w:tcPr>
          <w:p>
            <w:pPr>
              <w:spacing w:after="0"/>
              <w:rPr>
                <w:sz w:val="24"/>
                <w:szCs w:val="2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(144)</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238</w:t>
            </w:r>
          </w:p>
        </w:tc>
        <w:tc>
          <w:tcPr>
            <w:tcW w:w="200" w:type="dxa"/>
            <w:vAlign w:val="bottom"/>
          </w:tcPr>
          <w:p>
            <w:pPr>
              <w:spacing w:after="0"/>
              <w:rPr>
                <w:sz w:val="24"/>
                <w:szCs w:val="24"/>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r>
      <w:tr>
        <w:trPr>
          <w:trHeight w:val="203"/>
        </w:trPr>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2,882</w:t>
            </w:r>
          </w:p>
        </w:tc>
        <w:tc>
          <w:tcPr>
            <w:tcW w:w="260" w:type="dxa"/>
            <w:vAlign w:val="bottom"/>
          </w:tcPr>
          <w:p>
            <w:pPr>
              <w:spacing w:after="0"/>
              <w:rPr>
                <w:sz w:val="17"/>
                <w:szCs w:val="17"/>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(676)</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2,206</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2,537</w:t>
            </w:r>
          </w:p>
        </w:tc>
        <w:tc>
          <w:tcPr>
            <w:tcW w:w="240" w:type="dxa"/>
            <w:vAlign w:val="bottom"/>
          </w:tcPr>
          <w:p>
            <w:pPr>
              <w:spacing w:after="0"/>
              <w:rPr>
                <w:sz w:val="17"/>
                <w:szCs w:val="17"/>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(609)</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1,928</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5,765</w:t>
            </w:r>
          </w:p>
        </w:tc>
        <w:tc>
          <w:tcPr>
            <w:tcW w:w="180" w:type="dxa"/>
            <w:vAlign w:val="bottom"/>
          </w:tcPr>
          <w:p>
            <w:pPr>
              <w:spacing w:after="0"/>
              <w:rPr>
                <w:sz w:val="17"/>
                <w:szCs w:val="17"/>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(1,370)</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4,395</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5,078</w:t>
            </w:r>
          </w:p>
        </w:tc>
        <w:tc>
          <w:tcPr>
            <w:tcW w:w="20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(1,218)</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3,860</w:t>
            </w:r>
          </w:p>
        </w:tc>
      </w:tr>
      <w:tr>
        <w:trPr>
          <w:trHeight w:val="540"/>
        </w:trPr>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(6,305)</w:t>
            </w:r>
          </w:p>
        </w:tc>
        <w:tc>
          <w:tcPr>
            <w:tcW w:w="260" w:type="dxa"/>
            <w:vAlign w:val="bottom"/>
          </w:tcPr>
          <w:p>
            <w:pPr>
              <w:spacing w:after="0"/>
              <w:rPr>
                <w:sz w:val="24"/>
                <w:szCs w:val="24"/>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1,495</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(4,810)</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2,522</w:t>
            </w:r>
          </w:p>
        </w:tc>
        <w:tc>
          <w:tcPr>
            <w:tcW w:w="240" w:type="dxa"/>
            <w:vAlign w:val="bottom"/>
          </w:tcPr>
          <w:p>
            <w:pPr>
              <w:spacing w:after="0"/>
              <w:rPr>
                <w:sz w:val="24"/>
                <w:szCs w:val="24"/>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(238)</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2,284</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(6,430)</w:t>
            </w:r>
          </w:p>
        </w:tc>
        <w:tc>
          <w:tcPr>
            <w:tcW w:w="180" w:type="dxa"/>
            <w:vAlign w:val="bottom"/>
          </w:tcPr>
          <w:p>
            <w:pPr>
              <w:spacing w:after="0"/>
              <w:rPr>
                <w:sz w:val="24"/>
                <w:szCs w:val="24"/>
                <w:color w:val="auto"/>
              </w:rPr>
            </w:pP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1,342</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(5,088)</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3,857</w:t>
            </w:r>
          </w:p>
        </w:tc>
        <w:tc>
          <w:tcPr>
            <w:tcW w:w="200" w:type="dxa"/>
            <w:vAlign w:val="bottom"/>
          </w:tcPr>
          <w:p>
            <w:pPr>
              <w:spacing w:after="0"/>
              <w:rPr>
                <w:sz w:val="24"/>
                <w:szCs w:val="24"/>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(322)</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3,535</w:t>
            </w:r>
          </w:p>
        </w:tc>
      </w:tr>
      <w:tr>
        <w:trPr>
          <w:trHeight w:val="203"/>
        </w:trPr>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2,520</w:t>
            </w:r>
          </w:p>
        </w:tc>
        <w:tc>
          <w:tcPr>
            <w:tcW w:w="260" w:type="dxa"/>
            <w:vAlign w:val="bottom"/>
          </w:tcPr>
          <w:p>
            <w:pPr>
              <w:spacing w:after="0"/>
              <w:rPr>
                <w:sz w:val="17"/>
                <w:szCs w:val="17"/>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(549)</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1,971</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1,796</w:t>
            </w:r>
          </w:p>
        </w:tc>
        <w:tc>
          <w:tcPr>
            <w:tcW w:w="240" w:type="dxa"/>
            <w:vAlign w:val="bottom"/>
          </w:tcPr>
          <w:p>
            <w:pPr>
              <w:spacing w:after="0"/>
              <w:rPr>
                <w:sz w:val="17"/>
                <w:szCs w:val="17"/>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(213)</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1,583</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3,466</w:t>
            </w:r>
          </w:p>
        </w:tc>
        <w:tc>
          <w:tcPr>
            <w:tcW w:w="180" w:type="dxa"/>
            <w:vAlign w:val="bottom"/>
          </w:tcPr>
          <w:p>
            <w:pPr>
              <w:spacing w:after="0"/>
              <w:rPr>
                <w:sz w:val="17"/>
                <w:szCs w:val="17"/>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(641)</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2,825</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3,650</w:t>
            </w:r>
          </w:p>
        </w:tc>
        <w:tc>
          <w:tcPr>
            <w:tcW w:w="20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(968)</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-1013460</wp:posOffset>
            </wp:positionV>
            <wp:extent cx="7037705"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21463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-584835</wp:posOffset>
            </wp:positionV>
            <wp:extent cx="70377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128905"/>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-327660</wp:posOffset>
            </wp:positionV>
            <wp:extent cx="7037705" cy="21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7705" cy="214630"/>
                    </a:xfrm>
                    <a:prstGeom prst="rect">
                      <a:avLst/>
                    </a:prstGeom>
                    <a:noFill/>
                  </pic:spPr>
                </pic:pic>
              </a:graphicData>
            </a:graphic>
          </wp:anchor>
        </w:drawing>
      </w:r>
    </w:p>
    <w:p>
      <w:pPr>
        <w:spacing w:after="0" w:line="3" w:lineRule="exact"/>
        <w:rPr>
          <w:sz w:val="20"/>
          <w:szCs w:val="20"/>
          <w:color w:val="auto"/>
        </w:rPr>
      </w:pPr>
    </w:p>
    <w:p>
      <w:pPr>
        <w:sectPr>
          <w:pgSz w:w="11900" w:h="16838" w:orient="portrait"/>
          <w:cols w:equalWidth="0" w:num="2">
            <w:col w:w="2300" w:space="240"/>
            <w:col w:w="8560"/>
          </w:cols>
          <w:pgMar w:left="400" w:top="1251" w:right="399" w:bottom="1440" w:gutter="0" w:footer="0" w:header="0"/>
        </w:sectPr>
      </w:pPr>
    </w:p>
    <w:tbl>
      <w:tblPr>
        <w:tblLayout w:type="fixed"/>
        <w:tblInd w:w="0" w:type="dxa"/>
        <w:tblCellMar>
          <w:top w:w="0" w:type="dxa"/>
          <w:left w:w="0" w:type="dxa"/>
          <w:bottom w:w="0" w:type="dxa"/>
          <w:right w:w="0" w:type="dxa"/>
        </w:tblCellMar>
      </w:tblPr>
      <w:tr>
        <w:trPr>
          <w:trHeight w:val="137"/>
        </w:trPr>
        <w:tc>
          <w:tcPr>
            <w:tcW w:w="2540" w:type="dxa"/>
            <w:vAlign w:val="bottom"/>
            <w:tcBorders>
              <w:top w:val="single" w:sz="8" w:color="CCEEFF"/>
            </w:tcBorders>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Total other comprehensive income</w:t>
            </w:r>
          </w:p>
        </w:tc>
        <w:tc>
          <w:tcPr>
            <w:tcW w:w="58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u w:val="single" w:color="auto"/>
                <w:color w:val="auto"/>
                <w:w w:val="97"/>
              </w:rPr>
              <w:t>$</w:t>
            </w:r>
            <w:r>
              <w:rPr>
                <w:rFonts w:ascii="Times New Roman" w:cs="Times New Roman" w:eastAsia="Times New Roman" w:hAnsi="Times New Roman"/>
                <w:sz w:val="14"/>
                <w:szCs w:val="14"/>
                <w:color w:val="auto"/>
                <w:w w:val="97"/>
              </w:rPr>
              <w:t xml:space="preserve"> 20,717</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20,875</w:t>
            </w: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(19,703)</w:t>
            </w: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(1,075)</w:t>
            </w: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(20,778)</w:t>
            </w: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$ 34,279</w:t>
            </w: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(813)</w:t>
            </w: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33,466</w:t>
            </w: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(19,019)</w:t>
            </w: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(2,516)</w:t>
            </w: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(21,535)</w:t>
            </w:r>
          </w:p>
        </w:tc>
        <w:tc>
          <w:tcPr>
            <w:tcW w:w="0" w:type="dxa"/>
            <w:vAlign w:val="bottom"/>
          </w:tcPr>
          <w:p>
            <w:pPr>
              <w:spacing w:after="0"/>
              <w:rPr>
                <w:sz w:val="1"/>
                <w:szCs w:val="1"/>
                <w:color w:val="auto"/>
              </w:rPr>
            </w:pPr>
          </w:p>
        </w:tc>
      </w:tr>
      <w:tr>
        <w:trPr>
          <w:trHeight w:val="233"/>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net of tax</w:t>
            </w: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5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5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$ 83,594</w:t>
            </w:r>
          </w:p>
        </w:tc>
        <w:tc>
          <w:tcPr>
            <w:tcW w:w="80" w:type="dxa"/>
            <w:vAlign w:val="bottom"/>
            <w:tcBorders>
              <w:top w:val="single" w:sz="8" w:color="CCEEFF"/>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99"/>
              </w:rPr>
              <w:t>$ 160,116</w:t>
            </w:r>
          </w:p>
        </w:tc>
        <w:tc>
          <w:tcPr>
            <w:tcW w:w="80" w:type="dxa"/>
            <w:vAlign w:val="bottom"/>
            <w:tcBorders>
              <w:top w:val="single" w:sz="8" w:color="CCEEFF"/>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96"/>
              </w:rPr>
              <w:t>$ 320,388</w:t>
            </w:r>
          </w:p>
        </w:tc>
        <w:tc>
          <w:tcPr>
            <w:tcW w:w="80" w:type="dxa"/>
            <w:vAlign w:val="bottom"/>
            <w:tcBorders>
              <w:top w:val="single" w:sz="8" w:color="CCEEFF"/>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99"/>
              </w:rPr>
              <w:t>$ 956,812</w:t>
            </w: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294005</wp:posOffset>
            </wp:positionV>
            <wp:extent cx="19685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420"/>
        <w:spacing w:after="0"/>
        <w:tabs>
          <w:tab w:leader="none" w:pos="378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342265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251" w:right="399" w:bottom="1440" w:gutter="0" w:footer="0" w:header="0"/>
          <w:type w:val="continuous"/>
        </w:sectPr>
      </w:pPr>
    </w:p>
    <w:bookmarkStart w:id="4" w:name="page5"/>
    <w:bookmarkEnd w:id="4"/>
    <w:tbl>
      <w:tblPr>
        <w:tblLayout w:type="fixed"/>
        <w:tblInd w:w="200" w:type="dxa"/>
        <w:tblCellMar>
          <w:top w:w="0" w:type="dxa"/>
          <w:left w:w="0" w:type="dxa"/>
          <w:bottom w:w="0" w:type="dxa"/>
          <w:right w:w="0" w:type="dxa"/>
        </w:tblCellMar>
      </w:tblPr>
      <w:tr>
        <w:trPr>
          <w:trHeight w:val="229"/>
        </w:trPr>
        <w:tc>
          <w:tcPr>
            <w:tcW w:w="6720" w:type="dxa"/>
            <w:vAlign w:val="bottom"/>
          </w:tcPr>
          <w:p>
            <w:pPr>
              <w:jc w:val="center"/>
              <w:ind w:left="4110"/>
              <w:spacing w:after="0"/>
              <w:rPr>
                <w:sz w:val="20"/>
                <w:szCs w:val="20"/>
                <w:color w:val="auto"/>
              </w:rPr>
            </w:pPr>
            <w:r>
              <w:rPr>
                <w:rFonts w:ascii="Times New Roman" w:cs="Times New Roman" w:eastAsia="Times New Roman" w:hAnsi="Times New Roman"/>
                <w:sz w:val="18"/>
                <w:szCs w:val="18"/>
                <w:b w:val="1"/>
                <w:bCs w:val="1"/>
                <w:color w:val="auto"/>
                <w:w w:val="99"/>
              </w:rPr>
              <w:t>THE HERSHEY COMPANY</w:t>
            </w:r>
          </w:p>
        </w:tc>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140" w:type="dxa"/>
            <w:vAlign w:val="bottom"/>
            <w:gridSpan w:val="2"/>
          </w:tcPr>
          <w:p>
            <w:pPr>
              <w:jc w:val="center"/>
              <w:ind w:left="36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20" w:type="dxa"/>
            <w:vAlign w:val="bottom"/>
          </w:tcPr>
          <w:p>
            <w:pPr>
              <w:jc w:val="center"/>
              <w:ind w:left="411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4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29, 2025</w:t>
            </w:r>
          </w:p>
        </w:tc>
        <w:tc>
          <w:tcPr>
            <w:tcW w:w="220" w:type="dxa"/>
            <w:vAlign w:val="bottom"/>
          </w:tcPr>
          <w:p>
            <w:pPr>
              <w:spacing w:after="0"/>
              <w:rPr>
                <w:sz w:val="23"/>
                <w:szCs w:val="23"/>
                <w:color w:val="auto"/>
              </w:rPr>
            </w:pPr>
          </w:p>
        </w:tc>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730,746</w:t>
            </w:r>
          </w:p>
        </w:tc>
        <w:tc>
          <w:tcPr>
            <w:tcW w:w="0" w:type="dxa"/>
            <w:vAlign w:val="bottom"/>
          </w:tcPr>
          <w:p>
            <w:pPr>
              <w:spacing w:after="0"/>
              <w:rPr>
                <w:sz w:val="1"/>
                <w:szCs w:val="1"/>
                <w:color w:val="auto"/>
              </w:rPr>
            </w:pPr>
          </w:p>
        </w:tc>
      </w:tr>
      <w:tr>
        <w:trPr>
          <w:trHeight w:val="229"/>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receivable—trade, net</w:t>
            </w: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820,220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800,402</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1,842,295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1,254,094</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850,693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974,215</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4,425,553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3,759,457</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3,442,194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3,458,853</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2,713,018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2,705,753</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intangibles</w:t>
            </w: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1,912,610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1,873,866</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1,111,333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1,111,867</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41,029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37,065</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13,645,737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12,946,861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1,450,549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1,159,177</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875,974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807,341</w:t>
            </w:r>
          </w:p>
        </w:tc>
        <w:tc>
          <w:tcPr>
            <w:tcW w:w="0" w:type="dxa"/>
            <w:vAlign w:val="bottom"/>
          </w:tcPr>
          <w:p>
            <w:pPr>
              <w:spacing w:after="0"/>
              <w:rPr>
                <w:sz w:val="1"/>
                <w:szCs w:val="1"/>
                <w:color w:val="auto"/>
              </w:rPr>
            </w:pPr>
          </w:p>
        </w:tc>
      </w:tr>
      <w:tr>
        <w:trPr>
          <w:trHeight w:val="230"/>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income taxes</w:t>
            </w: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51,036</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Short-term debt</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1,306,976</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604,965</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2,893,307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3,929,495</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5,176,436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3,190,210</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688,259</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424,243</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9,131,119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8,232,207</w:t>
            </w: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Hershey Company stockholders’ equity</w:t>
            </w:r>
          </w:p>
        </w:tc>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Preferred stock, shares issued: none in 2025 and 2024</w:t>
            </w:r>
          </w:p>
        </w:tc>
        <w:tc>
          <w:tcPr>
            <w:tcW w:w="4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 shares issued: 166,939,511 at June 29, 2025 and December 31, 2024</w:t>
            </w: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166,939</w:t>
            </w:r>
          </w:p>
        </w:tc>
        <w:tc>
          <w:tcPr>
            <w:tcW w:w="0" w:type="dxa"/>
            <w:vAlign w:val="bottom"/>
          </w:tcPr>
          <w:p>
            <w:pPr>
              <w:spacing w:after="0"/>
              <w:rPr>
                <w:sz w:val="1"/>
                <w:szCs w:val="1"/>
                <w:color w:val="auto"/>
              </w:rPr>
            </w:pPr>
          </w:p>
        </w:tc>
      </w:tr>
      <w:tr>
        <w:trPr>
          <w:trHeight w:val="175"/>
        </w:trPr>
        <w:tc>
          <w:tcPr>
            <w:tcW w:w="67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B common stock, shares issued: 54,613,514 at June 29, 2025 and December 31,</w:t>
            </w:r>
          </w:p>
        </w:tc>
        <w:tc>
          <w:tcPr>
            <w:tcW w:w="4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54,614</w:t>
            </w:r>
          </w:p>
        </w:tc>
        <w:tc>
          <w:tcPr>
            <w:tcW w:w="0" w:type="dxa"/>
            <w:vAlign w:val="bottom"/>
          </w:tcPr>
          <w:p>
            <w:pPr>
              <w:spacing w:after="0"/>
              <w:rPr>
                <w:sz w:val="1"/>
                <w:szCs w:val="1"/>
                <w:color w:val="auto"/>
              </w:rPr>
            </w:pPr>
          </w:p>
        </w:tc>
      </w:tr>
      <w:tr>
        <w:trPr>
          <w:trHeight w:val="230"/>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1,387,873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1,377,226</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5,442,869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5,698,316</w:t>
            </w:r>
          </w:p>
        </w:tc>
        <w:tc>
          <w:tcPr>
            <w:tcW w:w="0" w:type="dxa"/>
            <w:vAlign w:val="bottom"/>
          </w:tcPr>
          <w:p>
            <w:pPr>
              <w:spacing w:after="0"/>
              <w:rPr>
                <w:sz w:val="1"/>
                <w:szCs w:val="1"/>
                <w:color w:val="auto"/>
              </w:rPr>
            </w:pPr>
          </w:p>
        </w:tc>
      </w:tr>
      <w:tr>
        <w:trPr>
          <w:trHeight w:val="175"/>
        </w:trPr>
        <w:tc>
          <w:tcPr>
            <w:tcW w:w="67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Treasury—common stock shares, at cost: 18,898,434 at June 29, 2025 and 19,169,956</w:t>
            </w: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at December 31, 2024</w:t>
            </w:r>
          </w:p>
        </w:tc>
        <w:tc>
          <w:tcPr>
            <w:tcW w:w="4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(2,267,253)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(2,278,551)</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(270,424)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(303,890)</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4,514,618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4,714,654</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13,645,737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12,946,861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294005</wp:posOffset>
            </wp:positionV>
            <wp:extent cx="19685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tabs>
          <w:tab w:leader="none" w:pos="384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342265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51" w:right="359" w:bottom="1440" w:gutter="0" w:footer="0" w:header="0"/>
        </w:sectPr>
      </w:pPr>
    </w:p>
    <w:bookmarkStart w:id="5" w:name="page6"/>
    <w:bookmarkEnd w:id="5"/>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4"/>
          </w:tcPr>
          <w:p>
            <w:pPr>
              <w:jc w:val="right"/>
              <w:ind w:right="125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1"/>
        </w:trPr>
        <w:tc>
          <w:tcPr>
            <w:tcW w:w="7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80" w:type="dxa"/>
            <w:vAlign w:val="bottom"/>
          </w:tcPr>
          <w:p>
            <w:pPr>
              <w:spacing w:after="0"/>
              <w:rPr>
                <w:sz w:val="18"/>
                <w:szCs w:val="18"/>
                <w:color w:val="auto"/>
              </w:rPr>
            </w:pPr>
          </w:p>
        </w:tc>
        <w:tc>
          <w:tcPr>
            <w:tcW w:w="16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0" w:type="dxa"/>
            <w:vAlign w:val="bottom"/>
          </w:tcPr>
          <w:p>
            <w:pPr>
              <w:spacing w:after="0"/>
              <w:rPr>
                <w:sz w:val="1"/>
                <w:szCs w:val="1"/>
                <w:color w:val="auto"/>
              </w:rPr>
            </w:pPr>
          </w:p>
        </w:tc>
      </w:tr>
      <w:tr>
        <w:trPr>
          <w:trHeight w:val="198"/>
        </w:trPr>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8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286,922</w:t>
            </w:r>
          </w:p>
        </w:tc>
        <w:tc>
          <w:tcPr>
            <w:tcW w:w="12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978,347</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243,397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218,185</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0" w:type="dxa"/>
            <w:vAlign w:val="bottom"/>
          </w:tcPr>
          <w:p>
            <w:pPr>
              <w:spacing w:after="0"/>
              <w:rPr>
                <w:sz w:val="1"/>
                <w:szCs w:val="1"/>
                <w:color w:val="auto"/>
              </w:rPr>
            </w:pPr>
          </w:p>
        </w:tc>
      </w:tr>
      <w:tr>
        <w:trPr>
          <w:trHeight w:val="213"/>
        </w:trPr>
        <w:tc>
          <w:tcPr>
            <w:tcW w:w="70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(16,704)</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Write-down of equity investments</w:t>
            </w:r>
          </w:p>
        </w:tc>
        <w:tc>
          <w:tcPr>
            <w:tcW w:w="2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31,391</w:t>
            </w:r>
          </w:p>
        </w:tc>
        <w:tc>
          <w:tcPr>
            <w:tcW w:w="0" w:type="dxa"/>
            <w:vAlign w:val="bottom"/>
          </w:tcPr>
          <w:p>
            <w:pPr>
              <w:spacing w:after="0"/>
              <w:rPr>
                <w:sz w:val="1"/>
                <w:szCs w:val="1"/>
                <w:color w:val="auto"/>
              </w:rPr>
            </w:pPr>
          </w:p>
        </w:tc>
      </w:tr>
      <w:tr>
        <w:trPr>
          <w:trHeight w:val="213"/>
        </w:trPr>
        <w:tc>
          <w:tcPr>
            <w:tcW w:w="70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Unrealized losses (gains) on derivative contracts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464,739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(191,142)</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35,235</w:t>
            </w:r>
          </w:p>
        </w:tc>
        <w:tc>
          <w:tcPr>
            <w:tcW w:w="0" w:type="dxa"/>
            <w:vAlign w:val="bottom"/>
          </w:tcPr>
          <w:p>
            <w:pPr>
              <w:spacing w:after="0"/>
              <w:rPr>
                <w:sz w:val="1"/>
                <w:szCs w:val="1"/>
                <w:color w:val="auto"/>
              </w:rPr>
            </w:pPr>
          </w:p>
        </w:tc>
      </w:tr>
      <w:tr>
        <w:trPr>
          <w:trHeight w:val="213"/>
        </w:trPr>
        <w:tc>
          <w:tcPr>
            <w:tcW w:w="70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Changes in assets and liabilities, net of business acquisition:</w:t>
            </w: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Accounts receivable—trade, net</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(33,051)</w:t>
            </w:r>
          </w:p>
        </w:tc>
        <w:tc>
          <w:tcPr>
            <w:tcW w:w="0" w:type="dxa"/>
            <w:vAlign w:val="bottom"/>
          </w:tcPr>
          <w:p>
            <w:pPr>
              <w:spacing w:after="0"/>
              <w:rPr>
                <w:sz w:val="1"/>
                <w:szCs w:val="1"/>
                <w:color w:val="auto"/>
              </w:rPr>
            </w:pPr>
          </w:p>
        </w:tc>
      </w:tr>
      <w:tr>
        <w:trPr>
          <w:trHeight w:val="213"/>
        </w:trPr>
        <w:tc>
          <w:tcPr>
            <w:tcW w:w="70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(576,571)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(128,122)</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(447,678)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(90,937)</w:t>
            </w:r>
          </w:p>
        </w:tc>
        <w:tc>
          <w:tcPr>
            <w:tcW w:w="0" w:type="dxa"/>
            <w:vAlign w:val="bottom"/>
          </w:tcPr>
          <w:p>
            <w:pPr>
              <w:spacing w:after="0"/>
              <w:rPr>
                <w:sz w:val="1"/>
                <w:szCs w:val="1"/>
                <w:color w:val="auto"/>
              </w:rPr>
            </w:pPr>
          </w:p>
        </w:tc>
      </w:tr>
      <w:tr>
        <w:trPr>
          <w:trHeight w:val="213"/>
        </w:trPr>
        <w:tc>
          <w:tcPr>
            <w:tcW w:w="70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382,684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19,944</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Accrued income taxes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63,555</w:t>
            </w:r>
          </w:p>
        </w:tc>
        <w:tc>
          <w:tcPr>
            <w:tcW w:w="0" w:type="dxa"/>
            <w:vAlign w:val="bottom"/>
          </w:tcPr>
          <w:p>
            <w:pPr>
              <w:spacing w:after="0"/>
              <w:rPr>
                <w:sz w:val="1"/>
                <w:szCs w:val="1"/>
                <w:color w:val="auto"/>
              </w:rPr>
            </w:pPr>
          </w:p>
        </w:tc>
      </w:tr>
      <w:tr>
        <w:trPr>
          <w:trHeight w:val="213"/>
        </w:trPr>
        <w:tc>
          <w:tcPr>
            <w:tcW w:w="70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Contributions to pension and other benefit plans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(5,468)</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(48,147)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(3,993)</w:t>
            </w:r>
          </w:p>
        </w:tc>
        <w:tc>
          <w:tcPr>
            <w:tcW w:w="0" w:type="dxa"/>
            <w:vAlign w:val="bottom"/>
          </w:tcPr>
          <w:p>
            <w:pPr>
              <w:spacing w:after="0"/>
              <w:rPr>
                <w:sz w:val="1"/>
                <w:szCs w:val="1"/>
                <w:color w:val="auto"/>
              </w:rPr>
            </w:pPr>
          </w:p>
        </w:tc>
      </w:tr>
      <w:tr>
        <w:trPr>
          <w:trHeight w:val="207"/>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508,898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894,740</w:t>
            </w:r>
          </w:p>
        </w:tc>
        <w:tc>
          <w:tcPr>
            <w:tcW w:w="0" w:type="dxa"/>
            <w:vAlign w:val="bottom"/>
          </w:tcPr>
          <w:p>
            <w:pPr>
              <w:spacing w:after="0"/>
              <w:rPr>
                <w:sz w:val="1"/>
                <w:szCs w:val="1"/>
                <w:color w:val="auto"/>
              </w:rPr>
            </w:pPr>
          </w:p>
        </w:tc>
      </w:tr>
      <w:tr>
        <w:trPr>
          <w:trHeight w:val="199"/>
        </w:trPr>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Capital additions (including software)</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(230,615)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(343,457)</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Receipts (payments) related to equity investments in tax credit qualifying partnerships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(46,053)</w:t>
            </w:r>
          </w:p>
        </w:tc>
        <w:tc>
          <w:tcPr>
            <w:tcW w:w="0" w:type="dxa"/>
            <w:vAlign w:val="bottom"/>
          </w:tcPr>
          <w:p>
            <w:pPr>
              <w:spacing w:after="0"/>
              <w:rPr>
                <w:sz w:val="1"/>
                <w:szCs w:val="1"/>
                <w:color w:val="auto"/>
              </w:rPr>
            </w:pPr>
          </w:p>
        </w:tc>
      </w:tr>
      <w:tr>
        <w:trPr>
          <w:trHeight w:val="213"/>
        </w:trPr>
        <w:tc>
          <w:tcPr>
            <w:tcW w:w="7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07"/>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(301,781)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(389,732)</w:t>
            </w:r>
          </w:p>
        </w:tc>
        <w:tc>
          <w:tcPr>
            <w:tcW w:w="0" w:type="dxa"/>
            <w:vAlign w:val="bottom"/>
          </w:tcPr>
          <w:p>
            <w:pPr>
              <w:spacing w:after="0"/>
              <w:rPr>
                <w:sz w:val="1"/>
                <w:szCs w:val="1"/>
                <w:color w:val="auto"/>
              </w:rPr>
            </w:pPr>
          </w:p>
        </w:tc>
      </w:tr>
      <w:tr>
        <w:trPr>
          <w:trHeight w:val="199"/>
        </w:trPr>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(decrease) increase in short-term debt</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(1,151,638)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609,999</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Long-term borrowings, net of debt issuance costs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1,984,545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Repayment of long-term debt and finance leases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(303,317)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(3,029)</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Cash dividends paid</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(542,825)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(543,926)</w:t>
            </w:r>
          </w:p>
        </w:tc>
        <w:tc>
          <w:tcPr>
            <w:tcW w:w="0" w:type="dxa"/>
            <w:vAlign w:val="bottom"/>
          </w:tcPr>
          <w:p>
            <w:pPr>
              <w:spacing w:after="0"/>
              <w:rPr>
                <w:sz w:val="1"/>
                <w:szCs w:val="1"/>
                <w:color w:val="auto"/>
              </w:rPr>
            </w:pPr>
          </w:p>
        </w:tc>
      </w:tr>
      <w:tr>
        <w:trPr>
          <w:trHeight w:val="213"/>
        </w:trPr>
        <w:tc>
          <w:tcPr>
            <w:tcW w:w="7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8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(494,191)</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Proceeds from exercised stock options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8,285</w:t>
            </w:r>
          </w:p>
        </w:tc>
        <w:tc>
          <w:tcPr>
            <w:tcW w:w="0" w:type="dxa"/>
            <w:vAlign w:val="bottom"/>
          </w:tcPr>
          <w:p>
            <w:pPr>
              <w:spacing w:after="0"/>
              <w:rPr>
                <w:sz w:val="1"/>
                <w:szCs w:val="1"/>
                <w:color w:val="auto"/>
              </w:rPr>
            </w:pPr>
          </w:p>
        </w:tc>
      </w:tr>
      <w:tr>
        <w:trPr>
          <w:trHeight w:val="213"/>
        </w:trPr>
        <w:tc>
          <w:tcPr>
            <w:tcW w:w="70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Taxes withheld and paid on employee stock awards</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(16,197)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(30,012)</w:t>
            </w: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(452,874)</w:t>
            </w:r>
          </w:p>
        </w:tc>
        <w:tc>
          <w:tcPr>
            <w:tcW w:w="0" w:type="dxa"/>
            <w:vAlign w:val="bottom"/>
          </w:tcPr>
          <w:p>
            <w:pPr>
              <w:spacing w:after="0"/>
              <w:rPr>
                <w:sz w:val="1"/>
                <w:szCs w:val="1"/>
                <w:color w:val="auto"/>
              </w:rPr>
            </w:pPr>
          </w:p>
        </w:tc>
      </w:tr>
      <w:tr>
        <w:trPr>
          <w:trHeight w:val="207"/>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13,022</w:t>
            </w: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181,599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65,156</w:t>
            </w:r>
          </w:p>
        </w:tc>
        <w:tc>
          <w:tcPr>
            <w:tcW w:w="0" w:type="dxa"/>
            <w:vAlign w:val="bottom"/>
          </w:tcPr>
          <w:p>
            <w:pPr>
              <w:spacing w:after="0"/>
              <w:rPr>
                <w:sz w:val="1"/>
                <w:szCs w:val="1"/>
                <w:color w:val="auto"/>
              </w:rPr>
            </w:pPr>
          </w:p>
        </w:tc>
      </w:tr>
      <w:tr>
        <w:trPr>
          <w:trHeight w:val="213"/>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730,746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401,902</w:t>
            </w:r>
          </w:p>
        </w:tc>
        <w:tc>
          <w:tcPr>
            <w:tcW w:w="0" w:type="dxa"/>
            <w:vAlign w:val="bottom"/>
          </w:tcPr>
          <w:p>
            <w:pPr>
              <w:spacing w:after="0"/>
              <w:rPr>
                <w:sz w:val="1"/>
                <w:szCs w:val="1"/>
                <w:color w:val="auto"/>
              </w:rPr>
            </w:pPr>
          </w:p>
        </w:tc>
      </w:tr>
      <w:tr>
        <w:trPr>
          <w:trHeight w:val="237"/>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912,345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467,058</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Supplemental Disclosure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0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92,348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87,527</w:t>
            </w:r>
          </w:p>
        </w:tc>
        <w:tc>
          <w:tcPr>
            <w:tcW w:w="0" w:type="dxa"/>
            <w:vAlign w:val="bottom"/>
          </w:tcPr>
          <w:p>
            <w:pPr>
              <w:spacing w:after="0"/>
              <w:rPr>
                <w:sz w:val="1"/>
                <w:szCs w:val="1"/>
                <w:color w:val="auto"/>
              </w:rPr>
            </w:pPr>
          </w:p>
        </w:tc>
      </w:tr>
      <w:tr>
        <w:trPr>
          <w:trHeight w:val="210"/>
        </w:trPr>
        <w:tc>
          <w:tcPr>
            <w:tcW w:w="7060" w:type="dxa"/>
            <w:vAlign w:val="bottom"/>
          </w:tcPr>
          <w:p>
            <w:pPr>
              <w:spacing w:after="0"/>
              <w:rPr>
                <w:sz w:val="20"/>
                <w:szCs w:val="20"/>
                <w:color w:val="auto"/>
              </w:rPr>
            </w:pPr>
            <w:r>
              <w:rPr>
                <w:rFonts w:ascii="Times New Roman" w:cs="Times New Roman" w:eastAsia="Times New Roman" w:hAnsi="Times New Roman"/>
                <w:sz w:val="16"/>
                <w:szCs w:val="16"/>
                <w:color w:val="auto"/>
              </w:rPr>
              <w:t>Income taxes paid</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165,530</w:t>
            </w:r>
          </w:p>
        </w:tc>
        <w:tc>
          <w:tcPr>
            <w:tcW w:w="0" w:type="dxa"/>
            <w:vAlign w:val="bottom"/>
          </w:tcPr>
          <w:p>
            <w:pPr>
              <w:spacing w:after="0"/>
              <w:rPr>
                <w:sz w:val="1"/>
                <w:szCs w:val="1"/>
                <w:color w:val="auto"/>
              </w:rPr>
            </w:pPr>
          </w:p>
        </w:tc>
      </w:tr>
    </w:tbl>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294005</wp:posOffset>
            </wp:positionV>
            <wp:extent cx="19685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tabs>
          <w:tab w:leader="none" w:pos="384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342265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251" w:right="4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HERSHEY COMPANY</w:t>
      </w:r>
    </w:p>
    <w:p>
      <w:pPr>
        <w:jc w:val="center"/>
        <w:ind w:right="-119"/>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jc w:val="center"/>
        <w:ind w:right="-119"/>
        <w:spacing w:after="0" w:line="203" w:lineRule="auto"/>
        <w:rPr>
          <w:sz w:val="20"/>
          <w:szCs w:val="20"/>
          <w:color w:val="auto"/>
        </w:rPr>
      </w:pPr>
      <w:r>
        <w:rPr>
          <w:rFonts w:ascii="Times New Roman" w:cs="Times New Roman" w:eastAsia="Times New Roman" w:hAnsi="Times New Roman"/>
          <w:sz w:val="18"/>
          <w:szCs w:val="18"/>
          <w:b w:val="1"/>
          <w:bCs w:val="1"/>
          <w:color w:val="auto"/>
        </w:rPr>
        <w:t>For the Three Months Ended June 29, 2025 and June 30, 2024</w:t>
      </w:r>
    </w:p>
    <w:p>
      <w:pPr>
        <w:ind w:left="5140"/>
        <w:spacing w:after="0" w:line="204" w:lineRule="auto"/>
        <w:rPr>
          <w:sz w:val="20"/>
          <w:szCs w:val="20"/>
          <w:color w:val="auto"/>
        </w:rPr>
      </w:pPr>
      <w:r>
        <w:rPr>
          <w:rFonts w:ascii="Times New Roman" w:cs="Times New Roman" w:eastAsia="Times New Roman" w:hAnsi="Times New Roman"/>
          <w:sz w:val="18"/>
          <w:szCs w:val="18"/>
          <w:b w:val="1"/>
          <w:bCs w:val="1"/>
          <w:color w:val="auto"/>
        </w:rPr>
        <w:t>(in thousands)</w:t>
      </w: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 w:type="dxa"/>
            <w:vAlign w:val="bottom"/>
          </w:tcPr>
          <w:p>
            <w:pPr>
              <w:spacing w:after="0"/>
              <w:rPr>
                <w:sz w:val="13"/>
                <w:szCs w:val="13"/>
                <w:color w:val="auto"/>
              </w:rPr>
            </w:pPr>
          </w:p>
        </w:tc>
        <w:tc>
          <w:tcPr>
            <w:tcW w:w="94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6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80" w:type="dxa"/>
            <w:vAlign w:val="bottom"/>
          </w:tcPr>
          <w:p>
            <w:pPr>
              <w:spacing w:after="0"/>
              <w:rPr>
                <w:sz w:val="17"/>
                <w:szCs w:val="17"/>
                <w:color w:val="auto"/>
              </w:rPr>
            </w:pP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March 30, 2025</w:t>
            </w: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1,372,137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5,652,065</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(2,269,560)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(291,299)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4,684,896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62,719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62,719</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Dividends (including dividend equivalents):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Common Stock, $1.370 per share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(203,921)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(203,921)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Class B Common Stock, $1.245 per share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(67,994)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(67,994)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17,555</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Exercise of stock options and incentive-based transactions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2,307</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June 29, 2025</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1,387,873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5,442,869</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(2,267,253)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(270,424)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4,514,618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 w:type="dxa"/>
            <w:vAlign w:val="bottom"/>
          </w:tcPr>
          <w:p>
            <w:pPr>
              <w:spacing w:after="0"/>
              <w:rPr>
                <w:sz w:val="24"/>
                <w:szCs w:val="24"/>
                <w:color w:val="auto"/>
              </w:rPr>
            </w:pPr>
          </w:p>
        </w:tc>
        <w:tc>
          <w:tcPr>
            <w:tcW w:w="9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4"/>
                <w:szCs w:val="24"/>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80" w:type="dxa"/>
            <w:vAlign w:val="bottom"/>
          </w:tcPr>
          <w:p>
            <w:pPr>
              <w:spacing w:after="0"/>
              <w:rPr>
                <w:sz w:val="17"/>
                <w:szCs w:val="17"/>
                <w:color w:val="auto"/>
              </w:rPr>
            </w:pP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1,315,813</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5,087,126</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(2,285,370)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(230,835)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4,108,287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180,894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180,894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(20,778)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(20,778)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(including dividend equivalents):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Common Stock, $1.370 per share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(202,757)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(202,757)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Class B Common Stock, $1.245 per share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(67,994)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 and incentive-based transactions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 (including excise tax)</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1,325,876</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4,997,269</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(2,283,219)</w:t>
            </w:r>
          </w:p>
        </w:tc>
        <w:tc>
          <w:tcPr>
            <w:tcW w:w="8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(251,613)</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4,009,866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951230</wp:posOffset>
            </wp:positionV>
            <wp:extent cx="19685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50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jc w:val="center"/>
        <w:ind w:right="-119"/>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jc w:val="center"/>
        <w:ind w:right="-119"/>
        <w:spacing w:after="0" w:line="203" w:lineRule="auto"/>
        <w:rPr>
          <w:sz w:val="20"/>
          <w:szCs w:val="20"/>
          <w:color w:val="auto"/>
        </w:rPr>
      </w:pPr>
      <w:r>
        <w:rPr>
          <w:rFonts w:ascii="Times New Roman" w:cs="Times New Roman" w:eastAsia="Times New Roman" w:hAnsi="Times New Roman"/>
          <w:sz w:val="18"/>
          <w:szCs w:val="18"/>
          <w:b w:val="1"/>
          <w:bCs w:val="1"/>
          <w:color w:val="auto"/>
        </w:rPr>
        <w:t>For the Six Months Ended June 29, 2025 and June 30, 2024</w:t>
      </w:r>
    </w:p>
    <w:p>
      <w:pPr>
        <w:ind w:left="5140"/>
        <w:spacing w:after="0" w:line="204" w:lineRule="auto"/>
        <w:rPr>
          <w:sz w:val="20"/>
          <w:szCs w:val="20"/>
          <w:color w:val="auto"/>
        </w:rPr>
      </w:pPr>
      <w:r>
        <w:rPr>
          <w:rFonts w:ascii="Times New Roman" w:cs="Times New Roman" w:eastAsia="Times New Roman" w:hAnsi="Times New Roman"/>
          <w:sz w:val="18"/>
          <w:szCs w:val="18"/>
          <w:b w:val="1"/>
          <w:bCs w:val="1"/>
          <w:color w:val="auto"/>
        </w:rPr>
        <w:t>(in thousands)</w:t>
      </w: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40" w:type="dxa"/>
            <w:vAlign w:val="bottom"/>
            <w:tcBorders>
              <w:bottom w:val="single" w:sz="8" w:color="CCEEFF"/>
            </w:tcBorders>
          </w:tcPr>
          <w:p>
            <w:pPr>
              <w:spacing w:after="0"/>
              <w:rPr>
                <w:sz w:val="17"/>
                <w:szCs w:val="17"/>
                <w:color w:val="auto"/>
              </w:rPr>
            </w:pPr>
          </w:p>
        </w:tc>
        <w:tc>
          <w:tcPr>
            <w:tcW w:w="35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1,377,226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5,698,316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(2,278,551)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(303,890)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4,714,654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286,922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286,922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33,466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(including dividend equivalents):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 $2.740 per share</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(406,381)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(406,381)</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Class B Common Stock, $2.490 per share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(135,988)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(135,988)</w:t>
            </w:r>
          </w:p>
        </w:tc>
        <w:tc>
          <w:tcPr>
            <w:tcW w:w="0" w:type="dxa"/>
            <w:vAlign w:val="bottom"/>
          </w:tcPr>
          <w:p>
            <w:pPr>
              <w:spacing w:after="0"/>
              <w:rPr>
                <w:sz w:val="1"/>
                <w:szCs w:val="1"/>
                <w:color w:val="auto"/>
              </w:rPr>
            </w:pPr>
          </w:p>
        </w:tc>
      </w:tr>
      <w:tr>
        <w:trPr>
          <w:trHeight w:val="21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31,202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Exercise of stock options and incentive-based transactions</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(20,555)</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11,298</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(9,257)</w:t>
            </w:r>
          </w:p>
        </w:tc>
        <w:tc>
          <w:tcPr>
            <w:tcW w:w="0" w:type="dxa"/>
            <w:vAlign w:val="bottom"/>
          </w:tcPr>
          <w:p>
            <w:pPr>
              <w:spacing w:after="0"/>
              <w:rPr>
                <w:sz w:val="1"/>
                <w:szCs w:val="1"/>
                <w:color w:val="auto"/>
              </w:rPr>
            </w:pPr>
          </w:p>
        </w:tc>
      </w:tr>
      <w:tr>
        <w:trPr>
          <w:trHeight w:val="228"/>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29, 2025</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1,387,873</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5,442,869</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(2,267,253)</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(270,424)</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4,514,618</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1040" w:type="dxa"/>
            <w:vAlign w:val="bottom"/>
            <w:gridSpan w:val="4"/>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1,345,580</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4,562,263</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(1,800,232)</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(230,078)</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4,099,086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978,347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978,347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(21,535)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(including dividend equivalents):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Common Stock, $2.740 per share</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(407,353)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(407,353)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Class B Common Stock, $2.490 per share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(135,988)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(135,988)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 and incentive-based transactions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(37,713)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(21,727)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 (including excise tax)</w:t>
            </w: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(498,973)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(498,973)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4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1,325,876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4,997,269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(2,283,219)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(251,613)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4,009,866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440055</wp:posOffset>
            </wp:positionV>
            <wp:extent cx="19685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50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unaudited consolidated financial statements provided in this report include the accounts of The Hershey Company (the “Company,” “Hershey,” “we” or “us”) and our majority-owned subsidiaries and entities in which we have a controlling financial interest after the elimination of intercompany accounts and transactions. We have a controlling financial interest if we own a majority of the outstanding voting common stock and minority shareholders do not have substantive participating rights, we have significant control through contractual or economic interests in which we are the primary beneficiary or we have the power to direct the activities that most significantly impact the entity’s economic performance. We use the equity method of accounting when we have a 20% to 50% interest in other companies and exercise significant influence. Other investments that are not controlled, and over which we do not have the ability to exercise significant influence, are accounted for under the cost method. Both equity method investments and cost, less impairment, investments are included as Other non-current assets in the Consolidated Balance Sheets.</w:t>
      </w:r>
    </w:p>
    <w:p>
      <w:pPr>
        <w:spacing w:after="0" w:line="13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financial statements have been prepared in accordance with accounting principles generally accepted in the United States of America (“GAAP”) for interim financial reporting and with the rules and regulations for reporting on Form 10-Q. Accordingly, they do not contain certain information and disclosures required by GAAP for comprehensive financial statements. The financial statements reflect all adjustments (consisting of normal recurring adjustments) which are, in our opinion, necessary for a fair presentation of the results of operations, financial position, and cash flows for the indicated periods.</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Operating results for the quarter ended June 29, 2025 may not be indicative of the results that may be expected for the year ending December 31, 2025 because of seasonal effects on our business. These financial statements should be read in conjunction with our Annual Report on Form 10-K for the year ended December 31, 2024 (our “2024 Annual Report on Form 10-K”), which provides a more complete understanding of our accounting policies, financial position, operating results and other matters.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No.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This ASU requires disclosure of significant segment expenses that are regularly provided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chief operating decision maker (“CODM”), an amount for other segment items with a description of the composition, and disclosure of the title and position of the CODM. ASU 2023-07 is effective for annual periods beginning after December 15, 2023 and interim periods within fiscal years beginning after December 15, 2024. We adopted the provisions of this ASU in the fourth quarter of 2024 and applied the provisions retrospectively to each period presented in the consolidated financial statements. Adoption of the new standard did not have a material impact on our consolidated financial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ASU requires public business entities on an annual basis to disclose specific categories in a tabular rate reconciliation and provide additional information for reconciling items that meet a five percent quantitative threshold. Additionally, the ASU requires all entities to disclose the amount of income taxes paid disaggregated by federal, state, and foreign taxes, as well as individual jurisdictions where income taxes paid are equal to or greater than five percent of total income taxes paid. ASU 2023-09 is effective for annual periods beginning after December 15, 2024. Early adoption is permitted and the update should be applied on a prospective basis, with a retrospective application permitted in the financial statements. We are currently evaluating the impact of the new standard on our consolidated financial statements and related disclosures. As a result, we intend to adopt the provisions of this ASU in the fourth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266065</wp:posOffset>
            </wp:positionV>
            <wp:extent cx="19685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This ASU requires entities to disclose certain additional expense information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 items, purchases of inventory, employee compensation, depreciation and intangible asset amortization included within each Consolidated Statement of Income expense caption. ASU 2024-03 is effective for annual reporting periods beginning after December 15, 2026, and interim reporting periods beginning after December 15, 2027. Early adoption is permitted and the update should be applied on a prospective basis, with a retrospective application permitted in the financial statements. We are currently evaluating the impact of the new standard on our consolidated financial statements and related disclosures.</w:t>
      </w:r>
    </w:p>
    <w:p>
      <w:pPr>
        <w:spacing w:after="0" w:line="13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 issued or effective during the fiscal year had or is expected to have a material impact on our consolidated financial statements or disclosures.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BUSINESS ACQUISITIONS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LesserEvil, LLC</w:t>
      </w:r>
    </w:p>
    <w:p>
      <w:pPr>
        <w:spacing w:after="0" w:line="17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March 31, 2025, we entered into a Merger Agreement to acquire LesserEvil, LLC, a privately held company that produces and sells organic popcorn and puffed snack products to retailers and distributors in the United States and Canada, which complements Hershey’s existing product portfolio. The Merger Agreement contains customary conditions, including, among others, (i) the expiration or termination of the applicable waiting period under the Hart-Scott-Rodino Antitrust Improvements Act of 1976, as amended, (ii) the absence of any law or order prohibiting the consummation of the transactions contemplated in the Merger Agreement and (iii) the accuracy, to specified degrees, of representations and warranties set forth therein and material compliance with covenants. If approved, the Company expects the acquisition to close by the end of 2025 and will be financed with cash on hand and short-term borrowings.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Sour Strips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8, 2024, we completed the acquisition of the Sour Strips brand from Actual Candy, LLC. Sour Strips is an emerging sour candy brand and is available in a wide range of food distribution channels in the United States. The initial cash consideration paid for Sour Strips was deemed immaterial and consisted of cash on hand and short-term borrowings; however, the Company may be required to pay additional contingent consideration if certain defined targets are met over a multi-year period. Acquisition-related costs for the Sour Strips acquisition were immaterial.</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and, accordingly, Sour Strips has been included within the North America Confectionery segment from the date of acquisition. The purchase consideration, inclusive of the acquisition date fair value of the contingent consideration, was allocated to minimal net assets acquired, goodwill and other intangible assets. The purchase price allocation has been finalized as of the second quarter of 2025 and includes an immaterial amount of measurement period adjustments. The measurement period adjustments to the initial allocation were based on more detailed information obtained about the specific assets acquired and liabilities assumed, specifically, post-closing adjustments to the working capital acquired.</w:t>
      </w:r>
    </w:p>
    <w:p>
      <w:pPr>
        <w:spacing w:after="0" w:line="1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Goodwill was determined as the excess of the purchase price over the fair value of the net assets acquired (including the identifiable intangible assets). The goodwill derived from this acquisition is expected to be deductible for tax purposes and reflects the value of leveraging our brand building expertise, commercial capabilities and retail relationships to accelerate growth.</w:t>
      </w:r>
    </w:p>
    <w:p>
      <w:pPr>
        <w:spacing w:after="0" w:line="12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Other intangible assets include trademarks valued at $41,800 and customer relationships valued at $41,300. Trademarks were assigned an estimated useful life of 22 years and customer relationships were assigned estimated useful lives ranging from 14 to 16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251460</wp:posOffset>
            </wp:positionV>
            <wp:extent cx="19685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GOODWILL AND INTANGIBLE ASSETS</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4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The changes in the carrying value of goodwill by reportable segment for the six months ended June 29, 2025 are as follows: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 Salty</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Confectionery</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Snacks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gridSpan w:val="5"/>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2,032,857</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657,001</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2,705,753</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18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29, 2025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2,039,152</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657,001</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2,713,018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94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The following table provides the gross carrying amount and accumulated amortization for each major class of intangible asset: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29, 2025</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6"/>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69"/>
        </w:trPr>
        <w:tc>
          <w:tcPr>
            <w:tcW w:w="3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gridSpan w:val="4"/>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4"/>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0" w:type="dxa"/>
            <w:vAlign w:val="bottom"/>
          </w:tcPr>
          <w:p>
            <w:pPr>
              <w:spacing w:after="0"/>
              <w:rPr>
                <w:sz w:val="1"/>
                <w:szCs w:val="1"/>
                <w:color w:val="auto"/>
              </w:rPr>
            </w:pPr>
          </w:p>
        </w:tc>
      </w:tr>
      <w:tr>
        <w:trPr>
          <w:trHeight w:val="241"/>
        </w:trPr>
        <w:tc>
          <w:tcPr>
            <w:tcW w:w="36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1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180" w:type="dxa"/>
            <w:vAlign w:val="bottom"/>
          </w:tcPr>
          <w:p>
            <w:pPr>
              <w:spacing w:after="0"/>
              <w:rPr>
                <w:sz w:val="19"/>
                <w:szCs w:val="19"/>
                <w:color w:val="auto"/>
              </w:rPr>
            </w:pPr>
          </w:p>
        </w:tc>
        <w:tc>
          <w:tcPr>
            <w:tcW w:w="16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1,801,997</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(309,700)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1,721,159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(282,819)</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Customer-related</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554,072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(151,409)</w:t>
            </w:r>
          </w:p>
        </w:tc>
        <w:tc>
          <w:tcPr>
            <w:tcW w:w="0" w:type="dxa"/>
            <w:vAlign w:val="bottom"/>
          </w:tcPr>
          <w:p>
            <w:pPr>
              <w:spacing w:after="0"/>
              <w:rPr>
                <w:sz w:val="1"/>
                <w:szCs w:val="1"/>
                <w:color w:val="auto"/>
              </w:rPr>
            </w:pPr>
          </w:p>
        </w:tc>
      </w:tr>
      <w:tr>
        <w:trPr>
          <w:trHeight w:val="229"/>
        </w:trPr>
        <w:tc>
          <w:tcPr>
            <w:tcW w:w="3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Patents</w:t>
            </w:r>
          </w:p>
        </w:tc>
        <w:tc>
          <w:tcPr>
            <w:tcW w:w="1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(7,948)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2,364,017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2,281,332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(441,807)</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1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34,871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34,341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1,912,610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1,873,866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the second quarter of 2025, the gross carrying amount of our intangible assets and corresponding accumulated amortization increased as a result of the purchase of the Fulfil brand in North America.</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Total amortization expense for the three months ended June 29, 2025 and June 30, 2024 was $21,188 and $19,539, respectively. Total amortization expense for the six months ended June 29, 2025 and June 30, 2024 was $41,756 and $39,093,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SHORT AND LONG-TERM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Debt</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a source of short-term financing, we utilize cash on hand and commercial paper or bank loans with an original maturity of three months or less. We maintain a $1.35 billion unsecured revolving credit facility with the option to increase borrowings by an additional $500 million with the consent of the lenders. The credit facility is scheduled to expire on April 26, 2028; however, we may extend the termination date for up to two additional one-year periods upon notice to the administrative agent.</w:t>
      </w:r>
    </w:p>
    <w:p>
      <w:pPr>
        <w:spacing w:after="0" w:line="5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credit agreements governing the credit facility contain certain financial and other covenants, customary representations, warranties and events of default. As of June 29, 2025, we were in compliance with all covenants pertaining to the credit facility, and we had no significant compensating balance agreements that legally restricted access to these funds. For more information, refer to the Consolidated Financial Statements included in our 2024 Annual Report on Form 10-K.</w:t>
      </w:r>
    </w:p>
    <w:p>
      <w:pPr>
        <w:spacing w:after="0" w:line="5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addition to the revolving credit facility, we maintain lines of credit with domestic and international commercial banks. Commitment fees relating to our revolving credit facility and lines of credit are not material. Short-term debt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251460</wp:posOffset>
            </wp:positionV>
            <wp:extent cx="19685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June 29, 2025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foreign bank borrowings against lines of credit</w:t>
            </w:r>
          </w:p>
        </w:tc>
        <w:tc>
          <w:tcPr>
            <w:tcW w:w="19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164,968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161,364</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U.S. commercial paper</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1,145,612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40" w:type="dxa"/>
            <w:vAlign w:val="bottom"/>
            <w:tcBorders>
              <w:top w:val="single" w:sz="8" w:color="CCEEFF"/>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debt</w:t>
            </w:r>
          </w:p>
        </w:tc>
        <w:tc>
          <w:tcPr>
            <w:tcW w:w="19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164,968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1,306,976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CEEFF"/>
              <w:bottom w:val="single" w:sz="8" w:color="CCEEFF"/>
            </w:tcBorders>
            <w:gridSpan w:val="5"/>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 on outstanding commercial paper</w:t>
            </w:r>
          </w:p>
        </w:tc>
        <w:tc>
          <w:tcPr>
            <w:tcW w:w="1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gridSpan w:val="5"/>
            <w:vMerge w:val="continue"/>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7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Debt Type and Rate</w:t>
            </w:r>
          </w:p>
        </w:tc>
        <w:tc>
          <w:tcPr>
            <w:tcW w:w="2420" w:type="dxa"/>
            <w:vAlign w:val="bottom"/>
            <w:gridSpan w:val="4"/>
          </w:tcPr>
          <w:p>
            <w:pPr>
              <w:jc w:val="right"/>
              <w:ind w:right="89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18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0.900%</w:t>
            </w:r>
          </w:p>
        </w:tc>
        <w:tc>
          <w:tcPr>
            <w:tcW w:w="40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Notes (1)</w:t>
            </w:r>
          </w:p>
        </w:tc>
        <w:tc>
          <w:tcPr>
            <w:tcW w:w="100" w:type="dxa"/>
            <w:vAlign w:val="bottom"/>
          </w:tcPr>
          <w:p>
            <w:pPr>
              <w:spacing w:after="0"/>
              <w:rPr>
                <w:sz w:val="19"/>
                <w:szCs w:val="19"/>
                <w:color w:val="auto"/>
              </w:rPr>
            </w:pPr>
          </w:p>
        </w:tc>
        <w:tc>
          <w:tcPr>
            <w:tcW w:w="2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June 1, 2025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3.200%</w:t>
            </w:r>
          </w:p>
        </w:tc>
        <w:tc>
          <w:tcPr>
            <w:tcW w:w="4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20" w:type="dxa"/>
            <w:vAlign w:val="bottom"/>
            <w:gridSpan w:val="4"/>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rPr>
              <w:t>August 21, 2025</w:t>
            </w:r>
          </w:p>
        </w:tc>
        <w:tc>
          <w:tcPr>
            <w:tcW w:w="1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2.300%</w:t>
            </w: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2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color w:val="auto"/>
              </w:rPr>
              <w:t>August 15, 2026</w:t>
            </w: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7.200%</w:t>
            </w:r>
          </w:p>
        </w:tc>
        <w:tc>
          <w:tcPr>
            <w:tcW w:w="4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Debentures</w:t>
            </w:r>
          </w:p>
        </w:tc>
        <w:tc>
          <w:tcPr>
            <w:tcW w:w="2420" w:type="dxa"/>
            <w:vAlign w:val="bottom"/>
            <w:gridSpan w:val="4"/>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rPr>
              <w:t>August 15, 2027</w:t>
            </w:r>
          </w:p>
        </w:tc>
        <w:tc>
          <w:tcPr>
            <w:tcW w:w="1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193,639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4.550%</w:t>
            </w: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 (2)</w:t>
            </w:r>
          </w:p>
        </w:tc>
        <w:tc>
          <w:tcPr>
            <w:tcW w:w="242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color w:val="auto"/>
                <w:w w:val="99"/>
              </w:rPr>
              <w:t>February 24, 2028</w:t>
            </w: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4.250%</w:t>
            </w:r>
          </w:p>
        </w:tc>
        <w:tc>
          <w:tcPr>
            <w:tcW w:w="4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20" w:type="dxa"/>
            <w:vAlign w:val="bottom"/>
            <w:gridSpan w:val="4"/>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rPr>
              <w:t>May 4, 2028</w:t>
            </w:r>
          </w:p>
        </w:tc>
        <w:tc>
          <w:tcPr>
            <w:tcW w:w="1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2.450%</w:t>
            </w: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2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color w:val="auto"/>
              </w:rPr>
              <w:t>November 15, 2029</w:t>
            </w: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4.750%</w:t>
            </w:r>
          </w:p>
        </w:tc>
        <w:tc>
          <w:tcPr>
            <w:tcW w:w="4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(2)</w:t>
            </w:r>
          </w:p>
        </w:tc>
        <w:tc>
          <w:tcPr>
            <w:tcW w:w="2420" w:type="dxa"/>
            <w:vAlign w:val="bottom"/>
            <w:gridSpan w:val="4"/>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99"/>
              </w:rPr>
              <w:t>February 24, 2030</w:t>
            </w:r>
          </w:p>
        </w:tc>
        <w:tc>
          <w:tcPr>
            <w:tcW w:w="1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1.700%</w:t>
            </w: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2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color w:val="auto"/>
              </w:rPr>
              <w:t>June 1, 2030</w:t>
            </w: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4.950%</w:t>
            </w:r>
          </w:p>
        </w:tc>
        <w:tc>
          <w:tcPr>
            <w:tcW w:w="4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(2)</w:t>
            </w:r>
          </w:p>
        </w:tc>
        <w:tc>
          <w:tcPr>
            <w:tcW w:w="2420" w:type="dxa"/>
            <w:vAlign w:val="bottom"/>
            <w:gridSpan w:val="4"/>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99"/>
              </w:rPr>
              <w:t>February 24, 2032</w:t>
            </w:r>
          </w:p>
        </w:tc>
        <w:tc>
          <w:tcPr>
            <w:tcW w:w="1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4.500%</w:t>
            </w: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2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color w:val="auto"/>
              </w:rPr>
              <w:t>May 4, 2033</w:t>
            </w: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5.100%</w:t>
            </w:r>
          </w:p>
        </w:tc>
        <w:tc>
          <w:tcPr>
            <w:tcW w:w="4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(2)</w:t>
            </w:r>
          </w:p>
        </w:tc>
        <w:tc>
          <w:tcPr>
            <w:tcW w:w="2420" w:type="dxa"/>
            <w:vAlign w:val="bottom"/>
            <w:gridSpan w:val="4"/>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99"/>
              </w:rPr>
              <w:t>February 24, 2035</w:t>
            </w:r>
          </w:p>
        </w:tc>
        <w:tc>
          <w:tcPr>
            <w:tcW w:w="1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3.375%</w:t>
            </w: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2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color w:val="auto"/>
              </w:rPr>
              <w:t>August 15, 2046</w:t>
            </w: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3.125%</w:t>
            </w:r>
          </w:p>
        </w:tc>
        <w:tc>
          <w:tcPr>
            <w:tcW w:w="4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20" w:type="dxa"/>
            <w:vAlign w:val="bottom"/>
            <w:gridSpan w:val="4"/>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rPr>
              <w:t>November 15, 2049</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2.650%</w:t>
            </w: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2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color w:val="auto"/>
              </w:rPr>
              <w:t>June 1, 2050</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4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Finance lease obligations (see </w:t>
            </w:r>
            <w:r>
              <w:rPr>
                <w:rFonts w:ascii="Times New Roman" w:cs="Times New Roman" w:eastAsia="Times New Roman" w:hAnsi="Times New Roman"/>
                <w:sz w:val="18"/>
                <w:szCs w:val="18"/>
                <w:color w:val="0000FF"/>
              </w:rPr>
              <w:t>Note 7</w:t>
            </w:r>
            <w:r>
              <w:rPr>
                <w:rFonts w:ascii="Times New Roman" w:cs="Times New Roman" w:eastAsia="Times New Roman" w:hAnsi="Times New Roman"/>
                <w:sz w:val="18"/>
                <w:szCs w:val="18"/>
                <w:color w:val="auto"/>
              </w:rPr>
              <w:t>)</w:t>
            </w:r>
          </w:p>
        </w:tc>
        <w:tc>
          <w:tcPr>
            <w:tcW w:w="1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71,017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8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73,802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74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impact of interest rate swaps, debt issuance costs and</w:t>
            </w: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unamortized debt discounts</w:t>
            </w:r>
          </w:p>
        </w:tc>
        <w:tc>
          <w:tcPr>
            <w:tcW w:w="19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(35,199)</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(22,266)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5,479,457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3,795,175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Less—current portion</w:t>
            </w:r>
          </w:p>
        </w:tc>
        <w:tc>
          <w:tcPr>
            <w:tcW w:w="19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303,021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604,965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21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5,176,436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3,190,210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80" w:hanging="25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we repaid $300,000 of 0.900% Notes due upon their maturity.</w:t>
      </w:r>
    </w:p>
    <w:p>
      <w:pPr>
        <w:spacing w:after="0" w:line="63" w:lineRule="exact"/>
        <w:rPr>
          <w:rFonts w:ascii="Times New Roman" w:cs="Times New Roman" w:eastAsia="Times New Roman" w:hAnsi="Times New Roman"/>
          <w:sz w:val="18"/>
          <w:szCs w:val="18"/>
          <w:color w:val="auto"/>
        </w:rPr>
      </w:pPr>
    </w:p>
    <w:p>
      <w:pPr>
        <w:ind w:left="280" w:hanging="25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2025, we issued $500,000 of 4.550% Notes due in February 2028, $500,000 of 4.750% Notes due in February 2030,</w:t>
      </w:r>
    </w:p>
    <w:p>
      <w:pPr>
        <w:spacing w:after="0" w:line="27" w:lineRule="exact"/>
        <w:rPr>
          <w:sz w:val="20"/>
          <w:szCs w:val="20"/>
          <w:color w:val="auto"/>
        </w:rPr>
      </w:pPr>
    </w:p>
    <w:p>
      <w:pPr>
        <w:jc w:val="both"/>
        <w:ind w:left="20" w:right="340"/>
        <w:spacing w:after="0" w:line="255" w:lineRule="auto"/>
        <w:rPr>
          <w:sz w:val="20"/>
          <w:szCs w:val="20"/>
          <w:color w:val="auto"/>
        </w:rPr>
      </w:pPr>
      <w:r>
        <w:rPr>
          <w:rFonts w:ascii="Times New Roman" w:cs="Times New Roman" w:eastAsia="Times New Roman" w:hAnsi="Times New Roman"/>
          <w:sz w:val="18"/>
          <w:szCs w:val="18"/>
          <w:color w:val="auto"/>
        </w:rPr>
        <w:t>$500,000 of 4.950% Notes due in February 2032 and $500,000 of 5.100% Notes due in February 2035 (together, the “2025 Notes”). Proceeds from the issuance of the 2025 Notes, net of discounts and issuance costs, totaled $1,986,026. The 2025 Notes were issued under a shelf registration on Form S-3 filed in May 2024 that registered an indeterminate amount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6944360</wp:posOffset>
            </wp:positionH>
            <wp:positionV relativeFrom="paragraph">
              <wp:posOffset>275590</wp:posOffset>
            </wp:positionV>
            <wp:extent cx="19685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40"/>
        <w:spacing w:after="0"/>
        <w:tabs>
          <w:tab w:leader="none" w:pos="384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expense consists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60" w:type="dxa"/>
            <w:vAlign w:val="bottom"/>
            <w:gridSpan w:val="5"/>
          </w:tcPr>
          <w:p>
            <w:pPr>
              <w:ind w:left="10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8"/>
                <w:szCs w:val="18"/>
                <w:color w:val="auto"/>
              </w:rPr>
            </w:pPr>
          </w:p>
        </w:tc>
        <w:tc>
          <w:tcPr>
            <w:tcW w:w="3860" w:type="dxa"/>
            <w:vAlign w:val="bottom"/>
            <w:gridSpan w:val="4"/>
          </w:tcPr>
          <w:p>
            <w:pPr>
              <w:jc w:val="right"/>
              <w:ind w:right="137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27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3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3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25"/>
        </w:trPr>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50,149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115,361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96,193</w:t>
            </w:r>
          </w:p>
        </w:tc>
      </w:tr>
      <w:tr>
        <w:trPr>
          <w:trHeight w:val="229"/>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w w:val="98"/>
              </w:rPr>
              <w:t>(5,841)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(10,277)</w:t>
            </w:r>
          </w:p>
        </w:tc>
      </w:tr>
      <w:tr>
        <w:trPr>
          <w:trHeight w:val="223"/>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44,308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85,916</w:t>
            </w:r>
          </w:p>
        </w:tc>
      </w:tr>
      <w:tr>
        <w:trPr>
          <w:trHeight w:val="229"/>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w w:val="98"/>
              </w:rPr>
              <w:t>(2,935)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(4,721)</w:t>
            </w:r>
          </w:p>
        </w:tc>
      </w:tr>
      <w:tr>
        <w:trPr>
          <w:trHeight w:val="248"/>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41,373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81,195</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INSTRUMENTS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entering into these contracts, we have assumed the risk that might arise from the possible inability of counterparties to meet the terms of their contracts. We mitigate this risk by entering into exchange-traded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08"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7"/>
          <w:szCs w:val="17"/>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of $211,978 as of June 29, 2025 and $667,421 as of December 31, 2024.</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Derivatives used to manage commodity price risk are not designated for hedge accounting treatment. Therefore, the changes in fair value of these derivatives are recorded as incurred within cost of sales. As discussed in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Price Risk</w:t>
      </w:r>
    </w:p>
    <w:p>
      <w:pPr>
        <w:spacing w:after="0" w:line="9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British pound, Brazilian real, Malaysian ringgit, Mexican peso and Swiss franc. We typically utilize foreign currency forward exchange contracts to hedge these exposures for periods ranging from 3 to 18 months. The contracts are either designated as cash flow hedges or are undesignated. The net notional amount of foreign exchange contracts accounted for as cash flow hedges was $229,325 at June 29, 2025 and $79,028 at December 31, 2024.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$20,373 at June 29, 2025 and $123,014 at December 31, 2024. The change in fair value on these instruments is recorded directly in cost of sales or selling, marketing and administrative (“SM&amp;A”) expense, depending on the nature of the underlying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791210</wp:posOffset>
            </wp:positionV>
            <wp:extent cx="19685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order to manage interest rate exposure, from time to time, we enter into interest rate swap agreements to protect against unfavorable interest rate changes relating to forecasted debt transactions. These swaps, which are settled upon issuance of the related debt, are designated as cash flow hedges and the gains and losses that are deferred in other comprehensive income are being recognized as an adjustment to interest expense over the same period that the hedged interest payments affect earnings.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selling, marketing and administrative expense, together with the change in the related liabilities. The notional amount of the contracts outstanding at June 29, 2025 and December 31, 2024 was $29,924 and $30,524,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classification of derivative assets and liabilities within the Consolidated Balance Sheets as of June 29,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June 29, 2025</w:t>
            </w:r>
          </w:p>
        </w:tc>
        <w:tc>
          <w:tcPr>
            <w:tcW w:w="260" w:type="dxa"/>
            <w:vAlign w:val="bottom"/>
          </w:tcPr>
          <w:p>
            <w:pPr>
              <w:spacing w:after="0"/>
              <w:rPr>
                <w:sz w:val="20"/>
                <w:szCs w:val="20"/>
                <w:color w:val="auto"/>
              </w:rPr>
            </w:pPr>
          </w:p>
        </w:tc>
        <w:tc>
          <w:tcPr>
            <w:tcW w:w="300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46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Assets (1)</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Liabilities (1)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Assets (1)</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Liabilities (1)</w:t>
            </w:r>
          </w:p>
        </w:tc>
      </w:tr>
      <w:tr>
        <w:trPr>
          <w:trHeight w:val="20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hedging instruments: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r>
      <w:tr>
        <w:trPr>
          <w:trHeight w:val="270"/>
        </w:trPr>
        <w:tc>
          <w:tcPr>
            <w:tcW w:w="4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 futures and options (2)</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14,321</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derivatives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r>
      <w:tr>
        <w:trPr>
          <w:trHeight w:val="223"/>
        </w:trPr>
        <w:tc>
          <w:tcPr>
            <w:tcW w:w="46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515,247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19,121</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22,401</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500" w:right="20" w:hanging="330"/>
        <w:spacing w:after="0" w:line="281" w:lineRule="auto"/>
        <w:tabs>
          <w:tab w:leader="none" w:pos="49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assets are classified on our Consolidated Balance Sheets within prepaid expenses and other as well as other non-current assets. Derivative liabilities are classified on our Consolidated Balance Sheets within accrued liabilities and other long-term liabilities.</w:t>
      </w:r>
    </w:p>
    <w:p>
      <w:pPr>
        <w:spacing w:after="0" w:line="1" w:lineRule="exact"/>
        <w:rPr>
          <w:rFonts w:ascii="Times New Roman" w:cs="Times New Roman" w:eastAsia="Times New Roman" w:hAnsi="Times New Roman"/>
          <w:sz w:val="18"/>
          <w:szCs w:val="18"/>
          <w:color w:val="auto"/>
        </w:rPr>
      </w:pPr>
    </w:p>
    <w:p>
      <w:pPr>
        <w:ind w:left="500" w:right="80" w:hanging="330"/>
        <w:spacing w:after="0" w:line="258" w:lineRule="auto"/>
        <w:tabs>
          <w:tab w:leader="none" w:pos="49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29, 2025, amounts reflected on a net basis in assets were assets of $59,784 and liabilities of $46,461, which are associated with cash transfers receivable or payable on commodities futures contracts reflecting the change in quoted market prices on the last trading day for the period. The comparable amounts reflected on a net basis in liabilities at December 31, 2024 were assets of $533,115 and liabilities of $32,998. At June 29, 2025 and December 31, 2024, the remaining amount reflected in assets and liabilities related to the fair value of other non-exchange traded derivative instruments,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608330</wp:posOffset>
            </wp:positionV>
            <wp:extent cx="19685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Statement Impact of Derivative Instruments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derivative instruments on the Consolidated Statements of Income for the three months ended June 29, 2025 and June 30, 2024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Non-designated Hedges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480" w:type="dxa"/>
            <w:vAlign w:val="bottom"/>
          </w:tcPr>
          <w:p>
            <w:pPr>
              <w:spacing w:after="0"/>
              <w:rPr>
                <w:sz w:val="13"/>
                <w:szCs w:val="13"/>
                <w:color w:val="auto"/>
              </w:rPr>
            </w:pPr>
          </w:p>
        </w:tc>
        <w:tc>
          <w:tcPr>
            <w:tcW w:w="2600" w:type="dxa"/>
            <w:vAlign w:val="bottom"/>
            <w:gridSpan w:val="6"/>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Gains (losses) recognized in income</w:t>
            </w:r>
          </w:p>
        </w:tc>
        <w:tc>
          <w:tcPr>
            <w:tcW w:w="260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Gains (losses) recognized in other</w:t>
            </w:r>
          </w:p>
        </w:tc>
        <w:tc>
          <w:tcPr>
            <w:tcW w:w="100" w:type="dxa"/>
            <w:vAlign w:val="bottom"/>
          </w:tcPr>
          <w:p>
            <w:pPr>
              <w:spacing w:after="0"/>
              <w:rPr>
                <w:sz w:val="13"/>
                <w:szCs w:val="13"/>
                <w:color w:val="auto"/>
              </w:rPr>
            </w:pPr>
          </w:p>
        </w:tc>
        <w:tc>
          <w:tcPr>
            <w:tcW w:w="2400" w:type="dxa"/>
            <w:vAlign w:val="bottom"/>
            <w:gridSpan w:val="4"/>
          </w:tcPr>
          <w:p>
            <w:pPr>
              <w:jc w:val="center"/>
              <w:ind w:right="12"/>
              <w:spacing w:after="0" w:line="158" w:lineRule="exact"/>
              <w:rPr>
                <w:sz w:val="20"/>
                <w:szCs w:val="20"/>
                <w:color w:val="auto"/>
              </w:rPr>
            </w:pPr>
            <w:r>
              <w:rPr>
                <w:rFonts w:ascii="Times New Roman" w:cs="Times New Roman" w:eastAsia="Times New Roman" w:hAnsi="Times New Roman"/>
                <w:sz w:val="16"/>
                <w:szCs w:val="16"/>
                <w:b w:val="1"/>
                <w:bCs w:val="1"/>
                <w:color w:val="auto"/>
              </w:rPr>
              <w:t>Gains (losses) reclassified from</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4"/>
          </w:tcPr>
          <w:p>
            <w:pPr>
              <w:jc w:val="center"/>
              <w:ind w:right="12"/>
              <w:spacing w:after="0" w:line="162" w:lineRule="exact"/>
              <w:rPr>
                <w:sz w:val="20"/>
                <w:szCs w:val="20"/>
                <w:color w:val="auto"/>
              </w:rPr>
            </w:pPr>
            <w:r>
              <w:rPr>
                <w:rFonts w:ascii="Times New Roman" w:cs="Times New Roman" w:eastAsia="Times New Roman" w:hAnsi="Times New Roman"/>
                <w:sz w:val="16"/>
                <w:szCs w:val="16"/>
                <w:b w:val="1"/>
                <w:bCs w:val="1"/>
                <w:color w:val="auto"/>
              </w:rPr>
              <w:t>accumulated OCI (“AOCI”) into</w:t>
            </w:r>
          </w:p>
        </w:tc>
        <w:tc>
          <w:tcPr>
            <w:tcW w:w="0" w:type="dxa"/>
            <w:vAlign w:val="bottom"/>
          </w:tcPr>
          <w:p>
            <w:pPr>
              <w:spacing w:after="0"/>
              <w:rPr>
                <w:sz w:val="1"/>
                <w:szCs w:val="1"/>
                <w:color w:val="auto"/>
              </w:rPr>
            </w:pPr>
          </w:p>
        </w:tc>
      </w:tr>
      <w:tr>
        <w:trPr>
          <w:trHeight w:val="214"/>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(a)</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comprehensive income (“OCI”)</w:t>
            </w:r>
          </w:p>
        </w:tc>
        <w:tc>
          <w:tcPr>
            <w:tcW w:w="100" w:type="dxa"/>
            <w:vAlign w:val="bottom"/>
          </w:tcPr>
          <w:p>
            <w:pPr>
              <w:spacing w:after="0"/>
              <w:rPr>
                <w:sz w:val="18"/>
                <w:szCs w:val="18"/>
                <w:color w:val="auto"/>
              </w:rPr>
            </w:pPr>
          </w:p>
        </w:tc>
        <w:tc>
          <w:tcPr>
            <w:tcW w:w="1580" w:type="dxa"/>
            <w:vAlign w:val="bottom"/>
            <w:gridSpan w:val="3"/>
          </w:tcPr>
          <w:p>
            <w:pPr>
              <w:jc w:val="center"/>
              <w:ind w:left="634"/>
              <w:spacing w:after="0"/>
              <w:rPr>
                <w:sz w:val="20"/>
                <w:szCs w:val="20"/>
                <w:color w:val="auto"/>
              </w:rPr>
            </w:pPr>
            <w:r>
              <w:rPr>
                <w:rFonts w:ascii="Times New Roman" w:cs="Times New Roman" w:eastAsia="Times New Roman" w:hAnsi="Times New Roman"/>
                <w:sz w:val="16"/>
                <w:szCs w:val="16"/>
                <w:b w:val="1"/>
                <w:bCs w:val="1"/>
                <w:color w:val="auto"/>
              </w:rPr>
              <w:t>income (b)</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 futures and options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derivatives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derivative instruments on the Consolidated Statements of Income for the six months ended June 29, 2025 and June 30, 2024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Non-designated Hedges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480" w:type="dxa"/>
            <w:vAlign w:val="bottom"/>
          </w:tcPr>
          <w:p>
            <w:pPr>
              <w:spacing w:after="0"/>
              <w:rPr>
                <w:sz w:val="13"/>
                <w:szCs w:val="13"/>
                <w:color w:val="auto"/>
              </w:rPr>
            </w:pPr>
          </w:p>
        </w:tc>
        <w:tc>
          <w:tcPr>
            <w:tcW w:w="260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Gains (losses) recognized in income</w:t>
            </w:r>
          </w:p>
        </w:tc>
        <w:tc>
          <w:tcPr>
            <w:tcW w:w="260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Gains (losses) recognized in other</w:t>
            </w:r>
          </w:p>
        </w:tc>
        <w:tc>
          <w:tcPr>
            <w:tcW w:w="100" w:type="dxa"/>
            <w:vAlign w:val="bottom"/>
          </w:tcPr>
          <w:p>
            <w:pPr>
              <w:spacing w:after="0"/>
              <w:rPr>
                <w:sz w:val="13"/>
                <w:szCs w:val="13"/>
                <w:color w:val="auto"/>
              </w:rPr>
            </w:pPr>
          </w:p>
        </w:tc>
        <w:tc>
          <w:tcPr>
            <w:tcW w:w="2400" w:type="dxa"/>
            <w:vAlign w:val="bottom"/>
            <w:gridSpan w:val="4"/>
          </w:tcPr>
          <w:p>
            <w:pPr>
              <w:jc w:val="center"/>
              <w:ind w:right="12"/>
              <w:spacing w:after="0" w:line="158" w:lineRule="exact"/>
              <w:rPr>
                <w:sz w:val="20"/>
                <w:szCs w:val="20"/>
                <w:color w:val="auto"/>
              </w:rPr>
            </w:pPr>
            <w:r>
              <w:rPr>
                <w:rFonts w:ascii="Times New Roman" w:cs="Times New Roman" w:eastAsia="Times New Roman" w:hAnsi="Times New Roman"/>
                <w:sz w:val="16"/>
                <w:szCs w:val="16"/>
                <w:b w:val="1"/>
                <w:bCs w:val="1"/>
                <w:color w:val="auto"/>
              </w:rPr>
              <w:t>Gains (losses) reclassified from</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4"/>
          </w:tcPr>
          <w:p>
            <w:pPr>
              <w:jc w:val="center"/>
              <w:ind w:right="12"/>
              <w:spacing w:after="0" w:line="162" w:lineRule="exact"/>
              <w:rPr>
                <w:sz w:val="20"/>
                <w:szCs w:val="20"/>
                <w:color w:val="auto"/>
              </w:rPr>
            </w:pPr>
            <w:r>
              <w:rPr>
                <w:rFonts w:ascii="Times New Roman" w:cs="Times New Roman" w:eastAsia="Times New Roman" w:hAnsi="Times New Roman"/>
                <w:sz w:val="16"/>
                <w:szCs w:val="16"/>
                <w:b w:val="1"/>
                <w:bCs w:val="1"/>
                <w:color w:val="auto"/>
              </w:rPr>
              <w:t>accumulated OCI (“AOCI”) into</w:t>
            </w:r>
          </w:p>
        </w:tc>
        <w:tc>
          <w:tcPr>
            <w:tcW w:w="0" w:type="dxa"/>
            <w:vAlign w:val="bottom"/>
          </w:tcPr>
          <w:p>
            <w:pPr>
              <w:spacing w:after="0"/>
              <w:rPr>
                <w:sz w:val="1"/>
                <w:szCs w:val="1"/>
                <w:color w:val="auto"/>
              </w:rPr>
            </w:pPr>
          </w:p>
        </w:tc>
      </w:tr>
      <w:tr>
        <w:trPr>
          <w:trHeight w:val="214"/>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(a)</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comprehensive income (“OCI”)</w:t>
            </w:r>
          </w:p>
        </w:tc>
        <w:tc>
          <w:tcPr>
            <w:tcW w:w="100" w:type="dxa"/>
            <w:vAlign w:val="bottom"/>
          </w:tcPr>
          <w:p>
            <w:pPr>
              <w:spacing w:after="0"/>
              <w:rPr>
                <w:sz w:val="18"/>
                <w:szCs w:val="18"/>
                <w:color w:val="auto"/>
              </w:rPr>
            </w:pPr>
          </w:p>
        </w:tc>
        <w:tc>
          <w:tcPr>
            <w:tcW w:w="1580" w:type="dxa"/>
            <w:vAlign w:val="bottom"/>
            <w:gridSpan w:val="3"/>
          </w:tcPr>
          <w:p>
            <w:pPr>
              <w:jc w:val="center"/>
              <w:ind w:left="634"/>
              <w:spacing w:after="0"/>
              <w:rPr>
                <w:sz w:val="20"/>
                <w:szCs w:val="20"/>
                <w:color w:val="auto"/>
              </w:rPr>
            </w:pPr>
            <w:r>
              <w:rPr>
                <w:rFonts w:ascii="Times New Roman" w:cs="Times New Roman" w:eastAsia="Times New Roman" w:hAnsi="Times New Roman"/>
                <w:sz w:val="16"/>
                <w:szCs w:val="16"/>
                <w:b w:val="1"/>
                <w:bCs w:val="1"/>
                <w:color w:val="auto"/>
              </w:rPr>
              <w:t>income (b)</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 futures and options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derivatives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340" w:right="20" w:hanging="332"/>
        <w:spacing w:after="0" w:line="266" w:lineRule="auto"/>
        <w:tabs>
          <w:tab w:leader="none" w:pos="33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13" w:lineRule="exact"/>
        <w:rPr>
          <w:rFonts w:ascii="Times New Roman" w:cs="Times New Roman" w:eastAsia="Times New Roman" w:hAnsi="Times New Roman"/>
          <w:sz w:val="18"/>
          <w:szCs w:val="18"/>
          <w:color w:val="auto"/>
        </w:rPr>
      </w:pPr>
    </w:p>
    <w:p>
      <w:pPr>
        <w:ind w:left="340" w:right="820" w:hanging="332"/>
        <w:spacing w:after="0" w:line="312" w:lineRule="auto"/>
        <w:tabs>
          <w:tab w:leader="none" w:pos="33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Gains (losses) reclassified from AOCI into income for foreign currency forward exchange contracts were included in selling, marketing and administrative expenses. Losses reclassified from AOCI into income for interest rate swap agreements were included in interest expense.</w:t>
      </w:r>
    </w:p>
    <w:p>
      <w:pPr>
        <w:spacing w:after="0" w:line="8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amount of pre-tax net loss on derivative instruments, including interest rate swap agreements and foreign currency forward exchange contracts expected to be reclassified into earnings in the next 12 months was approximately $11,370 as of June 29, 2025. This amount is primarily associated with interest rate swap agreements.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08"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8"/>
          <w:szCs w:val="18"/>
          <w:color w:val="auto"/>
        </w:rPr>
        <w:t>Accounting guidance on fair value measurements requires that financial assets and liabilities be classified and disclosed in one of the following categories of the fair value hierarchy:</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Based on unadjusted quoted prices for identical assets or liabilities in an active market.</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Based on observable market-based inputs or unobservable inputs that are corroborated by market data.</w:t>
      </w:r>
    </w:p>
    <w:p>
      <w:pPr>
        <w:spacing w:after="0" w:line="23" w:lineRule="exact"/>
        <w:rPr>
          <w:sz w:val="20"/>
          <w:szCs w:val="20"/>
          <w:color w:val="auto"/>
        </w:rPr>
      </w:pPr>
    </w:p>
    <w:p>
      <w:pPr>
        <w:ind w:left="20" w:right="160"/>
        <w:spacing w:after="0" w:line="23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Based on unobservable inputs that reflect the entity’s own assumptions about the assumptions that a market participant would use in pricing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or liability.</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any Level 3 financial assets or liabilities, nor were there any transfers between levels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300355</wp:posOffset>
            </wp:positionV>
            <wp:extent cx="19685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The following table presents assets and liabilities that were measured at fair value in the Consolidated Balance Sheets on a recurring basis as of June 29, 2025 and December 31,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Assets / Liabilities</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1"/>
        </w:trPr>
        <w:tc>
          <w:tcPr>
            <w:tcW w:w="4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87"/>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29, 2025:</w:t>
            </w: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0"/>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100" w:type="dxa"/>
            <w:vAlign w:val="bottom"/>
          </w:tcPr>
          <w:p>
            <w:pPr>
              <w:spacing w:after="0"/>
              <w:rPr>
                <w:sz w:val="19"/>
                <w:szCs w:val="19"/>
                <w:color w:val="auto"/>
              </w:rPr>
            </w:pPr>
          </w:p>
        </w:tc>
        <w:tc>
          <w:tcPr>
            <w:tcW w:w="1160" w:type="dxa"/>
            <w:vAlign w:val="bottom"/>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w:t>
            </w:r>
          </w:p>
        </w:tc>
      </w:tr>
      <w:tr>
        <w:trPr>
          <w:trHeight w:val="230"/>
        </w:trPr>
        <w:tc>
          <w:tcPr>
            <w:tcW w:w="4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13,322</w:t>
            </w:r>
          </w:p>
        </w:tc>
      </w:tr>
      <w:tr>
        <w:trPr>
          <w:trHeight w:val="229"/>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r>
      <w:tr>
        <w:trPr>
          <w:trHeight w:val="229"/>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compensation derivatives (2)</w:t>
            </w: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w:t>
            </w:r>
          </w:p>
        </w:tc>
      </w:tr>
      <w:tr>
        <w:trPr>
          <w:trHeight w:val="229"/>
        </w:trPr>
        <w:tc>
          <w:tcPr>
            <w:tcW w:w="4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r>
      <w:tr>
        <w:trPr>
          <w:trHeight w:val="47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6"/>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100" w:type="dxa"/>
            <w:vAlign w:val="bottom"/>
          </w:tcPr>
          <w:p>
            <w:pPr>
              <w:spacing w:after="0"/>
              <w:rPr>
                <w:sz w:val="19"/>
                <w:szCs w:val="19"/>
                <w:color w:val="auto"/>
              </w:rPr>
            </w:pPr>
          </w:p>
        </w:tc>
        <w:tc>
          <w:tcPr>
            <w:tcW w:w="1160" w:type="dxa"/>
            <w:vAlign w:val="bottom"/>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8,761</w:t>
            </w:r>
          </w:p>
        </w:tc>
      </w:tr>
      <w:tr>
        <w:trPr>
          <w:trHeight w:val="230"/>
        </w:trPr>
        <w:tc>
          <w:tcPr>
            <w:tcW w:w="4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 derivatives (2)</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29"/>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514,623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514,623</w:t>
            </w:r>
          </w:p>
        </w:tc>
      </w:tr>
      <w:tr>
        <w:trPr>
          <w:trHeight w:val="229"/>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100" w:type="dxa"/>
            <w:vAlign w:val="bottom"/>
          </w:tcPr>
          <w:p>
            <w:pPr>
              <w:spacing w:after="0"/>
              <w:rPr>
                <w:sz w:val="19"/>
                <w:szCs w:val="19"/>
                <w:color w:val="auto"/>
              </w:rPr>
            </w:pPr>
          </w:p>
        </w:tc>
        <w:tc>
          <w:tcPr>
            <w:tcW w:w="1160" w:type="dxa"/>
            <w:vAlign w:val="bottom"/>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w:t>
            </w:r>
          </w:p>
        </w:tc>
      </w:tr>
      <w:tr>
        <w:trPr>
          <w:trHeight w:val="229"/>
        </w:trPr>
        <w:tc>
          <w:tcPr>
            <w:tcW w:w="4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14,321</w:t>
            </w:r>
          </w:p>
        </w:tc>
      </w:tr>
    </w:tbl>
    <w:p>
      <w:pPr>
        <w:spacing w:after="0" w:line="157" w:lineRule="exact"/>
        <w:rPr>
          <w:sz w:val="20"/>
          <w:szCs w:val="20"/>
          <w:color w:val="auto"/>
        </w:rPr>
      </w:pPr>
    </w:p>
    <w:p>
      <w:pPr>
        <w:ind w:left="660" w:right="20" w:hanging="328"/>
        <w:spacing w:after="0" w:line="266"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12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deferred compensation derivatives is based on quoted prices for market interest rates and a broad market equity index.</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commodities futures and options contracts is based on quoted market prices.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Instruments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short-term debt approximated fair values as of June 29, 2025 and December 31, 2024 because of the relatively short maturity of these instruments.</w:t>
      </w:r>
    </w:p>
    <w:p>
      <w:pPr>
        <w:spacing w:after="0" w:line="108"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00" w:type="dxa"/>
            <w:vAlign w:val="bottom"/>
            <w:gridSpan w:val="5"/>
          </w:tcPr>
          <w:p>
            <w:pPr>
              <w:ind w:left="12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8"/>
                <w:szCs w:val="18"/>
                <w:color w:val="auto"/>
              </w:rPr>
            </w:pPr>
          </w:p>
        </w:tc>
        <w:tc>
          <w:tcPr>
            <w:tcW w:w="3580" w:type="dxa"/>
            <w:vAlign w:val="bottom"/>
            <w:gridSpan w:val="4"/>
          </w:tcPr>
          <w:p>
            <w:pPr>
              <w:jc w:val="right"/>
              <w:ind w:right="1312"/>
              <w:spacing w:after="0"/>
              <w:rPr>
                <w:sz w:val="20"/>
                <w:szCs w:val="20"/>
                <w:color w:val="auto"/>
              </w:rPr>
            </w:pPr>
            <w:r>
              <w:rPr>
                <w:rFonts w:ascii="Times New Roman" w:cs="Times New Roman" w:eastAsia="Times New Roman" w:hAnsi="Times New Roman"/>
                <w:sz w:val="16"/>
                <w:szCs w:val="16"/>
                <w:b w:val="1"/>
                <w:bCs w:val="1"/>
                <w:color w:val="auto"/>
              </w:rPr>
              <w:t>Carrying Value</w:t>
            </w:r>
          </w:p>
        </w:tc>
      </w:tr>
      <w:tr>
        <w:trPr>
          <w:trHeight w:val="211"/>
        </w:trPr>
        <w:tc>
          <w:tcPr>
            <w:tcW w:w="33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5"/>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302,485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597,547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303,021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604,965</w:t>
            </w:r>
          </w:p>
        </w:tc>
      </w:tr>
      <w:tr>
        <w:trPr>
          <w:trHeight w:val="230"/>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4,802,226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2,734,322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5,176,436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3,190,210</w:t>
            </w:r>
          </w:p>
        </w:tc>
      </w:tr>
      <w:tr>
        <w:trPr>
          <w:trHeight w:val="248"/>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5,104,711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3,331,869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5,479,457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3,795,175</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737235</wp:posOffset>
            </wp:positionV>
            <wp:extent cx="19685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Measurements</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addition to assets and liabilities that are recorded at fair value on a recurring basis, GAAP requires that, under certain circumstances, we also record assets and liabilities at fair value on a nonrecurring basis.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Activity</w:t>
      </w:r>
    </w:p>
    <w:p>
      <w:pPr>
        <w:spacing w:after="0" w:line="9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acquisition of Sour Strips in 2024, as discussed in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we used various valuation techniques to determine fair value, with the primary techniques being discounted cash flow analysis and the relief-from-royalty, a form of the multi-period excess earnings, which use significant unobservable inputs, or Level 3 inputs, as defined by the fair value hierarchy. Additionally, we estimated the fair value of the contingent consideration using a Monte Carlo simulation model.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lease office and retail space, warehouse and distribution facilities, land, vehicles, and equipment. We determine if an agreement is or contains a lease at inception. Leases with an initial term of 12 months or less are not recorded on the consolidated balance sheet.</w:t>
      </w:r>
    </w:p>
    <w:p>
      <w:pPr>
        <w:spacing w:after="0" w:line="10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Right-of-use (“ROU”) assets represent our right to use an underlying asset for the lease term and lease liabilities represent our obligation to make lease payments arising from the lease. ROU assets and liabilities are based on the estimated present value of lease payments over the lease term and are recognized at the lease commencement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most of our leases do not provide an implicit rate, we use our estimated incremental borrowing rate in determining the present value of lease payments.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incremental borrowing rate is derived from information available at the lease commencement date.</w:t>
      </w:r>
    </w:p>
    <w:p>
      <w:pPr>
        <w:spacing w:after="0" w:line="1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lease terms may include options to extend or terminate the lease when it is reasonably certain that we will exercise that option. A limited number of our lease agreements include rental payments adjusted periodically for inflation. Our lease agreements generally do not contain residual value guarantees or material restrictive covenants.</w:t>
      </w:r>
    </w:p>
    <w:p>
      <w:pPr>
        <w:spacing w:after="0" w:line="12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For real estate, equipment and vehicles that support selling, marketing and general administrative activities, the Company accounts for the lease and non-lease components as a single lease component. These asset categories comprise the majority of our leases. The lease and non-lease components of real estate and equipment leases supporting production activities are not accounted for as a single lease component. Consideration for such contracts are allocated to the lease and non-lease components based upon relative standalone prices either observable or estimated if observable prices are not readily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1542415</wp:posOffset>
            </wp:positionV>
            <wp:extent cx="19685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three months ended June 29, 2025 and June 30, 2024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115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Lease expense</w:t>
            </w: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300" w:type="dxa"/>
            <w:vAlign w:val="bottom"/>
          </w:tcPr>
          <w:p>
            <w:pPr>
              <w:spacing w:after="0"/>
              <w:rPr>
                <w:sz w:val="18"/>
                <w:szCs w:val="18"/>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300" w:type="dxa"/>
            <w:vAlign w:val="bottom"/>
          </w:tcPr>
          <w:p>
            <w:pPr>
              <w:spacing w:after="0"/>
              <w:rPr>
                <w:sz w:val="18"/>
                <w:szCs w:val="18"/>
                <w:color w:val="auto"/>
              </w:rPr>
            </w:pPr>
          </w:p>
        </w:tc>
        <w:tc>
          <w:tcPr>
            <w:tcW w:w="164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25"/>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or SM&amp;A (1)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13,266</w:t>
            </w:r>
          </w:p>
        </w:tc>
      </w:tr>
      <w:tr>
        <w:trPr>
          <w:trHeight w:val="23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3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(1)</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r>
      <w:tr>
        <w:trPr>
          <w:trHeight w:val="229"/>
        </w:trPr>
        <w:tc>
          <w:tcPr>
            <w:tcW w:w="3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48"/>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cost (2)</w:t>
            </w:r>
          </w:p>
        </w:tc>
        <w:tc>
          <w:tcPr>
            <w:tcW w:w="3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16,588</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six months ended June 29, 2025 and June 30, 2024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125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Lease expense</w:t>
            </w: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300" w:type="dxa"/>
            <w:vAlign w:val="bottom"/>
          </w:tcPr>
          <w:p>
            <w:pPr>
              <w:spacing w:after="0"/>
              <w:rPr>
                <w:sz w:val="18"/>
                <w:szCs w:val="18"/>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300" w:type="dxa"/>
            <w:vAlign w:val="bottom"/>
          </w:tcPr>
          <w:p>
            <w:pPr>
              <w:spacing w:after="0"/>
              <w:rPr>
                <w:sz w:val="18"/>
                <w:szCs w:val="18"/>
                <w:color w:val="auto"/>
              </w:rPr>
            </w:pPr>
          </w:p>
        </w:tc>
        <w:tc>
          <w:tcPr>
            <w:tcW w:w="164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25"/>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or SM&amp;A (1)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25,481</w:t>
            </w:r>
          </w:p>
        </w:tc>
      </w:tr>
      <w:tr>
        <w:trPr>
          <w:trHeight w:val="22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3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(1)</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w:t>
            </w:r>
          </w:p>
        </w:tc>
      </w:tr>
      <w:tr>
        <w:trPr>
          <w:trHeight w:val="229"/>
        </w:trPr>
        <w:tc>
          <w:tcPr>
            <w:tcW w:w="3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w:t>
            </w:r>
          </w:p>
        </w:tc>
      </w:tr>
      <w:tr>
        <w:trPr>
          <w:trHeight w:val="248"/>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cost (2)</w:t>
            </w:r>
          </w:p>
        </w:tc>
        <w:tc>
          <w:tcPr>
            <w:tcW w:w="3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32,201</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80" w:hanging="310"/>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chain-related amounts were included in cost of sales.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lease cost does not include short-term leases, variable lease costs or sublease income, all of which are immaterial.</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our lease terms and discount rates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29"/>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70"/>
        </w:trPr>
        <w:tc>
          <w:tcPr>
            <w:tcW w:w="70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30"/>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0"/>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9"/>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488950</wp:posOffset>
            </wp:positionV>
            <wp:extent cx="19685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were as follows:</w:t>
      </w:r>
    </w:p>
    <w:p>
      <w:pPr>
        <w:spacing w:after="0" w:line="52" w:lineRule="exact"/>
        <w:rPr>
          <w:sz w:val="20"/>
          <w:szCs w:val="20"/>
          <w:color w:val="auto"/>
        </w:rPr>
      </w:pPr>
    </w:p>
    <w:p>
      <w:pPr>
        <w:ind w:left="20"/>
        <w:spacing w:after="0"/>
        <w:tabs>
          <w:tab w:leader="none" w:pos="3540" w:val="left"/>
          <w:tab w:leader="none" w:pos="7760" w:val="left"/>
          <w:tab w:leader="none" w:pos="9600" w:val="left"/>
        </w:tabs>
        <w:rPr>
          <w:sz w:val="20"/>
          <w:szCs w:val="20"/>
          <w:color w:val="auto"/>
        </w:rPr>
      </w:pPr>
      <w:r>
        <w:rPr>
          <w:rFonts w:ascii="Times New Roman" w:cs="Times New Roman" w:eastAsia="Times New Roman" w:hAnsi="Times New Roman"/>
          <w:sz w:val="16"/>
          <w:szCs w:val="16"/>
          <w:b w:val="1"/>
          <w:bCs w:val="1"/>
          <w:color w:val="auto"/>
        </w:rPr>
        <w:t>Leases</w:t>
      </w:r>
      <w:r>
        <w:rPr>
          <w:sz w:val="20"/>
          <w:szCs w:val="20"/>
          <w:color w:val="auto"/>
        </w:rPr>
        <w:tab/>
      </w:r>
      <w:r>
        <w:rPr>
          <w:rFonts w:ascii="Times New Roman" w:cs="Times New Roman" w:eastAsia="Times New Roman" w:hAnsi="Times New Roman"/>
          <w:sz w:val="16"/>
          <w:szCs w:val="16"/>
          <w:b w:val="1"/>
          <w:bCs w:val="1"/>
          <w:color w:val="auto"/>
        </w:rPr>
        <w:t>Classification</w:t>
      </w:r>
      <w:r>
        <w:rPr>
          <w:sz w:val="20"/>
          <w:szCs w:val="20"/>
          <w:color w:val="auto"/>
        </w:rPr>
        <w:tab/>
      </w:r>
      <w:r>
        <w:rPr>
          <w:rFonts w:ascii="Times New Roman" w:cs="Times New Roman" w:eastAsia="Times New Roman" w:hAnsi="Times New Roman"/>
          <w:sz w:val="16"/>
          <w:szCs w:val="16"/>
          <w:b w:val="1"/>
          <w:bCs w:val="1"/>
          <w:color w:val="auto"/>
        </w:rPr>
        <w:t>June 29, 2025</w:t>
      </w:r>
      <w:r>
        <w:rPr>
          <w:sz w:val="20"/>
          <w:szCs w:val="20"/>
          <w:color w:val="auto"/>
        </w:rPr>
        <w:tab/>
      </w:r>
      <w:r>
        <w:rPr>
          <w:rFonts w:ascii="Times New Roman" w:cs="Times New Roman" w:eastAsia="Times New Roman" w:hAnsi="Times New Roman"/>
          <w:sz w:val="16"/>
          <w:szCs w:val="16"/>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Operating lease ROU assets</w:t>
      </w:r>
    </w:p>
    <w:p>
      <w:pPr>
        <w:spacing w:after="0" w:line="28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Finance lease ROU assets, at cost</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Accumulated amortization</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Finance lease ROU assets, net</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leased assets</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Operating</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Finance</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Non-current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Operating</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Finance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347,694</w:t>
            </w:r>
          </w:p>
        </w:tc>
        <w:tc>
          <w:tcPr>
            <w:tcW w:w="100" w:type="dxa"/>
            <w:vAlign w:val="bottom"/>
          </w:tcPr>
          <w:p>
            <w:pPr>
              <w:spacing w:after="0"/>
              <w:rPr>
                <w:sz w:val="20"/>
                <w:szCs w:val="20"/>
                <w:color w:val="auto"/>
              </w:rPr>
            </w:pP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337,739</w:t>
            </w:r>
          </w:p>
        </w:tc>
      </w:tr>
      <w:tr>
        <w:trPr>
          <w:trHeight w:val="49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6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85,229</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87,999</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(27,720)</w:t>
            </w:r>
          </w:p>
        </w:tc>
        <w:tc>
          <w:tcPr>
            <w:tcW w:w="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(25,515)</w:t>
            </w: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6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62,484</w:t>
            </w:r>
          </w:p>
        </w:tc>
      </w:tr>
      <w:tr>
        <w:trPr>
          <w:trHeight w:val="265"/>
        </w:trPr>
        <w:tc>
          <w:tcPr>
            <w:tcW w:w="372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r>
      <w:tr>
        <w:trPr>
          <w:trHeight w:val="223"/>
        </w:trPr>
        <w:tc>
          <w:tcPr>
            <w:tcW w:w="372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405,203</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400,223</w:t>
            </w:r>
          </w:p>
        </w:tc>
      </w:tr>
      <w:tr>
        <w:trPr>
          <w:trHeight w:val="20"/>
        </w:trPr>
        <w:tc>
          <w:tcPr>
            <w:tcW w:w="3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-976630</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-659765</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-359410</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-16510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300355</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46,540</w:t>
            </w:r>
          </w:p>
        </w:tc>
        <w:tc>
          <w:tcPr>
            <w:tcW w:w="10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40,636</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6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r>
      <w:tr>
        <w:trPr>
          <w:trHeight w:val="45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309,888</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304,767</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66,749</w:t>
            </w:r>
          </w:p>
        </w:tc>
        <w:tc>
          <w:tcPr>
            <w:tcW w:w="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68,136</w:t>
            </w:r>
          </w:p>
        </w:tc>
      </w:tr>
      <w:tr>
        <w:trPr>
          <w:trHeight w:val="223"/>
        </w:trPr>
        <w:tc>
          <w:tcPr>
            <w:tcW w:w="372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427,445</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419,205</w:t>
            </w:r>
          </w:p>
        </w:tc>
      </w:tr>
      <w:tr>
        <w:trPr>
          <w:trHeight w:val="20"/>
        </w:trPr>
        <w:tc>
          <w:tcPr>
            <w:tcW w:w="3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-770890</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-479425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-187960</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720"/>
            <w:col w:w="7680"/>
          </w:cols>
          <w:pgMar w:left="320" w:top="117"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maturities of our lease liabilities as of June 29, 2025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tcPr>
          <w:p>
            <w:pPr>
              <w:jc w:val="right"/>
              <w:ind w:right="91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(rest of year)</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29,989</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34,567</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56,860</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63,856</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58,728</w:t>
            </w: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35,898</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40,307</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36,650</w:t>
            </w:r>
          </w:p>
        </w:tc>
      </w:tr>
      <w:tr>
        <w:trPr>
          <w:trHeight w:val="230"/>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227,100</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133,646</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360,746</w:t>
            </w:r>
          </w:p>
        </w:tc>
      </w:tr>
      <w:tr>
        <w:trPr>
          <w:trHeight w:val="223"/>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436,040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158,814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594,854</w:t>
            </w:r>
          </w:p>
        </w:tc>
      </w:tr>
      <w:tr>
        <w:trPr>
          <w:trHeight w:val="230"/>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79,612</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87,797</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167,409</w:t>
            </w:r>
          </w:p>
        </w:tc>
      </w:tr>
      <w:tr>
        <w:trPr>
          <w:trHeight w:val="248"/>
        </w:trPr>
        <w:tc>
          <w:tcPr>
            <w:tcW w:w="3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356,428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427,445</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and other information related to leases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4"/>
          </w:tcPr>
          <w:p>
            <w:pPr>
              <w:jc w:val="right"/>
              <w:ind w:right="129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320" w:type="dxa"/>
            <w:vAlign w:val="bottom"/>
          </w:tcPr>
          <w:p>
            <w:pPr>
              <w:spacing w:after="0"/>
              <w:rPr>
                <w:sz w:val="18"/>
                <w:szCs w:val="18"/>
                <w:color w:val="auto"/>
              </w:rPr>
            </w:pPr>
          </w:p>
        </w:tc>
        <w:tc>
          <w:tcPr>
            <w:tcW w:w="16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11"/>
        </w:trPr>
        <w:tc>
          <w:tcPr>
            <w:tcW w:w="20" w:type="dxa"/>
            <w:vAlign w:val="bottom"/>
            <w:tcBorders>
              <w:top w:val="single" w:sz="8" w:color="CCEEFF"/>
            </w:tcBorders>
            <w:shd w:val="clear" w:color="auto" w:fill="CCEEFF"/>
          </w:tcPr>
          <w:p>
            <w:pPr>
              <w:spacing w:after="0"/>
              <w:rPr>
                <w:sz w:val="18"/>
                <w:szCs w:val="18"/>
                <w:color w:val="auto"/>
              </w:rPr>
            </w:pPr>
          </w:p>
        </w:tc>
        <w:tc>
          <w:tcPr>
            <w:tcW w:w="71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24,050</w:t>
            </w: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r>
      <w:tr>
        <w:trPr>
          <w:trHeight w:val="229"/>
        </w:trPr>
        <w:tc>
          <w:tcPr>
            <w:tcW w:w="20" w:type="dxa"/>
            <w:vAlign w:val="bottom"/>
          </w:tcPr>
          <w:p>
            <w:pPr>
              <w:spacing w:after="0"/>
              <w:rPr>
                <w:sz w:val="19"/>
                <w:szCs w:val="19"/>
                <w:color w:val="auto"/>
              </w:rPr>
            </w:pPr>
          </w:p>
        </w:tc>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r>
      <w:tr>
        <w:trPr>
          <w:trHeight w:val="270"/>
        </w:trPr>
        <w:tc>
          <w:tcPr>
            <w:tcW w:w="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6000" w:type="dxa"/>
            <w:vAlign w:val="bottom"/>
            <w:gridSpan w:val="2"/>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7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4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53,404</w:t>
            </w:r>
          </w:p>
        </w:tc>
      </w:tr>
      <w:tr>
        <w:trPr>
          <w:trHeight w:val="234"/>
        </w:trPr>
        <w:tc>
          <w:tcPr>
            <w:tcW w:w="20" w:type="dxa"/>
            <w:vAlign w:val="bottom"/>
          </w:tcPr>
          <w:p>
            <w:pPr>
              <w:spacing w:after="0"/>
              <w:rPr>
                <w:sz w:val="20"/>
                <w:szCs w:val="20"/>
                <w:color w:val="auto"/>
              </w:rPr>
            </w:pPr>
          </w:p>
        </w:tc>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3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765"/>
        </w:trPr>
        <w:tc>
          <w:tcPr>
            <w:tcW w:w="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4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The Hershey Company | Q2 2025 Form 10-Q | Page 18</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554"/>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-530860</wp:posOffset>
            </wp:positionV>
            <wp:extent cx="19685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INVESTMENTS IN UNCONSOLIDATED AFFILIATES</w:t>
      </w:r>
    </w:p>
    <w:p>
      <w:pPr>
        <w:spacing w:after="0" w:line="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We invest in partnerships that make equity investments in projects eligible to receive federal historic and renewable energy tax credits. The tax credits, when realized, are recognized as a reduction of tax expense under the flow-through method, at which time the corresponding equity investment is written-down to reflect the remaining value of the future benefits to be realized. The equity investment write-down is reflected within other (income) expense, net in the Consolidated Statements of Income (see </w:t>
      </w:r>
      <w:r>
        <w:rPr>
          <w:rFonts w:ascii="Times New Roman" w:cs="Times New Roman" w:eastAsia="Times New Roman" w:hAnsi="Times New Roman"/>
          <w:sz w:val="18"/>
          <w:szCs w:val="18"/>
          <w:u w:val="single" w:color="auto"/>
          <w:color w:val="0000FF"/>
        </w:rPr>
        <w:t>Note 17</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Additionally, we acquire ownership interests in emerging snacking businesses and startup companies, which vary in method of accounting based on our percentage of ownership and ability to exercise significant influence over decisions relating to operating and financial affairs. These investments afford the Company the rights to distribute brands that the Company does not own to third-party customers primarily in North America. Net sales and expenses of our equity method investees are not consolidated into our financial statements; rather, our proportionate share of earnings or losses are recorded on a net basis within other (income) expense, net in the Consolidated Statements of Income.</w:t>
      </w:r>
    </w:p>
    <w:p>
      <w:pPr>
        <w:spacing w:after="0" w:line="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Both equity method investments and cost, less impairment, investments are reported within other non-current assets in our Consolidated Balance Sheets. We regularly review our investments and adjust accordingly for capital contributions, dividends received and other-than-temporary impairments. Total investments in unconsolidated affiliates were $204,143 and $212,928 as of June 29, 2025 and December 31, 2024,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BUSINESS REALIGNMENT ACTIVITIES</w:t>
      </w:r>
    </w:p>
    <w:p>
      <w:pPr>
        <w:spacing w:after="0" w:line="175"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We periodically undertake business realignment activities designed to increase our efficiency and focus our business in support of our key growth strategies.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Advancing Agility &amp; Automation Initiative</w:t>
      </w:r>
    </w:p>
    <w:p>
      <w:pPr>
        <w:spacing w:after="0" w:line="17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February 2, 2024, the Board of Directors of the Company approved a multi-year productivity initiative (“Advancing Agility &amp; Automation Initiative” or "AAA Initiative") to improve supply chain and manufacturing-related spend, optimize selling, general and administrative expenses, leverage new technology and business models to further simplify and automate processes, and generate long-term savings.</w:t>
      </w:r>
    </w:p>
    <w:p>
      <w:pPr>
        <w:spacing w:after="0" w:line="122"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18"/>
          <w:szCs w:val="18"/>
          <w:color w:val="auto"/>
        </w:rPr>
        <w:t>The Company estimates that the AAA Initiative will result in total pre-tax costs of $200,000 to $250,000 from inception through 2026. This estimate primarily includes program office execution and third-party costs supporting the design and implementation of the new organizational structure of $100,000 to $120,000, as well as implementation and technology capability costs of $55,000 to $70,000. Additionally, we expect to incur employee severance and related separation benefits of $45,000 to $60,000 as we facilitate workforce reductions and reallocate resources to further drive the Company’s strategic priorities. The cash portion of the total cost is estimated to be $175,000 to $225,000. At the conclusion of the program in 2026, ongoing annual savings are expected to be approximately $350,000 to $400,000.</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Since inception through June 29, 2025, we recognized total costs associated with the AAA Initiative of $158,528. These charges predominantly included employee severance and related separation benefits related to workforce reductions and third-party costs supporting the design and implementation of the new organizational structure, as well as technology capability costs. The costs and related benefits of the AAA Initiative predominantly relates to the North America Confectionery segment and Corporate. However, segment operating results do not include these business realignment expenses because we evaluate segment performance excluding such costs.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associated with business realignment activities are classified in our Consolidated Statements of Income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00" w:type="dxa"/>
            <w:vAlign w:val="bottom"/>
            <w:gridSpan w:val="4"/>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25"/>
        </w:trPr>
        <w:tc>
          <w:tcPr>
            <w:tcW w:w="20" w:type="dxa"/>
            <w:vAlign w:val="bottom"/>
            <w:tcBorders>
              <w:top w:val="single" w:sz="8" w:color="CCEEFF"/>
            </w:tcBorders>
            <w:shd w:val="clear" w:color="auto" w:fill="CCEEFF"/>
          </w:tcPr>
          <w:p>
            <w:pPr>
              <w:spacing w:after="0"/>
              <w:rPr>
                <w:sz w:val="19"/>
                <w:szCs w:val="19"/>
                <w:color w:val="auto"/>
              </w:rPr>
            </w:pPr>
          </w:p>
        </w:tc>
        <w:tc>
          <w:tcPr>
            <w:tcW w:w="38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10,712</w:t>
            </w:r>
          </w:p>
        </w:tc>
      </w:tr>
      <w:tr>
        <w:trPr>
          <w:trHeight w:val="230"/>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marketing and administrative expense</w:t>
            </w: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40,017</w:t>
            </w:r>
          </w:p>
        </w:tc>
      </w:tr>
      <w:tr>
        <w:trPr>
          <w:trHeight w:val="230"/>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realignment costs</w:t>
            </w:r>
          </w:p>
        </w:tc>
        <w:tc>
          <w:tcPr>
            <w:tcW w:w="13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r>
      <w:tr>
        <w:trPr>
          <w:trHeight w:val="223"/>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Costs associated with business realignment activities</w:t>
            </w:r>
          </w:p>
        </w:tc>
        <w:tc>
          <w:tcPr>
            <w:tcW w:w="13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40,992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55,666</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63"/>
        </w:trPr>
        <w:tc>
          <w:tcPr>
            <w:tcW w:w="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444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The Hershey Company | Q2 2025 Form 10-Q | Page 19</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54"/>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-530860</wp:posOffset>
            </wp:positionV>
            <wp:extent cx="19685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recorded by program during the six months ended June 29, 2025 and June 30, 2024 related to these activities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00" w:type="dxa"/>
            <w:vAlign w:val="bottom"/>
            <w:gridSpan w:val="4"/>
          </w:tcPr>
          <w:p>
            <w:pPr>
              <w:ind w:left="68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5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Advancing Agility &amp; Automation Initiative:</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Severance and employee benefit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16,629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w:t>
            </w: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program costs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24,363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50,729</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40,992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55,666</w:t>
            </w:r>
          </w:p>
        </w:tc>
      </w:tr>
      <w:tr>
        <w:trPr>
          <w:trHeight w:val="21"/>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liability activity for costs qualifying as exit and disposal costs for the six months ended June 29, 2025:</w:t>
      </w:r>
    </w:p>
    <w:p>
      <w:pPr>
        <w:spacing w:after="0" w:line="208" w:lineRule="exact"/>
        <w:rPr>
          <w:sz w:val="20"/>
          <w:szCs w:val="20"/>
          <w:color w:val="auto"/>
        </w:rPr>
      </w:pPr>
    </w:p>
    <w:p>
      <w:pPr>
        <w:ind w:left="99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Liability balance at December 31, 2024 (1)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2025 business realignment charges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payments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Liability balance at June 29, 2025 (1)</w:t>
      </w:r>
    </w:p>
    <w:p>
      <w:pPr>
        <w:spacing w:after="0" w:line="171" w:lineRule="exact"/>
        <w:rPr>
          <w:sz w:val="20"/>
          <w:szCs w:val="20"/>
          <w:color w:val="auto"/>
        </w:rPr>
      </w:pPr>
    </w:p>
    <w:p>
      <w:pPr>
        <w:ind w:left="480" w:hanging="310"/>
        <w:spacing w:after="0"/>
        <w:tabs>
          <w:tab w:leader="none" w:pos="4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balances reflected above are reported within accrued liabilities and other long-term liabilities.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reflected in the liability roll-forward represent employee-related charges.</w:t>
      </w:r>
    </w:p>
    <w:p>
      <w:pPr>
        <w:spacing w:after="0" w:line="26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90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10,417</w:t>
            </w:r>
          </w:p>
        </w:tc>
      </w:tr>
      <w:tr>
        <w:trPr>
          <w:trHeight w:val="229"/>
        </w:trPr>
        <w:tc>
          <w:tcPr>
            <w:tcW w:w="900" w:type="dxa"/>
            <w:vAlign w:val="bottom"/>
          </w:tcPr>
          <w:p>
            <w:pPr>
              <w:spacing w:after="0"/>
              <w:rPr>
                <w:sz w:val="19"/>
                <w:szCs w:val="19"/>
                <w:color w:val="auto"/>
              </w:rPr>
            </w:pPr>
          </w:p>
        </w:tc>
        <w:tc>
          <w:tcPr>
            <w:tcW w:w="13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16,629</w:t>
            </w:r>
          </w:p>
        </w:tc>
      </w:tr>
      <w:tr>
        <w:trPr>
          <w:trHeight w:val="234"/>
        </w:trPr>
        <w:tc>
          <w:tcPr>
            <w:tcW w:w="9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(9,683)</w:t>
            </w:r>
          </w:p>
        </w:tc>
      </w:tr>
      <w:tr>
        <w:trPr>
          <w:trHeight w:val="223"/>
        </w:trPr>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17,363</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37" w:lineRule="exact"/>
        <w:rPr>
          <w:sz w:val="20"/>
          <w:szCs w:val="20"/>
          <w:color w:val="auto"/>
        </w:rPr>
      </w:pPr>
    </w:p>
    <w:p>
      <w:pPr>
        <w:sectPr>
          <w:pgSz w:w="11900" w:h="16838" w:orient="portrait"/>
          <w:cols w:equalWidth="0" w:num="2">
            <w:col w:w="8280" w:space="720"/>
            <w:col w:w="2240"/>
          </w:cols>
          <w:pgMar w:left="320" w:top="117" w:right="339" w:bottom="1440" w:gutter="0" w:footer="0" w:header="0"/>
          <w:type w:val="continuous"/>
        </w:sect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majority of our taxable income is generated in the United States and taxed at the United States statutory rate of 21%. The effective tax rates for the six months ended June 29, 2025 and June 30, 2024 were 39.3% and 20.6%, respectively. Relative to the statutory rate, the 2025 effective tax rate was primarily impacted by tax reserves, foreign rate differential and state taxes.</w:t>
      </w:r>
    </w:p>
    <w:p>
      <w:pPr>
        <w:spacing w:after="0" w:line="12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file tax returns in the United States, including various state and local returns, and in other foreign jurisdictions. We are routinely audited by taxing authorities in our filing jurisdictions, and a number of these disputes are currently underway, including multi-year controversies at various stages of review, negotiation and litigation in Mexico, Canada, Switzerland and the United States. The outcome of tax audits cannot be predicted with certainty, including the timing of resolution or potential settlements. If any issues addressed in our tax audits are resolved in a manner not consistent with management’s expectations, we could be required to adjust our provision for income taxes in the period such resolution occurs. Based on our current assessments, we believe adequate provision has been made for all income tax uncertainties. We reasonably expect reductions in the liability for unrecognized tax benefits of approximately $40,438 within the next 12 months because of the expiration of statutes of limitations and settlements of tax audits.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One Big Beautiful Bill Act</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The OBBBA introduces changes to United States tax policy, trade regulations, and federal spending priorities. Key provisions include the extension and modification of tax provisions from the 2017 Tax Cuts and Jobs Act, modification of certain energy-related tax credits and incentives, and timing of deductions related to certain domestic expenses. The Company is currently assessing the potential implications of the legislation on its operations and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262890</wp:posOffset>
            </wp:positionV>
            <wp:extent cx="19685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PENSION AND OTHER POST-RETIREMENT BENEFIT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Periodic Benefit Cost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 for the three months ended June 29, 2025 and June 30, 2024 were as follows:</w:t>
      </w:r>
    </w:p>
    <w:p>
      <w:pPr>
        <w:spacing w:after="0" w:line="147" w:lineRule="exact"/>
        <w:rPr>
          <w:sz w:val="20"/>
          <w:szCs w:val="20"/>
          <w:color w:val="auto"/>
        </w:rPr>
      </w:pPr>
    </w:p>
    <w:p>
      <w:pPr>
        <w:jc w:val="right"/>
        <w:ind w:right="108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Pension Benefits</w:t>
      </w:r>
      <w:r>
        <w:rPr>
          <w:sz w:val="20"/>
          <w:szCs w:val="20"/>
          <w:color w:val="auto"/>
        </w:rPr>
        <w:tab/>
      </w:r>
      <w:r>
        <w:rPr>
          <w:rFonts w:ascii="Times New Roman" w:cs="Times New Roman" w:eastAsia="Times New Roman" w:hAnsi="Times New Roman"/>
          <w:sz w:val="16"/>
          <w:szCs w:val="16"/>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21590</wp:posOffset>
            </wp:positionV>
            <wp:extent cx="40976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46"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21590</wp:posOffset>
            </wp:positionV>
            <wp:extent cx="20142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6" w:lineRule="exact"/>
        <w:rPr>
          <w:sz w:val="20"/>
          <w:szCs w:val="20"/>
          <w:color w:val="auto"/>
        </w:rPr>
      </w:pPr>
    </w:p>
    <w:p>
      <w:pPr>
        <w:ind w:left="5080"/>
        <w:spacing w:after="0"/>
        <w:tabs>
          <w:tab w:leader="none" w:pos="6700" w:val="left"/>
        </w:tabs>
        <w:rPr>
          <w:sz w:val="20"/>
          <w:szCs w:val="20"/>
          <w:color w:val="auto"/>
        </w:rPr>
      </w:pPr>
      <w:r>
        <w:rPr>
          <w:rFonts w:ascii="Times New Roman" w:cs="Times New Roman" w:eastAsia="Times New Roman" w:hAnsi="Times New Roman"/>
          <w:sz w:val="16"/>
          <w:szCs w:val="16"/>
          <w:b w:val="1"/>
          <w:bCs w:val="1"/>
          <w:color w:val="auto"/>
        </w:rPr>
        <w:t>June 29, 2025</w:t>
      </w:r>
      <w:r>
        <w:rPr>
          <w:sz w:val="20"/>
          <w:szCs w:val="20"/>
          <w:color w:val="auto"/>
        </w:rPr>
        <w:tab/>
      </w:r>
      <w:r>
        <w:rPr>
          <w:rFonts w:ascii="Times New Roman" w:cs="Times New Roman" w:eastAsia="Times New Roman" w:hAnsi="Times New Roman"/>
          <w:sz w:val="16"/>
          <w:szCs w:val="16"/>
          <w:b w:val="1"/>
          <w:bCs w:val="1"/>
          <w:color w:val="auto"/>
        </w:rPr>
        <w:t>June 30, 2024</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21590</wp:posOffset>
            </wp:positionV>
            <wp:extent cx="20148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26"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6"/>
          <w:szCs w:val="16"/>
          <w:b w:val="1"/>
          <w:bCs w:val="1"/>
          <w:color w:val="auto"/>
        </w:rPr>
        <w:t>June 29, 2025</w:t>
      </w:r>
      <w:r>
        <w:rPr>
          <w:sz w:val="20"/>
          <w:szCs w:val="20"/>
          <w:color w:val="auto"/>
        </w:rPr>
        <w:tab/>
      </w:r>
      <w:r>
        <w:rPr>
          <w:rFonts w:ascii="Times New Roman" w:cs="Times New Roman" w:eastAsia="Times New Roman" w:hAnsi="Times New Roman"/>
          <w:sz w:val="16"/>
          <w:szCs w:val="16"/>
          <w:b w:val="1"/>
          <w:bCs w:val="1"/>
          <w:color w:val="auto"/>
        </w:rPr>
        <w:t>June 30, 2024</w:t>
      </w:r>
    </w:p>
    <w:p>
      <w:pPr>
        <w:spacing w:after="0" w:line="28" w:lineRule="exact"/>
        <w:rPr>
          <w:sz w:val="20"/>
          <w:szCs w:val="20"/>
          <w:color w:val="auto"/>
        </w:rPr>
      </w:pPr>
    </w:p>
    <w:p>
      <w:pPr>
        <w:sectPr>
          <w:pgSz w:w="11900" w:h="16838" w:orient="portrait"/>
          <w:cols w:equalWidth="0" w:num="2">
            <w:col w:w="7660" w:space="700"/>
            <w:col w:w="28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3,836</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periodic benefit cost</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w:t>
            </w:r>
          </w:p>
        </w:tc>
      </w:tr>
      <w:tr>
        <w:trPr>
          <w:trHeight w:val="21"/>
        </w:trPr>
        <w:tc>
          <w:tcPr>
            <w:tcW w:w="4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made contributions of $423 and $2,994 to our pension plans and other benefits plans, respectively, during the second quarter of 2025. In the second quarter of 2024, we made contributions of $170 and $2,890 to our pension plans and other benefit plans, respectively. The contributions in 2025 and 2024 also included benefit payments from our non-qualified pension plans and post-retirement benefit plans.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 for the six months ended June 29, 2025 and June 30, 2024 were as follows:</w:t>
      </w:r>
    </w:p>
    <w:p>
      <w:pPr>
        <w:spacing w:after="0" w:line="52" w:lineRule="exact"/>
        <w:rPr>
          <w:sz w:val="20"/>
          <w:szCs w:val="20"/>
          <w:color w:val="auto"/>
        </w:rPr>
      </w:pPr>
    </w:p>
    <w:p>
      <w:pPr>
        <w:ind w:left="5800"/>
        <w:spacing w:after="0"/>
        <w:tabs>
          <w:tab w:leader="none" w:pos="9120" w:val="left"/>
        </w:tabs>
        <w:rPr>
          <w:sz w:val="20"/>
          <w:szCs w:val="20"/>
          <w:color w:val="auto"/>
        </w:rPr>
      </w:pPr>
      <w:r>
        <w:rPr>
          <w:rFonts w:ascii="Times New Roman" w:cs="Times New Roman" w:eastAsia="Times New Roman" w:hAnsi="Times New Roman"/>
          <w:sz w:val="16"/>
          <w:szCs w:val="16"/>
          <w:b w:val="1"/>
          <w:bCs w:val="1"/>
          <w:color w:val="auto"/>
        </w:rPr>
        <w:t>Pension Benefits</w:t>
      </w:r>
      <w:r>
        <w:rPr>
          <w:sz w:val="20"/>
          <w:szCs w:val="20"/>
          <w:color w:val="auto"/>
        </w:rPr>
        <w:tab/>
      </w:r>
      <w:r>
        <w:rPr>
          <w:rFonts w:ascii="Times New Roman" w:cs="Times New Roman" w:eastAsia="Times New Roman" w:hAnsi="Times New Roman"/>
          <w:sz w:val="16"/>
          <w:szCs w:val="16"/>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21590</wp:posOffset>
            </wp:positionV>
            <wp:extent cx="40976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p>
      <w:pPr>
        <w:spacing w:after="0" w:line="46"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21590</wp:posOffset>
            </wp:positionV>
            <wp:extent cx="20142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6" w:lineRule="exact"/>
        <w:rPr>
          <w:sz w:val="20"/>
          <w:szCs w:val="20"/>
          <w:color w:val="auto"/>
        </w:rPr>
      </w:pPr>
    </w:p>
    <w:p>
      <w:pPr>
        <w:ind w:left="5080"/>
        <w:spacing w:after="0"/>
        <w:tabs>
          <w:tab w:leader="none" w:pos="6700" w:val="left"/>
        </w:tabs>
        <w:rPr>
          <w:sz w:val="20"/>
          <w:szCs w:val="20"/>
          <w:color w:val="auto"/>
        </w:rPr>
      </w:pPr>
      <w:r>
        <w:rPr>
          <w:rFonts w:ascii="Times New Roman" w:cs="Times New Roman" w:eastAsia="Times New Roman" w:hAnsi="Times New Roman"/>
          <w:sz w:val="16"/>
          <w:szCs w:val="16"/>
          <w:b w:val="1"/>
          <w:bCs w:val="1"/>
          <w:color w:val="auto"/>
        </w:rPr>
        <w:t>June 29, 2025</w:t>
      </w:r>
      <w:r>
        <w:rPr>
          <w:sz w:val="20"/>
          <w:szCs w:val="20"/>
          <w:color w:val="auto"/>
        </w:rPr>
        <w:tab/>
      </w:r>
      <w:r>
        <w:rPr>
          <w:rFonts w:ascii="Times New Roman" w:cs="Times New Roman" w:eastAsia="Times New Roman" w:hAnsi="Times New Roman"/>
          <w:sz w:val="16"/>
          <w:szCs w:val="16"/>
          <w:b w:val="1"/>
          <w:bCs w:val="1"/>
          <w:color w:val="auto"/>
        </w:rPr>
        <w:t>June 30, 2024</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21590</wp:posOffset>
            </wp:positionV>
            <wp:extent cx="20148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26"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6"/>
          <w:szCs w:val="16"/>
          <w:b w:val="1"/>
          <w:bCs w:val="1"/>
          <w:color w:val="auto"/>
        </w:rPr>
        <w:t>June 29, 2025</w:t>
      </w:r>
      <w:r>
        <w:rPr>
          <w:sz w:val="20"/>
          <w:szCs w:val="20"/>
          <w:color w:val="auto"/>
        </w:rPr>
        <w:tab/>
      </w:r>
      <w:r>
        <w:rPr>
          <w:rFonts w:ascii="Times New Roman" w:cs="Times New Roman" w:eastAsia="Times New Roman" w:hAnsi="Times New Roman"/>
          <w:sz w:val="16"/>
          <w:szCs w:val="16"/>
          <w:b w:val="1"/>
          <w:bCs w:val="1"/>
          <w:color w:val="auto"/>
        </w:rPr>
        <w:t>June 30, 2024</w:t>
      </w:r>
    </w:p>
    <w:p>
      <w:pPr>
        <w:spacing w:after="0" w:line="28" w:lineRule="exact"/>
        <w:rPr>
          <w:sz w:val="20"/>
          <w:szCs w:val="20"/>
          <w:color w:val="auto"/>
        </w:rPr>
      </w:pPr>
    </w:p>
    <w:p>
      <w:pPr>
        <w:sectPr>
          <w:pgSz w:w="11900" w:h="16838" w:orient="portrait"/>
          <w:cols w:equalWidth="0" w:num="2">
            <w:col w:w="7660" w:space="700"/>
            <w:col w:w="28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7,039</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7,685</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periodic benefit cost</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w:t>
            </w:r>
          </w:p>
        </w:tc>
      </w:tr>
      <w:tr>
        <w:trPr>
          <w:trHeight w:val="20"/>
        </w:trPr>
        <w:tc>
          <w:tcPr>
            <w:tcW w:w="4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made contributions of $1,112 and $5,431 to our pension plans and other benefits plans, respectively, during the first six months of 2025. In the first six months of 2024, we made contributions of $986 and $4,482 to our pension plans and other benefit plans, respectively. The contributions in 2025 and 2024 also included benefit payments from our non-qualified pension plans and post-retirement benefit plans.</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The non-service cost components of net periodic benefit cost relating to pension and other post-retirement benefit plans are reflected within other (income) expense, net in the Consolidated Statements of Income (see </w:t>
      </w:r>
      <w:r>
        <w:rPr>
          <w:rFonts w:ascii="Times New Roman" w:cs="Times New Roman" w:eastAsia="Times New Roman" w:hAnsi="Times New Roman"/>
          <w:sz w:val="18"/>
          <w:szCs w:val="18"/>
          <w:u w:val="single" w:color="auto"/>
          <w:color w:val="0000FF"/>
        </w:rPr>
        <w:t>Note 17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568325</wp:posOffset>
            </wp:positionV>
            <wp:extent cx="19685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 COMPENSATION PLANS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Share-based grants for compensation and incentive purposes are made pursuant to the Equity and Incentive Compensation Plan (“EICP”). The EICP provides for grants of one or more of the following stock-based compensation awards to employees, non-employee directors and certain service providers upon whom the successful conduct of our business is dependent:</w:t>
      </w:r>
    </w:p>
    <w:p>
      <w:pPr>
        <w:spacing w:after="0" w:line="12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options (“stock options”);</w:t>
      </w:r>
    </w:p>
    <w:p>
      <w:pPr>
        <w:spacing w:after="0" w:line="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Performance stock units (“PSUs”) and performance stock;</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Stock appreciation rights;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Restricted stock units (“RSUs”) and restricted stock; and</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Other stock-based awards.</w:t>
      </w:r>
    </w:p>
    <w:p>
      <w:pPr>
        <w:spacing w:after="0" w:line="14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EICP also provides for the deferral of stock-based compensation awards by participants if approved by the Compensation and Human Capital Committee of our Board and if in accordance with an applicable deferred compensation plan of the Company. Currently, the Compensation and Human Capital Committee has authorized the deferral of PSU and RSU awards by certain eligible employees under the Company’s Deferred Compensation Plan. Our Board has authorized our non-employee directors to defer any portion of their cash retainer, committee chair fees and RSUs awarded that they elect to convert into deferred stock units under our Directors’ Compensation Plan.</w:t>
      </w:r>
    </w:p>
    <w:p>
      <w:pPr>
        <w:spacing w:after="0" w:line="12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At the time stock options are exercised or PSUs and RSUs become payable, Common Stock is issued from our accumulated treasury shares. Dividend equivalents are credited on RSUs on the same date and at the same rate as dividends paid on our Common Stock. Dividend equivalents are charged to retained earnings and included in accrued liabilities until paid.</w:t>
      </w:r>
    </w:p>
    <w:p>
      <w:pPr>
        <w:spacing w:after="0" w:line="12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Awards to employees eligible for retirement prior to the award becoming fully vested are amortized to expense over the period through the date that the employee first becomes eligible to retire and is no longer required to provide service to earn the award. In addition, historical data is used to estimate forfeiture rates and record share-based compensation expense only for those awards that are expected to vest.</w:t>
      </w:r>
    </w:p>
    <w:p>
      <w:pPr>
        <w:spacing w:after="0" w:line="12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For the periods presented, compensation expense for all types of stock-based compensation programs and the related income tax benefit recognized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gridSpan w:val="5"/>
          </w:tcPr>
          <w:p>
            <w:pPr>
              <w:ind w:left="9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3660" w:type="dxa"/>
            <w:vAlign w:val="bottom"/>
            <w:gridSpan w:val="4"/>
          </w:tcPr>
          <w:p>
            <w:pPr>
              <w:ind w:left="104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3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3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3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25"/>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compensation expense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31,003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r>
      <w:tr>
        <w:trPr>
          <w:trHeight w:val="23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income tax benefit</w:t>
            </w: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12,184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w:t>
            </w:r>
          </w:p>
        </w:tc>
      </w:tr>
    </w:tbl>
    <w:p>
      <w:pPr>
        <w:spacing w:after="0" w:line="233"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Compensation expenses for stock compensation plans are primarily included in SM&amp;A expense. As of June 29, 2025, total stock-based compensation expense related to non-vested awards not yet recognized was $104,049 and the weighted-average period over which this amount is expected to be recognized was approximately 2.0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7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exercise price of each stock option awarded under the EICP equals the closing price of our Common Stock on the New York Stock Exchange on the date of grant. Each stock option has a maximum term of 10 years. Grants of stock options provide for pro-rated vesting, typically over a four-year period. Expense for stock options is based on grant date fair value and recognized on a straight-line method over the vesting period, net of estimated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517525</wp:posOffset>
            </wp:positionV>
            <wp:extent cx="19685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summary of activity relating to grants of stock options for the period ended June 29, 2025 is as follows:</w:t>
            </w: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6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Weighted-Average</w:t>
            </w:r>
          </w:p>
        </w:tc>
        <w:tc>
          <w:tcPr>
            <w:tcW w:w="15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7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5"/>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70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7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b w:val="1"/>
                <w:bCs w:val="1"/>
                <w:color w:val="auto"/>
              </w:rPr>
              <w:t>Exercise Price (per</w:t>
            </w: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40" w:type="dxa"/>
            <w:vAlign w:val="bottom"/>
            <w:tcBorders>
              <w:bottom w:val="single" w:sz="8" w:color="CCEEFF"/>
            </w:tcBorders>
            <w:vMerge w:val="continue"/>
          </w:tcPr>
          <w:p>
            <w:pPr>
              <w:spacing w:after="0"/>
              <w:rPr>
                <w:sz w:val="21"/>
                <w:szCs w:val="21"/>
                <w:color w:val="auto"/>
              </w:rPr>
            </w:pPr>
          </w:p>
        </w:tc>
        <w:tc>
          <w:tcPr>
            <w:tcW w:w="1700" w:type="dxa"/>
            <w:vAlign w:val="bottom"/>
            <w:tcBorders>
              <w:bottom w:val="single" w:sz="8" w:color="auto"/>
            </w:tcBorders>
            <w:vMerge w:val="continue"/>
          </w:tcPr>
          <w:p>
            <w:pPr>
              <w:spacing w:after="0"/>
              <w:rPr>
                <w:sz w:val="21"/>
                <w:szCs w:val="21"/>
                <w:color w:val="auto"/>
              </w:rPr>
            </w:pPr>
          </w:p>
        </w:tc>
        <w:tc>
          <w:tcPr>
            <w:tcW w:w="17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579,834</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$106.73</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 years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$164.16</w:t>
            </w: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(74,945)</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$96.92</w:t>
            </w:r>
          </w:p>
        </w:tc>
        <w:tc>
          <w:tcPr>
            <w:tcW w:w="1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June 29, 2025</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510,054</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 years</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30,295</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as of June 29, 2025</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499,430</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$106.99</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 years</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fair value of options granted was $33.91 and $45.95 per share for the periods ended June 29, 2025 and June 30, 2024,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was estimated on the date of grant using a Black-Scholes option-pricing model and the following weighted-average assumptions: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4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c>
          <w:tcPr>
            <w:tcW w:w="1660" w:type="dxa"/>
            <w:vAlign w:val="bottom"/>
            <w:tcBorders>
              <w:bottom w:val="single" w:sz="8" w:color="auto"/>
            </w:tcBorders>
          </w:tcPr>
          <w:p>
            <w:pPr>
              <w:spacing w:after="0"/>
              <w:rPr>
                <w:sz w:val="18"/>
                <w:szCs w:val="18"/>
                <w:color w:val="auto"/>
              </w:rPr>
            </w:pPr>
          </w:p>
        </w:tc>
      </w:tr>
      <w:tr>
        <w:trPr>
          <w:trHeight w:val="226"/>
        </w:trPr>
        <w:tc>
          <w:tcPr>
            <w:tcW w:w="634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yields</w:t>
            </w:r>
          </w:p>
        </w:tc>
        <w:tc>
          <w:tcPr>
            <w:tcW w:w="16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4"/>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options exercised was $4,866 and $8,357 for the periods ended June 29, 2025 and June 30, 2024,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Units and Restricted Stock Units</w:t>
      </w:r>
    </w:p>
    <w:p>
      <w:pPr>
        <w:spacing w:after="0" w:line="1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Under the EICP, we grant PSUs to select executives and other key employees. Vesting is contingent upon the achievement of certain performance objectives. We grant PSUs over three-year performance cycles. If we meet targets for financial measures at the end of the applicable three-year performance cycle, we award a resulting number of shares of our Common Stock to the participants. The number of shares may be increased to the maximum or reduced to the minimum threshold based on the results of these performance metrics in accordance with the terms established at the time of the award.</w:t>
      </w:r>
    </w:p>
    <w:p>
      <w:pPr>
        <w:spacing w:after="0" w:line="1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PSUs granted, the target award is a combination of a market-based total shareholder return and performance-based components. For market-based condition components, market volatility and other factors are taken into consideration in determining the grant date fair value and the related compensation expense is recognized regardless of whether the market condition is satisfied, provided that the requisite service has been provided. For performance-based condition components, we estimate the probability that the performance conditions will be achieved each quarter and adjust compensation expenses accordingly. The performance scores of PSU grants during the six months ended June 29, 2025 and June 30, 2024 can range from 0% to 250% of the targeted amounts.</w:t>
      </w:r>
    </w:p>
    <w:p>
      <w:pPr>
        <w:spacing w:after="0" w:line="13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recognize the compensation expenses associated with PSUs ratably over the three-year term. Compensation expenses are based on the grant date fair value because the grants can only be settled in shares of our Common Stock. The grant date fair value of PSUs is determined based on the Monte Carlo simulation model for the market-based total shareholder return component and the closing market price of the Company’s Common Stock on the date of grant for performance-based components.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29, 2025 and June 30, 2024, we awarded RSUs to certain executive officers and other key employees under the EICP.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awarded RSUs to non-employee directors.</w:t>
      </w:r>
    </w:p>
    <w:p>
      <w:pPr>
        <w:spacing w:after="0" w:line="15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recognize the compensation expenses associated with employee RSUs over a specified award vesting period based on the grant date fair value of our Common Stock. We recognize expense for employee RSUs based on the straight-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259715</wp:posOffset>
            </wp:positionV>
            <wp:extent cx="19685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line method. The compensation expenses associated with non-employee director RSUs is recognized ratably over the vesting period, net of estimated forfeitures.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relating to grants of PSUs and RSUs for the period ended June 29, 2025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Stock Units and Restricted Stock Units</w:t>
            </w:r>
          </w:p>
        </w:tc>
        <w:tc>
          <w:tcPr>
            <w:tcW w:w="1640" w:type="dxa"/>
            <w:vAlign w:val="bottom"/>
            <w:vMerge w:val="restart"/>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Number of units</w:t>
            </w:r>
          </w:p>
        </w:tc>
        <w:tc>
          <w:tcPr>
            <w:tcW w:w="100" w:type="dxa"/>
            <w:vAlign w:val="bottom"/>
          </w:tcPr>
          <w:p>
            <w:pPr>
              <w:spacing w:after="0"/>
              <w:rPr>
                <w:sz w:val="16"/>
                <w:szCs w:val="16"/>
                <w:color w:val="auto"/>
              </w:rPr>
            </w:pPr>
          </w:p>
        </w:tc>
        <w:tc>
          <w:tcPr>
            <w:tcW w:w="354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Weighted-average grant date fair value for</w:t>
            </w:r>
          </w:p>
        </w:tc>
        <w:tc>
          <w:tcPr>
            <w:tcW w:w="0" w:type="dxa"/>
            <w:vAlign w:val="bottom"/>
          </w:tcPr>
          <w:p>
            <w:pPr>
              <w:spacing w:after="0"/>
              <w:rPr>
                <w:sz w:val="1"/>
                <w:szCs w:val="1"/>
                <w:color w:val="auto"/>
              </w:rPr>
            </w:pPr>
          </w:p>
        </w:tc>
      </w:tr>
      <w:tr>
        <w:trPr>
          <w:trHeight w:val="214"/>
        </w:trPr>
        <w:tc>
          <w:tcPr>
            <w:tcW w:w="5860" w:type="dxa"/>
            <w:vAlign w:val="bottom"/>
            <w:gridSpan w:val="2"/>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right"/>
              <w:ind w:right="856"/>
              <w:spacing w:after="0"/>
              <w:rPr>
                <w:sz w:val="20"/>
                <w:szCs w:val="20"/>
                <w:color w:val="auto"/>
              </w:rPr>
            </w:pPr>
            <w:r>
              <w:rPr>
                <w:rFonts w:ascii="Times New Roman" w:cs="Times New Roman" w:eastAsia="Times New Roman" w:hAnsi="Times New Roman"/>
                <w:sz w:val="16"/>
                <w:szCs w:val="16"/>
                <w:b w:val="1"/>
                <w:bCs w:val="1"/>
                <w:color w:val="auto"/>
              </w:rPr>
              <w:t>equity awards (per unit)</w:t>
            </w:r>
          </w:p>
        </w:tc>
        <w:tc>
          <w:tcPr>
            <w:tcW w:w="0" w:type="dxa"/>
            <w:vAlign w:val="bottom"/>
          </w:tcPr>
          <w:p>
            <w:pPr>
              <w:spacing w:after="0"/>
              <w:rPr>
                <w:sz w:val="1"/>
                <w:szCs w:val="1"/>
                <w:color w:val="auto"/>
              </w:rPr>
            </w:pPr>
          </w:p>
        </w:tc>
      </w:tr>
      <w:tr>
        <w:trPr>
          <w:trHeight w:val="225"/>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538,803</w:t>
            </w:r>
          </w:p>
        </w:tc>
        <w:tc>
          <w:tcPr>
            <w:tcW w:w="100" w:type="dxa"/>
            <w:vAlign w:val="bottom"/>
            <w:tcBorders>
              <w:top w:val="single" w:sz="8" w:color="CCEEFF"/>
            </w:tcBorders>
            <w:shd w:val="clear" w:color="auto" w:fill="CCEEFF"/>
          </w:tcPr>
          <w:p>
            <w:pPr>
              <w:spacing w:after="0"/>
              <w:rPr>
                <w:sz w:val="19"/>
                <w:szCs w:val="19"/>
                <w:color w:val="auto"/>
              </w:rPr>
            </w:pPr>
          </w:p>
        </w:tc>
        <w:tc>
          <w:tcPr>
            <w:tcW w:w="3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$204.65</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533,212</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$165.64</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assumption change (1)</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56,446</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$251.13</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(293,894)</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$207.15</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(63,032)</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as of June 29, 2025</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771,534</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$180.22</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Reflects the net number of PSUs above and below target levels based on the performance metrics.</w:t>
      </w:r>
    </w:p>
    <w:p>
      <w:pPr>
        <w:spacing w:after="0" w:line="17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6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granted</w:t>
            </w:r>
          </w:p>
        </w:tc>
        <w:tc>
          <w:tcPr>
            <w:tcW w:w="16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533,212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323,396</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fair value at date of grant</w:t>
            </w:r>
          </w:p>
        </w:tc>
        <w:tc>
          <w:tcPr>
            <w:tcW w:w="1680" w:type="dxa"/>
            <w:vAlign w:val="bottom"/>
            <w:vMerge w:val="restart"/>
          </w:tcPr>
          <w:p>
            <w:pPr>
              <w:jc w:val="right"/>
              <w:ind w:right="14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165.64</w:t>
            </w:r>
          </w:p>
        </w:tc>
        <w:tc>
          <w:tcPr>
            <w:tcW w:w="120" w:type="dxa"/>
            <w:vAlign w:val="bottom"/>
          </w:tcPr>
          <w:p>
            <w:pPr>
              <w:spacing w:after="0"/>
              <w:rPr>
                <w:sz w:val="20"/>
                <w:szCs w:val="20"/>
                <w:color w:val="auto"/>
              </w:rPr>
            </w:pPr>
          </w:p>
        </w:tc>
        <w:tc>
          <w:tcPr>
            <w:tcW w:w="6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196.04</w:t>
            </w:r>
          </w:p>
        </w:tc>
        <w:tc>
          <w:tcPr>
            <w:tcW w:w="0" w:type="dxa"/>
            <w:vAlign w:val="bottom"/>
          </w:tcPr>
          <w:p>
            <w:pPr>
              <w:spacing w:after="0"/>
              <w:rPr>
                <w:sz w:val="1"/>
                <w:szCs w:val="1"/>
                <w:color w:val="auto"/>
              </w:rPr>
            </w:pPr>
          </w:p>
        </w:tc>
      </w:tr>
      <w:tr>
        <w:trPr>
          <w:trHeight w:val="90"/>
        </w:trPr>
        <w:tc>
          <w:tcPr>
            <w:tcW w:w="636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Monte Carlo simulation assumptions:</w:t>
            </w:r>
          </w:p>
        </w:tc>
        <w:tc>
          <w:tcPr>
            <w:tcW w:w="16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Estimated values</w:t>
            </w:r>
          </w:p>
        </w:tc>
        <w:tc>
          <w:tcPr>
            <w:tcW w:w="1680" w:type="dxa"/>
            <w:vAlign w:val="bottom"/>
          </w:tcPr>
          <w:p>
            <w:pPr>
              <w:jc w:val="right"/>
              <w:ind w:right="14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12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 yields</w:t>
            </w:r>
          </w:p>
        </w:tc>
        <w:tc>
          <w:tcPr>
            <w:tcW w:w="16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4"/>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volatility</w:t>
            </w:r>
          </w:p>
        </w:tc>
        <w:tc>
          <w:tcPr>
            <w:tcW w:w="16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shares vested totaled $49,576 and $87,723 for the periods ended June 29, 2025 and June 30, 2024, respectively.</w:t>
      </w:r>
    </w:p>
    <w:p>
      <w:pPr>
        <w:spacing w:after="0" w:line="17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Deferred PSUs, deferred RSUs and deferred stock units representing directors’ fees totaled 248,379 units as of June 29, 2025. Each unit is equivalent to one share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568325</wp:posOffset>
            </wp:positionV>
            <wp:extent cx="19685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9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reports its operations through three segments: (i) North America Confectionery, (ii) North America Salty Snacks and (iii) International. This organizational structure aligns with how our CODM, Michele Buck, Chairman of the Board, President, and Chief Executive Officer, manages our business, including resource allocation and performance assessment, and further aligns with our product categories and the key markets we serve.</w:t>
      </w:r>
    </w:p>
    <w:p>
      <w:pPr>
        <w:spacing w:after="0" w:line="118" w:lineRule="exact"/>
        <w:rPr>
          <w:sz w:val="20"/>
          <w:szCs w:val="20"/>
          <w:color w:val="auto"/>
        </w:rPr>
      </w:pPr>
    </w:p>
    <w:p>
      <w:pPr>
        <w:ind w:left="660" w:right="120" w:hanging="328"/>
        <w:spacing w:after="0" w:line="259" w:lineRule="auto"/>
        <w:tabs>
          <w:tab w:leader="none" w:pos="6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North America Confectionery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is responsible for our traditional chocolate and non-chocolate confectionery market position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and Canada. This includes our business in chocolate and non-chocolate confectionery, gum and refreshment products, protein bars, spreads, snack bites and mixes, as well as pantry and food service lines. This segment also includes our retail operations, including Hershey’s Chocolate World stores in Hershey, Pennsylvania; New York, New York; Las Vegas, Nevada; Niagara Falls (Ontario) and Singapore, as well as operations associated with licensing the use of certain of the Company’s trademarks and products to third parties around the world.</w:t>
      </w:r>
    </w:p>
    <w:p>
      <w:pPr>
        <w:spacing w:after="0" w:line="125" w:lineRule="exact"/>
        <w:rPr>
          <w:rFonts w:ascii="Times New Roman" w:cs="Times New Roman" w:eastAsia="Times New Roman" w:hAnsi="Times New Roman"/>
          <w:sz w:val="18"/>
          <w:szCs w:val="18"/>
          <w:b w:val="1"/>
          <w:bCs w:val="1"/>
          <w:i w:val="1"/>
          <w:iCs w:val="1"/>
          <w:color w:val="auto"/>
        </w:rPr>
      </w:pPr>
    </w:p>
    <w:p>
      <w:pPr>
        <w:ind w:left="660" w:right="600" w:hanging="328"/>
        <w:spacing w:after="0" w:line="286" w:lineRule="auto"/>
        <w:tabs>
          <w:tab w:leader="none" w:pos="6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North America Salty Snacks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is responsible for our salty snacking products in the United States. This includes ready-to-eat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popcorn, baked and trans fat free snacks, pretzels and other snacks.</w:t>
      </w:r>
    </w:p>
    <w:p>
      <w:pPr>
        <w:spacing w:after="0" w:line="100" w:lineRule="exact"/>
        <w:rPr>
          <w:rFonts w:ascii="Times New Roman" w:cs="Times New Roman" w:eastAsia="Times New Roman" w:hAnsi="Times New Roman"/>
          <w:sz w:val="18"/>
          <w:szCs w:val="18"/>
          <w:b w:val="1"/>
          <w:bCs w:val="1"/>
          <w:i w:val="1"/>
          <w:iCs w:val="1"/>
          <w:color w:val="auto"/>
        </w:rPr>
      </w:pPr>
    </w:p>
    <w:p>
      <w:pPr>
        <w:ind w:left="660" w:right="160" w:hanging="328"/>
        <w:spacing w:after="0" w:line="262" w:lineRule="auto"/>
        <w:tabs>
          <w:tab w:leader="none" w:pos="6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International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International is a combination of all other operating segments that are not individually material, including those geographic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regions where we operate outside of North America. We currently have operations and manufacture product in Mexico, Brazil, India and Malaysia, primarily for consumers in these regions, and also distribute and sell confectionery products in export markets of Asia, Latin America, Middle East, Europe, Africa and other regions.</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segment reporting purposes, the CODM uses “segment income” to evaluate segment performance and allocate resources, including considering budget-to-actual variances and prior year-to-actual variances on a monthly basis.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profit are managed centrally at the corporate level and are excluded from the measure of segment income reviewed by the CODM as well as the measure of segment performance used for incentive compensation purposes.</w:t>
      </w:r>
    </w:p>
    <w:p>
      <w:pPr>
        <w:spacing w:after="0" w:line="1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derivatives used to manage commodity price risk are not designated for hedge accounting treatment. These derivatives are recognized at fair market value with the resulting realized and unrealized (gains) losses recognized in unallocated derivative (gains) losses outside of the reporting segment results until the related inventory is sold, at which time the related gains and losses are reallocated to segment income. This enables us to align the derivative gains and losses with the underlying economic exposure being hedged and thereby eliminate the mark-to-market volatility within our reported segment income.</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271145</wp:posOffset>
            </wp:positionV>
            <wp:extent cx="19685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Our segment net sales and earnings for the three months ended June 29, 2025 and June 30, 2024 were as follows: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760" w:type="dxa"/>
            <w:vAlign w:val="bottom"/>
            <w:gridSpan w:val="8"/>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June 29, 2025</w:t>
            </w:r>
          </w:p>
        </w:tc>
        <w:tc>
          <w:tcPr>
            <w:tcW w:w="140" w:type="dxa"/>
            <w:vAlign w:val="bottom"/>
          </w:tcPr>
          <w:p>
            <w:pPr>
              <w:spacing w:after="0"/>
              <w:rPr>
                <w:sz w:val="24"/>
                <w:szCs w:val="2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North America</w:t>
            </w:r>
          </w:p>
        </w:tc>
        <w:tc>
          <w:tcPr>
            <w:tcW w:w="140" w:type="dxa"/>
            <w:vAlign w:val="bottom"/>
          </w:tcPr>
          <w:p>
            <w:pPr>
              <w:spacing w:after="0"/>
              <w:rPr>
                <w:sz w:val="24"/>
                <w:szCs w:val="2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North America</w:t>
            </w:r>
          </w:p>
        </w:tc>
        <w:tc>
          <w:tcPr>
            <w:tcW w:w="200" w:type="dxa"/>
            <w:vAlign w:val="bottom"/>
          </w:tcPr>
          <w:p>
            <w:pPr>
              <w:spacing w:after="0"/>
              <w:rPr>
                <w:sz w:val="24"/>
                <w:szCs w:val="24"/>
                <w:color w:val="auto"/>
              </w:rPr>
            </w:pP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40" w:type="dxa"/>
            <w:vAlign w:val="bottom"/>
          </w:tcPr>
          <w:p>
            <w:pPr>
              <w:spacing w:after="0"/>
              <w:rPr>
                <w:sz w:val="24"/>
                <w:szCs w:val="24"/>
                <w:color w:val="auto"/>
              </w:rPr>
            </w:pPr>
          </w:p>
        </w:tc>
        <w:tc>
          <w:tcPr>
            <w:tcW w:w="12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760" w:type="dxa"/>
            <w:vAlign w:val="bottom"/>
            <w:tcBorders>
              <w:bottom w:val="single" w:sz="8" w:color="auto"/>
            </w:tcBorders>
            <w:gridSpan w:val="8"/>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Confectionery</w:t>
            </w: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Salty Snacks</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6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2,085,468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2,614,718</w:t>
            </w:r>
          </w:p>
        </w:tc>
        <w:tc>
          <w:tcPr>
            <w:tcW w:w="0" w:type="dxa"/>
            <w:vAlign w:val="bottom"/>
          </w:tcPr>
          <w:p>
            <w:pPr>
              <w:spacing w:after="0"/>
              <w:rPr>
                <w:sz w:val="1"/>
                <w:szCs w:val="1"/>
                <w:color w:val="auto"/>
              </w:rPr>
            </w:pPr>
          </w:p>
        </w:tc>
      </w:tr>
      <w:tr>
        <w:trPr>
          <w:trHeight w:val="229"/>
        </w:trPr>
        <w:tc>
          <w:tcPr>
            <w:tcW w:w="47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1,274,772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SM&amp;A expense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gridSpan w:val="7"/>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503,929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66,480</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19,795</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590,204</w:t>
            </w:r>
          </w:p>
        </w:tc>
        <w:tc>
          <w:tcPr>
            <w:tcW w:w="0" w:type="dxa"/>
            <w:vAlign w:val="bottom"/>
          </w:tcPr>
          <w:p>
            <w:pPr>
              <w:spacing w:after="0"/>
              <w:rPr>
                <w:sz w:val="1"/>
                <w:szCs w:val="1"/>
                <w:color w:val="auto"/>
              </w:rPr>
            </w:pPr>
          </w:p>
        </w:tc>
      </w:tr>
      <w:tr>
        <w:trPr>
          <w:trHeight w:val="223"/>
        </w:trPr>
        <w:tc>
          <w:tcPr>
            <w:tcW w:w="47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181,527</w:t>
            </w:r>
          </w:p>
        </w:tc>
        <w:tc>
          <w:tcPr>
            <w:tcW w:w="0" w:type="dxa"/>
            <w:vAlign w:val="bottom"/>
          </w:tcPr>
          <w:p>
            <w:pPr>
              <w:spacing w:after="0"/>
              <w:rPr>
                <w:sz w:val="1"/>
                <w:szCs w:val="1"/>
                <w:color w:val="auto"/>
              </w:rPr>
            </w:pPr>
          </w:p>
        </w:tc>
      </w:tr>
      <w:tr>
        <w:trPr>
          <w:trHeight w:val="229"/>
        </w:trPr>
        <w:tc>
          <w:tcPr>
            <w:tcW w:w="47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Unallocated mark-to-market losses on commodity derivatives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200,727</w:t>
            </w:r>
          </w:p>
        </w:tc>
        <w:tc>
          <w:tcPr>
            <w:tcW w:w="0" w:type="dxa"/>
            <w:vAlign w:val="bottom"/>
          </w:tcPr>
          <w:p>
            <w:pPr>
              <w:spacing w:after="0"/>
              <w:rPr>
                <w:sz w:val="1"/>
                <w:szCs w:val="1"/>
                <w:color w:val="auto"/>
              </w:rPr>
            </w:pPr>
          </w:p>
        </w:tc>
      </w:tr>
      <w:tr>
        <w:trPr>
          <w:trHeight w:val="229"/>
        </w:trPr>
        <w:tc>
          <w:tcPr>
            <w:tcW w:w="476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w w:val="99"/>
              </w:rPr>
              <w:t xml:space="preserve">Costs associated with business realignment activities (see </w:t>
            </w:r>
            <w:r>
              <w:rPr>
                <w:rFonts w:ascii="Times New Roman" w:cs="Times New Roman" w:eastAsia="Times New Roman" w:hAnsi="Times New Roman"/>
                <w:sz w:val="18"/>
                <w:szCs w:val="18"/>
                <w:color w:val="0000FF"/>
                <w:w w:val="99"/>
              </w:rPr>
              <w:t>Note 9</w:t>
            </w: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15,139</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50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gridSpan w:val="2"/>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192,811</w:t>
            </w:r>
          </w:p>
        </w:tc>
        <w:tc>
          <w:tcPr>
            <w:tcW w:w="0" w:type="dxa"/>
            <w:vAlign w:val="bottom"/>
          </w:tcPr>
          <w:p>
            <w:pPr>
              <w:spacing w:after="0"/>
              <w:rPr>
                <w:sz w:val="1"/>
                <w:szCs w:val="1"/>
                <w:color w:val="auto"/>
              </w:rPr>
            </w:pPr>
          </w:p>
        </w:tc>
      </w:tr>
      <w:tr>
        <w:trPr>
          <w:trHeight w:val="189"/>
        </w:trPr>
        <w:tc>
          <w:tcPr>
            <w:tcW w:w="476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Interest expense, net (see </w:t>
            </w:r>
            <w:r>
              <w:rPr>
                <w:rFonts w:ascii="Times New Roman" w:cs="Times New Roman" w:eastAsia="Times New Roman" w:hAnsi="Times New Roman"/>
                <w:sz w:val="18"/>
                <w:szCs w:val="18"/>
                <w:color w:val="0000FF"/>
              </w:rPr>
              <w:t>Note 4</w:t>
            </w: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46,035</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60" w:type="dxa"/>
            <w:vAlign w:val="bottom"/>
            <w:gridSpan w:val="8"/>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Other (income) expense, net (see </w:t>
            </w:r>
            <w:r>
              <w:rPr>
                <w:rFonts w:ascii="Times New Roman" w:cs="Times New Roman" w:eastAsia="Times New Roman" w:hAnsi="Times New Roman"/>
                <w:sz w:val="18"/>
                <w:szCs w:val="18"/>
                <w:color w:val="0000FF"/>
              </w:rPr>
              <w:t>Note 17</w:t>
            </w: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(2,336)</w:t>
            </w:r>
          </w:p>
        </w:tc>
        <w:tc>
          <w:tcPr>
            <w:tcW w:w="0" w:type="dxa"/>
            <w:vAlign w:val="bottom"/>
          </w:tcPr>
          <w:p>
            <w:pPr>
              <w:spacing w:after="0"/>
              <w:rPr>
                <w:sz w:val="1"/>
                <w:szCs w:val="1"/>
                <w:color w:val="auto"/>
              </w:rPr>
            </w:pPr>
          </w:p>
        </w:tc>
      </w:tr>
      <w:tr>
        <w:trPr>
          <w:trHeight w:val="21"/>
        </w:trPr>
        <w:tc>
          <w:tcPr>
            <w:tcW w:w="1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0000FF"/>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149,112</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gridSpan w:val="8"/>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2024</w:t>
            </w:r>
          </w:p>
        </w:tc>
        <w:tc>
          <w:tcPr>
            <w:tcW w:w="14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North America</w:t>
            </w: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North America</w:t>
            </w:r>
          </w:p>
        </w:tc>
        <w:tc>
          <w:tcPr>
            <w:tcW w:w="200" w:type="dxa"/>
            <w:vAlign w:val="bottom"/>
          </w:tcPr>
          <w:p>
            <w:pPr>
              <w:spacing w:after="0"/>
              <w:rPr>
                <w:sz w:val="17"/>
                <w:szCs w:val="17"/>
                <w:color w:val="auto"/>
              </w:rPr>
            </w:pP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40" w:type="dxa"/>
            <w:vAlign w:val="bottom"/>
          </w:tcPr>
          <w:p>
            <w:pPr>
              <w:spacing w:after="0"/>
              <w:rPr>
                <w:sz w:val="17"/>
                <w:szCs w:val="17"/>
                <w:color w:val="auto"/>
              </w:rPr>
            </w:pPr>
          </w:p>
        </w:tc>
        <w:tc>
          <w:tcPr>
            <w:tcW w:w="12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760" w:type="dxa"/>
            <w:vAlign w:val="bottom"/>
            <w:tcBorders>
              <w:bottom w:val="single" w:sz="8" w:color="auto"/>
            </w:tcBorders>
            <w:gridSpan w:val="8"/>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Confectionery</w:t>
            </w: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Salty Snacks</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6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1,579,826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2,074,480</w:t>
            </w:r>
          </w:p>
        </w:tc>
        <w:tc>
          <w:tcPr>
            <w:tcW w:w="0" w:type="dxa"/>
            <w:vAlign w:val="bottom"/>
          </w:tcPr>
          <w:p>
            <w:pPr>
              <w:spacing w:after="0"/>
              <w:rPr>
                <w:sz w:val="1"/>
                <w:szCs w:val="1"/>
                <w:color w:val="auto"/>
              </w:rPr>
            </w:pPr>
          </w:p>
        </w:tc>
      </w:tr>
      <w:tr>
        <w:trPr>
          <w:trHeight w:val="229"/>
        </w:trPr>
        <w:tc>
          <w:tcPr>
            <w:tcW w:w="47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862,848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180,282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SM&amp;A expense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gridSpan w:val="7"/>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464,496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52,204</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541,710</w:t>
            </w:r>
          </w:p>
        </w:tc>
        <w:tc>
          <w:tcPr>
            <w:tcW w:w="0" w:type="dxa"/>
            <w:vAlign w:val="bottom"/>
          </w:tcPr>
          <w:p>
            <w:pPr>
              <w:spacing w:after="0"/>
              <w:rPr>
                <w:sz w:val="1"/>
                <w:szCs w:val="1"/>
                <w:color w:val="auto"/>
              </w:rPr>
            </w:pPr>
          </w:p>
        </w:tc>
      </w:tr>
      <w:tr>
        <w:trPr>
          <w:trHeight w:val="223"/>
        </w:trPr>
        <w:tc>
          <w:tcPr>
            <w:tcW w:w="47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161,518</w:t>
            </w:r>
          </w:p>
        </w:tc>
        <w:tc>
          <w:tcPr>
            <w:tcW w:w="0" w:type="dxa"/>
            <w:vAlign w:val="bottom"/>
          </w:tcPr>
          <w:p>
            <w:pPr>
              <w:spacing w:after="0"/>
              <w:rPr>
                <w:sz w:val="1"/>
                <w:szCs w:val="1"/>
                <w:color w:val="auto"/>
              </w:rPr>
            </w:pPr>
          </w:p>
        </w:tc>
      </w:tr>
      <w:tr>
        <w:trPr>
          <w:trHeight w:val="230"/>
        </w:trPr>
        <w:tc>
          <w:tcPr>
            <w:tcW w:w="47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Unallocated mark-to-market losses on commodity derivatives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53,371</w:t>
            </w:r>
          </w:p>
        </w:tc>
        <w:tc>
          <w:tcPr>
            <w:tcW w:w="0" w:type="dxa"/>
            <w:vAlign w:val="bottom"/>
          </w:tcPr>
          <w:p>
            <w:pPr>
              <w:spacing w:after="0"/>
              <w:rPr>
                <w:sz w:val="1"/>
                <w:szCs w:val="1"/>
                <w:color w:val="auto"/>
              </w:rPr>
            </w:pPr>
          </w:p>
        </w:tc>
      </w:tr>
      <w:tr>
        <w:trPr>
          <w:trHeight w:val="229"/>
        </w:trPr>
        <w:tc>
          <w:tcPr>
            <w:tcW w:w="476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w w:val="99"/>
              </w:rPr>
              <w:t xml:space="preserve">Costs associated with business realignment activities (see </w:t>
            </w:r>
            <w:r>
              <w:rPr>
                <w:rFonts w:ascii="Times New Roman" w:cs="Times New Roman" w:eastAsia="Times New Roman" w:hAnsi="Times New Roman"/>
                <w:sz w:val="18"/>
                <w:szCs w:val="18"/>
                <w:color w:val="0000FF"/>
                <w:w w:val="99"/>
              </w:rPr>
              <w:t>Note 9</w:t>
            </w: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39,000</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50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gridSpan w:val="2"/>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287,821</w:t>
            </w:r>
          </w:p>
        </w:tc>
        <w:tc>
          <w:tcPr>
            <w:tcW w:w="0" w:type="dxa"/>
            <w:vAlign w:val="bottom"/>
          </w:tcPr>
          <w:p>
            <w:pPr>
              <w:spacing w:after="0"/>
              <w:rPr>
                <w:sz w:val="1"/>
                <w:szCs w:val="1"/>
                <w:color w:val="auto"/>
              </w:rPr>
            </w:pPr>
          </w:p>
        </w:tc>
      </w:tr>
      <w:tr>
        <w:trPr>
          <w:trHeight w:val="189"/>
        </w:trPr>
        <w:tc>
          <w:tcPr>
            <w:tcW w:w="476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Interest expense, net (see </w:t>
            </w:r>
            <w:r>
              <w:rPr>
                <w:rFonts w:ascii="Times New Roman" w:cs="Times New Roman" w:eastAsia="Times New Roman" w:hAnsi="Times New Roman"/>
                <w:sz w:val="18"/>
                <w:szCs w:val="18"/>
                <w:color w:val="0000FF"/>
              </w:rPr>
              <w:t>Note 4</w:t>
            </w: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41,373</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60" w:type="dxa"/>
            <w:vAlign w:val="bottom"/>
            <w:gridSpan w:val="8"/>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Other (income) expense, net (see </w:t>
            </w:r>
            <w:r>
              <w:rPr>
                <w:rFonts w:ascii="Times New Roman" w:cs="Times New Roman" w:eastAsia="Times New Roman" w:hAnsi="Times New Roman"/>
                <w:sz w:val="18"/>
                <w:szCs w:val="18"/>
                <w:color w:val="0000FF"/>
              </w:rPr>
              <w:t>Note 17</w:t>
            </w: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0"/>
        </w:trPr>
        <w:tc>
          <w:tcPr>
            <w:tcW w:w="1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0000FF"/>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245,874</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40" w:right="20" w:hanging="332"/>
        <w:spacing w:after="0" w:line="261"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 and integration-related costs, and (e) other gains or losses that are not integral to segment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2379980</wp:posOffset>
            </wp:positionV>
            <wp:extent cx="19685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segment net sales and earnings for the six months ended June 29, 2025 and June 30, 2024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gridSpan w:val="8"/>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 June 29, 2025</w:t>
            </w:r>
          </w:p>
        </w:tc>
        <w:tc>
          <w:tcPr>
            <w:tcW w:w="14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North America</w:t>
            </w: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North America</w:t>
            </w:r>
          </w:p>
        </w:tc>
        <w:tc>
          <w:tcPr>
            <w:tcW w:w="200" w:type="dxa"/>
            <w:vAlign w:val="bottom"/>
          </w:tcPr>
          <w:p>
            <w:pPr>
              <w:spacing w:after="0"/>
              <w:rPr>
                <w:sz w:val="17"/>
                <w:szCs w:val="17"/>
                <w:color w:val="auto"/>
              </w:rPr>
            </w:pP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40" w:type="dxa"/>
            <w:vAlign w:val="bottom"/>
          </w:tcPr>
          <w:p>
            <w:pPr>
              <w:spacing w:after="0"/>
              <w:rPr>
                <w:sz w:val="17"/>
                <w:szCs w:val="17"/>
                <w:color w:val="auto"/>
              </w:rPr>
            </w:pPr>
          </w:p>
        </w:tc>
        <w:tc>
          <w:tcPr>
            <w:tcW w:w="12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760" w:type="dxa"/>
            <w:vAlign w:val="bottom"/>
            <w:tcBorders>
              <w:bottom w:val="single" w:sz="8" w:color="auto"/>
            </w:tcBorders>
            <w:gridSpan w:val="8"/>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Confectionery</w:t>
            </w: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Salty Snacks</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6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4,385,608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5,420,137</w:t>
            </w:r>
          </w:p>
        </w:tc>
        <w:tc>
          <w:tcPr>
            <w:tcW w:w="0" w:type="dxa"/>
            <w:vAlign w:val="bottom"/>
          </w:tcPr>
          <w:p>
            <w:pPr>
              <w:spacing w:after="0"/>
              <w:rPr>
                <w:sz w:val="1"/>
                <w:szCs w:val="1"/>
                <w:color w:val="auto"/>
              </w:rPr>
            </w:pPr>
          </w:p>
        </w:tc>
      </w:tr>
      <w:tr>
        <w:trPr>
          <w:trHeight w:val="229"/>
        </w:trPr>
        <w:tc>
          <w:tcPr>
            <w:tcW w:w="47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2,589,848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SM&amp;A expense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gridSpan w:val="7"/>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1,200,303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108,333</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48,521</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1,357,157</w:t>
            </w:r>
          </w:p>
        </w:tc>
        <w:tc>
          <w:tcPr>
            <w:tcW w:w="0" w:type="dxa"/>
            <w:vAlign w:val="bottom"/>
          </w:tcPr>
          <w:p>
            <w:pPr>
              <w:spacing w:after="0"/>
              <w:rPr>
                <w:sz w:val="1"/>
                <w:szCs w:val="1"/>
                <w:color w:val="auto"/>
              </w:rPr>
            </w:pPr>
          </w:p>
        </w:tc>
      </w:tr>
      <w:tr>
        <w:trPr>
          <w:trHeight w:val="223"/>
        </w:trPr>
        <w:tc>
          <w:tcPr>
            <w:tcW w:w="47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341,952</w:t>
            </w:r>
          </w:p>
        </w:tc>
        <w:tc>
          <w:tcPr>
            <w:tcW w:w="0" w:type="dxa"/>
            <w:vAlign w:val="bottom"/>
          </w:tcPr>
          <w:p>
            <w:pPr>
              <w:spacing w:after="0"/>
              <w:rPr>
                <w:sz w:val="1"/>
                <w:szCs w:val="1"/>
                <w:color w:val="auto"/>
              </w:rPr>
            </w:pPr>
          </w:p>
        </w:tc>
      </w:tr>
      <w:tr>
        <w:trPr>
          <w:trHeight w:val="230"/>
        </w:trPr>
        <w:tc>
          <w:tcPr>
            <w:tcW w:w="47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Unallocated mark-to-market losses on commodity derivatives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412,181</w:t>
            </w:r>
          </w:p>
        </w:tc>
        <w:tc>
          <w:tcPr>
            <w:tcW w:w="0" w:type="dxa"/>
            <w:vAlign w:val="bottom"/>
          </w:tcPr>
          <w:p>
            <w:pPr>
              <w:spacing w:after="0"/>
              <w:rPr>
                <w:sz w:val="1"/>
                <w:szCs w:val="1"/>
                <w:color w:val="auto"/>
              </w:rPr>
            </w:pPr>
          </w:p>
        </w:tc>
      </w:tr>
      <w:tr>
        <w:trPr>
          <w:trHeight w:val="229"/>
        </w:trPr>
        <w:tc>
          <w:tcPr>
            <w:tcW w:w="476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w w:val="99"/>
              </w:rPr>
              <w:t xml:space="preserve">Costs associated with business realignment activities (see </w:t>
            </w:r>
            <w:r>
              <w:rPr>
                <w:rFonts w:ascii="Times New Roman" w:cs="Times New Roman" w:eastAsia="Times New Roman" w:hAnsi="Times New Roman"/>
                <w:sz w:val="18"/>
                <w:szCs w:val="18"/>
                <w:color w:val="0000FF"/>
                <w:w w:val="99"/>
              </w:rPr>
              <w:t>Note 9</w:t>
            </w: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40,992</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50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gridSpan w:val="2"/>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562,032</w:t>
            </w:r>
          </w:p>
        </w:tc>
        <w:tc>
          <w:tcPr>
            <w:tcW w:w="0" w:type="dxa"/>
            <w:vAlign w:val="bottom"/>
          </w:tcPr>
          <w:p>
            <w:pPr>
              <w:spacing w:after="0"/>
              <w:rPr>
                <w:sz w:val="1"/>
                <w:szCs w:val="1"/>
                <w:color w:val="auto"/>
              </w:rPr>
            </w:pPr>
          </w:p>
        </w:tc>
      </w:tr>
      <w:tr>
        <w:trPr>
          <w:trHeight w:val="189"/>
        </w:trPr>
        <w:tc>
          <w:tcPr>
            <w:tcW w:w="476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Interest expense, net (see </w:t>
            </w:r>
            <w:r>
              <w:rPr>
                <w:rFonts w:ascii="Times New Roman" w:cs="Times New Roman" w:eastAsia="Times New Roman" w:hAnsi="Times New Roman"/>
                <w:sz w:val="18"/>
                <w:szCs w:val="18"/>
                <w:color w:val="0000FF"/>
              </w:rPr>
              <w:t>Note 4</w:t>
            </w: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90,657</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60" w:type="dxa"/>
            <w:vAlign w:val="bottom"/>
            <w:gridSpan w:val="8"/>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Other (income) expense, net (see </w:t>
            </w:r>
            <w:r>
              <w:rPr>
                <w:rFonts w:ascii="Times New Roman" w:cs="Times New Roman" w:eastAsia="Times New Roman" w:hAnsi="Times New Roman"/>
                <w:sz w:val="18"/>
                <w:szCs w:val="18"/>
                <w:color w:val="0000FF"/>
              </w:rPr>
              <w:t>Note 17</w:t>
            </w: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(1,391)</w:t>
            </w:r>
          </w:p>
        </w:tc>
        <w:tc>
          <w:tcPr>
            <w:tcW w:w="0" w:type="dxa"/>
            <w:vAlign w:val="bottom"/>
          </w:tcPr>
          <w:p>
            <w:pPr>
              <w:spacing w:after="0"/>
              <w:rPr>
                <w:sz w:val="1"/>
                <w:szCs w:val="1"/>
                <w:color w:val="auto"/>
              </w:rPr>
            </w:pPr>
          </w:p>
        </w:tc>
      </w:tr>
      <w:tr>
        <w:trPr>
          <w:trHeight w:val="21"/>
        </w:trPr>
        <w:tc>
          <w:tcPr>
            <w:tcW w:w="1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0000FF"/>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472,766</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gridSpan w:val="8"/>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w:t>
            </w:r>
          </w:p>
        </w:tc>
        <w:tc>
          <w:tcPr>
            <w:tcW w:w="14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North America</w:t>
            </w: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North America</w:t>
            </w:r>
          </w:p>
        </w:tc>
        <w:tc>
          <w:tcPr>
            <w:tcW w:w="200" w:type="dxa"/>
            <w:vAlign w:val="bottom"/>
          </w:tcPr>
          <w:p>
            <w:pPr>
              <w:spacing w:after="0"/>
              <w:rPr>
                <w:sz w:val="17"/>
                <w:szCs w:val="17"/>
                <w:color w:val="auto"/>
              </w:rPr>
            </w:pP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40" w:type="dxa"/>
            <w:vAlign w:val="bottom"/>
          </w:tcPr>
          <w:p>
            <w:pPr>
              <w:spacing w:after="0"/>
              <w:rPr>
                <w:sz w:val="17"/>
                <w:szCs w:val="17"/>
                <w:color w:val="auto"/>
              </w:rPr>
            </w:pPr>
          </w:p>
        </w:tc>
        <w:tc>
          <w:tcPr>
            <w:tcW w:w="12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4760" w:type="dxa"/>
            <w:vAlign w:val="bottom"/>
            <w:tcBorders>
              <w:bottom w:val="single" w:sz="8" w:color="auto"/>
            </w:tcBorders>
            <w:gridSpan w:val="8"/>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Confectionery</w:t>
            </w: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Salty Snacks</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6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4,287,136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5,327,229</w:t>
            </w:r>
          </w:p>
        </w:tc>
        <w:tc>
          <w:tcPr>
            <w:tcW w:w="0" w:type="dxa"/>
            <w:vAlign w:val="bottom"/>
          </w:tcPr>
          <w:p>
            <w:pPr>
              <w:spacing w:after="0"/>
              <w:rPr>
                <w:sz w:val="1"/>
                <w:szCs w:val="1"/>
                <w:color w:val="auto"/>
              </w:rPr>
            </w:pPr>
          </w:p>
        </w:tc>
      </w:tr>
      <w:tr>
        <w:trPr>
          <w:trHeight w:val="229"/>
        </w:trPr>
        <w:tc>
          <w:tcPr>
            <w:tcW w:w="47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2,291,239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SM&amp;A expense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gridSpan w:val="7"/>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1,412,692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90,910</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67,760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1,571,362</w:t>
            </w:r>
          </w:p>
        </w:tc>
        <w:tc>
          <w:tcPr>
            <w:tcW w:w="0" w:type="dxa"/>
            <w:vAlign w:val="bottom"/>
          </w:tcPr>
          <w:p>
            <w:pPr>
              <w:spacing w:after="0"/>
              <w:rPr>
                <w:sz w:val="1"/>
                <w:szCs w:val="1"/>
                <w:color w:val="auto"/>
              </w:rPr>
            </w:pPr>
          </w:p>
        </w:tc>
      </w:tr>
      <w:tr>
        <w:trPr>
          <w:trHeight w:val="223"/>
        </w:trPr>
        <w:tc>
          <w:tcPr>
            <w:tcW w:w="47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334,419</w:t>
            </w:r>
          </w:p>
        </w:tc>
        <w:tc>
          <w:tcPr>
            <w:tcW w:w="0" w:type="dxa"/>
            <w:vAlign w:val="bottom"/>
          </w:tcPr>
          <w:p>
            <w:pPr>
              <w:spacing w:after="0"/>
              <w:rPr>
                <w:sz w:val="1"/>
                <w:szCs w:val="1"/>
                <w:color w:val="auto"/>
              </w:rPr>
            </w:pPr>
          </w:p>
        </w:tc>
      </w:tr>
      <w:tr>
        <w:trPr>
          <w:trHeight w:val="230"/>
        </w:trPr>
        <w:tc>
          <w:tcPr>
            <w:tcW w:w="47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Unallocated mark-to-market gains on commodity derivatives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(164,644)</w:t>
            </w:r>
          </w:p>
        </w:tc>
        <w:tc>
          <w:tcPr>
            <w:tcW w:w="0" w:type="dxa"/>
            <w:vAlign w:val="bottom"/>
          </w:tcPr>
          <w:p>
            <w:pPr>
              <w:spacing w:after="0"/>
              <w:rPr>
                <w:sz w:val="1"/>
                <w:szCs w:val="1"/>
                <w:color w:val="auto"/>
              </w:rPr>
            </w:pPr>
          </w:p>
        </w:tc>
      </w:tr>
      <w:tr>
        <w:trPr>
          <w:trHeight w:val="230"/>
        </w:trPr>
        <w:tc>
          <w:tcPr>
            <w:tcW w:w="476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w w:val="99"/>
              </w:rPr>
              <w:t xml:space="preserve">Costs associated with business realignment activities (see </w:t>
            </w:r>
            <w:r>
              <w:rPr>
                <w:rFonts w:ascii="Times New Roman" w:cs="Times New Roman" w:eastAsia="Times New Roman" w:hAnsi="Times New Roman"/>
                <w:sz w:val="18"/>
                <w:szCs w:val="18"/>
                <w:color w:val="0000FF"/>
                <w:w w:val="99"/>
              </w:rPr>
              <w:t>Note 9</w:t>
            </w: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55,666</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50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gridSpan w:val="2"/>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1,345,921</w:t>
            </w:r>
          </w:p>
        </w:tc>
        <w:tc>
          <w:tcPr>
            <w:tcW w:w="0" w:type="dxa"/>
            <w:vAlign w:val="bottom"/>
          </w:tcPr>
          <w:p>
            <w:pPr>
              <w:spacing w:after="0"/>
              <w:rPr>
                <w:sz w:val="1"/>
                <w:szCs w:val="1"/>
                <w:color w:val="auto"/>
              </w:rPr>
            </w:pPr>
          </w:p>
        </w:tc>
      </w:tr>
      <w:tr>
        <w:trPr>
          <w:trHeight w:val="189"/>
        </w:trPr>
        <w:tc>
          <w:tcPr>
            <w:tcW w:w="476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Interest expense, net (see </w:t>
            </w:r>
            <w:r>
              <w:rPr>
                <w:rFonts w:ascii="Times New Roman" w:cs="Times New Roman" w:eastAsia="Times New Roman" w:hAnsi="Times New Roman"/>
                <w:sz w:val="18"/>
                <w:szCs w:val="18"/>
                <w:color w:val="0000FF"/>
              </w:rPr>
              <w:t>Note 4</w:t>
            </w: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81,195</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60" w:type="dxa"/>
            <w:vAlign w:val="bottom"/>
            <w:gridSpan w:val="8"/>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Other (income) expense, net (see </w:t>
            </w:r>
            <w:r>
              <w:rPr>
                <w:rFonts w:ascii="Times New Roman" w:cs="Times New Roman" w:eastAsia="Times New Roman" w:hAnsi="Times New Roman"/>
                <w:sz w:val="18"/>
                <w:szCs w:val="18"/>
                <w:color w:val="0000FF"/>
              </w:rPr>
              <w:t>Note 17</w:t>
            </w: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32,594</w:t>
            </w:r>
          </w:p>
        </w:tc>
        <w:tc>
          <w:tcPr>
            <w:tcW w:w="0" w:type="dxa"/>
            <w:vAlign w:val="bottom"/>
          </w:tcPr>
          <w:p>
            <w:pPr>
              <w:spacing w:after="0"/>
              <w:rPr>
                <w:sz w:val="1"/>
                <w:szCs w:val="1"/>
                <w:color w:val="auto"/>
              </w:rPr>
            </w:pPr>
          </w:p>
        </w:tc>
      </w:tr>
      <w:tr>
        <w:trPr>
          <w:trHeight w:val="20"/>
        </w:trPr>
        <w:tc>
          <w:tcPr>
            <w:tcW w:w="1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0000FF"/>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1,232,132</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right="20" w:hanging="332"/>
        <w:spacing w:after="0" w:line="261"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 and integration-related costs, and (e) other gains or losses that are not integral to segment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476885</wp:posOffset>
            </wp:positionV>
            <wp:extent cx="19685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within the unallocated mark-to-market adjustment for commodity derivatives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2920" w:type="dxa"/>
            <w:vAlign w:val="bottom"/>
            <w:gridSpan w:val="4"/>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1"/>
        </w:trPr>
        <w:tc>
          <w:tcPr>
            <w:tcW w:w="49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0" w:type="dxa"/>
            <w:vAlign w:val="bottom"/>
          </w:tcPr>
          <w:p>
            <w:pPr>
              <w:spacing w:after="0"/>
              <w:rPr>
                <w:sz w:val="1"/>
                <w:szCs w:val="1"/>
                <w:color w:val="auto"/>
              </w:rPr>
            </w:pPr>
          </w:p>
        </w:tc>
      </w:tr>
      <w:tr>
        <w:trPr>
          <w:trHeight w:val="157"/>
        </w:trPr>
        <w:tc>
          <w:tcPr>
            <w:tcW w:w="490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Net losses (gains) on mark-to-market valuation of commodity</w:t>
            </w:r>
          </w:p>
        </w:tc>
        <w:tc>
          <w:tcPr>
            <w:tcW w:w="20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positions recognized in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(159,464)</w:t>
            </w:r>
          </w:p>
        </w:tc>
        <w:tc>
          <w:tcPr>
            <w:tcW w:w="0" w:type="dxa"/>
            <w:vAlign w:val="bottom"/>
          </w:tcPr>
          <w:p>
            <w:pPr>
              <w:spacing w:after="0"/>
              <w:rPr>
                <w:sz w:val="1"/>
                <w:szCs w:val="1"/>
                <w:color w:val="auto"/>
              </w:rPr>
            </w:pPr>
          </w:p>
        </w:tc>
      </w:tr>
      <w:tr>
        <w:trPr>
          <w:trHeight w:val="176"/>
        </w:trPr>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gains (losses) on commodity derivative positions reclassified</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from unallocated to segment income</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169,182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326,779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0" w:type="dxa"/>
            <w:vAlign w:val="bottom"/>
          </w:tcPr>
          <w:p>
            <w:pPr>
              <w:spacing w:after="0"/>
              <w:rPr>
                <w:sz w:val="1"/>
                <w:szCs w:val="1"/>
                <w:color w:val="auto"/>
              </w:rPr>
            </w:pPr>
          </w:p>
        </w:tc>
      </w:tr>
      <w:tr>
        <w:trPr>
          <w:trHeight w:val="155"/>
        </w:trPr>
        <w:tc>
          <w:tcPr>
            <w:tcW w:w="49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losses (gains) on mark-to-market valuation of commodity</w:t>
            </w: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9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derivative positions recognized in unallocated derivative (gains)</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200,727</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53,371</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412,181</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(164,644)</w:t>
            </w:r>
          </w:p>
        </w:tc>
        <w:tc>
          <w:tcPr>
            <w:tcW w:w="0" w:type="dxa"/>
            <w:vAlign w:val="bottom"/>
          </w:tcPr>
          <w:p>
            <w:pPr>
              <w:spacing w:after="0"/>
              <w:rPr>
                <w:sz w:val="1"/>
                <w:szCs w:val="1"/>
                <w:color w:val="auto"/>
              </w:rPr>
            </w:pPr>
          </w:p>
        </w:tc>
      </w:tr>
      <w:tr>
        <w:trPr>
          <w:trHeight w:val="236"/>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June 29, 2025, the cumulative amount of mark-to-market losses on commodity derivatives that have been recognized in our consolidated cost of sales and not yet allocated to reportable segments was $29,683. Based on our forecasts of the timing of the recognition of the underlying hedged items, we expect to reclassify net pre-tax losses on commodity derivatives of $1,949 to segment operating results in the next twelve months.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included within segment income presented above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2920" w:type="dxa"/>
            <w:vAlign w:val="bottom"/>
            <w:gridSpan w:val="4"/>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49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25"/>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126,405</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39,699</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12,199</w:t>
            </w: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39,882</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218,185</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our net sales disaggregated by geographical region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2940" w:type="dxa"/>
            <w:vAlign w:val="bottom"/>
            <w:gridSpan w:val="4"/>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11"/>
        </w:trPr>
        <w:tc>
          <w:tcPr>
            <w:tcW w:w="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2,285,230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1,778,467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4,752,984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4,632,899</w:t>
            </w:r>
          </w:p>
        </w:tc>
      </w:tr>
      <w:tr>
        <w:trPr>
          <w:trHeight w:val="230"/>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 other countries</w:t>
            </w:r>
          </w:p>
        </w:tc>
        <w:tc>
          <w:tcPr>
            <w:tcW w:w="2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694,330</w:t>
            </w:r>
          </w:p>
        </w:tc>
      </w:tr>
      <w:tr>
        <w:trPr>
          <w:trHeight w:val="223"/>
        </w:trPr>
        <w:tc>
          <w:tcPr>
            <w:tcW w:w="2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2,614,718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2,074,480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5,420,137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5,327,229</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763"/>
        </w:trPr>
        <w:tc>
          <w:tcPr>
            <w:tcW w:w="2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5380" w:type="dxa"/>
            <w:vAlign w:val="bottom"/>
            <w:gridSpan w:val="7"/>
          </w:tcPr>
          <w:p>
            <w:pPr>
              <w:ind w:left="1120"/>
              <w:spacing w:after="0"/>
              <w:rPr>
                <w:sz w:val="20"/>
                <w:szCs w:val="20"/>
                <w:color w:val="auto"/>
              </w:rPr>
            </w:pPr>
            <w:r>
              <w:rPr>
                <w:rFonts w:ascii="Times New Roman" w:cs="Times New Roman" w:eastAsia="Times New Roman" w:hAnsi="Times New Roman"/>
                <w:sz w:val="16"/>
                <w:szCs w:val="16"/>
                <w:color w:val="auto"/>
              </w:rPr>
              <w:t>The Hershey Company | Q2 2025 Form 10-Q | Page 28</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54"/>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-530860</wp:posOffset>
            </wp:positionV>
            <wp:extent cx="19685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TREASURY STOCK ACTIVITY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treasury stock activity is as follows:</w:t>
      </w:r>
    </w:p>
    <w:p>
      <w:pPr>
        <w:spacing w:after="0" w:line="4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Six Months Ended June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19685</wp:posOffset>
            </wp:positionV>
            <wp:extent cx="27514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6" w:lineRule="exact"/>
        <w:rPr>
          <w:sz w:val="20"/>
          <w:szCs w:val="20"/>
          <w:color w:val="auto"/>
        </w:rPr>
      </w:pPr>
    </w:p>
    <w:p>
      <w:pPr>
        <w:ind w:left="7700"/>
        <w:spacing w:after="0"/>
        <w:tabs>
          <w:tab w:leader="none" w:pos="9880" w:val="left"/>
        </w:tabs>
        <w:rPr>
          <w:sz w:val="20"/>
          <w:szCs w:val="20"/>
          <w:color w:val="auto"/>
        </w:rPr>
      </w:pPr>
      <w:r>
        <w:rPr>
          <w:rFonts w:ascii="Times New Roman" w:cs="Times New Roman" w:eastAsia="Times New Roman" w:hAnsi="Times New Roman"/>
          <w:sz w:val="18"/>
          <w:szCs w:val="18"/>
          <w:b w:val="1"/>
          <w:bCs w:val="1"/>
          <w:color w:val="auto"/>
        </w:rPr>
        <w:t>Shares</w:t>
      </w:r>
      <w:r>
        <w:rPr>
          <w:sz w:val="20"/>
          <w:szCs w:val="20"/>
          <w:color w:val="auto"/>
        </w:rPr>
        <w:tab/>
      </w:r>
      <w:r>
        <w:rPr>
          <w:rFonts w:ascii="Times New Roman" w:cs="Times New Roman" w:eastAsia="Times New Roman" w:hAnsi="Times New Roman"/>
          <w:sz w:val="18"/>
          <w:szCs w:val="18"/>
          <w:b w:val="1"/>
          <w:bCs w:val="1"/>
          <w:color w:val="auto"/>
        </w:rPr>
        <w:t>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19685</wp:posOffset>
            </wp:positionV>
            <wp:extent cx="27514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3"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30" w:lineRule="exact"/>
        <w:rPr>
          <w:sz w:val="20"/>
          <w:szCs w:val="20"/>
          <w:color w:val="auto"/>
        </w:rPr>
      </w:pPr>
    </w:p>
    <w:p>
      <w:pPr>
        <w:ind w:left="20"/>
        <w:spacing w:after="0"/>
        <w:tabs>
          <w:tab w:leader="none" w:pos="8280" w:val="left"/>
          <w:tab w:leader="none" w:pos="9120" w:val="left"/>
          <w:tab w:leader="none" w:pos="10580" w:val="left"/>
        </w:tabs>
        <w:rPr>
          <w:sz w:val="20"/>
          <w:szCs w:val="20"/>
          <w:color w:val="auto"/>
        </w:rPr>
      </w:pPr>
      <w:r>
        <w:rPr>
          <w:rFonts w:ascii="Times New Roman" w:cs="Times New Roman" w:eastAsia="Times New Roman" w:hAnsi="Times New Roman"/>
          <w:sz w:val="18"/>
          <w:szCs w:val="18"/>
          <w:color w:val="auto"/>
        </w:rPr>
        <w:t>Shares issued for stock options and incentive compensation</w:t>
      </w:r>
      <w:r>
        <w:rPr>
          <w:sz w:val="20"/>
          <w:szCs w:val="20"/>
          <w:color w:val="auto"/>
        </w:rPr>
        <w:tab/>
      </w:r>
      <w:r>
        <w:rPr>
          <w:rFonts w:ascii="Times New Roman" w:cs="Times New Roman" w:eastAsia="Times New Roman" w:hAnsi="Times New Roman"/>
          <w:sz w:val="18"/>
          <w:szCs w:val="18"/>
          <w:color w:val="auto"/>
        </w:rPr>
        <w:t>(271,522)</w:t>
        <w:tab/>
        <w:t>$</w:t>
      </w:r>
      <w:r>
        <w:rPr>
          <w:sz w:val="20"/>
          <w:szCs w:val="20"/>
          <w:color w:val="auto"/>
        </w:rPr>
        <w:tab/>
      </w:r>
      <w:r>
        <w:rPr>
          <w:rFonts w:ascii="Times New Roman" w:cs="Times New Roman" w:eastAsia="Times New Roman" w:hAnsi="Times New Roman"/>
          <w:sz w:val="18"/>
          <w:szCs w:val="18"/>
          <w:color w:val="auto"/>
        </w:rPr>
        <w:t>(11,298)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May 2021, our Board of Directors approved a $500 million share repurchase authorization, which was completed as of March 31, 2024. In December 2023, our Board of Directors approved an additional $500 million share repurchase authorization. This program commenced after the existing May 2021 authorization was completed. As a result of the share repurchase authorization, approximately $470 million remains available for repurchases under our December 2023 share repurchase authorization.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CONTINGENCIES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 subject to certain legal proceedings and claims arising out of the ordinary course of our business, which cover a wide range of matters including trade regulation, product liability, advertising, contracts, environmental issues, patent and trademark matters, labor and employment matters, human and workplace rights matters and tax.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633730</wp:posOffset>
            </wp:positionV>
            <wp:extent cx="19685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EARNINGS PER SHARE</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compute basic earnings per share for Common Stock and Class B common stock using the two-class method. The Class B common stock is convertible into Common Stock on a share-for-share basis at any time.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162"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30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0" w:type="dxa"/>
            <w:vAlign w:val="bottom"/>
          </w:tcPr>
          <w:p>
            <w:pPr>
              <w:spacing w:after="0"/>
              <w:rPr>
                <w:sz w:val="1"/>
                <w:szCs w:val="1"/>
                <w:color w:val="auto"/>
              </w:rPr>
            </w:pPr>
          </w:p>
        </w:tc>
      </w:tr>
      <w:tr>
        <w:trPr>
          <w:trHeight w:val="156"/>
        </w:trPr>
        <w:tc>
          <w:tcPr>
            <w:tcW w:w="638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5" w:lineRule="exact"/>
              <w:rPr>
                <w:sz w:val="20"/>
                <w:szCs w:val="20"/>
                <w:color w:val="auto"/>
              </w:rPr>
            </w:pPr>
            <w:r>
              <w:rPr>
                <w:rFonts w:ascii="Times New Roman" w:cs="Times New Roman" w:eastAsia="Times New Roman" w:hAnsi="Times New Roman"/>
                <w:sz w:val="16"/>
                <w:szCs w:val="16"/>
                <w:b w:val="1"/>
                <w:bCs w:val="1"/>
                <w:color w:val="auto"/>
              </w:rPr>
              <w:t>Class B</w:t>
            </w:r>
          </w:p>
        </w:tc>
        <w:tc>
          <w:tcPr>
            <w:tcW w:w="12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5" w:lineRule="exact"/>
              <w:rPr>
                <w:sz w:val="20"/>
                <w:szCs w:val="20"/>
                <w:color w:val="auto"/>
              </w:rPr>
            </w:pPr>
            <w:r>
              <w:rPr>
                <w:rFonts w:ascii="Times New Roman" w:cs="Times New Roman" w:eastAsia="Times New Roman" w:hAnsi="Times New Roman"/>
                <w:sz w:val="16"/>
                <w:szCs w:val="16"/>
                <w:b w:val="1"/>
                <w:bCs w:val="1"/>
                <w:color w:val="auto"/>
              </w:rPr>
              <w:t>Class B</w:t>
            </w:r>
          </w:p>
        </w:tc>
        <w:tc>
          <w:tcPr>
            <w:tcW w:w="0" w:type="dxa"/>
            <w:vAlign w:val="bottom"/>
          </w:tcPr>
          <w:p>
            <w:pPr>
              <w:spacing w:after="0"/>
              <w:rPr>
                <w:sz w:val="1"/>
                <w:szCs w:val="1"/>
                <w:color w:val="auto"/>
              </w:rPr>
            </w:pPr>
          </w:p>
        </w:tc>
      </w:tr>
      <w:tr>
        <w:trPr>
          <w:trHeight w:val="214"/>
        </w:trPr>
        <w:tc>
          <w:tcPr>
            <w:tcW w:w="63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20" w:type="dxa"/>
            <w:vAlign w:val="bottom"/>
            <w:gridSpan w:val="3"/>
            <w:vMerge w:val="continue"/>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0" w:type="dxa"/>
            <w:vAlign w:val="bottom"/>
          </w:tcPr>
          <w:p>
            <w:pPr>
              <w:spacing w:after="0"/>
              <w:rPr>
                <w:sz w:val="1"/>
                <w:szCs w:val="1"/>
                <w:color w:val="auto"/>
              </w:rPr>
            </w:pPr>
          </w:p>
        </w:tc>
      </w:tr>
      <w:tr>
        <w:trPr>
          <w:trHeight w:val="198"/>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Allocation of distributed earnings (cash dividends paid)</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67,994</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Allocation of undistributed earnings</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(156,214)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(52,298)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(67,107)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(22,520)</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earnings—basic</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45,474</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 (shares in thousands):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weighted-average shares—basic</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148,247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147,893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0" w:type="dxa"/>
            <w:vAlign w:val="bottom"/>
          </w:tcPr>
          <w:p>
            <w:pPr>
              <w:spacing w:after="0"/>
              <w:rPr>
                <w:sz w:val="1"/>
                <w:szCs w:val="1"/>
                <w:color w:val="auto"/>
              </w:rPr>
            </w:pPr>
          </w:p>
        </w:tc>
      </w:tr>
      <w:tr>
        <w:trPr>
          <w:trHeight w:val="131"/>
        </w:trPr>
        <w:tc>
          <w:tcPr>
            <w:tcW w:w="63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Share—basic</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0.92</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3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Allocation of total earnings used in basic computation</w:t>
            </w: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47,023</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15,696</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135,420</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45,474</w:t>
            </w:r>
          </w:p>
        </w:tc>
        <w:tc>
          <w:tcPr>
            <w:tcW w:w="0" w:type="dxa"/>
            <w:vAlign w:val="bottom"/>
          </w:tcPr>
          <w:p>
            <w:pPr>
              <w:spacing w:after="0"/>
              <w:rPr>
                <w:sz w:val="1"/>
                <w:szCs w:val="1"/>
                <w:color w:val="auto"/>
              </w:rPr>
            </w:pPr>
          </w:p>
        </w:tc>
      </w:tr>
      <w:tr>
        <w:trPr>
          <w:trHeight w:val="165"/>
        </w:trPr>
        <w:tc>
          <w:tcPr>
            <w:tcW w:w="63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Reallocation of total earnings as a result of conversion of Class B common stock to</w:t>
            </w:r>
          </w:p>
        </w:tc>
        <w:tc>
          <w:tcPr>
            <w:tcW w:w="2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45,474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w:t>
            </w:r>
          </w:p>
        </w:tc>
        <w:tc>
          <w:tcPr>
            <w:tcW w:w="2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Reallocation of undistributed earnings</w:t>
            </w:r>
          </w:p>
        </w:tc>
        <w:tc>
          <w:tcPr>
            <w:tcW w:w="2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2"/>
        </w:trPr>
        <w:tc>
          <w:tcPr>
            <w:tcW w:w="63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earnings—diluted</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62,719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15,782</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180,894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45,531</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 (shares in thousands):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Number of shares used in basic computation</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Weighted-average effect of dilutive securities: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Conversion of Class B common stock to Common shares outstanding</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Employee stock options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Performance and restricted stock units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3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weighted-average shares—diluted</w:t>
            </w: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203,188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203,007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0" w:type="dxa"/>
            <w:vAlign w:val="bottom"/>
          </w:tcPr>
          <w:p>
            <w:pPr>
              <w:spacing w:after="0"/>
              <w:rPr>
                <w:sz w:val="1"/>
                <w:szCs w:val="1"/>
                <w:color w:val="auto"/>
              </w:rPr>
            </w:pPr>
          </w:p>
        </w:tc>
      </w:tr>
      <w:tr>
        <w:trPr>
          <w:trHeight w:val="148"/>
        </w:trPr>
        <w:tc>
          <w:tcPr>
            <w:tcW w:w="63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Share—diluted</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earnings per share calculations for the three months ended June 29, 2025 and June 30, 2024 excluded 17 and 13 stock options (in thousands), respectively, that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585470</wp:posOffset>
            </wp:positionV>
            <wp:extent cx="19685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1" w:name="page32"/>
    <w:bookmarkEnd w:id="3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300" w:type="dxa"/>
            <w:vAlign w:val="bottom"/>
          </w:tcPr>
          <w:p>
            <w:pPr>
              <w:spacing w:after="0"/>
              <w:rPr>
                <w:sz w:val="18"/>
                <w:szCs w:val="18"/>
                <w:color w:val="auto"/>
              </w:rPr>
            </w:pPr>
          </w:p>
        </w:tc>
        <w:tc>
          <w:tcPr>
            <w:tcW w:w="204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0" w:type="dxa"/>
            <w:vAlign w:val="bottom"/>
          </w:tcPr>
          <w:p>
            <w:pPr>
              <w:spacing w:after="0"/>
              <w:rPr>
                <w:sz w:val="1"/>
                <w:szCs w:val="1"/>
                <w:color w:val="auto"/>
              </w:rPr>
            </w:pPr>
          </w:p>
        </w:tc>
      </w:tr>
      <w:tr>
        <w:trPr>
          <w:trHeight w:val="157"/>
        </w:trPr>
        <w:tc>
          <w:tcPr>
            <w:tcW w:w="638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Class B</w:t>
            </w:r>
          </w:p>
        </w:tc>
        <w:tc>
          <w:tcPr>
            <w:tcW w:w="12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Class B</w:t>
            </w:r>
          </w:p>
        </w:tc>
        <w:tc>
          <w:tcPr>
            <w:tcW w:w="0" w:type="dxa"/>
            <w:vAlign w:val="bottom"/>
          </w:tcPr>
          <w:p>
            <w:pPr>
              <w:spacing w:after="0"/>
              <w:rPr>
                <w:sz w:val="1"/>
                <w:szCs w:val="1"/>
                <w:color w:val="auto"/>
              </w:rPr>
            </w:pPr>
          </w:p>
        </w:tc>
      </w:tr>
      <w:tr>
        <w:trPr>
          <w:trHeight w:val="214"/>
        </w:trPr>
        <w:tc>
          <w:tcPr>
            <w:tcW w:w="63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20" w:type="dxa"/>
            <w:vAlign w:val="bottom"/>
            <w:gridSpan w:val="3"/>
            <w:vMerge w:val="continue"/>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0" w:type="dxa"/>
            <w:vAlign w:val="bottom"/>
          </w:tcPr>
          <w:p>
            <w:pPr>
              <w:spacing w:after="0"/>
              <w:rPr>
                <w:sz w:val="1"/>
                <w:szCs w:val="1"/>
                <w:color w:val="auto"/>
              </w:rPr>
            </w:pPr>
          </w:p>
        </w:tc>
      </w:tr>
      <w:tr>
        <w:trPr>
          <w:trHeight w:val="198"/>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Allocation of distributed earnings (cash dividends paid)</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406,837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407,938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135,988</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Allocation of undistributed earnings</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(191,695)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(64,208)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325,740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108,681</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earnings—basic</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71,780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733,678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244,669</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 (shares in thousands):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weighted-average shares—basic</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148,175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148,753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0" w:type="dxa"/>
            <w:vAlign w:val="bottom"/>
          </w:tcPr>
          <w:p>
            <w:pPr>
              <w:spacing w:after="0"/>
              <w:rPr>
                <w:sz w:val="1"/>
                <w:szCs w:val="1"/>
                <w:color w:val="auto"/>
              </w:rPr>
            </w:pPr>
          </w:p>
        </w:tc>
      </w:tr>
      <w:tr>
        <w:trPr>
          <w:trHeight w:val="131"/>
        </w:trPr>
        <w:tc>
          <w:tcPr>
            <w:tcW w:w="63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Share—basic</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3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Allocation of total earnings used in basic computation</w:t>
            </w: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215,142</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71,780</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733,678</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244,669</w:t>
            </w:r>
          </w:p>
        </w:tc>
        <w:tc>
          <w:tcPr>
            <w:tcW w:w="0" w:type="dxa"/>
            <w:vAlign w:val="bottom"/>
          </w:tcPr>
          <w:p>
            <w:pPr>
              <w:spacing w:after="0"/>
              <w:rPr>
                <w:sz w:val="1"/>
                <w:szCs w:val="1"/>
                <w:color w:val="auto"/>
              </w:rPr>
            </w:pPr>
          </w:p>
        </w:tc>
      </w:tr>
      <w:tr>
        <w:trPr>
          <w:trHeight w:val="165"/>
        </w:trPr>
        <w:tc>
          <w:tcPr>
            <w:tcW w:w="63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Reallocation of total earnings as a result of conversion of Class B common stock to</w:t>
            </w:r>
          </w:p>
        </w:tc>
        <w:tc>
          <w:tcPr>
            <w:tcW w:w="2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71,780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244,669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w:t>
            </w:r>
          </w:p>
        </w:tc>
        <w:tc>
          <w:tcPr>
            <w:tcW w:w="2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Reallocation of undistributed earnings</w:t>
            </w:r>
          </w:p>
        </w:tc>
        <w:tc>
          <w:tcPr>
            <w:tcW w:w="2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0" w:type="dxa"/>
            <w:vAlign w:val="bottom"/>
          </w:tcPr>
          <w:p>
            <w:pPr>
              <w:spacing w:after="0"/>
              <w:rPr>
                <w:sz w:val="1"/>
                <w:szCs w:val="1"/>
                <w:color w:val="auto"/>
              </w:rPr>
            </w:pPr>
          </w:p>
        </w:tc>
      </w:tr>
      <w:tr>
        <w:trPr>
          <w:trHeight w:val="212"/>
        </w:trPr>
        <w:tc>
          <w:tcPr>
            <w:tcW w:w="63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earnings—diluted</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286,922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71,903</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978,347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244,355</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 (shares in thousands):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Number of shares used in basic computation</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Weighted-average effect of dilutive securities: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Conversion of Class B common stock to Common shares outstanding</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Employee stock options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Performance and restricted stock units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3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weighted-average shares—diluted</w:t>
            </w: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203,168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203,943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Share—diluted</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earnings per share calculations for the six months ended June 29, 2025 and June 30, 2024 excluded 27 and 13 stock options (in thousands), respectively, that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251460</wp:posOffset>
            </wp:positionV>
            <wp:extent cx="19685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OTHER (INCOME) EXPENSE, NET</w:t>
      </w:r>
    </w:p>
    <w:p>
      <w:pPr>
        <w:spacing w:after="0" w:line="256"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Other (income) expense, net reports certain gains and losses associated with activities not directly related to our core operations. A summary of the components of other (income) expense, net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2960" w:type="dxa"/>
            <w:vAlign w:val="bottom"/>
            <w:gridSpan w:val="4"/>
          </w:tcPr>
          <w:p>
            <w:pPr>
              <w:jc w:val="right"/>
              <w:ind w:right="85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3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166"/>
        </w:trPr>
        <w:tc>
          <w:tcPr>
            <w:tcW w:w="4760" w:type="dxa"/>
            <w:vAlign w:val="bottom"/>
            <w:tcBorders>
              <w:top w:val="single" w:sz="8" w:color="CCEEFF"/>
            </w:tcBorders>
            <w:gridSpan w:val="5"/>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Write-down of equity investments in partnerships qualifying for</w:t>
            </w:r>
          </w:p>
        </w:tc>
        <w:tc>
          <w:tcPr>
            <w:tcW w:w="20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r>
      <w:tr>
        <w:trPr>
          <w:trHeight w:val="194"/>
        </w:trPr>
        <w:tc>
          <w:tcPr>
            <w:tcW w:w="4760" w:type="dxa"/>
            <w:vAlign w:val="bottom"/>
            <w:gridSpan w:val="5"/>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 xml:space="preserve">historic and renewable energy tax credits (see </w:t>
            </w:r>
            <w:r>
              <w:rPr>
                <w:rFonts w:ascii="Times New Roman" w:cs="Times New Roman" w:eastAsia="Times New Roman" w:hAnsi="Times New Roman"/>
                <w:sz w:val="18"/>
                <w:szCs w:val="18"/>
                <w:color w:val="0000FF"/>
              </w:rPr>
              <w:t>Note 8</w:t>
            </w: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line="194"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line="194"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line="194"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31,391</w:t>
            </w:r>
          </w:p>
        </w:tc>
      </w:tr>
      <w:tr>
        <w:trPr>
          <w:trHeight w:val="21"/>
        </w:trPr>
        <w:tc>
          <w:tcPr>
            <w:tcW w:w="33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r>
      <w:tr>
        <w:trPr>
          <w:trHeight w:val="184"/>
        </w:trPr>
        <w:tc>
          <w:tcPr>
            <w:tcW w:w="4760" w:type="dxa"/>
            <w:vAlign w:val="bottom"/>
            <w:gridSpan w:val="5"/>
          </w:tcPr>
          <w:p>
            <w:pPr>
              <w:ind w:left="20"/>
              <w:spacing w:after="0" w:line="184" w:lineRule="exact"/>
              <w:rPr>
                <w:sz w:val="20"/>
                <w:szCs w:val="20"/>
                <w:color w:val="auto"/>
              </w:rPr>
            </w:pPr>
            <w:r>
              <w:rPr>
                <w:rFonts w:ascii="Times New Roman" w:cs="Times New Roman" w:eastAsia="Times New Roman" w:hAnsi="Times New Roman"/>
                <w:sz w:val="18"/>
                <w:szCs w:val="18"/>
                <w:color w:val="auto"/>
              </w:rPr>
              <w:t>Non-service cost components of net periodic benefit cost relating</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4"/>
        </w:trPr>
        <w:tc>
          <w:tcPr>
            <w:tcW w:w="4760" w:type="dxa"/>
            <w:vAlign w:val="bottom"/>
            <w:gridSpan w:val="5"/>
          </w:tcPr>
          <w:p>
            <w:pPr>
              <w:ind w:left="20"/>
              <w:spacing w:after="0" w:line="194" w:lineRule="exact"/>
              <w:rPr>
                <w:sz w:val="20"/>
                <w:szCs w:val="20"/>
                <w:color w:val="auto"/>
              </w:rPr>
            </w:pPr>
            <w:r>
              <w:rPr>
                <w:rFonts w:ascii="Times New Roman" w:cs="Times New Roman" w:eastAsia="Times New Roman" w:hAnsi="Times New Roman"/>
                <w:sz w:val="18"/>
                <w:szCs w:val="18"/>
                <w:color w:val="auto"/>
              </w:rPr>
              <w:t xml:space="preserve">to pension and other post-retirement benefit plans (see </w:t>
            </w:r>
            <w:r>
              <w:rPr>
                <w:rFonts w:ascii="Times New Roman" w:cs="Times New Roman" w:eastAsia="Times New Roman" w:hAnsi="Times New Roman"/>
                <w:sz w:val="18"/>
                <w:szCs w:val="18"/>
                <w:color w:val="0000FF"/>
              </w:rPr>
              <w:t>Note 11</w:t>
            </w: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1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2,637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1,235</w:t>
            </w:r>
          </w:p>
        </w:tc>
      </w:tr>
      <w:tr>
        <w:trPr>
          <w:trHeight w:val="21"/>
        </w:trPr>
        <w:tc>
          <w:tcPr>
            <w:tcW w:w="3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29"/>
        </w:trPr>
        <w:tc>
          <w:tcPr>
            <w:tcW w:w="47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4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32,594</w:t>
            </w:r>
          </w:p>
        </w:tc>
      </w:tr>
      <w:tr>
        <w:trPr>
          <w:trHeight w:val="21"/>
        </w:trPr>
        <w:tc>
          <w:tcPr>
            <w:tcW w:w="3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548640</wp:posOffset>
            </wp:positionV>
            <wp:extent cx="19685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 SUPPLEMENTAL BALANCE SHEET INFORMATION</w:t>
            </w: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11"/>
        </w:trPr>
        <w:tc>
          <w:tcPr>
            <w:tcW w:w="8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certain asset accounts included within our Consolidated Balance Sheets are as follows:</w:t>
            </w: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7"/>
        </w:trPr>
        <w:tc>
          <w:tcPr>
            <w:tcW w:w="6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29, 2025</w:t>
            </w:r>
          </w:p>
        </w:tc>
        <w:tc>
          <w:tcPr>
            <w:tcW w:w="240" w:type="dxa"/>
            <w:vAlign w:val="bottom"/>
          </w:tcPr>
          <w:p>
            <w:pPr>
              <w:spacing w:after="0"/>
              <w:rPr>
                <w:sz w:val="22"/>
                <w:szCs w:val="22"/>
                <w:color w:val="auto"/>
              </w:rPr>
            </w:pPr>
          </w:p>
        </w:tc>
        <w:tc>
          <w:tcPr>
            <w:tcW w:w="2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6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Raw materials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905,447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477,592</w:t>
            </w: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Goods in process</w:t>
            </w: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204,674</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Finished goods</w:t>
            </w: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1,289,677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990,785</w:t>
            </w:r>
          </w:p>
        </w:tc>
      </w:tr>
      <w:tr>
        <w:trPr>
          <w:trHeight w:val="223"/>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 at First In First Out</w:t>
            </w: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2,526,603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1,673,051</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Adjustment to Last In First Out</w:t>
            </w: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(684,308)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(418,957)</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1,842,295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1,254,094</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20" w:type="dxa"/>
            <w:vAlign w:val="bottom"/>
          </w:tcPr>
          <w:p>
            <w:pPr>
              <w:spacing w:after="0"/>
              <w:rPr>
                <w:sz w:val="8"/>
                <w:szCs w:val="8"/>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Prepaid expenses and other:</w:t>
            </w: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136,709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269,792</w:t>
            </w:r>
          </w:p>
        </w:tc>
      </w:tr>
      <w:tr>
        <w:trPr>
          <w:trHeight w:val="22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704,423</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850,693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974,215</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115"/>
        </w:trPr>
        <w:tc>
          <w:tcPr>
            <w:tcW w:w="66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3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2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194,502</w:t>
            </w: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Buildings</w:t>
            </w:r>
          </w:p>
        </w:tc>
        <w:tc>
          <w:tcPr>
            <w:tcW w:w="3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2,051,578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1,991,937</w:t>
            </w:r>
          </w:p>
        </w:tc>
      </w:tr>
      <w:tr>
        <w:trPr>
          <w:trHeight w:val="22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Machinery and equipment</w:t>
            </w: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4,334,216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4,147,530</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478,842</w:t>
            </w:r>
          </w:p>
        </w:tc>
      </w:tr>
      <w:tr>
        <w:trPr>
          <w:trHeight w:val="223"/>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6,932,689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6,812,811</w:t>
            </w:r>
          </w:p>
        </w:tc>
      </w:tr>
      <w:tr>
        <w:trPr>
          <w:trHeight w:val="230"/>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(3,490,495)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(3,353,958)</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3,442,194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3,458,853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20" w:type="dxa"/>
            <w:vAlign w:val="bottom"/>
          </w:tcPr>
          <w:p>
            <w:pPr>
              <w:spacing w:after="0"/>
              <w:rPr>
                <w:sz w:val="8"/>
                <w:szCs w:val="8"/>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41,298</w:t>
            </w: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Capitalized software, net</w:t>
            </w: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355,164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367,087</w:t>
            </w: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3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337,739</w:t>
            </w: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212,928</w:t>
            </w:r>
          </w:p>
        </w:tc>
      </w:tr>
      <w:tr>
        <w:trPr>
          <w:trHeight w:val="230"/>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152,815</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1,111,333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1,111,867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411480</wp:posOffset>
            </wp:positionV>
            <wp:extent cx="19685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certain liability and stockholders’ equity accounts included within our Consolidated Balance Sheets are as follows:</w:t>
      </w:r>
    </w:p>
    <w:p>
      <w:pPr>
        <w:spacing w:after="0" w:line="32" w:lineRule="exact"/>
        <w:rPr>
          <w:sz w:val="20"/>
          <w:szCs w:val="20"/>
          <w:color w:val="auto"/>
        </w:rPr>
      </w:pPr>
    </w:p>
    <w:p>
      <w:pPr>
        <w:jc w:val="right"/>
        <w:ind w:right="40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June 29, 2025</w:t>
      </w:r>
      <w:r>
        <w:rPr>
          <w:sz w:val="20"/>
          <w:szCs w:val="20"/>
          <w:color w:val="auto"/>
        </w:rPr>
        <w:tab/>
      </w:r>
      <w:r>
        <w:rPr>
          <w:rFonts w:ascii="Times New Roman" w:cs="Times New Roman" w:eastAsia="Times New Roman" w:hAnsi="Times New Roman"/>
          <w:sz w:val="18"/>
          <w:szCs w:val="18"/>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13232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payable:</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Accounts payable—trade</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Supplier finance program obligations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accounts payable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Payroll, compensation and benefits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Advertising, promotion and product allowances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accrued liabilities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Post-retirement benefits liabilities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Pension benefits liabilities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long-term liabilities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Pension and post-retirement benefit plans, net of tax</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flow hedges, net of tax</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accumulated other comprehensive loss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736,759</w:t>
            </w:r>
          </w:p>
        </w:tc>
        <w:tc>
          <w:tcPr>
            <w:tcW w:w="10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807,918</w:t>
            </w:r>
          </w:p>
        </w:tc>
      </w:tr>
      <w:tr>
        <w:trPr>
          <w:trHeight w:val="229"/>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461,743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215,122</w:t>
            </w:r>
          </w:p>
        </w:tc>
      </w:tr>
      <w:tr>
        <w:trPr>
          <w:trHeight w:val="234"/>
        </w:trPr>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252,047</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136,137</w:t>
            </w:r>
          </w:p>
        </w:tc>
      </w:tr>
      <w:tr>
        <w:trPr>
          <w:trHeight w:val="223"/>
        </w:trPr>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1,450,549</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1,159,177</w:t>
            </w:r>
          </w:p>
        </w:tc>
      </w:tr>
      <w:tr>
        <w:trPr>
          <w:trHeight w:val="21"/>
        </w:trPr>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69"/>
        </w:trPr>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208,076</w:t>
            </w:r>
          </w:p>
        </w:tc>
        <w:tc>
          <w:tcPr>
            <w:tcW w:w="100" w:type="dxa"/>
            <w:vAlign w:val="bottom"/>
          </w:tcPr>
          <w:p>
            <w:pPr>
              <w:spacing w:after="0"/>
              <w:rPr>
                <w:sz w:val="24"/>
                <w:szCs w:val="24"/>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226,774</w:t>
            </w:r>
          </w:p>
        </w:tc>
      </w:tr>
      <w:tr>
        <w:trPr>
          <w:trHeight w:val="230"/>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392,451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359,986</w:t>
            </w:r>
          </w:p>
        </w:tc>
      </w:tr>
      <w:tr>
        <w:trPr>
          <w:trHeight w:val="229"/>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40,636</w:t>
            </w:r>
          </w:p>
        </w:tc>
      </w:tr>
      <w:tr>
        <w:trPr>
          <w:trHeight w:val="234"/>
        </w:trPr>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228,907</w:t>
            </w: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179,945</w:t>
            </w:r>
          </w:p>
        </w:tc>
      </w:tr>
      <w:tr>
        <w:trPr>
          <w:trHeight w:val="223"/>
        </w:trPr>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875,974</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807,341</w:t>
            </w:r>
          </w:p>
        </w:tc>
      </w:tr>
      <w:tr>
        <w:trPr>
          <w:trHeight w:val="21"/>
        </w:trPr>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69"/>
        </w:trPr>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84,227</w:t>
            </w:r>
          </w:p>
        </w:tc>
        <w:tc>
          <w:tcPr>
            <w:tcW w:w="100" w:type="dxa"/>
            <w:vAlign w:val="bottom"/>
          </w:tcPr>
          <w:p>
            <w:pPr>
              <w:spacing w:after="0"/>
              <w:rPr>
                <w:sz w:val="24"/>
                <w:szCs w:val="24"/>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87,006</w:t>
            </w:r>
          </w:p>
        </w:tc>
      </w:tr>
      <w:tr>
        <w:trPr>
          <w:trHeight w:val="230"/>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33,837</w:t>
            </w:r>
          </w:p>
        </w:tc>
      </w:tr>
      <w:tr>
        <w:trPr>
          <w:trHeight w:val="229"/>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309,888</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304,767</w:t>
            </w:r>
          </w:p>
        </w:tc>
      </w:tr>
      <w:tr>
        <w:trPr>
          <w:trHeight w:val="234"/>
        </w:trPr>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227,580</w:t>
            </w: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262,649</w:t>
            </w:r>
          </w:p>
        </w:tc>
      </w:tr>
      <w:tr>
        <w:trPr>
          <w:trHeight w:val="223"/>
        </w:trPr>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652,155</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688,259</w:t>
            </w:r>
          </w:p>
        </w:tc>
      </w:tr>
      <w:tr>
        <w:trPr>
          <w:trHeight w:val="21"/>
        </w:trPr>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69"/>
        </w:trPr>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(146,197)</w:t>
            </w:r>
          </w:p>
        </w:tc>
        <w:tc>
          <w:tcPr>
            <w:tcW w:w="100" w:type="dxa"/>
            <w:vAlign w:val="bottom"/>
          </w:tcPr>
          <w:p>
            <w:pPr>
              <w:spacing w:after="0"/>
              <w:rPr>
                <w:sz w:val="24"/>
                <w:szCs w:val="24"/>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(177,741)</w:t>
            </w:r>
          </w:p>
        </w:tc>
      </w:tr>
      <w:tr>
        <w:trPr>
          <w:trHeight w:val="230"/>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(117,914)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(122,098)</w:t>
            </w:r>
          </w:p>
        </w:tc>
      </w:tr>
      <w:tr>
        <w:trPr>
          <w:trHeight w:val="234"/>
        </w:trPr>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w:t>
            </w:r>
          </w:p>
        </w:tc>
      </w:tr>
      <w:tr>
        <w:trPr>
          <w:trHeight w:val="223"/>
        </w:trPr>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(270,424)</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(303,890)</w:t>
            </w:r>
          </w:p>
        </w:tc>
      </w:tr>
      <w:tr>
        <w:trPr>
          <w:trHeight w:val="21"/>
        </w:trPr>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-3316605</wp:posOffset>
            </wp:positionV>
            <wp:extent cx="713232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-3025140</wp:posOffset>
            </wp:positionV>
            <wp:extent cx="713232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-2759710</wp:posOffset>
            </wp:positionV>
            <wp:extent cx="71323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-2468245</wp:posOffset>
            </wp:positionV>
            <wp:extent cx="713232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-2176780</wp:posOffset>
            </wp:positionV>
            <wp:extent cx="7132320" cy="145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-1859915</wp:posOffset>
            </wp:positionV>
            <wp:extent cx="7132320" cy="946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-1619250</wp:posOffset>
            </wp:positionV>
            <wp:extent cx="713232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-1327785</wp:posOffset>
            </wp:positionV>
            <wp:extent cx="7132320"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-1036955</wp:posOffset>
            </wp:positionV>
            <wp:extent cx="71323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-770890</wp:posOffset>
            </wp:positionV>
            <wp:extent cx="713232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-479425</wp:posOffset>
            </wp:positionV>
            <wp:extent cx="7132320"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-187960</wp:posOffset>
            </wp:positionV>
            <wp:extent cx="71323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2727960</wp:posOffset>
            </wp:positionH>
            <wp:positionV relativeFrom="paragraph">
              <wp:posOffset>540385</wp:posOffset>
            </wp:positionV>
            <wp:extent cx="19685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80" w:space="720"/>
            <w:col w:w="4620"/>
          </w:cols>
          <w:pgMar w:left="34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380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342265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type w:val="continuous"/>
        </w:sectPr>
      </w:pPr>
    </w:p>
    <w:bookmarkStart w:id="35" w:name="page36"/>
    <w:bookmarkEnd w:id="35"/>
    <w:p>
      <w:pPr>
        <w:spacing w:after="0" w:line="6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(“MD&amp;A”) is intended to provide an understanding of Hershey’s financial condition, results of operations and cash flows by focusing on changes in certain key measures from year to year. This MD&amp;A should be read in conjunction with our Unaudited Consolidated Financial Statements and accompanying notes included in this Quarterly Report on Form 10-Q for the quarterly period ended June 29, 2025 (“this Quarterly Report on Form 10-Q”). This discussion contains a number of forward-looking statements, all of which are based on current expectations. Actual results may differ materially. Refer to the Safe Harbor Statement below as well as the Risk Factors and other information contained in our 2024 Annual Report on Form 10-K for information concerning the key risks to achieving future performance goals.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MD&amp;A is organized in the following sections:</w:t>
      </w:r>
    </w:p>
    <w:p>
      <w:pPr>
        <w:spacing w:after="0" w:line="63" w:lineRule="exact"/>
        <w:rPr>
          <w:sz w:val="20"/>
          <w:szCs w:val="20"/>
          <w:color w:val="auto"/>
        </w:rPr>
      </w:pPr>
    </w:p>
    <w:p>
      <w:pPr>
        <w:ind w:left="900" w:hanging="56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Overview</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Trends Affecting Our Business</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Consolidated Results of Operations</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Segment Results</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Liquidity and Capital Resources</w:t>
      </w:r>
    </w:p>
    <w:p>
      <w:pPr>
        <w:spacing w:after="0" w:line="63"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Safe Harbor Statement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Hershey is a global confectionery leader known for making more moments of goodness through chocolate, sweets, mints and other great tasting snacks. We are the largest producer of quality chocolate in North America, a leading snack maker in the United States (“U.S.”) and a global leader in chocolate and non-chocolate confectionery. We market, sell and distribute our products under more than 90 brand names in approximately 70 countries worldwide.</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principal product offerings include chocolate and non-chocolate confectionery products; gum and mint refreshment products and protein bars; pantry items, such as baking ingredients, toppings and beverages; and snack items such as spreads, bars, and snack bites and mixes, popcorn and pretzels.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March 31, 2025, we entered into a Merger Agreement to acquire LesserEvil, LLC, a privately held company that produces and sells organic popcorn and puffed snack products to retailers and distributors in the United States and Canada, which complements Hershey’s existing product portfolio. The Company expects the acquisition to close by the end of 2025, pending the expiration or termination of the applicable waiting period under the Hart-Scott-Rodino Antitrust Improvements Act of 1976 and satisfaction of other customary closing conditions.</w:t>
      </w:r>
    </w:p>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November 8, 2024, we completed the acquisition of the Sour Strips brand from Actual Candy, LLC. Sour Strips is an emerging sour candy brand and is available in a wide range of food distribution channels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259715</wp:posOffset>
            </wp:positionV>
            <wp:extent cx="19685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Throughout the first six months of 2025, we saw positive consumer behavior shifts towards our products, as well as increased net sales; however, we continued to experience a dynamic macroeconomic environment, including continued price volatility related to select commodities, resulting in corresponding incremental costs and gross margin pressures, and net income declines. Despite specific actions taken to mitigate these gross margin pressures, higher prices for direct materials used to manufacture our products were, and continue to be, the primary incremental cost to our business (see </w:t>
      </w:r>
      <w:r>
        <w:rPr>
          <w:rFonts w:ascii="Times New Roman" w:cs="Times New Roman" w:eastAsia="Times New Roman" w:hAnsi="Times New Roman"/>
          <w:sz w:val="18"/>
          <w:szCs w:val="18"/>
          <w:u w:val="single" w:color="auto"/>
          <w:color w:val="0000FF"/>
        </w:rPr>
        <w:t>Consolidated Results of Operations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included in this MD&amp;A). We utilize many exchange traded commodities for our business that are subject to price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volatility, specifically cocoa products, which continued to experience elevated market prices compared to historical levels (see </w:t>
      </w:r>
      <w:r>
        <w:rPr>
          <w:rFonts w:ascii="Times New Roman" w:cs="Times New Roman" w:eastAsia="Times New Roman" w:hAnsi="Times New Roman"/>
          <w:sz w:val="18"/>
          <w:szCs w:val="18"/>
          <w:u w:val="single" w:color="auto"/>
          <w:color w:val="0000FF"/>
        </w:rPr>
        <w:t>Part I, Item 3 - Quantitative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and Qualitative Disclosures about Market Risk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included in this Quarterly Report on Form 10-Q).</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Furthermore, certain geopolitical events, specifically changes in global trade policies including recently announced tariffs on U.S. imports and the potential for additional tariffs, have increased global economic and political uncertainty. For the six months ended June 29, 2025, the imposition of tariffs on U.S. imports and retaliatory tariffs, did not have a material impact on our results of operations, commodity prices or supply availability. However, we are continuing to monitor the ongoing negotiations related to tariffs, specifically, goods imported into the U.S. from Canada, Mexico and other countries, as well as export markets, in which we have significant business operations, all of which may result in material adverse effects on our results of operations. The scope and length of tariffs, including their effects on the broader economy and our business, remain uncertain. These outcomes may be influenced by factors such as continued U.S. negotiations with impacted countries, retaliatory measures from other nations, possible tariff exemptions, public sentiment toward U.S. products and companies, and the domestic availability of lower-cost alternatives.</w:t>
      </w:r>
    </w:p>
    <w:p>
      <w:pPr>
        <w:spacing w:after="0" w:line="13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Additionally, with recent leadership changes at the U.S. Department of Health and Human Services and the U.S. Food and Drug Administration (“FDA”), as well as the Make America Healthy Again movement, the food industry is subject to increasing laws and regulations, including nutrition, food date labeling and traceability recordkeeping requirements, as well as changes in consumer expectations and behavior. For example, in April 2025, it was announced that the FDA intends to phase out the approved use of petroleum-based synthetic dyes in food products. As a result, the Company has announced the decision to remove all certified Food, Drug &amp; Cosmetic colors from our great tasting snacks by the end of 2027, as a continued effort to ensure consumers have options to fit their lifestyle while maintaining trust and confidence in our products. This did not have a material impact on our consolidated results for the six months ended June 29, 2025, and based on the Company’s initial assessment, the estimated costs associated with this removal are not expected to have a material impact on our financial position, results of operations or liquidity.</w:t>
      </w:r>
    </w:p>
    <w:p>
      <w:pPr>
        <w:spacing w:after="0" w:line="1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As of June 29, 2025, we believe we have sufficient liquidity to satisfy our key strategic initiatives and other material cash requirements in both the short-term and in the long-term; however, we continue to evaluate and take action, as necessary, to preserve adequate liquidity and ensure that our business can operate effectively during the current economic environment. We continue to monitor our discretionary spending across the organization (see </w:t>
      </w:r>
      <w:r>
        <w:rPr>
          <w:rFonts w:ascii="Times New Roman" w:cs="Times New Roman" w:eastAsia="Times New Roman" w:hAnsi="Times New Roman"/>
          <w:sz w:val="18"/>
          <w:szCs w:val="18"/>
          <w:u w:val="single" w:color="auto"/>
          <w:color w:val="0000FF"/>
        </w:rPr>
        <w:t>Liquidity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Capital Resources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included in this MD&amp;A).</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Based on the length and severity of the fluctuating macroeconomic environment, including price volatility for our commodities, the possibility of a recession, changes in consumer shopping and consumption behavior, and changes in geopolitical events, including the imposition of tariffs and retaliatory tariffs, we may continue to experience increasing supply chain costs, higher inflation and other impacts to our business. We will continue to evaluate the nature and extent of these evolving impacts on our business, consolidated results of operations, segment results,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262890</wp:posOffset>
            </wp:positionV>
            <wp:extent cx="19685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56"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120" w:type="dxa"/>
            <w:vAlign w:val="bottom"/>
          </w:tcPr>
          <w:p>
            <w:pPr>
              <w:spacing w:after="0"/>
              <w:rPr>
                <w:sz w:val="12"/>
                <w:szCs w:val="12"/>
                <w:color w:val="auto"/>
              </w:rPr>
            </w:pPr>
          </w:p>
        </w:tc>
        <w:tc>
          <w:tcPr>
            <w:tcW w:w="10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8"/>
              </w:rPr>
              <w:t>June 30, 2024</w:t>
            </w:r>
          </w:p>
        </w:tc>
        <w:tc>
          <w:tcPr>
            <w:tcW w:w="120" w:type="dxa"/>
            <w:vAlign w:val="bottom"/>
          </w:tcPr>
          <w:p>
            <w:pPr>
              <w:spacing w:after="0"/>
              <w:rPr>
                <w:sz w:val="12"/>
                <w:szCs w:val="12"/>
                <w:color w:val="auto"/>
              </w:rPr>
            </w:pPr>
          </w:p>
        </w:tc>
        <w:tc>
          <w:tcPr>
            <w:tcW w:w="1220" w:type="dxa"/>
            <w:vAlign w:val="bottom"/>
            <w:gridSpan w:val="2"/>
          </w:tcPr>
          <w:p>
            <w:pPr>
              <w:ind w:left="280"/>
              <w:spacing w:after="0" w:line="148" w:lineRule="exact"/>
              <w:rPr>
                <w:sz w:val="20"/>
                <w:szCs w:val="20"/>
                <w:color w:val="auto"/>
              </w:rPr>
            </w:pPr>
            <w:r>
              <w:rPr>
                <w:rFonts w:ascii="Times New Roman" w:cs="Times New Roman" w:eastAsia="Times New Roman" w:hAnsi="Times New Roman"/>
                <w:sz w:val="16"/>
                <w:szCs w:val="16"/>
                <w:b w:val="1"/>
                <w:bCs w:val="1"/>
                <w:color w:val="auto"/>
              </w:rPr>
              <w:t>Percent</w:t>
            </w:r>
          </w:p>
        </w:tc>
        <w:tc>
          <w:tcPr>
            <w:tcW w:w="12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120" w:type="dxa"/>
            <w:vAlign w:val="bottom"/>
          </w:tcPr>
          <w:p>
            <w:pPr>
              <w:spacing w:after="0"/>
              <w:rPr>
                <w:sz w:val="12"/>
                <w:szCs w:val="12"/>
                <w:color w:val="auto"/>
              </w:rPr>
            </w:pPr>
          </w:p>
        </w:tc>
        <w:tc>
          <w:tcPr>
            <w:tcW w:w="11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2"/>
                <w:szCs w:val="12"/>
                <w:color w:val="auto"/>
              </w:rPr>
            </w:pPr>
          </w:p>
        </w:tc>
        <w:tc>
          <w:tcPr>
            <w:tcW w:w="1120" w:type="dxa"/>
            <w:vAlign w:val="bottom"/>
          </w:tcPr>
          <w:p>
            <w:pPr>
              <w:jc w:val="right"/>
              <w:ind w:right="219"/>
              <w:spacing w:after="0" w:line="148" w:lineRule="exact"/>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14"/>
        </w:trPr>
        <w:tc>
          <w:tcPr>
            <w:tcW w:w="37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amounts</w:t>
            </w:r>
          </w:p>
        </w:tc>
        <w:tc>
          <w:tcPr>
            <w:tcW w:w="1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61"/>
        </w:trPr>
        <w:tc>
          <w:tcPr>
            <w:tcW w:w="3700" w:type="dxa"/>
            <w:vAlign w:val="bottom"/>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2,614.7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2,074.5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5,420.1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5,327.2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Cost of sales</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1,818.4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1,240.7</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46.6 %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3,679.6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2,817.4</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30.6 %</w:t>
            </w: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796.3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833.8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1,740.5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2,509.8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0" w:type="dxa"/>
            <w:vAlign w:val="bottom"/>
          </w:tcPr>
          <w:p>
            <w:pPr>
              <w:spacing w:after="0"/>
              <w:rPr>
                <w:sz w:val="1"/>
                <w:szCs w:val="1"/>
                <w:color w:val="auto"/>
              </w:rPr>
            </w:pPr>
          </w:p>
        </w:tc>
      </w:tr>
      <w:tr>
        <w:trPr>
          <w:trHeight w:val="208"/>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30.5 %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left="479"/>
              <w:spacing w:after="0"/>
              <w:rPr>
                <w:sz w:val="20"/>
                <w:szCs w:val="20"/>
                <w:color w:val="auto"/>
              </w:rPr>
            </w:pPr>
            <w:r>
              <w:rPr>
                <w:rFonts w:ascii="Times New Roman" w:cs="Times New Roman" w:eastAsia="Times New Roman" w:hAnsi="Times New Roman"/>
                <w:sz w:val="16"/>
                <w:szCs w:val="16"/>
                <w:i w:val="1"/>
                <w:iCs w:val="1"/>
                <w:color w:val="auto"/>
              </w:rPr>
              <w:t>40.2 %</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left="499"/>
              <w:spacing w:after="0"/>
              <w:rPr>
                <w:sz w:val="20"/>
                <w:szCs w:val="20"/>
                <w:color w:val="auto"/>
              </w:rPr>
            </w:pPr>
            <w:r>
              <w:rPr>
                <w:rFonts w:ascii="Times New Roman" w:cs="Times New Roman" w:eastAsia="Times New Roman" w:hAnsi="Times New Roman"/>
                <w:sz w:val="16"/>
                <w:szCs w:val="16"/>
                <w:i w:val="1"/>
                <w:iCs w:val="1"/>
                <w:color w:val="auto"/>
              </w:rPr>
              <w:t>32.1 %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left="499"/>
              <w:spacing w:after="0"/>
              <w:rPr>
                <w:sz w:val="20"/>
                <w:szCs w:val="20"/>
                <w:color w:val="auto"/>
              </w:rPr>
            </w:pPr>
            <w:r>
              <w:rPr>
                <w:rFonts w:ascii="Times New Roman" w:cs="Times New Roman" w:eastAsia="Times New Roman" w:hAnsi="Times New Roman"/>
                <w:sz w:val="16"/>
                <w:szCs w:val="16"/>
                <w:i w:val="1"/>
                <w:iCs w:val="1"/>
                <w:color w:val="auto"/>
              </w:rPr>
              <w:t>47.1 %</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700" w:type="dxa"/>
            <w:vAlign w:val="bottom"/>
            <w:shd w:val="clear" w:color="auto" w:fill="CCEEFF"/>
          </w:tcPr>
          <w:p>
            <w:pPr>
              <w:ind w:left="60"/>
              <w:spacing w:after="0" w:line="164" w:lineRule="exact"/>
              <w:rPr>
                <w:sz w:val="20"/>
                <w:szCs w:val="20"/>
                <w:color w:val="auto"/>
              </w:rPr>
            </w:pPr>
            <w:r>
              <w:rPr>
                <w:rFonts w:ascii="Times New Roman" w:cs="Times New Roman" w:eastAsia="Times New Roman" w:hAnsi="Times New Roman"/>
                <w:sz w:val="16"/>
                <w:szCs w:val="16"/>
                <w:color w:val="auto"/>
              </w:rPr>
              <w:t>Selling, marketing &amp; administrative (“SM&amp;A”)</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603.2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541.0</w:t>
            </w:r>
          </w:p>
        </w:tc>
        <w:tc>
          <w:tcPr>
            <w:tcW w:w="1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1,159.0</w:t>
            </w: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expenses</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SM&amp;A expense as a percent of net sales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23.1 %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left="479"/>
              <w:spacing w:after="0"/>
              <w:rPr>
                <w:sz w:val="20"/>
                <w:szCs w:val="20"/>
                <w:color w:val="auto"/>
              </w:rPr>
            </w:pPr>
            <w:r>
              <w:rPr>
                <w:rFonts w:ascii="Times New Roman" w:cs="Times New Roman" w:eastAsia="Times New Roman" w:hAnsi="Times New Roman"/>
                <w:sz w:val="16"/>
                <w:szCs w:val="16"/>
                <w:i w:val="1"/>
                <w:iCs w:val="1"/>
                <w:color w:val="auto"/>
              </w:rPr>
              <w:t>26.1 %</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left="499"/>
              <w:spacing w:after="0"/>
              <w:rPr>
                <w:sz w:val="20"/>
                <w:szCs w:val="20"/>
                <w:color w:val="auto"/>
              </w:rPr>
            </w:pPr>
            <w:r>
              <w:rPr>
                <w:rFonts w:ascii="Times New Roman" w:cs="Times New Roman" w:eastAsia="Times New Roman" w:hAnsi="Times New Roman"/>
                <w:sz w:val="16"/>
                <w:szCs w:val="16"/>
                <w:i w:val="1"/>
                <w:iCs w:val="1"/>
                <w:color w:val="auto"/>
              </w:rPr>
              <w:t>21.4 %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left="499"/>
              <w:spacing w:after="0"/>
              <w:rPr>
                <w:sz w:val="20"/>
                <w:szCs w:val="20"/>
                <w:color w:val="auto"/>
              </w:rPr>
            </w:pPr>
            <w:r>
              <w:rPr>
                <w:rFonts w:ascii="Times New Roman" w:cs="Times New Roman" w:eastAsia="Times New Roman" w:hAnsi="Times New Roman"/>
                <w:sz w:val="16"/>
                <w:szCs w:val="16"/>
                <w:i w:val="1"/>
                <w:iCs w:val="1"/>
                <w:color w:val="auto"/>
              </w:rPr>
              <w:t>21.8 %</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Business realignment activities</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236.8 %</w:t>
            </w:r>
          </w:p>
        </w:tc>
        <w:tc>
          <w:tcPr>
            <w:tcW w:w="0" w:type="dxa"/>
            <w:vAlign w:val="bottom"/>
          </w:tcPr>
          <w:p>
            <w:pPr>
              <w:spacing w:after="0"/>
              <w:rPr>
                <w:sz w:val="1"/>
                <w:szCs w:val="1"/>
                <w:color w:val="auto"/>
              </w:rPr>
            </w:pPr>
          </w:p>
        </w:tc>
      </w:tr>
      <w:tr>
        <w:trPr>
          <w:trHeight w:val="20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10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287.9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1,345.9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profit margin</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79"/>
              <w:spacing w:after="0"/>
              <w:rPr>
                <w:sz w:val="20"/>
                <w:szCs w:val="20"/>
                <w:color w:val="auto"/>
              </w:rPr>
            </w:pPr>
            <w:r>
              <w:rPr>
                <w:rFonts w:ascii="Times New Roman" w:cs="Times New Roman" w:eastAsia="Times New Roman" w:hAnsi="Times New Roman"/>
                <w:sz w:val="16"/>
                <w:szCs w:val="16"/>
                <w:i w:val="1"/>
                <w:iCs w:val="1"/>
                <w:color w:val="auto"/>
              </w:rPr>
              <w:t>13.9 %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499"/>
              <w:spacing w:after="0"/>
              <w:rPr>
                <w:sz w:val="20"/>
                <w:szCs w:val="20"/>
                <w:color w:val="auto"/>
              </w:rPr>
            </w:pPr>
            <w:r>
              <w:rPr>
                <w:rFonts w:ascii="Times New Roman" w:cs="Times New Roman" w:eastAsia="Times New Roman" w:hAnsi="Times New Roman"/>
                <w:sz w:val="16"/>
                <w:szCs w:val="16"/>
                <w:i w:val="1"/>
                <w:iCs w:val="1"/>
                <w:color w:val="auto"/>
              </w:rPr>
              <w:t>10.4 %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99"/>
              <w:spacing w:after="0"/>
              <w:rPr>
                <w:sz w:val="20"/>
                <w:szCs w:val="20"/>
                <w:color w:val="auto"/>
              </w:rPr>
            </w:pPr>
            <w:r>
              <w:rPr>
                <w:rFonts w:ascii="Times New Roman" w:cs="Times New Roman" w:eastAsia="Times New Roman" w:hAnsi="Times New Roman"/>
                <w:sz w:val="16"/>
                <w:szCs w:val="16"/>
                <w:i w:val="1"/>
                <w:iCs w:val="1"/>
                <w:color w:val="auto"/>
              </w:rPr>
              <w:t>25.3 %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81.2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65.0</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33.0 %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185.8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253.8</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Effective income tax rate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57.9%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26.4%</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39.3%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i w:val="1"/>
                <w:iCs w:val="1"/>
                <w:color w:val="auto"/>
              </w:rPr>
              <w:t>20.6%</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180.9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286.9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978.3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7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income per share—diluted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center"/>
              <w:ind w:left="499"/>
              <w:spacing w:after="0"/>
              <w:rPr>
                <w:sz w:val="20"/>
                <w:szCs w:val="20"/>
                <w:color w:val="auto"/>
              </w:rPr>
            </w:pPr>
            <w:r>
              <w:rPr>
                <w:rFonts w:ascii="Times New Roman" w:cs="Times New Roman" w:eastAsia="Times New Roman" w:hAnsi="Times New Roman"/>
                <w:sz w:val="16"/>
                <w:szCs w:val="16"/>
                <w:color w:val="auto"/>
                <w:w w:val="99"/>
              </w:rPr>
              <w:t>0.89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w w:val="99"/>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rPr>
              <w:t>4.80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NOTE: Percentage changes may not compute directly as shown due to rounding of amounts presented above.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Second Quarter 2025 vs. Second Quarter 2024</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08" w:lineRule="exact"/>
        <w:rPr>
          <w:sz w:val="20"/>
          <w:szCs w:val="20"/>
          <w:color w:val="auto"/>
        </w:rPr>
      </w:pPr>
    </w:p>
    <w:p>
      <w:pPr>
        <w:ind w:left="40" w:right="140"/>
        <w:spacing w:after="0" w:line="255" w:lineRule="auto"/>
        <w:rPr>
          <w:sz w:val="20"/>
          <w:szCs w:val="20"/>
          <w:color w:val="auto"/>
        </w:rPr>
      </w:pPr>
      <w:r>
        <w:rPr>
          <w:rFonts w:ascii="Times New Roman" w:cs="Times New Roman" w:eastAsia="Times New Roman" w:hAnsi="Times New Roman"/>
          <w:sz w:val="18"/>
          <w:szCs w:val="18"/>
          <w:color w:val="auto"/>
        </w:rPr>
        <w:t>Net sales were $2,614.7 million in the second quarter of 2025 compared to $2,074.5 million in the same period of 2024, an increase of $540.2 million, or 26.0%. The net sales increase reflects a volume increase of approximately 21%, related to everyday core U.S. confection, as a result of planned inventory decreases in 2024 within the North America Confectionery and International segments after our ERP system implementation, which was completed in the beginning of the second quarter of 2024. Additionally, the timing of the Easter season in 2025 versus 2024, and higher Halloween seasonal orders in the second quarter of 2025, were favorable volume drivers. The net sales increase was further driven by favorable price realization of approximately 5% primarily related to higher list prices across the North America Confectionery and International segments. The net sales increase was partially offset by foreign currency exchange rates, which resulted in an unfavorable impact of less than 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U.S. Marketplace Metrics</w:t>
      </w:r>
    </w:p>
    <w:p>
      <w:pPr>
        <w:spacing w:after="0" w:line="173" w:lineRule="exact"/>
        <w:rPr>
          <w:sz w:val="20"/>
          <w:szCs w:val="20"/>
          <w:color w:val="auto"/>
        </w:rPr>
      </w:pPr>
    </w:p>
    <w:p>
      <w:pPr>
        <w:ind w:left="40" w:right="220"/>
        <w:spacing w:after="0" w:line="261" w:lineRule="auto"/>
        <w:rPr>
          <w:sz w:val="20"/>
          <w:szCs w:val="20"/>
          <w:color w:val="auto"/>
        </w:rPr>
      </w:pPr>
      <w:r>
        <w:rPr>
          <w:rFonts w:ascii="Times New Roman" w:cs="Times New Roman" w:eastAsia="Times New Roman" w:hAnsi="Times New Roman"/>
          <w:sz w:val="18"/>
          <w:szCs w:val="18"/>
          <w:color w:val="auto"/>
        </w:rPr>
        <w:t>For the second quarter of 2025, our total U.S. retail takeaway increased 18.5% in the expanded multi-outlet combined plus convenience store channels (Circana MULO + C-Stores), which includes candy, mint, gum, salty snacks and grocery items. Our U.S. candy, mint and gum (“CMG”) consumer takeaway increased 21.8% and experienced a CMG market share increase of 90 basis points. Our Salty consumer takeaway increased 6.1% in the second quarter of 2025 and experienced a Salty market share increase of 26 basis points.</w:t>
      </w:r>
    </w:p>
    <w:p>
      <w:pPr>
        <w:spacing w:after="0" w:line="126" w:lineRule="exact"/>
        <w:rPr>
          <w:sz w:val="20"/>
          <w:szCs w:val="20"/>
          <w:color w:val="auto"/>
        </w:rPr>
      </w:pPr>
    </w:p>
    <w:p>
      <w:pPr>
        <w:ind w:left="40" w:right="140"/>
        <w:spacing w:after="0" w:line="281" w:lineRule="auto"/>
        <w:rPr>
          <w:sz w:val="20"/>
          <w:szCs w:val="20"/>
          <w:color w:val="auto"/>
        </w:rPr>
      </w:pPr>
      <w:r>
        <w:rPr>
          <w:rFonts w:ascii="Times New Roman" w:cs="Times New Roman" w:eastAsia="Times New Roman" w:hAnsi="Times New Roman"/>
          <w:sz w:val="17"/>
          <w:szCs w:val="17"/>
          <w:color w:val="auto"/>
        </w:rPr>
        <w:t>The CMG consumer takeaway and market share information reflects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Circana, the Company’s market insights and analytics provider, and provide a means to assess our retail takeaway and market position relative to the overall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253365</wp:posOffset>
            </wp:positionV>
            <wp:extent cx="19685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342265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280" w:top="125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Cost of Sales and Gross Margin</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Cost of sales were $1,818.4 million in the second quarter 2025 compared to $1,240.7 million in the same period of 2024, an increase of $577.7 million, or 46.6%. The increase was driven by $592.0 million of higher costs, primarily due to unfavorable commodity costs from cocoa, as well as higher sales volume. The increase was partially offset by declines of $14.3 million, primarily related to declines in business realignment expenses, $6.8 million of favorable mark-to-market activity on our commodity derivative instruments intended to economically hedge future years’ commodity purchases (See </w:t>
      </w:r>
      <w:r>
        <w:rPr>
          <w:rFonts w:ascii="Times New Roman" w:cs="Times New Roman" w:eastAsia="Times New Roman" w:hAnsi="Times New Roman"/>
          <w:sz w:val="18"/>
          <w:szCs w:val="18"/>
          <w:u w:val="single" w:color="auto"/>
          <w:color w:val="0000FF"/>
        </w:rPr>
        <w:t>Part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Item 3 - Quantitative and Qualitative Disclosures About Market Risk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included in this Quarterly Report on Form 10-Q for more information), and favorable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foreign exchange rates.</w:t>
      </w:r>
    </w:p>
    <w:p>
      <w:pPr>
        <w:spacing w:after="0" w:line="13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Gross margin was 30.5% in the second quarter of 2025 compared to 40.2% in the same period of 2024, a decrease of 970 basis points. The decrease was driven by unfavorable commodity costs and higher supply chain costs, partially offset by higher sales volume, favorable price realization, and favorable activity on our mark-to-market impact from commodity derivative instruments.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SM&amp;A Expenses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SM&amp;A expenses were $603.2 million in the second quarter of 2025 compared to $541.0 million in the same period of 2024, an increase of $62.2 million, or 11.5%. Total advertising and related consumer marketing expenses increased 35.5% driven primarily by an increase in the North America Confectionery segment. SM&amp;A expenses, excluding advertising and related consumer marketing, increased 2.2% in the second quarter of 2025 driven by higher compensation costs, partially offset by $11.1 million of incremental business realignment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Realignment Activities</w:t>
      </w:r>
    </w:p>
    <w:p>
      <w:pPr>
        <w:spacing w:after="0" w:line="9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We periodically undertake business realignment activities designed to increase our efficiency and focus our business in support of our key growth strategies. Excluding the portion recorded within Cost of Sales and SM&amp;A expenses (as noted above), we recorded business realignment costs of $0.3 million during the second quarter of 2025 versus $4.9 million in the second quarter of 2024. The costs related to the AAA Initiative, which commenced in 2024, focused on leveraging new technology to improve supply chain and manufacturing-related spend, and optimize selling, general and administrative expenses. Costs associated with business realignment activities are classified in our Consolidated Statements of Income as described in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 xml:space="preserve"> to the Unaudited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 and Operating Profit Margin</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Operating profit was $192.8 million in the second quarter of 2025 compared to $287.9 million in the same period of 2024, a decrease of $95.1 million, or 33.0%. The decrease was primarily due to lower gross profit and higher SM&amp;A expenses, partially offset by lower business realignment expenses, as noted above. Operating profit margin decreased to 7.4% in 2025 from 13.9% in 2024 driven by the same factors noted above that resulted in lower gross margin for the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Net interest expense was $46.0 million in the second quarter of 2025 compared to $41.4 million in the same period of 2024, an increase of $4.6 million, or 11.3%. The increase was primarily due to higher long-term debt balances in 2025, driven by the February 2025 debt issuance, versus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Other (income) expense, net was net income of $2.3 million in the second quarter of 2025 versus net expense of $0.6 million in the second quarter of 2024, a net income increase of $2.9 million, or 507.0%. The increase in net income was driven by a gain of $3.6 million on a previously held investment in 2025 versus the second quarter of 2024, partially offset by an increase of $0.7 million of non-service cost components of net periodic benefit cost relating to pension and other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271145</wp:posOffset>
            </wp:positionV>
            <wp:extent cx="19685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8"/>
          <w:szCs w:val="18"/>
          <w:b w:val="1"/>
          <w:bCs w:val="1"/>
          <w:color w:val="auto"/>
        </w:rPr>
        <w:t>Income Taxes and Effective Tax Rate</w:t>
      </w:r>
    </w:p>
    <w:p>
      <w:pPr>
        <w:spacing w:after="0" w:line="108" w:lineRule="exact"/>
        <w:rPr>
          <w:sz w:val="20"/>
          <w:szCs w:val="20"/>
          <w:color w:val="auto"/>
        </w:rPr>
      </w:pPr>
    </w:p>
    <w:p>
      <w:pPr>
        <w:ind w:left="40"/>
        <w:spacing w:after="0" w:line="261" w:lineRule="auto"/>
        <w:rPr>
          <w:sz w:val="20"/>
          <w:szCs w:val="20"/>
          <w:color w:val="auto"/>
        </w:rPr>
      </w:pPr>
      <w:r>
        <w:rPr>
          <w:rFonts w:ascii="Times New Roman" w:cs="Times New Roman" w:eastAsia="Times New Roman" w:hAnsi="Times New Roman"/>
          <w:sz w:val="18"/>
          <w:szCs w:val="18"/>
          <w:color w:val="auto"/>
        </w:rPr>
        <w:t>The effective income tax rate was 57.9% for the second quarter of 2025 compared with 26.4% for the second quarter of 2024. Relative to the 21% statutory rate, the 2025 effective tax rate was primarily impacted by tax reserves, foreign rate differential and state taxes. Relative to the 21% statutory rate, the 2024 effective tax rate was primarily impacted by state taxes, tax reserves and unfavorable foreign rate differential, partially offset by the benefit of employee share-based payments.</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Income and Earnings Per Share-diluted</w:t>
      </w:r>
    </w:p>
    <w:p>
      <w:pPr>
        <w:spacing w:after="0" w:line="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income was $62.7 million in the second quarter of 2025 compared to $180.9 million in the same period of 2024, a decrease of $118.2 million, or</w:t>
      </w:r>
    </w:p>
    <w:p>
      <w:pPr>
        <w:spacing w:after="0" w:line="27" w:lineRule="exact"/>
        <w:rPr>
          <w:sz w:val="20"/>
          <w:szCs w:val="20"/>
          <w:color w:val="auto"/>
        </w:rPr>
      </w:pPr>
    </w:p>
    <w:p>
      <w:pPr>
        <w:ind w:left="40" w:right="40"/>
        <w:spacing w:after="0" w:line="255" w:lineRule="auto"/>
        <w:rPr>
          <w:sz w:val="20"/>
          <w:szCs w:val="20"/>
          <w:color w:val="auto"/>
        </w:rPr>
      </w:pPr>
      <w:r>
        <w:rPr>
          <w:rFonts w:ascii="Times New Roman" w:cs="Times New Roman" w:eastAsia="Times New Roman" w:hAnsi="Times New Roman"/>
          <w:sz w:val="18"/>
          <w:szCs w:val="18"/>
          <w:color w:val="auto"/>
        </w:rPr>
        <w:t>65.3%. EPS-diluted was $0.31 in the second quarter of 2025 compared to $0.89 in the second quarter of 2024, a decrease of $0.58, or 65.2%. The decrease in both net income and EPS-diluted was driven by lower gross profit, higher SM&amp;A expenses, higher interest expense, and higher income taxes, partially offset by lower business realignment costs and lower other income and expenses.</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First Six Months 2025 vs. First Six Months 2024</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08" w:lineRule="exact"/>
        <w:rPr>
          <w:sz w:val="20"/>
          <w:szCs w:val="20"/>
          <w:color w:val="auto"/>
        </w:rPr>
      </w:pPr>
    </w:p>
    <w:p>
      <w:pPr>
        <w:jc w:val="both"/>
        <w:ind w:left="40" w:right="60"/>
        <w:spacing w:after="0" w:line="261" w:lineRule="auto"/>
        <w:rPr>
          <w:sz w:val="20"/>
          <w:szCs w:val="20"/>
          <w:color w:val="auto"/>
        </w:rPr>
      </w:pPr>
      <w:r>
        <w:rPr>
          <w:rFonts w:ascii="Times New Roman" w:cs="Times New Roman" w:eastAsia="Times New Roman" w:hAnsi="Times New Roman"/>
          <w:sz w:val="18"/>
          <w:szCs w:val="18"/>
          <w:color w:val="auto"/>
        </w:rPr>
        <w:t>Net sales were $5,420.1 million in the first six months of 2025 compared to $5,327.2 million during the same period of 2024, an increase of $92.9 million, or 1.7%. The net sales increase was driven by favorable price realization of approximately 3% across our reportable segments. The net sales increase was partially offset by a volume decrease of approximately 1%, primarily driven by the North America Confectionery segment, as well as unfavorable foreign currency exchange impact of approximately 1%.</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U.S. Marketplace Metrics</w:t>
      </w:r>
    </w:p>
    <w:p>
      <w:pPr>
        <w:spacing w:after="0" w:line="173" w:lineRule="exact"/>
        <w:rPr>
          <w:sz w:val="20"/>
          <w:szCs w:val="20"/>
          <w:color w:val="auto"/>
        </w:rPr>
      </w:pPr>
    </w:p>
    <w:p>
      <w:pPr>
        <w:ind w:left="40"/>
        <w:spacing w:after="0" w:line="261" w:lineRule="auto"/>
        <w:rPr>
          <w:sz w:val="20"/>
          <w:szCs w:val="20"/>
          <w:color w:val="auto"/>
        </w:rPr>
      </w:pPr>
      <w:r>
        <w:rPr>
          <w:rFonts w:ascii="Times New Roman" w:cs="Times New Roman" w:eastAsia="Times New Roman" w:hAnsi="Times New Roman"/>
          <w:sz w:val="18"/>
          <w:szCs w:val="18"/>
          <w:color w:val="auto"/>
        </w:rPr>
        <w:t>For the first six months of 2025, our total U.S. retail takeaway increased 4.4% in the expanded multi-outlet combined plus convenience store channels (IRI MULO + C-Stores), which includes candy, mint, gum, salty snacks and grocery items. Our U.S. CMG consumer takeaway increased 4.0% and experienced a CMG market share increase of 7 basis points. Our Salty consumer takeaway increased 8.0% and experienced a Salty market share increase of 31 basis points.</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Cost of Sales and Gross Margin</w:t>
      </w:r>
    </w:p>
    <w:p>
      <w:pPr>
        <w:spacing w:after="0" w:line="94" w:lineRule="exact"/>
        <w:rPr>
          <w:sz w:val="20"/>
          <w:szCs w:val="20"/>
          <w:color w:val="auto"/>
        </w:rPr>
      </w:pPr>
    </w:p>
    <w:p>
      <w:pPr>
        <w:ind w:left="40" w:right="40"/>
        <w:spacing w:after="0" w:line="258" w:lineRule="auto"/>
        <w:rPr>
          <w:sz w:val="20"/>
          <w:szCs w:val="20"/>
          <w:color w:val="auto"/>
        </w:rPr>
      </w:pPr>
      <w:r>
        <w:rPr>
          <w:rFonts w:ascii="Times New Roman" w:cs="Times New Roman" w:eastAsia="Times New Roman" w:hAnsi="Times New Roman"/>
          <w:sz w:val="18"/>
          <w:szCs w:val="18"/>
          <w:color w:val="auto"/>
        </w:rPr>
        <w:t xml:space="preserve">Cost of sales were $3,679.6 million in the first six months of 2025 compared to $2,817.4 million in the same period of 2024, an increase of $862.2 million, or 30.6%. The increase was driven by $980.1 million of higher costs, primarily related to $244.9 million of unfavorable mark-to-market activity on our commodity derivative instruments intended to economically hedge future years’ commodity purchases (See </w:t>
      </w:r>
      <w:r>
        <w:rPr>
          <w:rFonts w:ascii="Times New Roman" w:cs="Times New Roman" w:eastAsia="Times New Roman" w:hAnsi="Times New Roman"/>
          <w:sz w:val="18"/>
          <w:szCs w:val="18"/>
          <w:u w:val="single" w:color="auto"/>
          <w:color w:val="0000FF"/>
        </w:rPr>
        <w:t>Part I, Item 3 - Quantitative and Qualitative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Disclosures About Market Risk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included in this Quarterly Report on Form 10-Q for more information) and unfavorable commodity costs from cocoa.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increase was partially offset by $118.6 million of lower costs, primarily driven by lower supply chain costs and lower business realignment costs.</w:t>
      </w:r>
    </w:p>
    <w:p>
      <w:pPr>
        <w:spacing w:after="0" w:line="62" w:lineRule="exact"/>
        <w:rPr>
          <w:sz w:val="20"/>
          <w:szCs w:val="20"/>
          <w:color w:val="auto"/>
        </w:rPr>
      </w:pPr>
    </w:p>
    <w:p>
      <w:pPr>
        <w:ind w:left="40" w:right="20"/>
        <w:spacing w:after="0" w:line="266" w:lineRule="auto"/>
        <w:rPr>
          <w:sz w:val="20"/>
          <w:szCs w:val="20"/>
          <w:color w:val="auto"/>
        </w:rPr>
      </w:pPr>
      <w:r>
        <w:rPr>
          <w:rFonts w:ascii="Times New Roman" w:cs="Times New Roman" w:eastAsia="Times New Roman" w:hAnsi="Times New Roman"/>
          <w:sz w:val="18"/>
          <w:szCs w:val="18"/>
          <w:color w:val="auto"/>
        </w:rPr>
        <w:t>Gross margin was 32.1% in the first six months of 2025 compared to 47.1% in the same period of 2024, a decrease of 1,500 basis points. The decrease was driven by higher commodity costs, unfavorable year-over-year mark-to-market impact from commodity derivative instruments, unfavorable product mix, and volume declines. The decrease was partially offset by lower supply chain costs and decreased business realignment costs.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SM&amp;A Expenses</w:t>
      </w:r>
    </w:p>
    <w:p>
      <w:pPr>
        <w:spacing w:after="0" w:line="108" w:lineRule="exact"/>
        <w:rPr>
          <w:sz w:val="20"/>
          <w:szCs w:val="20"/>
          <w:color w:val="auto"/>
        </w:rPr>
      </w:pPr>
    </w:p>
    <w:p>
      <w:pPr>
        <w:ind w:left="40" w:right="20"/>
        <w:spacing w:after="0" w:line="258" w:lineRule="auto"/>
        <w:rPr>
          <w:sz w:val="20"/>
          <w:szCs w:val="20"/>
          <w:color w:val="auto"/>
        </w:rPr>
      </w:pPr>
      <w:r>
        <w:rPr>
          <w:rFonts w:ascii="Times New Roman" w:cs="Times New Roman" w:eastAsia="Times New Roman" w:hAnsi="Times New Roman"/>
          <w:sz w:val="18"/>
          <w:szCs w:val="18"/>
          <w:color w:val="auto"/>
        </w:rPr>
        <w:t>SM&amp;A expenses were $1,161.9 million in the first six months of 2025 compared to $1,159.0 million in the same period of 2024, an increase of $2.9 million, or 0.3%. Total advertising and related consumer marketing expenses increased 6.0%, driven by increases in the North America Confectionery and North America Salty Snacks segments. SM&amp;A expenses, excluding advertising and related consumer marketing, decreased approximately 2.5% in the first six months of 2025 driven primarily by a decrease of $15.7 million of incremental business realignment costs, partially offset by higher compensation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265430</wp:posOffset>
            </wp:positionV>
            <wp:extent cx="19685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342265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280" w:top="1413"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Business Realignment Activities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We periodically undertake business realignment activities designed to increase our efficiency and focus our business in support of our key growth strategies. Excluding the portion recorded within Cost of Sales and SM&amp;A expenses (as noted above), we recorded business realignment costs of $16.6 million during the first six months of 2025 versus $4.9 million in the first six months of 2024. The costs related to the AAA Initiative, which commenced in 2024, focused on leveraging new technology to improve supply chain and manufacturing-related spend, and optimize selling, general and administrative expenses. Costs associated with business realignment activities are classified in our Consolidated Statements of Income as described in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 xml:space="preserve"> to the Unaudited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 and Operating Profit Margin</w:t>
      </w:r>
    </w:p>
    <w:p>
      <w:pPr>
        <w:spacing w:after="0" w:line="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Operating profit was $562.0 million in the first six months of 2025 compared to $1,345.9 million in the same period of 2024, a decrease of $783.9 million, or 58.2%. The decrease was predominantly due to lower gross profit, higher business realignment costs and higher SM&amp;A expenses, as noted above. Operating profit margin decreased to 10.4% in the first six months of 2025 from 25.3% in the same period in 2024 driven by the same factors that resulted in lower gross margin for the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interest expense was $90.7 million in the first six months of 2025 compared to $81.2 million in the same period of 2024, an increase of $9.5 million, or 11.7%. The increase was primarily due to higher long-term debt balances in 2025 versus 2024, driven by the February 2025 debt issuance, partially offset by lower short-term debt balances in 2025 versus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Other (income) expense, net was a net income of $1.4 million in the first six months of 2025 versus a net expense of $32.6 million in the first six months of 2024, a net income increase of $34.0 million, or 104.3%. The change was predominantly driven by no write-downs on equity investments qualifying for tax credits in the first six months of 2025 versus $31.4 million of write-downs on equity investments qualifying for tax credits in the first six months of 2024.</w:t>
      </w:r>
    </w:p>
    <w:p>
      <w:pPr>
        <w:spacing w:after="0" w:line="1"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This was partially offset by an increase of $1.4 million of non-service cost components of net periodic benefit costs relating to pension and other post-retirement benefit plans.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 and Effective Tax Rate</w:t>
      </w:r>
    </w:p>
    <w:p>
      <w:pPr>
        <w:spacing w:after="0" w:line="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effective income tax rate was 39.3% for the first six months of 2025 compared with 20.6% for the first six months of 2024. Relative to the 21% statutory rate, the 2025 effective tax rate was primarily impacted by tax reserves, foreign rate differential and state taxes. Relative to the 21% statutory rate, the 2024 effective tax rate was impacted by investment tax credits partially offset by state taxes.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Earnings Per Share-diluted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$286.9 million in the first six months of 2025 compared to $978.3 million in the same period of 2024, a decrease of $691.4 million, or</w:t>
      </w:r>
    </w:p>
    <w:p>
      <w:pPr>
        <w:spacing w:after="0" w:line="2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70.7%. EPS-diluted was $1.41 in the first six months of 2025 compared to $4.80 in the same period of 2024, a decrease of $3.39, or 70.6%. The decrease in both net income and EPS-diluted was driven by lower gross profit, higher business realignment costs, and higher interest expense, partially offset by higher other income and lower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275590</wp:posOffset>
            </wp:positionV>
            <wp:extent cx="19685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0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The summary that follows provides a discussion of the results of operations of our three segments: North America Confectionery, North America Salty Snacks and International.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our Chief Operating Decision Maker, Michele Buck, Chairman of the Board, President, and Chief Executive Officer,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directly attributable to our ongoing segment operations. Refer to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Segment Information in our audited consolidated financial statements for reconciliations of net sales for our reportable segments to consolidated total net sales and of segment operating income to consolidated income before taxes.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segment results, including a reconciliation to our consolidated results,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00" w:type="dxa"/>
            <w:vAlign w:val="bottom"/>
            <w:gridSpan w:val="4"/>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1"/>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0" w:type="dxa"/>
            <w:vAlign w:val="bottom"/>
          </w:tcPr>
          <w:p>
            <w:pPr>
              <w:spacing w:after="0"/>
              <w:rPr>
                <w:sz w:val="1"/>
                <w:szCs w:val="1"/>
                <w:color w:val="auto"/>
              </w:rPr>
            </w:pPr>
          </w:p>
        </w:tc>
      </w:tr>
      <w:tr>
        <w:trPr>
          <w:trHeight w:val="161"/>
        </w:trPr>
        <w:tc>
          <w:tcPr>
            <w:tcW w:w="5200" w:type="dxa"/>
            <w:vAlign w:val="bottom"/>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1,571.4</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(1)</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0" w:type="dxa"/>
            <w:vAlign w:val="bottom"/>
          </w:tcPr>
          <w:p>
            <w:pPr>
              <w:spacing w:after="0"/>
              <w:rPr>
                <w:sz w:val="1"/>
                <w:szCs w:val="1"/>
                <w:color w:val="auto"/>
              </w:rPr>
            </w:pPr>
          </w:p>
        </w:tc>
      </w:tr>
      <w:tr>
        <w:trPr>
          <w:trHeight w:val="184"/>
        </w:trPr>
        <w:tc>
          <w:tcPr>
            <w:tcW w:w="52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Unallocated mark-to-market losses (gains) on commodity derivatives</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associated with business realignment activities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1,345.9</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1,232.1</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right="260" w:hanging="332"/>
        <w:spacing w:after="0" w:line="263"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 and integration-related costs and (e) other gains or losses that are not integral to segment performance.</w:t>
      </w:r>
    </w:p>
    <w:p>
      <w:pPr>
        <w:spacing w:after="0" w:line="56" w:lineRule="exact"/>
        <w:rPr>
          <w:rFonts w:ascii="Times New Roman" w:cs="Times New Roman" w:eastAsia="Times New Roman" w:hAnsi="Times New Roman"/>
          <w:sz w:val="16"/>
          <w:szCs w:val="16"/>
          <w:color w:val="auto"/>
        </w:rPr>
      </w:pPr>
    </w:p>
    <w:p>
      <w:pPr>
        <w:ind w:left="340" w:right="280" w:hanging="332"/>
        <w:spacing w:after="0" w:line="298"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Net losses (gains) on mark-to-market valuation of commodity derivative positions recognized in unallocated derivative losses (gains). See </w:t>
      </w:r>
      <w:r>
        <w:rPr>
          <w:rFonts w:ascii="Times New Roman" w:cs="Times New Roman" w:eastAsia="Times New Roman" w:hAnsi="Times New Roman"/>
          <w:sz w:val="16"/>
          <w:szCs w:val="16"/>
          <w:u w:val="single" w:color="auto"/>
          <w:color w:val="0000FF"/>
        </w:rPr>
        <w:t>Note 13</w:t>
      </w:r>
      <w:r>
        <w:rPr>
          <w:rFonts w:ascii="Times New Roman" w:cs="Times New Roman" w:eastAsia="Times New Roman" w:hAnsi="Times New Roman"/>
          <w:sz w:val="16"/>
          <w:szCs w:val="16"/>
          <w:color w:val="auto"/>
        </w:rPr>
        <w:t xml:space="preserve"> to the Unaudited Consolidated Financial Statements.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 Confectionery</w:t>
      </w:r>
    </w:p>
    <w:p>
      <w:pPr>
        <w:spacing w:after="0" w:line="10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North America Confectionery segment is responsible for our chocolate and non-chocolate confectionery market position in the United States and Canada. This includes developing and growing our business in chocolate and non-chocolate confectionery, gum and refreshment products, protein bars, spreads, snack bites and mixes, as well as pantry and food service lines. While a less significant component, this segment also includes our retail operations, including Hershey’s Chocolate World stores in Hershey, Pennsylvania; New York, New York; Las Vegas, Nevada; Niagara Falls (Ontario) and Singapore, as well as operations associated with licensing the use of certain trademarks and products to third parties around the world. North America Confectionery results, which accounted for 24.2% and 29.4% of our net sales for the three months ended June 29, 2025 and June 30, 2024, respectively,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0" w:type="dxa"/>
            <w:vAlign w:val="bottom"/>
          </w:tcPr>
          <w:p>
            <w:pPr>
              <w:spacing w:after="0"/>
              <w:rPr>
                <w:sz w:val="1"/>
                <w:szCs w:val="1"/>
                <w:color w:val="auto"/>
              </w:rPr>
            </w:pPr>
          </w:p>
        </w:tc>
      </w:tr>
      <w:tr>
        <w:trPr>
          <w:trHeight w:val="161"/>
        </w:trPr>
        <w:tc>
          <w:tcPr>
            <w:tcW w:w="1780" w:type="dxa"/>
            <w:vAlign w:val="bottom"/>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2,085.5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1,579.8</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32.0 %  $</w:t>
            </w: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4,385.6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4,287.1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8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503.9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464.5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1,200.3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1,412.7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29.4 %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NOTE: Percentage changes may not compute directly as shown due to rounding of amounts presented above.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Second Quarter 2025 vs. Second Quarter 2024</w:t>
      </w:r>
    </w:p>
    <w:p>
      <w:pPr>
        <w:spacing w:after="0" w:line="162"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Net sales of our North America Confectionery segment were $2,085.5 million in the second quarter of 2025 compared to $1,579.8 million in the same period of 2024, an increase of $505.7 million, or 32.0%. The increase was driven by volume increases of approximately 25%, primarily due to the planned inventory decreases in 2024 after our ERP system implementation, which was completed in the second quarter of 2024. Additionally, the timing of the</w:t>
      </w:r>
    </w:p>
    <w:p>
      <w:pPr>
        <w:sectPr>
          <w:pgSz w:w="11900" w:h="16838" w:orient="portrait"/>
          <w:cols w:equalWidth="0" w:num="1">
            <w:col w:w="11240"/>
          </w:cols>
          <w:pgMar w:left="320" w:top="1440" w:right="339" w:bottom="0" w:gutter="0" w:footer="0" w:header="0"/>
        </w:sectPr>
      </w:pPr>
    </w:p>
    <w:bookmarkStart w:id="42" w:name="page43"/>
    <w:bookmarkEnd w:id="42"/>
    <w:p>
      <w:pPr>
        <w:ind w:right="160"/>
        <w:spacing w:after="0" w:line="282" w:lineRule="auto"/>
        <w:rPr>
          <w:sz w:val="20"/>
          <w:szCs w:val="20"/>
          <w:color w:val="auto"/>
        </w:rPr>
      </w:pPr>
      <w:r>
        <w:rPr>
          <w:rFonts w:ascii="Times New Roman" w:cs="Times New Roman" w:eastAsia="Times New Roman" w:hAnsi="Times New Roman"/>
          <w:sz w:val="18"/>
          <w:szCs w:val="18"/>
          <w:color w:val="auto"/>
        </w:rPr>
        <w:t>Easter season in 2025 versus 2024, and higher Halloween seasonal orders in the second quarter of 2025, were favorable volume drivers. The increase was further driven by a favorable price realization of approximately 6%, primarily due to list price increases on certain products across our portfolio.</w:t>
      </w:r>
    </w:p>
    <w:p>
      <w:pPr>
        <w:spacing w:after="0" w:line="4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North America Confectionery segment income was $503.9 million in the second quarter of 2025 compared to $464.5 million in the same period of 2024, an increase of $39.4 million, or 8.5%. The increase was predominantly due to volume increases and favorable price realization, as noted above, and net savings from the execution of our AAA Initiative, partially offset by higher advertising and related consumer marketing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First Six Months 2025 vs. First Six Months 2024</w:t>
      </w:r>
    </w:p>
    <w:p>
      <w:pPr>
        <w:spacing w:after="0" w:line="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Net sales of our North America Confectionery segment were $4,385.6 million in the first six months of 2025 compared to $4,287.1 million in the same period of 2024, an increase of $98.5 million, or 2.3%. The increase was driven by favorable price realization of approximately 4%, primarily driven by list price increases on certain products across our portfolio. The increase was partially offset by volume declines of approximately 2%, primarily driven by a decrease in everyday core U.S. confection.</w:t>
      </w:r>
    </w:p>
    <w:p>
      <w:pPr>
        <w:spacing w:after="0" w:line="5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North America Confectionery segment income was $1,200.3 million in the first six months of 2025 compared to $1,412.7 million the same period of 2024, a decrease of $212.4 million or 15.0%. The decrease was primarily due to higher commodity costs, higher supply chain costs, volume declines and higher advertising and related consumer marketing costs. The decrease was partially offset by favorable price realization and net savings from the execution of our AAA Initiative.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 Salty Snacks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North America Salty Snacks segment is responsible for our grocery and snacks market positions, including our salty snacking products. North America Salty Snacks results, which accounted for 21.1% and 18.0% of our net sales for the three months ended June 29, 2025 and June 30, 2024, respectively,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16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80" w:type="dxa"/>
            <w:vAlign w:val="bottom"/>
          </w:tcPr>
          <w:p>
            <w:pPr>
              <w:spacing w:after="0"/>
              <w:rPr>
                <w:sz w:val="18"/>
                <w:szCs w:val="18"/>
                <w:color w:val="auto"/>
              </w:rPr>
            </w:pPr>
          </w:p>
        </w:tc>
        <w:tc>
          <w:tcPr>
            <w:tcW w:w="158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0" w:type="dxa"/>
            <w:vAlign w:val="bottom"/>
          </w:tcPr>
          <w:p>
            <w:pPr>
              <w:spacing w:after="0"/>
              <w:rPr>
                <w:sz w:val="1"/>
                <w:szCs w:val="1"/>
                <w:color w:val="auto"/>
              </w:rPr>
            </w:pPr>
          </w:p>
        </w:tc>
      </w:tr>
      <w:tr>
        <w:trPr>
          <w:trHeight w:val="161"/>
        </w:trPr>
        <w:tc>
          <w:tcPr>
            <w:tcW w:w="1800" w:type="dxa"/>
            <w:vAlign w:val="bottom"/>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315.5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289.9</w:t>
            </w:r>
          </w:p>
        </w:tc>
        <w:tc>
          <w:tcPr>
            <w:tcW w:w="100" w:type="dxa"/>
            <w:vAlign w:val="bottom"/>
            <w:shd w:val="clear" w:color="auto" w:fill="CCEEFF"/>
          </w:tcPr>
          <w:p>
            <w:pPr>
              <w:spacing w:after="0"/>
              <w:rPr>
                <w:sz w:val="19"/>
                <w:szCs w:val="19"/>
                <w:color w:val="auto"/>
              </w:rPr>
            </w:pPr>
          </w:p>
        </w:tc>
        <w:tc>
          <w:tcPr>
            <w:tcW w:w="1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8.8 %  $</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593.3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565.0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8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90.9</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18.3 %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16.1 %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NOTE: Percentage changes may not compute directly as shown due to rounding of amounts presented above.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Second Quarter 2025 vs. Second Quarter 2024</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Net sales of our North America Salty Snacks segment were $315.5 million in the second quarter of 2025 compared to $289.9 million in the same period of 2024, an increase of $25.6 million, or 8.8%. The increase was predominantly due to favorable price realization of approximately 5%, primarily driven by promotion rates, as well as volume increases of approximately 4%, primarily driven by </w:t>
      </w:r>
      <w:r>
        <w:rPr>
          <w:rFonts w:ascii="Times New Roman" w:cs="Times New Roman" w:eastAsia="Times New Roman" w:hAnsi="Times New Roman"/>
          <w:sz w:val="18"/>
          <w:szCs w:val="18"/>
          <w:i w:val="1"/>
          <w:iCs w:val="1"/>
          <w:color w:val="auto"/>
        </w:rPr>
        <w:t>Dot’s Homestyle Pretzels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North America Salty Snacks segment income was $66.5 million in the second quarter of 2025 compared to $52.2 million in the same period of 2024, an increase of $14.3 million, or 27.4%. The increase was primarily due to volume increases and favorable price realization and net savings from the execution of our AAA Initiative.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First Six Months 2025 vs. First Six Months 2024</w:t>
      </w:r>
    </w:p>
    <w:p>
      <w:pPr>
        <w:spacing w:after="0" w:line="9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 xml:space="preserve">Net sales of our North America Salty Snacks segment were $593.3 million in the first six months of 2025 compared to $565.0 million the same period of 2024, an increase of $28.3 million, or 5.0%. The increase reflects a favorable price realization of approximately 5% primarily driven by promotion rates. The increase was further driven by volume growth of approximately 4%, primarily related to </w:t>
      </w:r>
      <w:r>
        <w:rPr>
          <w:rFonts w:ascii="Times New Roman" w:cs="Times New Roman" w:eastAsia="Times New Roman" w:hAnsi="Times New Roman"/>
          <w:sz w:val="18"/>
          <w:szCs w:val="18"/>
          <w:i w:val="1"/>
          <w:iCs w:val="1"/>
          <w:color w:val="auto"/>
        </w:rPr>
        <w:t>Dot’s Homestyle Pretzels and SkinnyPop.</w:t>
      </w:r>
    </w:p>
    <w:p>
      <w:pPr>
        <w:spacing w:after="0" w:line="5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North America Salty Snacks segment income was $108.3 million in the first six months of 2025 compared to $90.9 million the same period of 2024, an increase of $17.4 million, or 19.2%. The increase was primarily due to volume increases and favorable price realization, as noted above, and lower supply chain costs. The increase was partially offset by higher advertising and related consumer marketing costs.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w:t>
      </w:r>
    </w:p>
    <w:p>
      <w:pPr>
        <w:spacing w:after="0" w:line="1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International segment includes all other countries where we currently manufacture, import, market, sell or distribute chocolate and non-chocolate confectionery and other products. We currently have operations and manufacture product in Mexico, Brazil, India and Malaysia, primarily for consumers in these regions, and also distribute and sell confectionery products in export markets of Latin America, as well as Europe, Asia-Pacific (“APAC”), the Middle East and Africa (“MEA”) and other regions. International results, which accounted for 9.3% and 12.2% of our net sales for the three months ended June 29, 2025 and June 30, 2024, respectively,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158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0" w:type="dxa"/>
            <w:vAlign w:val="bottom"/>
          </w:tcPr>
          <w:p>
            <w:pPr>
              <w:spacing w:after="0"/>
              <w:rPr>
                <w:sz w:val="1"/>
                <w:szCs w:val="1"/>
                <w:color w:val="auto"/>
              </w:rPr>
            </w:pPr>
          </w:p>
        </w:tc>
      </w:tr>
      <w:tr>
        <w:trPr>
          <w:trHeight w:val="161"/>
        </w:trPr>
        <w:tc>
          <w:tcPr>
            <w:tcW w:w="1800" w:type="dxa"/>
            <w:vAlign w:val="bottom"/>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4.4 %  $</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441.2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475.1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8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12.2 %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14.3 %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NOTE: Percentage changes may not compute directly as shown due to rounding of amounts presented above.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Second Quarter 2025 vs. Second Quarter 2024</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sales of our International segment were $213.7 million in the second quarter of 2025 compared to $204.8 million in the same period of 2024, an increase of $8.9 million, or 4.4%. The increase was due to volume increases of approximately 9%, primarily attributable to MEA, and World Travel Retail, as well as favorable price realization of approximately 1%, driven by Mexico, Brazil and Latin America. The increase was partially offset by unfavorable impact from foreign currency exchange rates of approximately 6%, driven by Mexico, Brazil and Latin America.</w:t>
      </w:r>
    </w:p>
    <w:p>
      <w:pPr>
        <w:spacing w:after="0" w:line="58"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Our International segment generated income of $19.8 million in the second quarter of 2025 compared to $25.0 million in the second quarter of 2024, a decrease of $5.2 million, or 20.8%, driven primarily by unfavorable foreign currency exchange rates, as well as increased commodity and supply chain costs, partially offset by volume increases, favorable price realization, and net savings from the execution of our AAA Initiative.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First Six Months 2025 vs. First Six Months 2024</w:t>
      </w:r>
    </w:p>
    <w:p>
      <w:pPr>
        <w:sectPr>
          <w:pgSz w:w="11900" w:h="16838" w:orient="portrait"/>
          <w:cols w:equalWidth="0" w:num="1">
            <w:col w:w="11240"/>
          </w:cols>
          <w:pgMar w:left="320" w:top="121" w:right="339" w:bottom="6" w:gutter="0" w:footer="0" w:header="0"/>
        </w:sectPr>
      </w:pPr>
    </w:p>
    <w:bookmarkStart w:id="43" w:name="page44"/>
    <w:bookmarkEnd w:id="43"/>
    <w:p>
      <w:pPr>
        <w:ind w:right="20"/>
        <w:spacing w:after="0" w:line="261" w:lineRule="auto"/>
        <w:rPr>
          <w:sz w:val="20"/>
          <w:szCs w:val="20"/>
          <w:color w:val="auto"/>
        </w:rPr>
      </w:pPr>
      <w:r>
        <w:rPr>
          <w:rFonts w:ascii="Times New Roman" w:cs="Times New Roman" w:eastAsia="Times New Roman" w:hAnsi="Times New Roman"/>
          <w:sz w:val="18"/>
          <w:szCs w:val="18"/>
          <w:color w:val="auto"/>
        </w:rPr>
        <w:t>Net sales of our International segment were $441.2 million in the first six months of 2025 compared to $475.1 million the same period of 2024, a decrease of $33.9 million, or 7.1%. The decrease was due to an unfavorable impact from foreign currency exchange rates of approximately 7%, driven by Mexico, Brazil and Latin America, and volume declines of approximately 1%, primarily attributable to APAC and India and Mexico, Brazil and Latin America. The decrease was partially offset by a favorable price realization of approximately 1%, driven by Mexico, Brazil and Latin America.</w:t>
      </w:r>
    </w:p>
    <w:p>
      <w:pPr>
        <w:spacing w:after="0" w:line="5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International segment generated income of $48.5 million in the first six months of 2025 compared to $67.8 million in the first six months of 2024, a decrease of $19.3 million, or 28.4%, driven primarily by an unfavorable impact from foreign currency exchange rates, volume declines, higher supply chain costs, and increased commodity costs, partially offset by favorable price realization.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Unallocated Corporate Expense</w:t>
      </w:r>
    </w:p>
    <w:p>
      <w:pPr>
        <w:spacing w:after="0" w:line="10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 and integration-related costs and (e) other gains or losses that are not integral to segment performance.</w:t>
      </w:r>
    </w:p>
    <w:p>
      <w:pPr>
        <w:spacing w:after="0" w:line="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second quarter of 2025, unallocated corporate expense totaled $181.5 million, as compared to $161.5 million in the second quarter of 2024, an increase of $20.0 million, or 12.4%. The increase was primarily driven by higher compensation and benefits costs, partially offset by decreased investments in capabilities and technology, as a result of the completion of the upgrade of the Company’s ERP system across the enterprise in 2024, and lower acquisition and integration costs.</w:t>
      </w:r>
    </w:p>
    <w:p>
      <w:pPr>
        <w:spacing w:after="0" w:line="5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the first six months of 2025, unallocated corporate expense totaled $342.0 million, as compared to $334.4 million in the first six months of 2024, an increase of $7.6 million, or 2.3%. The increase was primarily driven by higher compensation and benefits costs, partially offset by lower investments in capabilities and technology, as a result of the completion of the upgrade of the Company’s ERP system across the enterprise in 2024, as well as lower acquisition and integration costs.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Historically, our primary source of liquidity has been cash generated from operations. Domestic seasonal working capital needs, which typically peak during the summer months, are generally met by utilizing cash on hand, bank borrowings or the issuance of commercial paper. Commercial paper may also be issued, from time to time, to finance ongoing business transactions, such as the repayment of long-term debt, business acquisitions and for other general corporate purposes.</w:t>
      </w:r>
    </w:p>
    <w:p>
      <w:pPr>
        <w:spacing w:after="0" w:line="4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At June 29, 2025, our cash and cash equivalents totaled $0.9 billion, an increase of $181.6 million compared to the 2024 year-end balance. Additional detail regarding the net uses of cash are outlined in the following discussion. Additionally, at June 29, 2025, we had outstanding short- and long-term debt totaling $5.6 billion, of which $303.0 million was classified as the current portion of long-term debt. Of the $303.0 million, $300 million of 3.200% Notes are due upon maturity on August 21, 2025. We believe we can satisfy these debt obligations with cash generated from our operations, issuing new debt, and/or by borrowing on our unsecured credit facility.</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Approximately 70% of the balance of our cash and cash equivalents at June 29, 2025 was held by subsidiaries domiciled outside of the United States. A majority of our cash and cash equivalents balance is distributable to the United States without material tax implications, such as withholding tax. We intend to continue to reinvest the remainder of this balance outside of the United States for which there would be a material tax implication to distributing for the foreseeable future and, therefore, have not recognized additional tax expense on these earnings. We believe that our existing sources of liquidity are adequate to meet anticipated funding needs at comparable risk-based interest rates for the foreseeable future. Acquisition spending and/or share repurchases could potentially increase our debt. Operating cash flow and access to capital markets are expected to satisfy our various short- and long-term cash flow requirements, including acquisitions and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534035</wp:posOffset>
            </wp:positionV>
            <wp:extent cx="19685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Cash Flow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derived from our Consolidated Statements of Cash Flows: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540" w:type="dxa"/>
            <w:vAlign w:val="bottom"/>
            <w:tcBorders>
              <w:bottom w:val="single" w:sz="8" w:color="auto"/>
            </w:tcBorders>
          </w:tcPr>
          <w:p>
            <w:pPr>
              <w:spacing w:after="0"/>
              <w:rPr>
                <w:sz w:val="18"/>
                <w:szCs w:val="18"/>
                <w:color w:val="auto"/>
              </w:rPr>
            </w:pPr>
          </w:p>
        </w:tc>
      </w:tr>
      <w:tr>
        <w:trPr>
          <w:trHeight w:val="211"/>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340" w:type="dxa"/>
            <w:vAlign w:val="bottom"/>
          </w:tcPr>
          <w:p>
            <w:pPr>
              <w:spacing w:after="0"/>
              <w:rPr>
                <w:sz w:val="18"/>
                <w:szCs w:val="18"/>
                <w:color w:val="auto"/>
              </w:rPr>
            </w:pPr>
          </w:p>
        </w:tc>
        <w:tc>
          <w:tcPr>
            <w:tcW w:w="18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580" w:type="dxa"/>
            <w:vAlign w:val="bottom"/>
          </w:tcPr>
          <w:p>
            <w:pPr>
              <w:spacing w:after="0"/>
              <w:rPr>
                <w:sz w:val="18"/>
                <w:szCs w:val="18"/>
                <w:color w:val="auto"/>
              </w:rPr>
            </w:pPr>
          </w:p>
        </w:tc>
        <w:tc>
          <w:tcPr>
            <w:tcW w:w="154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25"/>
        </w:trPr>
        <w:tc>
          <w:tcPr>
            <w:tcW w:w="6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r>
      <w:tr>
        <w:trPr>
          <w:trHeight w:val="22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508.9</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894.7</w:t>
            </w:r>
          </w:p>
        </w:tc>
      </w:tr>
      <w:tr>
        <w:trPr>
          <w:trHeight w:val="230"/>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r>
      <w:tr>
        <w:trPr>
          <w:trHeight w:val="22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w:t>
            </w:r>
          </w:p>
        </w:tc>
      </w:tr>
      <w:tr>
        <w:trPr>
          <w:trHeight w:val="229"/>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3"/>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1"/>
        </w:trPr>
        <w:tc>
          <w:tcPr>
            <w:tcW w:w="6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generated cash of $508.9 million from operating activities in the first six months of 2025, a decrease of $385.8 million compared to $894.7 million in the same period of 2024. This decrease in net cash provided by operating activities was mainly driven by the following factors:</w:t>
      </w:r>
    </w:p>
    <w:p>
      <w:pPr>
        <w:spacing w:after="0" w:line="108" w:lineRule="exact"/>
        <w:rPr>
          <w:sz w:val="20"/>
          <w:szCs w:val="20"/>
          <w:color w:val="auto"/>
        </w:rPr>
      </w:pPr>
    </w:p>
    <w:p>
      <w:pPr>
        <w:ind w:left="340" w:right="20" w:hanging="332"/>
        <w:spacing w:after="0" w:line="28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assets and liabilities consumed cash of $495.8 million in 2025, compared to $94.9 million in 2024. This $400.9 million fluctuation was primarily driven by the timing of certain prepaid expenses and other current assets.</w:t>
      </w:r>
    </w:p>
    <w:p>
      <w:pPr>
        <w:spacing w:after="0" w:line="107" w:lineRule="exact"/>
        <w:rPr>
          <w:rFonts w:ascii="Times New Roman" w:cs="Times New Roman" w:eastAsia="Times New Roman" w:hAnsi="Times New Roman"/>
          <w:sz w:val="18"/>
          <w:szCs w:val="18"/>
          <w:color w:val="auto"/>
        </w:rPr>
      </w:pPr>
    </w:p>
    <w:p>
      <w:pPr>
        <w:jc w:val="both"/>
        <w:ind w:left="340" w:right="40" w:hanging="332"/>
        <w:spacing w:after="0" w:line="261"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aggregate, select net working capital items, specifically, trade accounts receivable, inventory, accounts payable and accrued liabilities, generated cash of $204.3 million in 2025, compared to consumed cash of $141.2 million in 2024. This $63.1 million fluctuation was mainly driven by a decrease in accounts payable and accrued liabilities due to the timing of vendor and supplier payments and a decrease in accounts receivable, partially offset by higher inventory levels.</w:t>
      </w:r>
    </w:p>
    <w:p>
      <w:pPr>
        <w:spacing w:after="0" w:line="125"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adjusted for non-cash charges to operations (including depreciation, amortization, stock-based compensation, deferred income taxes, a write-down of equity investments, unrealized gains and losses on derivative contracts and other charges) resulted in $20.0 million of lower cash flow in 2025 relative to 2024.</w:t>
      </w:r>
    </w:p>
    <w:p>
      <w:pPr>
        <w:spacing w:after="0" w:line="12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cash provided by operating activities was partially offset by the following net cash inflows:</w:t>
      </w:r>
    </w:p>
    <w:p>
      <w:pPr>
        <w:spacing w:after="0" w:line="171" w:lineRule="exact"/>
        <w:rPr>
          <w:sz w:val="20"/>
          <w:szCs w:val="20"/>
          <w:color w:val="auto"/>
        </w:rPr>
      </w:pPr>
    </w:p>
    <w:p>
      <w:pPr>
        <w:ind w:left="980" w:right="140" w:hanging="324"/>
        <w:spacing w:after="0" w:line="266" w:lineRule="auto"/>
        <w:tabs>
          <w:tab w:leader="none" w:pos="9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income tax payments generated cash of $162.8 million in 2025, compared to $63.6 million in 2024. This $99.2 million fluctuation was primarily due to the variance in actual tax expense for 2025 relative to the timing of quarterly estimated tax payments. We paid cash of $65.5 million for income taxes during 2025 compared to $165.5 million in the same period of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used cash of $301.8 million for investing activities in the first six months of 2025, a decrease of $87.9 million compared to $389.7 million in the same period of 2024. This decrease in net cash used in investing activities was mainly driven by the following factors:</w:t>
      </w:r>
    </w:p>
    <w:p>
      <w:pPr>
        <w:spacing w:after="0" w:line="106" w:lineRule="exact"/>
        <w:rPr>
          <w:sz w:val="20"/>
          <w:szCs w:val="20"/>
          <w:color w:val="auto"/>
        </w:rPr>
      </w:pPr>
    </w:p>
    <w:p>
      <w:pPr>
        <w:ind w:left="340" w:right="100" w:hanging="332"/>
        <w:spacing w:after="0" w:line="257" w:lineRule="auto"/>
        <w:tabs>
          <w:tab w:leader="none" w:pos="33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Capital spending</w:t>
      </w:r>
      <w:r>
        <w:rPr>
          <w:rFonts w:ascii="Times New Roman" w:cs="Times New Roman" w:eastAsia="Times New Roman" w:hAnsi="Times New Roman"/>
          <w:sz w:val="18"/>
          <w:szCs w:val="18"/>
          <w:color w:val="auto"/>
        </w:rPr>
        <w:t>. Capital expenditures, including capitalized software, primarily to support our ERP system implementation, capacity expansion,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innovation and cost savings, were $230.6 million in the first six months of 2025 compared to $343.5 million in the same period of 2024. The decrease in our 2025 capital expenditures is largely driven by the wind down of our key strategic initiatives, including completion of the upgrade of a new ERP system across the enterprise in 2024. We expect 2025 capital expenditures, including capitalized software, to approximate $425 million to $450 million, as capital spending as a percentage of sales is expected to return to historical levels. We intend to use our existing cash and internally generated funds to meet our 2025 capital requirements.</w:t>
      </w:r>
    </w:p>
    <w:p>
      <w:pPr>
        <w:spacing w:after="0" w:line="128" w:lineRule="exact"/>
        <w:rPr>
          <w:rFonts w:ascii="Times New Roman" w:cs="Times New Roman" w:eastAsia="Times New Roman" w:hAnsi="Times New Roman"/>
          <w:sz w:val="18"/>
          <w:szCs w:val="18"/>
          <w:i w:val="1"/>
          <w:iCs w:val="1"/>
          <w:color w:val="auto"/>
        </w:rPr>
      </w:pPr>
    </w:p>
    <w:p>
      <w:pPr>
        <w:jc w:val="both"/>
        <w:ind w:left="340" w:right="360" w:hanging="332"/>
        <w:spacing w:after="0" w:line="267"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Investments in partnerships qualifying for tax credits</w:t>
      </w:r>
      <w:r>
        <w:rPr>
          <w:rFonts w:ascii="Times New Roman" w:cs="Times New Roman" w:eastAsia="Times New Roman" w:hAnsi="Times New Roman"/>
          <w:sz w:val="18"/>
          <w:szCs w:val="18"/>
          <w:color w:val="auto"/>
        </w:rPr>
        <w:t>. We make investments in partnership entities that in turn make equity investments in projects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to receive federal historic and renewable energy tax credits. We received payments of approximately $9.0 million in the first six months of 2025, compared to investing $46.1 million in the same period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260350</wp:posOffset>
            </wp:positionV>
            <wp:extent cx="19685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5" w:name="page46"/>
    <w:bookmarkEnd w:id="45"/>
    <w:p>
      <w:pPr>
        <w:ind w:left="320" w:hanging="312"/>
        <w:spacing w:after="0"/>
        <w:tabs>
          <w:tab w:leader="none" w:pos="32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In the first six months of 2025, we purchased the Fulfil brand in North America for $73.6 million.</w:t>
      </w:r>
    </w:p>
    <w:p>
      <w:pPr>
        <w:spacing w:after="0" w:line="171"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investing activities</w:t>
      </w:r>
      <w:r>
        <w:rPr>
          <w:rFonts w:ascii="Times New Roman" w:cs="Times New Roman" w:eastAsia="Times New Roman" w:hAnsi="Times New Roman"/>
          <w:sz w:val="18"/>
          <w:szCs w:val="18"/>
          <w:color w:val="auto"/>
        </w:rPr>
        <w:t>. In the first six months of 2025 and 2024, our other investing activities were minimal.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used cash of $22.5 million for financing activities in the first six months of 2025, a decrease of $430.4 million compared to cash used of $452.9 million in the same period of 2024. This decrease in net cash used in financing activities was mainly driven by the following factors:</w:t>
      </w:r>
    </w:p>
    <w:p>
      <w:pPr>
        <w:spacing w:after="0" w:line="106" w:lineRule="exact"/>
        <w:rPr>
          <w:sz w:val="20"/>
          <w:szCs w:val="20"/>
          <w:color w:val="auto"/>
        </w:rPr>
      </w:pPr>
    </w:p>
    <w:p>
      <w:pPr>
        <w:ind w:left="340" w:right="120" w:hanging="332"/>
        <w:spacing w:after="0" w:line="261" w:lineRule="auto"/>
        <w:tabs>
          <w:tab w:leader="none" w:pos="335"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Short-term borrowings, net. </w:t>
      </w:r>
      <w:r>
        <w:rPr>
          <w:rFonts w:ascii="Times New Roman" w:cs="Times New Roman" w:eastAsia="Times New Roman" w:hAnsi="Times New Roman"/>
          <w:sz w:val="18"/>
          <w:szCs w:val="18"/>
          <w:color w:val="auto"/>
        </w:rPr>
        <w:t>In addition to utilizing cash on hand, we use short-term borrowings (commercial paper and bank borrowings) to fund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seasonal working capital requirements and ongoing business needs. During the first six months of 2025, we used cash of $1.2 billion to reduce short-term commercial paper borrowings and short-term foreign bank borrowings. During the first six months of 2024, we generated cash of $610.0 million predominately through the issuance of short-term commercial paper, partially offset by a decrease in short-term foreign bank borrowings.</w:t>
      </w:r>
    </w:p>
    <w:p>
      <w:pPr>
        <w:spacing w:after="0" w:line="125" w:lineRule="exact"/>
        <w:rPr>
          <w:rFonts w:ascii="Times New Roman" w:cs="Times New Roman" w:eastAsia="Times New Roman" w:hAnsi="Times New Roman"/>
          <w:sz w:val="18"/>
          <w:szCs w:val="18"/>
          <w:i w:val="1"/>
          <w:iCs w:val="1"/>
          <w:color w:val="auto"/>
        </w:rPr>
      </w:pPr>
    </w:p>
    <w:p>
      <w:pPr>
        <w:ind w:left="340" w:right="60" w:hanging="332"/>
        <w:spacing w:after="0" w:line="258"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debt borrowings and repayments</w:t>
      </w:r>
      <w:r>
        <w:rPr>
          <w:rFonts w:ascii="Times New Roman" w:cs="Times New Roman" w:eastAsia="Times New Roman" w:hAnsi="Times New Roman"/>
          <w:sz w:val="18"/>
          <w:szCs w:val="18"/>
          <w:color w:val="auto"/>
        </w:rPr>
        <w:t>. During the first six months of 2025, we issued $500 million of 4.550% Notes due in February 2028, $500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of 4.750% Notes due in February 2030, $500 million of 4.950% Notes due in February 2032 and $500 million of 5.100% Notes due in February 2035 (together, the “2025 Notes”). Proceeds from the issuance of the 2025 Notes, net of discounts and issuance costs, totaled $2.0 billion. Additionally, in June 2025, we repaid $300 million of 0.900% Notes due upon maturity. During the first six months of 2024, we had no long-term debt borrowings or repayments activity.</w:t>
      </w:r>
    </w:p>
    <w:p>
      <w:pPr>
        <w:spacing w:after="0" w:line="129" w:lineRule="exact"/>
        <w:rPr>
          <w:rFonts w:ascii="Times New Roman" w:cs="Times New Roman" w:eastAsia="Times New Roman" w:hAnsi="Times New Roman"/>
          <w:sz w:val="18"/>
          <w:szCs w:val="18"/>
          <w:color w:val="auto"/>
        </w:rPr>
      </w:pPr>
    </w:p>
    <w:p>
      <w:pPr>
        <w:ind w:left="340" w:right="140" w:hanging="332"/>
        <w:spacing w:after="0" w:line="267"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payments</w:t>
      </w:r>
      <w:r>
        <w:rPr>
          <w:rFonts w:ascii="Times New Roman" w:cs="Times New Roman" w:eastAsia="Times New Roman" w:hAnsi="Times New Roman"/>
          <w:sz w:val="18"/>
          <w:szCs w:val="18"/>
          <w:color w:val="auto"/>
        </w:rPr>
        <w:t>. Total dividend payments to holders of our Common Stock and Class B Common Stock were $542.8 million during the first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of 2025, a decrease of $1.1 million compared to $543.9 million in the same period of 2024. Details regarding our 2025 cash dividends paid to stockholders are as follows: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4"/>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223"/>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amounts</w:t>
            </w:r>
          </w:p>
        </w:tc>
        <w:tc>
          <w:tcPr>
            <w:tcW w:w="260" w:type="dxa"/>
            <w:vAlign w:val="bottom"/>
          </w:tcPr>
          <w:p>
            <w:pPr>
              <w:spacing w:after="0"/>
              <w:rPr>
                <w:sz w:val="19"/>
                <w:szCs w:val="19"/>
                <w:color w:val="auto"/>
              </w:rPr>
            </w:pPr>
          </w:p>
        </w:tc>
        <w:tc>
          <w:tcPr>
            <w:tcW w:w="19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30, 2025</w:t>
            </w:r>
          </w:p>
        </w:tc>
        <w:tc>
          <w:tcPr>
            <w:tcW w:w="300" w:type="dxa"/>
            <w:vAlign w:val="bottom"/>
          </w:tcPr>
          <w:p>
            <w:pPr>
              <w:spacing w:after="0"/>
              <w:rPr>
                <w:sz w:val="19"/>
                <w:szCs w:val="19"/>
                <w:color w:val="auto"/>
              </w:rPr>
            </w:pPr>
          </w:p>
        </w:tc>
        <w:tc>
          <w:tcPr>
            <w:tcW w:w="17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29, 2025</w:t>
            </w:r>
          </w:p>
        </w:tc>
      </w:tr>
      <w:tr>
        <w:trPr>
          <w:trHeight w:val="223"/>
        </w:trPr>
        <w:tc>
          <w:tcPr>
            <w:tcW w:w="6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per share – Common stock</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r>
      <w:tr>
        <w:trPr>
          <w:trHeight w:val="229"/>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 paid per share – Class B common stock</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30"/>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dividends paid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r>
    </w:tbl>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Declaration date</w:t>
            </w:r>
          </w:p>
        </w:tc>
        <w:tc>
          <w:tcPr>
            <w:tcW w:w="47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February 5, 2025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30, 2025</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Record date</w:t>
            </w:r>
          </w:p>
        </w:tc>
        <w:tc>
          <w:tcPr>
            <w:tcW w:w="3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17,</w:t>
            </w:r>
          </w:p>
        </w:tc>
        <w:tc>
          <w:tcPr>
            <w:tcW w:w="9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99"/>
              </w:rPr>
              <w:t>2025</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16, 2025</w:t>
            </w: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date</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14,</w:t>
            </w: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9"/>
              </w:rPr>
              <w:t>2025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16, 2025</w:t>
            </w:r>
          </w:p>
        </w:tc>
      </w:tr>
    </w:tbl>
    <w:p>
      <w:pPr>
        <w:spacing w:after="0" w:line="218" w:lineRule="exact"/>
        <w:rPr>
          <w:sz w:val="20"/>
          <w:szCs w:val="20"/>
          <w:color w:val="auto"/>
        </w:rPr>
      </w:pPr>
    </w:p>
    <w:p>
      <w:pPr>
        <w:ind w:left="340" w:right="160" w:hanging="332"/>
        <w:spacing w:after="0" w:line="261" w:lineRule="auto"/>
        <w:tabs>
          <w:tab w:leader="none" w:pos="335"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Share repurchases</w:t>
      </w:r>
      <w:r>
        <w:rPr>
          <w:rFonts w:ascii="Times New Roman" w:cs="Times New Roman" w:eastAsia="Times New Roman" w:hAnsi="Times New Roman"/>
          <w:sz w:val="18"/>
          <w:szCs w:val="18"/>
          <w:color w:val="auto"/>
        </w:rPr>
        <w:t>. We repurchase shares of Common Stock to offset the dilutive impact of treasury shares issued under our equity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The value of these share repurchases in a given period varies based on the volume of stock options exercised and our market price. In addition, we periodically repurchase shares of Common Stock pursuant to Board-authorized programs intended to drive additional stockholder value. Details regarding our share repurchases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20" w:type="dxa"/>
            <w:vAlign w:val="bottom"/>
            <w:gridSpan w:val="5"/>
          </w:tcPr>
          <w:p>
            <w:pPr>
              <w:ind w:left="8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2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 in the open market under pre-approved share repurchase programs (1)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20" w:type="dxa"/>
            <w:vAlign w:val="bottom"/>
            <w:gridSpan w:val="4"/>
          </w:tcPr>
          <w:p>
            <w:pPr>
              <w:ind w:left="20"/>
              <w:spacing w:after="0" w:line="184" w:lineRule="exact"/>
              <w:rPr>
                <w:sz w:val="20"/>
                <w:szCs w:val="20"/>
                <w:color w:val="auto"/>
              </w:rPr>
            </w:pPr>
            <w:r>
              <w:rPr>
                <w:rFonts w:ascii="Times New Roman" w:cs="Times New Roman" w:eastAsia="Times New Roman" w:hAnsi="Times New Roman"/>
                <w:sz w:val="18"/>
                <w:szCs w:val="18"/>
                <w:color w:val="auto"/>
              </w:rPr>
              <w:t>Shares repurchased in the open market to replace Treasury Stock issued for stock options</w:t>
            </w: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incentive compensation</w:t>
            </w:r>
          </w:p>
        </w:tc>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2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for total share repurchases (excluding excise tax)</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2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Total shares repurchased under pre-approved share repurchase programs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20" w:type="dxa"/>
            <w:vAlign w:val="bottom"/>
            <w:gridSpan w:val="4"/>
            <w:vMerge w:val="continue"/>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5"/>
        </w:trPr>
        <w:tc>
          <w:tcPr>
            <w:tcW w:w="20" w:type="dxa"/>
            <w:vAlign w:val="bottom"/>
          </w:tcPr>
          <w:p>
            <w:pPr>
              <w:spacing w:after="0"/>
              <w:rPr>
                <w:sz w:val="24"/>
                <w:szCs w:val="24"/>
                <w:color w:val="auto"/>
              </w:rPr>
            </w:pPr>
          </w:p>
        </w:tc>
        <w:tc>
          <w:tcPr>
            <w:tcW w:w="30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4420" w:type="dxa"/>
            <w:vAlign w:val="bottom"/>
            <w:gridSpan w:val="3"/>
          </w:tcPr>
          <w:p>
            <w:pPr>
              <w:jc w:val="right"/>
              <w:ind w:right="30"/>
              <w:spacing w:after="0"/>
              <w:rPr>
                <w:sz w:val="20"/>
                <w:szCs w:val="20"/>
                <w:color w:val="auto"/>
              </w:rPr>
            </w:pPr>
            <w:r>
              <w:rPr>
                <w:rFonts w:ascii="Times New Roman" w:cs="Times New Roman" w:eastAsia="Times New Roman" w:hAnsi="Times New Roman"/>
                <w:sz w:val="16"/>
                <w:szCs w:val="16"/>
                <w:color w:val="auto"/>
              </w:rPr>
              <w:t>The Hershey Company | Q2 2025 Form 10-Q | Page 43</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-530860</wp:posOffset>
            </wp:positionV>
            <wp:extent cx="19685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46" w:name="page47"/>
    <w:bookmarkEnd w:id="46"/>
    <w:p>
      <w:pPr>
        <w:ind w:left="580" w:right="120" w:hanging="5"/>
        <w:spacing w:after="0" w:line="255" w:lineRule="auto"/>
        <w:tabs>
          <w:tab w:leader="none" w:pos="83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2021, our Board of Directors approved a $500 million share repurchase authorization, which was completed as of March 31, 2024. In December 2023, our Board of Directors approved an additional $500 million share repurchase authorization. This program commenced after the existing May 2021 authorization was completed and is to be utilized at management’s discretion. As a result of the share repurchase authorization, approximately $470 million remains available for repurchases under our December 2023 share repurchase authorization.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132" w:lineRule="exact"/>
        <w:rPr>
          <w:rFonts w:ascii="Times New Roman" w:cs="Times New Roman" w:eastAsia="Times New Roman" w:hAnsi="Times New Roman"/>
          <w:sz w:val="18"/>
          <w:szCs w:val="18"/>
          <w:color w:val="auto"/>
        </w:rPr>
      </w:pPr>
    </w:p>
    <w:p>
      <w:pPr>
        <w:ind w:left="340" w:hanging="332"/>
        <w:spacing w:after="0" w:line="261" w:lineRule="auto"/>
        <w:tabs>
          <w:tab w:leader="none" w:pos="335"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Proceeds from exercised stock options and employee tax withholding. </w:t>
      </w:r>
      <w:r>
        <w:rPr>
          <w:rFonts w:ascii="Times New Roman" w:cs="Times New Roman" w:eastAsia="Times New Roman" w:hAnsi="Times New Roman"/>
          <w:sz w:val="18"/>
          <w:szCs w:val="18"/>
          <w:color w:val="auto"/>
        </w:rPr>
        <w:t>During the first six months of 2025, we received $6.9 million from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exercises of stock options and paid $16.2 million of employee taxes withheld from share-based awards. During the first six months of 2024, we received $8.2 million from employee exercises of stock options and paid $30.0 million of employee taxes withheld from share-based awards. Variances are driven primarily by the number of shares exercised and the share price at the date of grant.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on recently adopted and issued accounting standards is included in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to the Unaudited Consolidated Financial Statements.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08"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For information regarding the Company’s critical accounting estimates, refer to Part II, Item 7, “Management’s Discussion and Analysis of Financial Condition and Results of Operations” of our 2024 Annual Report on Form 10-K. There have been no material changes to the Company’s critical accounting estimates since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260350</wp:posOffset>
            </wp:positionV>
            <wp:extent cx="19685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7" w:name="page48"/>
    <w:bookmarkEnd w:id="47"/>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subject to changing economic, competitive, regulatory and technological risks and uncertainties that could have a material impact on our business, financial condition or results of operations. In connection with the “safe harbor” provisions of the Private Securities Litigation Reform Act of 1995, we note the following factors that, among others, could cause future results to differ materially from the forward-looking statements, expectations and assumptions that we have discussed directly or implied in this Quarterly Report on Form 10-Q. Many of these forward-looking statements can be identified by the use of words such as “anticipate,” “assume,” “believe,” “continue,” “estimate,” “expect,” “forecast,” “future,” “intend,” “plan,” “potential,” “predict,” “project,” “strategy,” “target” and similar terms, and future or conditional tense verbs like “could,” “may,” “might,” “should,” “will” and “would,” among others.</w:t>
      </w:r>
    </w:p>
    <w:p>
      <w:pPr>
        <w:spacing w:after="0" w:line="21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factors that could cause our actual results to differ materially from the results projected in our forward-looking statements include, but are not limited to the following:</w:t>
      </w:r>
    </w:p>
    <w:p>
      <w:pPr>
        <w:spacing w:after="0" w:line="189" w:lineRule="exact"/>
        <w:rPr>
          <w:sz w:val="20"/>
          <w:szCs w:val="20"/>
          <w:color w:val="auto"/>
        </w:rPr>
      </w:pPr>
    </w:p>
    <w:p>
      <w:pPr>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Company’s reputation or brand image might be impacted as a result of issues, concerns or regulatory changes relating to the quality and safety of our products, ingredients or packaging, human and workplace rights, and other environmental, social or governance matters, which in turn could result in litigation or otherwise negatively impact our operating results;</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manufacturing operations or supply chain could impair our ability to produce or deliver finished products, resulting in a negative impact on our operating results;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be able to hire, engage and retain the talented global human capital we need to drive our growth strategies;</w:t>
      </w:r>
    </w:p>
    <w:p>
      <w:pPr>
        <w:spacing w:after="0" w:line="252"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climate change and other environmental impacts, and increased focus and evolving views of our customers, stockholders and other stakeholders on climate change issues, could negatively affect our business and operations;</w:t>
      </w:r>
    </w:p>
    <w:p>
      <w:pPr>
        <w:spacing w:after="0" w:line="188"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raw material and energy costs along with the availability of adequate supplies of raw materials could continue to affect future financial results;</w:t>
      </w:r>
    </w:p>
    <w:p>
      <w:pPr>
        <w:spacing w:after="0" w:line="188"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 may not be sufficient to offset cost increases and maintain profitability or may result in sales volume declines associated with pricing elasticity;</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new and existing products could decline;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marketplace competition could hurt our business;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may be adversely impacted by the failure to successfully execute or integrate acquisitions, divestitures and joint ventures;</w:t>
      </w:r>
    </w:p>
    <w:p>
      <w:pPr>
        <w:spacing w:after="0" w:line="252"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may not achieve projected growth objectives, which could adversely impact our overall business and results of operations;</w:t>
      </w:r>
    </w:p>
    <w:p>
      <w:pPr>
        <w:spacing w:after="0" w:line="188"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fully realize the expected cost savings and/or operating efficiencies associated with our strategic initiatives or restructuring programs, which may have an adverse impact on our business;</w:t>
      </w:r>
    </w:p>
    <w:p>
      <w:pPr>
        <w:spacing w:after="0" w:line="18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laws, regulations and policies, including taxes and tariffs, could increase our costs and liabilities or impact demand for our products;</w:t>
      </w:r>
    </w:p>
    <w:p>
      <w:pPr>
        <w:spacing w:after="0" w:line="188"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and/or financial market conditions, including impacts on our business arising from the ongoing conflict between Russia and Ukraine, could negatively impact our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405765</wp:posOffset>
            </wp:positionV>
            <wp:extent cx="19685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failures or security breaches of our information technology infrastructure could have a negative impact on our operations;</w:t>
      </w:r>
    </w:p>
    <w:p>
      <w:pPr>
        <w:spacing w:after="0" w:line="252"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Complications with the design or implementation of our new enterprise resource planning system could adversely impact our business and operations; and</w:t>
      </w:r>
    </w:p>
    <w:p>
      <w:pPr>
        <w:spacing w:after="0" w:line="18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as discussed in our 2024 Annual Report on Form 10-K and our Quarterly Report on Form 10-Q for the quarter ending March 30, 2025, and this Quarterly Report on Form 10-Q, including Part II, Item 1A, ”Risk Factors.”</w:t>
      </w:r>
    </w:p>
    <w:p>
      <w:pPr>
        <w:spacing w:after="0" w:line="10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update or revise any forward-looking statements to reflect actual results, changes in expectations or events or circumstances after the date this Quarterly Report on Form 10-Q is filed.</w:t>
      </w:r>
    </w:p>
    <w:p>
      <w:pPr>
        <w:spacing w:after="0" w:line="198" w:lineRule="exact"/>
        <w:rPr>
          <w:sz w:val="20"/>
          <w:szCs w:val="20"/>
          <w:color w:val="auto"/>
        </w:rPr>
      </w:pPr>
    </w:p>
    <w:p>
      <w:pPr>
        <w:ind w:right="4180"/>
        <w:spacing w:after="0" w:line="440"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Interest Rate Risk</w:t>
      </w:r>
    </w:p>
    <w:p>
      <w:pPr>
        <w:spacing w:after="0" w:line="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total amount of short-term debt, net of cash, amounted to a net cash position of $747 million and a net debt position of $576 million, at June 29, 2025 and December 31, 2024, respectively. A hypothetical 100 basis point increase in interest rates applied to this variable-rate short-term debt as of June 29, 2025 would have changed interest income by approximately $5.3 million for the first six months of 2025 versus a change to interest expense of $7.0 million for 2024.</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consider our current risk related to market fluctuations in interest rates on our remaining debt portfolio, excluding fixed-rate debt converted to variable rates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June 29, 2025 and December 31, 2024 by approximately $264 million and $169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are exposed to currency fluctuations related to manufacturing or selling products in currencies other than the U.S. dollar. We may enter into foreign currency forward exchange contracts to reduce fluctuations in our long or short currency positions relating primarily to purchase commitments or forecasted purchases for equipment, raw materials and finished goods denominated in foreign currencies.</w:t>
      </w:r>
    </w:p>
    <w:p>
      <w:pPr>
        <w:spacing w:after="0" w:line="122"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 fair value of foreign currency forward exchange contracts represents the difference between the contracted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 The potential decline in fair value of foreign currency forward exchange contracts resulting from a hypothetical near-term adverse change in market rates of 10% was $32.8 million as of June 29, 2025 and $32.3 million as of December 31, 2024, generally offset by a reduction in foreign exchange associated with our transactional activities.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Commodities—Price Risk Management and Derivative Contracts</w:t>
      </w:r>
    </w:p>
    <w:p>
      <w:pPr>
        <w:spacing w:after="0" w:line="17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use futures and options contracts and other commodity derivative instruments in combination with forward purchasing of cocoa products, sugar, corn products, certain dairy products, wheat products, natural gas and diesel fuel primarily to mitigate price volatility and provide visibility to future costs within our supply chain. Significant changes impacting our commodity price risk management since our 2024 Annual Report on Form 10-K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506095</wp:posOffset>
            </wp:positionV>
            <wp:extent cx="19685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color w:val="auto"/>
        </w:rPr>
        <w:t>Cocoa Products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six months of 2025, the average cocoa futures contract price was $4.22 per pound, with a trading range of $3.67 to $4.89 per pound, based</w:t>
      </w:r>
    </w:p>
    <w:p>
      <w:pPr>
        <w:spacing w:after="0" w:line="1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the Intercontinental Exchange futures contract. This average cocoa futures contract price represents an increase of approximately 22% compared to the 2024 annual average of $3.45 per pound.</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cocoa supply-demand outlook has improved considerably over the past year and a supply surplus is expected for the 2024/25 season following 3 consecutive seasons of supply deficit. Supply has benefited from a combination of more favorable weather conditions in Côte d’Ivoire and Ghana and the ongoing expansion of supply in the rest of the world. Production outside of Côte d’Ivoire and Ghana now accounts for more than half of Global supply. In contrast, the high prices of the past 2 years have negatively impacted demand for cocoa beans, with Global cocoa consumption falling by more than 7% over the period. The price outlook for cocoa remains uncertain due to significant liquidity and volatility events in the market, which may have an impact on our financial condition and results of operations.</w:t>
      </w:r>
    </w:p>
    <w:p>
      <w:pPr>
        <w:spacing w:after="0" w:line="214"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8"/>
          <w:szCs w:val="18"/>
          <w:color w:val="auto"/>
        </w:rPr>
        <w:t>Our costs for cocoa products will not necessarily reflect market price fluctuations because of our forward purchasing and hedging practices (including amount and duration thereof), premiums and discounts reflective of varying delivery times, and supply and demand for our specific varieties and grades of</w:t>
      </w:r>
    </w:p>
    <w:p>
      <w:pPr>
        <w:spacing w:after="0" w:line="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cocoa liquor, cocoa butter and cocoa powder. We generally hedge commodity price risks for 3- to 24-month periods. As a result, the average market prices are not necessarily indicative of our average costs.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Sensitivity Analysis</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open commodity derivative contracts had a notional value of $212.0 million as of June 29, 2025 and $667.4 million as of December 31, 2024. At the end of the second quarter of 2025, the potential change in fair value of commodity derivative instruments, assuming a 10% decrease in the underlying commodity price, would have increased our net unrealized losses by $54.5 million, generally offset by a reduction in the cost of the underlying commodity purchases.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about our market risks, see Item 7A under Part II of our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291465</wp:posOffset>
            </wp:positionV>
            <wp:extent cx="19685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5" w:right="379" w:bottom="1440" w:gutter="0" w:footer="0" w:header="0"/>
        </w:sectPr>
      </w:pPr>
    </w:p>
    <w:bookmarkStart w:id="50" w:name="page51"/>
    <w:bookmarkEnd w:id="50"/>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established disclosure controls and procedures (as defined in Rules 13a-15(e) and 15d-15(e) of the Securities Exchange Act of 1934 (the “Exchange Act”)) designed to ensure that information required to be disclosed in our reports filed or submitted under the Exchange Act is recorded, processed, summarized and reported within the time periods specified in the Securities and Exchange Commission’s rules and forms, and such information is accumulated and communicated to management, including our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June 29, 2025. Based on this evaluation, our Chief Executive Officer and Chief Financial Officer concluded that our disclosure controls and procedures were effective as of June 29,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Company’s internal control over financial reporting during the quarter ended June 29, 2025, that have materially affected, or are reasonably likely to materially affect,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362585</wp:posOffset>
            </wp:positionV>
            <wp:extent cx="19685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on legal proceedings is included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to the Unaudited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When evaluating an investment in our Common Stock, investors should consider carefully, among other things, the risk factors previously disclosed in Part I, Item 1A, “Risk Factors,” of our 2024 Annual Report on Form 10-K (the "2024 Form 10-K") and the information contained in this Quarterly Report on Form 10-Q and our other reports and registration statements filed with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were no purchases of our Common Stock made by or on behalf of Hershey, or any “affiliated purchaser” (as defined in Rule 10b-18(a)(3) under the Exchange Act) of Hershey, during the three months ended June 29, 2025.</w:t>
      </w:r>
    </w:p>
    <w:p>
      <w:pPr>
        <w:spacing w:after="0" w:line="10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29, 2025, no shares of Common Stock were purchased in open market transactions in connection with our standing authorization to buy back shares sufficient to offset those issued under incentive compensation plans, which authorization does not have a dollar or share limit and is not included in our share repurchase authorizations described in the following paragraph.</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May 2021, our Board of Directors approved a $500 million share repurchase authorization, which was completed as of March 31, 2024. In December 2023, our Board of Directors approved an additional $500 million share repurchase authorization. This program commenced after the existing May 2021 authorization was completed and is to be utilized at management’s discretion. As a result of the share repurchase authorization, approximately $470 million remains available for repurchases under our December 2023 share repurchase authorization.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582930</wp:posOffset>
            </wp:positionV>
            <wp:extent cx="19685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52" w:name="page53"/>
    <w:bookmarkEnd w:id="52"/>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Executive Officer Trading</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 portion of our directors’ and officers’ compensation is in the form of equity awards and, from time to time, they may engage in open-market transactions with respect to their Company securities for diversification or other personal reasons. All such transactions in Company securities by directors and officers must comply with the Company’s Insider Trading Policy, which requires that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the Company’s securities in a manner that avoids concerns about initiating transactions while in possession of material nonpublic information.</w:t>
      </w:r>
    </w:p>
    <w:p>
      <w:pPr>
        <w:spacing w:after="0" w:line="5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following table describes the contracts, instructions or written plans for the purchase or sale of securities adopted by our directors or officers (as defined in Rule 16a-1(f) under the Exchange Act) during the three months ended June 29, 2025, that are intended to satisfy the affirmative defense conditions of Rule 10b5-1(c). No other Rule 10b5-1 trading arrangements or “non-Rule 10b5–1 trading arrangements” (as defined by S-K Item 408(c)) were entered into or terminated by our directors or officers during such period.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Date of Adoption of</w:t>
            </w:r>
          </w:p>
        </w:tc>
        <w:tc>
          <w:tcPr>
            <w:tcW w:w="1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Duration of 10b5-1</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Number of</w:t>
            </w:r>
          </w:p>
        </w:tc>
        <w:tc>
          <w:tcPr>
            <w:tcW w:w="0" w:type="dxa"/>
            <w:vAlign w:val="bottom"/>
          </w:tcPr>
          <w:p>
            <w:pPr>
              <w:spacing w:after="0"/>
              <w:rPr>
                <w:sz w:val="1"/>
                <w:szCs w:val="1"/>
                <w:color w:val="auto"/>
              </w:rPr>
            </w:pPr>
          </w:p>
        </w:tc>
      </w:tr>
      <w:tr>
        <w:trPr>
          <w:trHeight w:val="176"/>
        </w:trPr>
        <w:tc>
          <w:tcPr>
            <w:tcW w:w="542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740" w:type="dxa"/>
            <w:vAlign w:val="bottom"/>
            <w:gridSpan w:val="2"/>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Securities to be Sold or</w:t>
            </w:r>
          </w:p>
        </w:tc>
        <w:tc>
          <w:tcPr>
            <w:tcW w:w="0" w:type="dxa"/>
            <w:vAlign w:val="bottom"/>
          </w:tcPr>
          <w:p>
            <w:pPr>
              <w:spacing w:after="0"/>
              <w:rPr>
                <w:sz w:val="1"/>
                <w:szCs w:val="1"/>
                <w:color w:val="auto"/>
              </w:rPr>
            </w:pPr>
          </w:p>
        </w:tc>
      </w:tr>
      <w:tr>
        <w:trPr>
          <w:trHeight w:val="243"/>
        </w:trPr>
        <w:tc>
          <w:tcPr>
            <w:tcW w:w="5420" w:type="dxa"/>
            <w:vAlign w:val="bottom"/>
            <w:gridSpan w:val="2"/>
            <w:vMerge w:val="continue"/>
          </w:tcPr>
          <w:p>
            <w:pPr>
              <w:spacing w:after="0"/>
              <w:rPr>
                <w:sz w:val="21"/>
                <w:szCs w:val="21"/>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10b5-1 Plan</w:t>
            </w:r>
          </w:p>
        </w:tc>
        <w:tc>
          <w:tcPr>
            <w:tcW w:w="174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b w:val="1"/>
                <w:bCs w:val="1"/>
                <w:color w:val="auto"/>
                <w:w w:val="90"/>
              </w:rPr>
              <w:t>Plan</w:t>
            </w:r>
            <w:r>
              <w:rPr>
                <w:rFonts w:ascii="Times New Roman" w:cs="Times New Roman" w:eastAsia="Times New Roman" w:hAnsi="Times New Roman"/>
                <w:sz w:val="23"/>
                <w:szCs w:val="23"/>
                <w:b w:val="1"/>
                <w:bCs w:val="1"/>
                <w:color w:val="auto"/>
                <w:w w:val="90"/>
                <w:vertAlign w:val="superscript"/>
              </w:rPr>
              <w:t>(1)</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0" w:type="dxa"/>
            <w:vAlign w:val="bottom"/>
          </w:tcPr>
          <w:p>
            <w:pPr>
              <w:spacing w:after="0"/>
              <w:rPr>
                <w:sz w:val="1"/>
                <w:szCs w:val="1"/>
                <w:color w:val="auto"/>
              </w:rPr>
            </w:pPr>
          </w:p>
        </w:tc>
      </w:tr>
      <w:tr>
        <w:trPr>
          <w:trHeight w:val="169"/>
        </w:trPr>
        <w:tc>
          <w:tcPr>
            <w:tcW w:w="53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Christopher M. Scalia</w:t>
            </w:r>
            <w:r>
              <w:rPr>
                <w:rFonts w:ascii="Times New Roman" w:cs="Times New Roman" w:eastAsia="Times New Roman" w:hAnsi="Times New Roman"/>
                <w:sz w:val="19"/>
                <w:szCs w:val="19"/>
                <w:color w:val="auto"/>
                <w:vertAlign w:val="superscript"/>
              </w:rPr>
              <w:t>(2)</w:t>
            </w: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5/08/2025</w:t>
            </w: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5/8/2026</w:t>
            </w:r>
          </w:p>
        </w:tc>
        <w:tc>
          <w:tcPr>
            <w:tcW w:w="100" w:type="dxa"/>
            <w:vAlign w:val="bottom"/>
            <w:tcBorders>
              <w:top w:val="single" w:sz="8" w:color="CCEEFF"/>
            </w:tcBorders>
            <w:shd w:val="clear" w:color="auto" w:fill="CCEEFF"/>
          </w:tcPr>
          <w:p>
            <w:pPr>
              <w:spacing w:after="0"/>
              <w:rPr>
                <w:sz w:val="14"/>
                <w:szCs w:val="14"/>
                <w:color w:val="auto"/>
              </w:rPr>
            </w:pPr>
          </w:p>
        </w:tc>
        <w:tc>
          <w:tcPr>
            <w:tcW w:w="234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 6,000 shares</w:t>
            </w:r>
          </w:p>
        </w:tc>
        <w:tc>
          <w:tcPr>
            <w:tcW w:w="0" w:type="dxa"/>
            <w:vAlign w:val="bottom"/>
          </w:tcPr>
          <w:p>
            <w:pPr>
              <w:spacing w:after="0"/>
              <w:rPr>
                <w:sz w:val="1"/>
                <w:szCs w:val="1"/>
                <w:color w:val="auto"/>
              </w:rPr>
            </w:pPr>
          </w:p>
        </w:tc>
      </w:tr>
      <w:tr>
        <w:trPr>
          <w:trHeight w:val="184"/>
        </w:trPr>
        <w:tc>
          <w:tcPr>
            <w:tcW w:w="54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Senior Vice President, Chief Human Resources Officer and Chief</w:t>
            </w:r>
          </w:p>
        </w:tc>
        <w:tc>
          <w:tcPr>
            <w:tcW w:w="1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3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Transformation Officer</w:t>
            </w: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4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Steven E. Voskuil</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5/20/2025</w:t>
            </w:r>
          </w:p>
        </w:tc>
        <w:tc>
          <w:tcPr>
            <w:tcW w:w="100" w:type="dxa"/>
            <w:vAlign w:val="bottom"/>
          </w:tcPr>
          <w:p>
            <w:pPr>
              <w:spacing w:after="0"/>
              <w:rPr>
                <w:sz w:val="15"/>
                <w:szCs w:val="15"/>
                <w:color w:val="auto"/>
              </w:rPr>
            </w:pPr>
          </w:p>
        </w:tc>
        <w:tc>
          <w:tcPr>
            <w:tcW w:w="16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7/31/2026</w:t>
            </w:r>
          </w:p>
        </w:tc>
        <w:tc>
          <w:tcPr>
            <w:tcW w:w="100" w:type="dxa"/>
            <w:vAlign w:val="bottom"/>
          </w:tcPr>
          <w:p>
            <w:pPr>
              <w:spacing w:after="0"/>
              <w:rPr>
                <w:sz w:val="15"/>
                <w:szCs w:val="15"/>
                <w:color w:val="auto"/>
              </w:rPr>
            </w:pP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Sell 18,000 shares</w:t>
            </w:r>
          </w:p>
        </w:tc>
        <w:tc>
          <w:tcPr>
            <w:tcW w:w="0" w:type="dxa"/>
            <w:vAlign w:val="bottom"/>
          </w:tcPr>
          <w:p>
            <w:pPr>
              <w:spacing w:after="0"/>
              <w:rPr>
                <w:sz w:val="1"/>
                <w:szCs w:val="1"/>
                <w:color w:val="auto"/>
              </w:rPr>
            </w:pPr>
          </w:p>
        </w:tc>
      </w:tr>
      <w:tr>
        <w:trPr>
          <w:trHeight w:val="148"/>
        </w:trPr>
        <w:tc>
          <w:tcPr>
            <w:tcW w:w="5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5420" w:type="dxa"/>
            <w:vAlign w:val="bottom"/>
            <w:gridSpan w:val="2"/>
            <w:vMerge w:val="continue"/>
          </w:tcPr>
          <w:p>
            <w:pPr>
              <w:spacing w:after="0"/>
              <w:rPr>
                <w:sz w:val="7"/>
                <w:szCs w:val="7"/>
                <w:color w:val="auto"/>
              </w:rPr>
            </w:pPr>
          </w:p>
        </w:tc>
        <w:tc>
          <w:tcPr>
            <w:tcW w:w="1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right="380" w:firstLine="8"/>
        <w:spacing w:after="0" w:line="261"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duration is until the date listed in this column or such earlier date upon the completion of all trades under the plan (or the expiration of the orders relating to such trades without execution) or the occurrence of such other termination events as specified in the plan.</w:t>
      </w: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Scalia’s 10b5-1 Plan was subsequently terminated following his departure from the Company in July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476885</wp:posOffset>
            </wp:positionV>
            <wp:extent cx="19685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Quarterly Report on Form 10-Q:</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40" w:type="dxa"/>
            <w:vAlign w:val="bottom"/>
            <w:gridSpan w:val="7"/>
          </w:tcPr>
          <w:p>
            <w:pPr>
              <w:ind w:left="22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72"/>
        </w:trPr>
        <w:tc>
          <w:tcPr>
            <w:tcW w:w="700" w:type="dxa"/>
            <w:vAlign w:val="bottom"/>
            <w:tcBorders>
              <w:top w:val="single" w:sz="8" w:color="auto"/>
            </w:tcBorders>
            <w:gridSpan w:val="3"/>
            <w:shd w:val="clear" w:color="auto" w:fill="CCEEFF"/>
          </w:tcPr>
          <w:p>
            <w:pPr>
              <w:jc w:val="center"/>
              <w:ind w:left="419"/>
              <w:spacing w:after="0" w:line="172" w:lineRule="exact"/>
              <w:rPr>
                <w:sz w:val="20"/>
                <w:szCs w:val="20"/>
                <w:color w:val="auto"/>
              </w:rPr>
            </w:pPr>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1</w:t>
            </w:r>
          </w:p>
        </w:tc>
        <w:tc>
          <w:tcPr>
            <w:tcW w:w="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940" w:type="dxa"/>
            <w:vAlign w:val="bottom"/>
            <w:tcBorders>
              <w:top w:val="single" w:sz="8" w:color="auto"/>
            </w:tcBorders>
            <w:gridSpan w:val="10"/>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0000FF"/>
              </w:rPr>
              <w:t>Restated Certificate of Incorporation, as amended by the Company’s Stockholders on May 6, 2025.</w:t>
            </w:r>
            <w:r>
              <w:rPr>
                <w:rFonts w:ascii="Times New Roman" w:cs="Times New Roman" w:eastAsia="Times New Roman" w:hAnsi="Times New Roman"/>
                <w:sz w:val="16"/>
                <w:szCs w:val="16"/>
                <w:color w:val="000000"/>
              </w:rPr>
              <w:t>*</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2820" w:type="dxa"/>
            <w:vAlign w:val="bottom"/>
            <w:tcBorders>
              <w:top w:val="single" w:sz="8" w:color="0000FF"/>
            </w:tcBorders>
            <w:shd w:val="clear" w:color="auto" w:fill="CCEEFF"/>
          </w:tcPr>
          <w:p>
            <w:pPr>
              <w:spacing w:after="0" w:line="20" w:lineRule="exact"/>
              <w:rPr>
                <w:sz w:val="1"/>
                <w:szCs w:val="1"/>
                <w:color w:val="auto"/>
              </w:rPr>
            </w:pPr>
          </w:p>
        </w:tc>
        <w:tc>
          <w:tcPr>
            <w:tcW w:w="13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00" w:type="dxa"/>
            <w:vAlign w:val="bottom"/>
            <w:gridSpan w:val="3"/>
          </w:tcPr>
          <w:p>
            <w:pPr>
              <w:jc w:val="center"/>
              <w:ind w:left="419"/>
              <w:spacing w:after="0" w:line="175" w:lineRule="exact"/>
              <w:rPr>
                <w:rFonts w:ascii="Times New Roman" w:cs="Times New Roman" w:eastAsia="Times New Roman" w:hAnsi="Times New Roman"/>
                <w:sz w:val="16"/>
                <w:szCs w:val="16"/>
                <w:color w:val="0000FF"/>
                <w:w w:val="99"/>
              </w:rPr>
            </w:pPr>
            <w:hyperlink r:id="rId153">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2</w:t>
              </w:r>
            </w:hyperlink>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40" w:type="dxa"/>
            <w:vAlign w:val="bottom"/>
            <w:gridSpan w:val="10"/>
          </w:tcPr>
          <w:p>
            <w:pPr>
              <w:spacing w:after="0" w:line="175"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The Company's By-laws, as amended and restated as of March 4, 2025, are incorporated by reference from Exhibit 3.1 to the Company's Current Report</w:t>
              </w:r>
            </w:hyperlink>
          </w:p>
        </w:tc>
      </w:tr>
      <w:tr>
        <w:trPr>
          <w:trHeight w:val="142"/>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on Form 8-K filed March 10, 2025.</w:t>
              </w:r>
            </w:hyperlink>
          </w:p>
        </w:tc>
        <w:tc>
          <w:tcPr>
            <w:tcW w:w="60" w:type="dxa"/>
            <w:vAlign w:val="bottom"/>
          </w:tcPr>
          <w:p>
            <w:pPr>
              <w:spacing w:after="0"/>
              <w:rPr>
                <w:sz w:val="12"/>
                <w:szCs w:val="12"/>
                <w:color w:val="auto"/>
              </w:rPr>
            </w:pPr>
          </w:p>
        </w:tc>
      </w:tr>
      <w:tr>
        <w:trPr>
          <w:trHeight w:val="21"/>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180" w:type="dxa"/>
            <w:vAlign w:val="bottom"/>
            <w:gridSpan w:val="5"/>
            <w:shd w:val="clear" w:color="auto" w:fill="CCEEFF"/>
          </w:tcPr>
          <w:p>
            <w:pPr>
              <w:jc w:val="center"/>
              <w:spacing w:after="0" w:line="175" w:lineRule="exact"/>
              <w:rPr>
                <w:rFonts w:ascii="Times New Roman" w:cs="Times New Roman" w:eastAsia="Times New Roman" w:hAnsi="Times New Roman"/>
                <w:sz w:val="16"/>
                <w:szCs w:val="16"/>
                <w:color w:val="0000FF"/>
                <w:w w:val="99"/>
              </w:rPr>
            </w:pPr>
            <w:hyperlink r:id="rId155">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w:t>
              </w:r>
            </w:hyperlink>
          </w:p>
        </w:tc>
        <w:tc>
          <w:tcPr>
            <w:tcW w:w="120" w:type="dxa"/>
            <w:vAlign w:val="bottom"/>
            <w:shd w:val="clear" w:color="auto" w:fill="CCEEFF"/>
          </w:tcPr>
          <w:p>
            <w:pPr>
              <w:spacing w:after="0"/>
              <w:rPr>
                <w:sz w:val="15"/>
                <w:szCs w:val="15"/>
                <w:color w:val="auto"/>
              </w:rPr>
            </w:pPr>
          </w:p>
        </w:tc>
        <w:tc>
          <w:tcPr>
            <w:tcW w:w="9940" w:type="dxa"/>
            <w:vAlign w:val="bottom"/>
            <w:gridSpan w:val="10"/>
            <w:shd w:val="clear" w:color="auto" w:fill="CCEEFF"/>
          </w:tcPr>
          <w:p>
            <w:pPr>
              <w:spacing w:after="0" w:line="175"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Executive Employment Agreement, dated July 7, 2025, by and between The Hershey Company and Kirk Tanner, is incorporated by reference from</w:t>
              </w:r>
            </w:hyperlink>
          </w:p>
        </w:tc>
      </w:tr>
      <w:tr>
        <w:trPr>
          <w:trHeight w:val="142"/>
        </w:trPr>
        <w:tc>
          <w:tcPr>
            <w:tcW w:w="4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540" w:type="dxa"/>
            <w:vAlign w:val="bottom"/>
            <w:tcBorders>
              <w:top w:val="single" w:sz="8" w:color="0000FF"/>
            </w:tcBorders>
            <w:gridSpan w:val="6"/>
            <w:shd w:val="clear" w:color="auto" w:fill="CCEEFF"/>
          </w:tcPr>
          <w:p>
            <w:pPr>
              <w:spacing w:after="0" w:line="14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Exhibit 10.1 to the Company’s Current Report on Form 8-K filed July 8, 2025.</w:t>
              </w:r>
              <w:r>
                <w:rPr>
                  <w:rFonts w:ascii="Times New Roman" w:cs="Times New Roman" w:eastAsia="Times New Roman" w:hAnsi="Times New Roman"/>
                  <w:sz w:val="16"/>
                  <w:szCs w:val="16"/>
                  <w:color w:val="000000"/>
                </w:rPr>
                <w:t>+</w:t>
              </w:r>
            </w:hyperlink>
          </w:p>
        </w:tc>
        <w:tc>
          <w:tcPr>
            <w:tcW w:w="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gridSpan w:val="2"/>
            <w:shd w:val="clear" w:color="auto" w:fill="CCEEFF"/>
          </w:tcPr>
          <w:p>
            <w:pPr>
              <w:spacing w:after="0"/>
              <w:rPr>
                <w:sz w:val="12"/>
                <w:szCs w:val="12"/>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2820" w:type="dxa"/>
            <w:vAlign w:val="bottom"/>
            <w:tcBorders>
              <w:top w:val="single" w:sz="8" w:color="0000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8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120" w:type="dxa"/>
            <w:vAlign w:val="bottom"/>
          </w:tcPr>
          <w:p>
            <w:pPr>
              <w:spacing w:after="0"/>
              <w:rPr>
                <w:sz w:val="15"/>
                <w:szCs w:val="15"/>
                <w:color w:val="auto"/>
              </w:rPr>
            </w:pPr>
          </w:p>
        </w:tc>
        <w:tc>
          <w:tcPr>
            <w:tcW w:w="9940" w:type="dxa"/>
            <w:vAlign w:val="bottom"/>
            <w:gridSpan w:val="10"/>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Michele G. Buck, Chief Executive Officer, pursuant to Section 302 of the Sarbanes-Oxley Act of 2002.</w:t>
            </w:r>
            <w:r>
              <w:rPr>
                <w:rFonts w:ascii="Times New Roman" w:cs="Times New Roman" w:eastAsia="Times New Roman" w:hAnsi="Times New Roman"/>
                <w:sz w:val="16"/>
                <w:szCs w:val="16"/>
                <w:color w:val="000000"/>
              </w:rPr>
              <w:t>*</w:t>
            </w:r>
          </w:p>
        </w:tc>
      </w:tr>
      <w:tr>
        <w:trPr>
          <w:trHeight w:val="21"/>
        </w:trPr>
        <w:tc>
          <w:tcPr>
            <w:tcW w:w="4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282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18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120" w:type="dxa"/>
            <w:vAlign w:val="bottom"/>
            <w:shd w:val="clear" w:color="auto" w:fill="CCEEFF"/>
          </w:tcPr>
          <w:p>
            <w:pPr>
              <w:spacing w:after="0"/>
              <w:rPr>
                <w:sz w:val="15"/>
                <w:szCs w:val="15"/>
                <w:color w:val="auto"/>
              </w:rPr>
            </w:pPr>
          </w:p>
        </w:tc>
        <w:tc>
          <w:tcPr>
            <w:tcW w:w="9940" w:type="dxa"/>
            <w:vAlign w:val="bottom"/>
            <w:gridSpan w:val="1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Steven E. Voskuil, Chief Financial Officer, pursuant to Section 302 of the Sarbanes-Oxley Act of 2002.</w:t>
            </w:r>
            <w:r>
              <w:rPr>
                <w:rFonts w:ascii="Times New Roman" w:cs="Times New Roman" w:eastAsia="Times New Roman" w:hAnsi="Times New Roman"/>
                <w:sz w:val="16"/>
                <w:szCs w:val="16"/>
                <w:color w:val="000000"/>
              </w:rPr>
              <w:t>*</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2820" w:type="dxa"/>
            <w:vAlign w:val="bottom"/>
            <w:tcBorders>
              <w:top w:val="single" w:sz="8" w:color="0000FF"/>
            </w:tcBorders>
            <w:shd w:val="clear" w:color="auto" w:fill="CCEEFF"/>
          </w:tcPr>
          <w:p>
            <w:pPr>
              <w:spacing w:after="0" w:line="20" w:lineRule="exact"/>
              <w:rPr>
                <w:sz w:val="1"/>
                <w:szCs w:val="1"/>
                <w:color w:val="auto"/>
              </w:rPr>
            </w:pPr>
          </w:p>
        </w:tc>
        <w:tc>
          <w:tcPr>
            <w:tcW w:w="13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8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32.</w:t>
            </w:r>
            <w:r>
              <w:rPr>
                <w:rFonts w:ascii="Times New Roman" w:cs="Times New Roman" w:eastAsia="Times New Roman" w:hAnsi="Times New Roman"/>
                <w:sz w:val="16"/>
                <w:szCs w:val="16"/>
                <w:u w:val="single" w:color="auto"/>
                <w:color w:val="0000FF"/>
                <w:w w:val="99"/>
              </w:rPr>
              <w:t>1</w:t>
            </w:r>
          </w:p>
        </w:tc>
        <w:tc>
          <w:tcPr>
            <w:tcW w:w="120" w:type="dxa"/>
            <w:vAlign w:val="bottom"/>
          </w:tcPr>
          <w:p>
            <w:pPr>
              <w:spacing w:after="0"/>
              <w:rPr>
                <w:sz w:val="15"/>
                <w:szCs w:val="15"/>
                <w:color w:val="auto"/>
              </w:rPr>
            </w:pPr>
          </w:p>
        </w:tc>
        <w:tc>
          <w:tcPr>
            <w:tcW w:w="9940" w:type="dxa"/>
            <w:vAlign w:val="bottom"/>
            <w:gridSpan w:val="10"/>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Michele G. Buck, Chief Executive Officer, and Steven E. Voskuil, Chief Financial Officer, pursuant to Section 906 of the Sarbanes-</w:t>
            </w:r>
          </w:p>
        </w:tc>
      </w:tr>
      <w:tr>
        <w:trPr>
          <w:trHeight w:val="142"/>
        </w:trPr>
        <w:tc>
          <w:tcPr>
            <w:tcW w:w="46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6"/>
                <w:szCs w:val="16"/>
                <w:color w:val="0000FF"/>
              </w:rPr>
              <w:t>Oxley Act of 2002.</w:t>
            </w:r>
            <w:r>
              <w:rPr>
                <w:rFonts w:ascii="Times New Roman" w:cs="Times New Roman" w:eastAsia="Times New Roman" w:hAnsi="Times New Roman"/>
                <w:sz w:val="16"/>
                <w:szCs w:val="16"/>
                <w:color w:val="000000"/>
              </w:rPr>
              <w:t>**</w:t>
            </w:r>
          </w:p>
        </w:tc>
        <w:tc>
          <w:tcPr>
            <w:tcW w:w="360" w:type="dxa"/>
            <w:vAlign w:val="bottom"/>
            <w:gridSpan w:val="2"/>
          </w:tcPr>
          <w:p>
            <w:pPr>
              <w:spacing w:after="0"/>
              <w:rPr>
                <w:sz w:val="12"/>
                <w:szCs w:val="12"/>
                <w:color w:val="auto"/>
              </w:rPr>
            </w:pPr>
          </w:p>
        </w:tc>
      </w:tr>
      <w:tr>
        <w:trPr>
          <w:trHeight w:val="21"/>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2"/>
        </w:trPr>
        <w:tc>
          <w:tcPr>
            <w:tcW w:w="1300" w:type="dxa"/>
            <w:vAlign w:val="bottom"/>
            <w:gridSpan w:val="6"/>
            <w:shd w:val="clear" w:color="auto" w:fill="CCEEFF"/>
          </w:tcPr>
          <w:p>
            <w:pPr>
              <w:jc w:val="center"/>
              <w:ind w:right="120"/>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9940" w:type="dxa"/>
            <w:vAlign w:val="bottom"/>
            <w:gridSpan w:val="10"/>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the</w:t>
            </w:r>
          </w:p>
        </w:tc>
      </w:tr>
      <w:tr>
        <w:trPr>
          <w:trHeight w:val="216"/>
        </w:trPr>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9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220"/>
        </w:trPr>
        <w:tc>
          <w:tcPr>
            <w:tcW w:w="13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rPr>
              <w:t>101.SCH</w:t>
            </w:r>
          </w:p>
        </w:tc>
        <w:tc>
          <w:tcPr>
            <w:tcW w:w="99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r>
      <w:tr>
        <w:trPr>
          <w:trHeight w:val="239"/>
        </w:trPr>
        <w:tc>
          <w:tcPr>
            <w:tcW w:w="130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101.CAL</w:t>
            </w:r>
          </w:p>
        </w:tc>
        <w:tc>
          <w:tcPr>
            <w:tcW w:w="99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r>
      <w:tr>
        <w:trPr>
          <w:trHeight w:val="213"/>
        </w:trPr>
        <w:tc>
          <w:tcPr>
            <w:tcW w:w="13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101.LAB</w:t>
            </w:r>
          </w:p>
        </w:tc>
        <w:tc>
          <w:tcPr>
            <w:tcW w:w="99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r>
      <w:tr>
        <w:trPr>
          <w:trHeight w:val="219"/>
        </w:trPr>
        <w:tc>
          <w:tcPr>
            <w:tcW w:w="1300" w:type="dxa"/>
            <w:vAlign w:val="bottom"/>
            <w:gridSpan w:val="6"/>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101.PRE</w:t>
            </w:r>
          </w:p>
        </w:tc>
        <w:tc>
          <w:tcPr>
            <w:tcW w:w="99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r>
      <w:tr>
        <w:trPr>
          <w:trHeight w:val="210"/>
        </w:trPr>
        <w:tc>
          <w:tcPr>
            <w:tcW w:w="13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rPr>
              <w:t>101.DEF</w:t>
            </w:r>
          </w:p>
        </w:tc>
        <w:tc>
          <w:tcPr>
            <w:tcW w:w="99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r>
    </w:tbl>
    <w:p>
      <w:pPr>
        <w:spacing w:after="0" w:line="5" w:lineRule="exact"/>
        <w:rPr>
          <w:sz w:val="20"/>
          <w:szCs w:val="20"/>
          <w:color w:val="auto"/>
        </w:rPr>
      </w:pPr>
    </w:p>
    <w:p>
      <w:pPr>
        <w:ind w:left="1300" w:right="500" w:hanging="826"/>
        <w:spacing w:after="0" w:line="245" w:lineRule="auto"/>
        <w:tabs>
          <w:tab w:leader="none" w:pos="13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from the Company's Quarterly Report on Form 10-Q for the quarterly period ended June 29, 2025,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2400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52" w:lineRule="exact"/>
        <w:rPr>
          <w:sz w:val="20"/>
          <w:szCs w:val="20"/>
          <w:color w:val="auto"/>
        </w:rPr>
      </w:pPr>
    </w:p>
    <w:p>
      <w:pPr>
        <w:ind w:left="1300" w:hanging="745"/>
        <w:spacing w:after="0"/>
        <w:tabs>
          <w:tab w:leader="none" w:pos="13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ind w:left="1300" w:hanging="786"/>
        <w:spacing w:after="0"/>
        <w:tabs>
          <w:tab w:leader="none" w:pos="13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32" w:lineRule="exact"/>
        <w:rPr>
          <w:sz w:val="20"/>
          <w:szCs w:val="20"/>
          <w:color w:val="auto"/>
        </w:rPr>
      </w:pPr>
    </w:p>
    <w:p>
      <w:pPr>
        <w:ind w:left="1300" w:hanging="751"/>
        <w:spacing w:after="0"/>
        <w:tabs>
          <w:tab w:leader="none" w:pos="13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1169035</wp:posOffset>
            </wp:positionV>
            <wp:extent cx="19685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thereunto duly authorized.</w:t>
      </w:r>
    </w:p>
    <w:p>
      <w:pPr>
        <w:spacing w:after="0" w:line="1" w:lineRule="exact"/>
        <w:rPr>
          <w:sz w:val="20"/>
          <w:szCs w:val="20"/>
          <w:color w:val="auto"/>
        </w:rPr>
      </w:pPr>
    </w:p>
    <w:tbl>
      <w:tblPr>
        <w:tblLayout w:type="fixed"/>
        <w:tblInd w:w="740" w:type="dxa"/>
        <w:tblCellMar>
          <w:top w:w="0" w:type="dxa"/>
          <w:left w:w="0" w:type="dxa"/>
          <w:bottom w:w="0" w:type="dxa"/>
          <w:right w:w="0" w:type="dxa"/>
        </w:tblCellMar>
      </w:tblPr>
      <w:tr>
        <w:trPr>
          <w:trHeight w:val="229"/>
        </w:trPr>
        <w:tc>
          <w:tcPr>
            <w:tcW w:w="2640" w:type="dxa"/>
            <w:vAlign w:val="bottom"/>
          </w:tcPr>
          <w:p>
            <w:pPr>
              <w:spacing w:after="0"/>
              <w:rPr>
                <w:sz w:val="19"/>
                <w:szCs w:val="19"/>
                <w:color w:val="auto"/>
              </w:rPr>
            </w:pPr>
          </w:p>
        </w:tc>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THE HERSHEY COMPANY</w:t>
            </w:r>
          </w:p>
        </w:tc>
      </w:tr>
      <w:tr>
        <w:trPr>
          <w:trHeight w:val="238"/>
        </w:trPr>
        <w:tc>
          <w:tcPr>
            <w:tcW w:w="2640" w:type="dxa"/>
            <w:vAlign w:val="bottom"/>
          </w:tcPr>
          <w:p>
            <w:pPr>
              <w:spacing w:after="0"/>
              <w:rPr>
                <w:sz w:val="20"/>
                <w:szCs w:val="20"/>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(Registrant)</w:t>
            </w:r>
          </w:p>
        </w:tc>
      </w:tr>
      <w:tr>
        <w:trPr>
          <w:trHeight w:val="49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2025</w:t>
            </w:r>
          </w:p>
        </w:tc>
        <w:tc>
          <w:tcPr>
            <w:tcW w:w="5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/s/ Steven E. Voskuil</w:t>
            </w:r>
          </w:p>
        </w:tc>
      </w:tr>
      <w:tr>
        <w:trPr>
          <w:trHeight w:val="218"/>
        </w:trPr>
        <w:tc>
          <w:tcPr>
            <w:tcW w:w="2640" w:type="dxa"/>
            <w:vAlign w:val="bottom"/>
          </w:tcPr>
          <w:p>
            <w:pPr>
              <w:spacing w:after="0"/>
              <w:rPr>
                <w:sz w:val="18"/>
                <w:szCs w:val="18"/>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Steven E. Voskuil</w:t>
            </w:r>
          </w:p>
        </w:tc>
      </w:tr>
      <w:tr>
        <w:trPr>
          <w:trHeight w:val="229"/>
        </w:trPr>
        <w:tc>
          <w:tcPr>
            <w:tcW w:w="2640" w:type="dxa"/>
            <w:vAlign w:val="bottom"/>
          </w:tcPr>
          <w:p>
            <w:pPr>
              <w:spacing w:after="0"/>
              <w:rPr>
                <w:sz w:val="19"/>
                <w:szCs w:val="19"/>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34"/>
        </w:trPr>
        <w:tc>
          <w:tcPr>
            <w:tcW w:w="2640" w:type="dxa"/>
            <w:vAlign w:val="bottom"/>
          </w:tcPr>
          <w:p>
            <w:pPr>
              <w:spacing w:after="0"/>
              <w:rPr>
                <w:sz w:val="20"/>
                <w:szCs w:val="20"/>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2025</w:t>
            </w:r>
          </w:p>
        </w:tc>
        <w:tc>
          <w:tcPr>
            <w:tcW w:w="5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/s/ Jennifer L. McCalman</w:t>
            </w:r>
          </w:p>
        </w:tc>
      </w:tr>
      <w:tr>
        <w:trPr>
          <w:trHeight w:val="218"/>
        </w:trPr>
        <w:tc>
          <w:tcPr>
            <w:tcW w:w="2640" w:type="dxa"/>
            <w:vAlign w:val="bottom"/>
          </w:tcPr>
          <w:p>
            <w:pPr>
              <w:spacing w:after="0"/>
              <w:rPr>
                <w:sz w:val="18"/>
                <w:szCs w:val="18"/>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Jennifer L. McCalman</w:t>
            </w:r>
          </w:p>
        </w:tc>
      </w:tr>
      <w:tr>
        <w:trPr>
          <w:trHeight w:val="230"/>
        </w:trPr>
        <w:tc>
          <w:tcPr>
            <w:tcW w:w="2640" w:type="dxa"/>
            <w:vAlign w:val="bottom"/>
          </w:tcPr>
          <w:p>
            <w:pPr>
              <w:spacing w:after="0"/>
              <w:rPr>
                <w:sz w:val="19"/>
                <w:szCs w:val="19"/>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Vice President, Chief Accounting Officer</w:t>
            </w:r>
          </w:p>
        </w:tc>
      </w:tr>
      <w:tr>
        <w:trPr>
          <w:trHeight w:val="234"/>
        </w:trPr>
        <w:tc>
          <w:tcPr>
            <w:tcW w:w="2640" w:type="dxa"/>
            <w:vAlign w:val="bottom"/>
          </w:tcPr>
          <w:p>
            <w:pPr>
              <w:spacing w:after="0"/>
              <w:rPr>
                <w:sz w:val="20"/>
                <w:szCs w:val="20"/>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488315</wp:posOffset>
            </wp:positionV>
            <wp:extent cx="19685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Q2 2025 Form 10-Q | Page 52</w:t>
      </w:r>
    </w:p>
    <w:p>
      <w:pPr>
        <w:sectPr>
          <w:pgSz w:w="11900" w:h="16838" w:orient="portrait"/>
          <w:cols w:equalWidth="0" w:num="1">
            <w:col w:w="11220"/>
          </w:cols>
          <w:pgMar w:left="320" w:top="1251" w:right="35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2"/>
          <w:szCs w:val="22"/>
          <w:color w:val="auto"/>
        </w:rPr>
        <w:t>Exhibit 3.1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CERTIFICATE OF AMENDMENT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RESTATED CERTIFICATE OF INCORPORATION</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HERSHEY COMPANY</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Hershey Company, a corporation organized and existing under and by virtue of the General Corporation Law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of Delaware (the “Corporation”), does hereby certify that:</w:t>
      </w:r>
    </w:p>
    <w:p>
      <w:pPr>
        <w:spacing w:after="0" w:line="182" w:lineRule="exact"/>
        <w:rPr>
          <w:sz w:val="20"/>
          <w:szCs w:val="20"/>
          <w:color w:val="auto"/>
        </w:rPr>
      </w:pPr>
    </w:p>
    <w:p>
      <w:pPr>
        <w:jc w:val="both"/>
        <w:ind w:right="620" w:firstLine="656"/>
        <w:spacing w:after="0" w:line="225" w:lineRule="auto"/>
        <w:tabs>
          <w:tab w:leader="none" w:pos="1296"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of the Corporation, at a meeting duly convened and held on March 4, 2025, adopted resolutions proposing and declaring it advisable and in the best interests of the Corporation that the Restated Certificate of Incorporation of the Corporation be amended as follows:</w:t>
      </w:r>
    </w:p>
    <w:p>
      <w:pPr>
        <w:spacing w:after="0" w:line="192" w:lineRule="exact"/>
        <w:rPr>
          <w:rFonts w:ascii="Times New Roman" w:cs="Times New Roman" w:eastAsia="Times New Roman" w:hAnsi="Times New Roman"/>
          <w:sz w:val="22"/>
          <w:szCs w:val="22"/>
          <w:color w:val="auto"/>
        </w:rPr>
      </w:pPr>
    </w:p>
    <w:p>
      <w:pPr>
        <w:ind w:left="140" w:right="280" w:hanging="2"/>
        <w:spacing w:after="0" w:line="271" w:lineRule="auto"/>
        <w:tabs>
          <w:tab w:leader="none" w:pos="434" w:val="left"/>
        </w:tabs>
        <w:numPr>
          <w:ilvl w:val="0"/>
          <w:numId w:val="31"/>
        </w:numPr>
        <w:rPr>
          <w:rFonts w:ascii="Times New Roman" w:cs="Times New Roman" w:eastAsia="Times New Roman" w:hAnsi="Times New Roman"/>
          <w:sz w:val="22"/>
          <w:szCs w:val="22"/>
          <w:color w:val="313131"/>
        </w:rPr>
      </w:pPr>
      <w:r>
        <w:rPr>
          <w:rFonts w:ascii="Times New Roman" w:cs="Times New Roman" w:eastAsia="Times New Roman" w:hAnsi="Times New Roman"/>
          <w:sz w:val="22"/>
          <w:szCs w:val="22"/>
          <w:color w:val="313131"/>
        </w:rPr>
        <w:t>The introductory language is stricken and the Amended and Restated Certificate of Incorporation now begins with Article First.</w:t>
      </w:r>
    </w:p>
    <w:p>
      <w:pPr>
        <w:spacing w:after="0" w:line="184" w:lineRule="exact"/>
        <w:rPr>
          <w:rFonts w:ascii="Times New Roman" w:cs="Times New Roman" w:eastAsia="Times New Roman" w:hAnsi="Times New Roman"/>
          <w:sz w:val="22"/>
          <w:szCs w:val="22"/>
          <w:color w:val="313131"/>
        </w:rPr>
      </w:pPr>
    </w:p>
    <w:p>
      <w:pPr>
        <w:ind w:left="440" w:hanging="302"/>
        <w:spacing w:after="0"/>
        <w:tabs>
          <w:tab w:leader="none" w:pos="440" w:val="left"/>
        </w:tabs>
        <w:numPr>
          <w:ilvl w:val="0"/>
          <w:numId w:val="31"/>
        </w:numPr>
        <w:rPr>
          <w:rFonts w:ascii="Times New Roman" w:cs="Times New Roman" w:eastAsia="Times New Roman" w:hAnsi="Times New Roman"/>
          <w:sz w:val="22"/>
          <w:szCs w:val="22"/>
          <w:color w:val="313131"/>
        </w:rPr>
      </w:pPr>
      <w:r>
        <w:rPr>
          <w:rFonts w:ascii="Times New Roman" w:cs="Times New Roman" w:eastAsia="Times New Roman" w:hAnsi="Times New Roman"/>
          <w:sz w:val="22"/>
          <w:szCs w:val="22"/>
          <w:color w:val="auto"/>
        </w:rPr>
        <w:t>Article Fourth, Section B.2.c. is amended in its entirety and replaced with the following:</w:t>
      </w:r>
    </w:p>
    <w:p>
      <w:pPr>
        <w:spacing w:after="0" w:line="229" w:lineRule="exact"/>
        <w:rPr>
          <w:sz w:val="20"/>
          <w:szCs w:val="20"/>
          <w:color w:val="auto"/>
        </w:rPr>
      </w:pPr>
    </w:p>
    <w:p>
      <w:pPr>
        <w:ind w:left="1020" w:hanging="364"/>
        <w:spacing w:after="0"/>
        <w:tabs>
          <w:tab w:leader="none" w:pos="10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Vacancies.</w:t>
      </w:r>
    </w:p>
    <w:p>
      <w:pPr>
        <w:spacing w:after="0" w:line="223" w:lineRule="exact"/>
        <w:rPr>
          <w:rFonts w:ascii="Times New Roman" w:cs="Times New Roman" w:eastAsia="Times New Roman" w:hAnsi="Times New Roman"/>
          <w:sz w:val="22"/>
          <w:szCs w:val="22"/>
          <w:color w:val="auto"/>
        </w:rPr>
      </w:pPr>
    </w:p>
    <w:p>
      <w:pPr>
        <w:ind w:left="660" w:right="980" w:firstLine="644"/>
        <w:spacing w:after="0" w:line="271" w:lineRule="auto"/>
        <w:tabs>
          <w:tab w:leader="none" w:pos="1776"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Article Fourth, Section B.2.c.(2) and (3) below, vacancies and newly created directorships resulting from any increase in the authorized number of directors may be filled:</w:t>
      </w:r>
    </w:p>
    <w:p>
      <w:pPr>
        <w:spacing w:after="0" w:line="157" w:lineRule="exact"/>
        <w:rPr>
          <w:rFonts w:ascii="Times New Roman" w:cs="Times New Roman" w:eastAsia="Times New Roman" w:hAnsi="Times New Roman"/>
          <w:sz w:val="22"/>
          <w:szCs w:val="22"/>
          <w:color w:val="auto"/>
        </w:rPr>
      </w:pPr>
    </w:p>
    <w:p>
      <w:pPr>
        <w:ind w:left="3120" w:hanging="520"/>
        <w:spacing w:after="0"/>
        <w:tabs>
          <w:tab w:leader="none" w:pos="3120" w:val="left"/>
        </w:tabs>
        <w:numPr>
          <w:ilvl w:val="2"/>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 majority vote of the remaining directors then in office, even though less than a quorum;</w:t>
      </w:r>
    </w:p>
    <w:p>
      <w:pPr>
        <w:spacing w:after="0" w:line="231" w:lineRule="exact"/>
        <w:rPr>
          <w:rFonts w:ascii="Times New Roman" w:cs="Times New Roman" w:eastAsia="Times New Roman" w:hAnsi="Times New Roman"/>
          <w:sz w:val="21"/>
          <w:szCs w:val="21"/>
          <w:color w:val="auto"/>
        </w:rPr>
      </w:pPr>
    </w:p>
    <w:p>
      <w:pPr>
        <w:ind w:left="1960" w:right="20" w:firstLine="640"/>
        <w:spacing w:after="0" w:line="250" w:lineRule="auto"/>
        <w:tabs>
          <w:tab w:leader="none" w:pos="3112"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vacant directorships or newly created directorships electable by the holders of the Common Stock and the Class B Common Stock voting together without regard to class, by (x) the vote of a majority of the votes cast by the holders of the Common Stock and the Class B Common Stock, voting together without regard to class, at any meeting of the stockholders for the election or appointment of one or more director(s) at which a quorum is present or (y) the consent of a majority of the votes then entitled to be cast by the holders of the Common Stock and the Class B Common Stock, voting together without regard to class; or</w:t>
      </w:r>
    </w:p>
    <w:p>
      <w:pPr>
        <w:spacing w:after="0" w:line="193" w:lineRule="exact"/>
        <w:rPr>
          <w:rFonts w:ascii="Times New Roman" w:cs="Times New Roman" w:eastAsia="Times New Roman" w:hAnsi="Times New Roman"/>
          <w:sz w:val="22"/>
          <w:szCs w:val="22"/>
          <w:color w:val="auto"/>
        </w:rPr>
      </w:pPr>
    </w:p>
    <w:p>
      <w:pPr>
        <w:ind w:left="1960" w:right="80" w:firstLine="640"/>
        <w:spacing w:after="0" w:line="250" w:lineRule="auto"/>
        <w:tabs>
          <w:tab w:leader="none" w:pos="3112"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vacant directorships or newly created directorships electable by the holders of the Common Stock voting as a separate class, by (x) the vote of a majority of the votes cast by the holders of the Common Stock, voting separately as a class, at any meeting of the stockholders for the election or appointment of one or more director(s) at which a quorum is present or (y) the consent of a majority of the votes</w:t>
      </w:r>
    </w:p>
    <w:p>
      <w:pPr>
        <w:sectPr>
          <w:pgSz w:w="11900" w:h="16838" w:orient="portrait"/>
          <w:cols w:equalWidth="0" w:num="1">
            <w:col w:w="11240"/>
          </w:cols>
          <w:pgMar w:left="320" w:top="1422" w:right="339" w:bottom="1440" w:gutter="0" w:footer="0" w:header="0"/>
        </w:sectPr>
      </w:pPr>
    </w:p>
    <w:bookmarkStart w:id="56" w:name="page57"/>
    <w:bookmarkEnd w:id="56"/>
    <w:p>
      <w:pPr>
        <w:ind w:left="1940"/>
        <w:spacing w:after="0"/>
        <w:rPr>
          <w:sz w:val="20"/>
          <w:szCs w:val="20"/>
          <w:color w:val="auto"/>
        </w:rPr>
      </w:pPr>
      <w:r>
        <w:rPr>
          <w:rFonts w:ascii="Times New Roman" w:cs="Times New Roman" w:eastAsia="Times New Roman" w:hAnsi="Times New Roman"/>
          <w:sz w:val="22"/>
          <w:szCs w:val="22"/>
          <w:color w:val="auto"/>
        </w:rPr>
        <w:t>then entitled to be cast by the holders of the Common Stock, voting separately as a class.</w:t>
      </w:r>
    </w:p>
    <w:p>
      <w:pPr>
        <w:spacing w:after="0" w:line="220" w:lineRule="exact"/>
        <w:rPr>
          <w:sz w:val="20"/>
          <w:szCs w:val="20"/>
          <w:color w:val="auto"/>
        </w:rPr>
      </w:pPr>
    </w:p>
    <w:p>
      <w:pPr>
        <w:ind w:left="640" w:right="40" w:firstLine="644"/>
        <w:spacing w:after="0" w:line="251" w:lineRule="auto"/>
        <w:tabs>
          <w:tab w:leader="none" w:pos="1752"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Vacancies resulting from the removal of any director(s) pursuant to Article Fourth, Section B.2.d.(1) hereof shall be filled only by (A) the vote of a majority of the votes cast by the holders of the Common Stock and the Class B Common Stock, voting together without regard to class, at any meeting of the stockholders for the election or appointment of one or more director(s) at which a quorum is present or (B) the consent of a majority of the votes then entitled to be cast by the holders of the Common Stock and the Class B Common Stock, voting together without regard to class.</w:t>
      </w:r>
    </w:p>
    <w:p>
      <w:pPr>
        <w:spacing w:after="0" w:line="181" w:lineRule="exact"/>
        <w:rPr>
          <w:rFonts w:ascii="Times New Roman" w:cs="Times New Roman" w:eastAsia="Times New Roman" w:hAnsi="Times New Roman"/>
          <w:sz w:val="22"/>
          <w:szCs w:val="22"/>
          <w:color w:val="auto"/>
        </w:rPr>
      </w:pPr>
    </w:p>
    <w:p>
      <w:pPr>
        <w:jc w:val="both"/>
        <w:ind w:left="640" w:firstLine="644"/>
        <w:spacing w:after="0" w:line="253" w:lineRule="auto"/>
        <w:tabs>
          <w:tab w:leader="none" w:pos="1752"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Vacancies resulting from the removal of any director(s) pursuant to Article Fourth, Section B.2.d.(2) hereof shall be filled only by (A) the vote of a majority of the votes cast by the holders of the Common Stock, voting separately as a class, at any meeting of the stockholders for the election or appointment of one or more director(s) at which a quorum is present or (B) the consent of a majority of the votes then entitled to be cast by the holders of the Common Stock, voting separately as a class.</w:t>
      </w:r>
    </w:p>
    <w:p>
      <w:pPr>
        <w:spacing w:after="0" w:line="178" w:lineRule="exact"/>
        <w:rPr>
          <w:rFonts w:ascii="Times New Roman" w:cs="Times New Roman" w:eastAsia="Times New Roman" w:hAnsi="Times New Roman"/>
          <w:sz w:val="22"/>
          <w:szCs w:val="22"/>
          <w:color w:val="auto"/>
        </w:rPr>
      </w:pPr>
    </w:p>
    <w:p>
      <w:pPr>
        <w:ind w:left="1600" w:right="3580" w:hanging="1353"/>
        <w:spacing w:after="0" w:line="454" w:lineRule="auto"/>
        <w:tabs>
          <w:tab w:leader="none" w:pos="533"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Article Fourth, Section B.2.d. is amended by numbering the paragraph as follows: d. </w:t>
      </w:r>
      <w:r>
        <w:rPr>
          <w:rFonts w:ascii="Times New Roman" w:cs="Times New Roman" w:eastAsia="Times New Roman" w:hAnsi="Times New Roman"/>
          <w:sz w:val="22"/>
          <w:szCs w:val="22"/>
          <w:i w:val="1"/>
          <w:iCs w:val="1"/>
          <w:color w:val="auto"/>
        </w:rPr>
        <w:t>Removal.</w:t>
      </w:r>
    </w:p>
    <w:p>
      <w:pPr>
        <w:spacing w:after="0" w:line="1" w:lineRule="exact"/>
        <w:rPr>
          <w:rFonts w:ascii="Times New Roman" w:cs="Times New Roman" w:eastAsia="Times New Roman" w:hAnsi="Times New Roman"/>
          <w:sz w:val="22"/>
          <w:szCs w:val="22"/>
          <w:color w:val="auto"/>
        </w:rPr>
      </w:pPr>
    </w:p>
    <w:p>
      <w:pPr>
        <w:ind w:left="1680" w:right="220" w:firstLine="329"/>
        <w:spacing w:after="0" w:line="250" w:lineRule="auto"/>
        <w:tabs>
          <w:tab w:leader="none" w:pos="2472" w:val="left"/>
        </w:tabs>
        <w:numPr>
          <w:ilvl w:val="4"/>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Directors elected or electable (in the case of vacancies or newly created directorships filled by the remaining directors) by the holders of the Common Stock and the Class B Common Stock voting together without regard to class may be removed, with or without cause, only by the vote or consent of a majority of the votes then entitled to be cast by the holders of the Common Stock and Class B Common Stock, voting together without regard to class.</w:t>
      </w:r>
    </w:p>
    <w:p>
      <w:pPr>
        <w:spacing w:after="0" w:line="194" w:lineRule="exact"/>
        <w:rPr>
          <w:rFonts w:ascii="Times New Roman" w:cs="Times New Roman" w:eastAsia="Times New Roman" w:hAnsi="Times New Roman"/>
          <w:sz w:val="22"/>
          <w:szCs w:val="22"/>
          <w:color w:val="auto"/>
        </w:rPr>
      </w:pPr>
    </w:p>
    <w:p>
      <w:pPr>
        <w:jc w:val="both"/>
        <w:ind w:left="1680" w:right="440" w:firstLine="329"/>
        <w:spacing w:after="0" w:line="252" w:lineRule="auto"/>
        <w:tabs>
          <w:tab w:leader="none" w:pos="2472" w:val="left"/>
        </w:tabs>
        <w:numPr>
          <w:ilvl w:val="4"/>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Directors separately elected or electable (in the case of vacancies or newly created directorships filled by the remaining directors) by the holders of the Common Stock may be removed, with or without cause, only by the vote or consent of a majority of the votes then entitled to be cast by the holders of the Common Stock, voting separately as a class.</w:t>
      </w:r>
    </w:p>
    <w:p>
      <w:pPr>
        <w:spacing w:after="0" w:line="179" w:lineRule="exact"/>
        <w:rPr>
          <w:rFonts w:ascii="Times New Roman" w:cs="Times New Roman" w:eastAsia="Times New Roman" w:hAnsi="Times New Roman"/>
          <w:sz w:val="22"/>
          <w:szCs w:val="22"/>
          <w:color w:val="auto"/>
        </w:rPr>
      </w:pPr>
    </w:p>
    <w:p>
      <w:pPr>
        <w:ind w:left="-20" w:right="200" w:firstLine="656"/>
        <w:spacing w:after="0" w:line="256" w:lineRule="auto"/>
        <w:tabs>
          <w:tab w:leader="none" w:pos="1276"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Thereafter, pursuant to resolution of the Board of Directors of the Corporation, an annual meeting of the stockholders of the Corporation was duly called and held on May 6, 2025, upon notice in accordance with Section 222 of the General Corporation law of the State of Delaware, at which meeting the necessary number of shares as required by statute were voted in favor of the foregoing amendments.</w:t>
      </w:r>
    </w:p>
    <w:p>
      <w:pPr>
        <w:spacing w:after="0" w:line="176" w:lineRule="exact"/>
        <w:rPr>
          <w:rFonts w:ascii="Times New Roman" w:cs="Times New Roman" w:eastAsia="Times New Roman" w:hAnsi="Times New Roman"/>
          <w:sz w:val="22"/>
          <w:szCs w:val="22"/>
          <w:color w:val="auto"/>
        </w:rPr>
      </w:pPr>
    </w:p>
    <w:p>
      <w:pPr>
        <w:ind w:left="-20" w:right="320" w:firstLine="656"/>
        <w:spacing w:after="0" w:line="271" w:lineRule="auto"/>
        <w:tabs>
          <w:tab w:leader="none" w:pos="1276"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313131"/>
        </w:rPr>
        <w:t>The foregoing amendments were duly adopted in accordance with the provisions of Section 242 of the General Corporation Law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00"/>
          </w:cols>
          <w:pgMar w:left="340" w:top="1422" w:right="359" w:bottom="1440" w:gutter="0" w:footer="0" w:header="0"/>
        </w:sectPr>
      </w:pPr>
    </w:p>
    <w:bookmarkStart w:id="57" w:name="page58"/>
    <w:bookmarkEnd w:id="57"/>
    <w:p>
      <w:pPr>
        <w:ind w:firstLine="648"/>
        <w:spacing w:after="0" w:line="284" w:lineRule="auto"/>
        <w:rPr>
          <w:sz w:val="20"/>
          <w:szCs w:val="20"/>
          <w:color w:val="auto"/>
        </w:rPr>
      </w:pPr>
      <w:r>
        <w:rPr>
          <w:rFonts w:ascii="Times New Roman" w:cs="Times New Roman" w:eastAsia="Times New Roman" w:hAnsi="Times New Roman"/>
          <w:sz w:val="22"/>
          <w:szCs w:val="22"/>
          <w:color w:val="auto"/>
        </w:rPr>
        <w:t>IN WITNESS WHEREOF, the Corporation has caused this Certificate to be signed by Shayon T. Smith, Assistant Secretary, effective as of the 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May, 2025.</w:t>
      </w:r>
    </w:p>
    <w:p>
      <w:pPr>
        <w:spacing w:after="0" w:line="4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THE HERSHEY COMPANY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u w:val="single" w:color="auto"/>
          <w:color w:val="auto"/>
        </w:rPr>
        <w:t>/s/ Shayon T. Smith</w:t>
      </w:r>
    </w:p>
    <w:p>
      <w:pPr>
        <w:spacing w:after="0" w:line="3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Shayon T. Smith</w:t>
      </w:r>
    </w:p>
    <w:p>
      <w:pPr>
        <w:spacing w:after="0" w:line="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500"/>
          </w:cols>
          <w:pgMar w:left="320" w:top="1422" w:right="1079" w:bottom="1440" w:gutter="0" w:footer="0" w:header="0"/>
        </w:sectPr>
      </w:pPr>
    </w:p>
    <w:bookmarkStart w:id="58" w:name="page59"/>
    <w:bookmarkEnd w:id="58"/>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CERTIFICATE OF AMENDMENT</w:t>
      </w:r>
    </w:p>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RESTATED CERTIFICATE OF INCORPORATION</w:t>
      </w:r>
    </w:p>
    <w:p>
      <w:pPr>
        <w:spacing w:after="0" w:line="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HERSHEY FOODS CORPORATION</w:t>
      </w:r>
    </w:p>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22"/>
          <w:szCs w:val="22"/>
          <w:color w:val="auto"/>
        </w:rPr>
        <w:t>Hershey Foods Corporation (the “Corporation”), a corporation organized and existing under and by virtue of the General Corporation Law of the State of Delaware, does hereby certify as follows:</w:t>
      </w:r>
    </w:p>
    <w:p>
      <w:pPr>
        <w:spacing w:after="0" w:line="171" w:lineRule="exact"/>
        <w:rPr>
          <w:sz w:val="20"/>
          <w:szCs w:val="20"/>
          <w:color w:val="auto"/>
        </w:rPr>
      </w:pPr>
    </w:p>
    <w:p>
      <w:pPr>
        <w:ind w:right="200" w:firstLine="656"/>
        <w:spacing w:after="0" w:line="257" w:lineRule="auto"/>
        <w:tabs>
          <w:tab w:leader="none" w:pos="129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of the Corporation, at a meeting duly convened and held on February 15, 2005, adopted resolutions proposing and declaring it advisable and in the best interests of the Corporation that the Restated Certificate of Incorporation of the Corporation be amended as follows:</w:t>
      </w:r>
    </w:p>
    <w:p>
      <w:pPr>
        <w:spacing w:after="0" w:line="173" w:lineRule="exact"/>
        <w:rPr>
          <w:sz w:val="20"/>
          <w:szCs w:val="20"/>
          <w:color w:val="auto"/>
        </w:rPr>
      </w:pPr>
    </w:p>
    <w:p>
      <w:pPr>
        <w:ind w:left="660" w:right="180" w:hanging="4"/>
        <w:spacing w:after="0" w:line="271" w:lineRule="auto"/>
        <w:tabs>
          <w:tab w:leader="none" w:pos="130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First of the Restated Certificate of Incorporation is amended in its entirety by substituting in lieu thereof the following:</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FIRST: </w:t>
      </w:r>
      <w:r>
        <w:rPr>
          <w:rFonts w:ascii="Times New Roman" w:cs="Times New Roman" w:eastAsia="Times New Roman" w:hAnsi="Times New Roman"/>
          <w:sz w:val="22"/>
          <w:szCs w:val="22"/>
          <w:b w:val="1"/>
          <w:bCs w:val="1"/>
          <w:color w:val="auto"/>
        </w:rPr>
        <w:t>Name.</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name of the Corporation is The Hershey Company.</w:t>
      </w:r>
    </w:p>
    <w:p>
      <w:pPr>
        <w:spacing w:after="0" w:line="206" w:lineRule="exact"/>
        <w:rPr>
          <w:sz w:val="20"/>
          <w:szCs w:val="20"/>
          <w:color w:val="auto"/>
        </w:rPr>
      </w:pPr>
    </w:p>
    <w:p>
      <w:pPr>
        <w:ind w:right="20" w:firstLine="656"/>
        <w:spacing w:after="0" w:line="236" w:lineRule="auto"/>
        <w:tabs>
          <w:tab w:leader="none" w:pos="129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Fourth, the first two sentences of subparagraph A, subparagraph A1, and subparagraph A2 of the Restated Certificate of Incorporation are amended in their entirety by substituting in lieu thereof the following:</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FOURTH: </w:t>
      </w:r>
      <w:r>
        <w:rPr>
          <w:rFonts w:ascii="Times New Roman" w:cs="Times New Roman" w:eastAsia="Times New Roman" w:hAnsi="Times New Roman"/>
          <w:sz w:val="22"/>
          <w:szCs w:val="22"/>
          <w:b w:val="1"/>
          <w:bCs w:val="1"/>
          <w:color w:val="auto"/>
        </w:rPr>
        <w:t>Capital Stock.</w:t>
      </w:r>
    </w:p>
    <w:p>
      <w:pPr>
        <w:spacing w:after="0" w:line="179" w:lineRule="exact"/>
        <w:rPr>
          <w:sz w:val="20"/>
          <w:szCs w:val="20"/>
          <w:color w:val="auto"/>
        </w:rPr>
      </w:pPr>
    </w:p>
    <w:p>
      <w:pPr>
        <w:ind w:left="660" w:right="220" w:firstLine="644"/>
        <w:spacing w:after="0" w:line="227" w:lineRule="auto"/>
        <w:tabs>
          <w:tab w:leader="none" w:pos="195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Classes and Number of Shares</w:t>
      </w:r>
      <w:r>
        <w:rPr>
          <w:rFonts w:ascii="Times New Roman" w:cs="Times New Roman" w:eastAsia="Times New Roman" w:hAnsi="Times New Roman"/>
          <w:sz w:val="22"/>
          <w:szCs w:val="22"/>
          <w:color w:val="auto"/>
        </w:rPr>
        <w:t>. The total number of shares of all classes of stock which the Corporation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have authority to issue is 1,055,000,000 shares. The classes and the aggregate number of shares of stock of each class which the Corporation shall have authority to issue are as follows:</w:t>
      </w:r>
    </w:p>
    <w:p>
      <w:pPr>
        <w:spacing w:after="0" w:line="13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900,000,000 shares of Common Stock, one dollar ($1.00) par value (hereinafter the “Common</w:t>
      </w: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w:t>
      </w:r>
    </w:p>
    <w:p>
      <w:pPr>
        <w:spacing w:after="0" w:line="155" w:lineRule="exact"/>
        <w:rPr>
          <w:rFonts w:ascii="Times New Roman" w:cs="Times New Roman" w:eastAsia="Times New Roman" w:hAnsi="Times New Roman"/>
          <w:sz w:val="22"/>
          <w:szCs w:val="22"/>
          <w:color w:val="auto"/>
        </w:rPr>
      </w:pPr>
    </w:p>
    <w:p>
      <w:pPr>
        <w:ind w:left="1300" w:firstLine="652"/>
        <w:spacing w:after="0" w:line="236" w:lineRule="auto"/>
        <w:tabs>
          <w:tab w:leader="none" w:pos="2596"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150,000,000 shares of Class B Common Stock, one dollar ($1.00) par value (hereinafter the “Class B Common Stock”).</w:t>
      </w:r>
    </w:p>
    <w:p>
      <w:pPr>
        <w:spacing w:after="0" w:line="177" w:lineRule="exact"/>
        <w:rPr>
          <w:rFonts w:ascii="Times New Roman" w:cs="Times New Roman" w:eastAsia="Times New Roman" w:hAnsi="Times New Roman"/>
          <w:sz w:val="22"/>
          <w:szCs w:val="22"/>
          <w:color w:val="auto"/>
        </w:rPr>
      </w:pPr>
    </w:p>
    <w:p>
      <w:pPr>
        <w:ind w:right="40" w:firstLine="656"/>
        <w:spacing w:after="0" w:line="252" w:lineRule="auto"/>
        <w:tabs>
          <w:tab w:leader="none" w:pos="129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Thereafter, pursuant to resolution of the Board of Directors of the Corporation, an annual meeting of the stockholders of the Corporation was duly called and held on April 19, 2005, upon notice in accordance with Section 222 of the General Corporation Law of the State of Delaware, at which meeting the necessary number of shares as required by statute were voted in favor of the foregoing amendments.</w:t>
      </w:r>
    </w:p>
    <w:p>
      <w:pPr>
        <w:spacing w:after="0" w:line="152" w:lineRule="exact"/>
        <w:rPr>
          <w:rFonts w:ascii="Times New Roman" w:cs="Times New Roman" w:eastAsia="Times New Roman" w:hAnsi="Times New Roman"/>
          <w:sz w:val="22"/>
          <w:szCs w:val="22"/>
          <w:color w:val="auto"/>
        </w:rPr>
      </w:pPr>
    </w:p>
    <w:p>
      <w:pPr>
        <w:ind w:right="680" w:firstLine="656"/>
        <w:spacing w:after="0" w:line="236" w:lineRule="auto"/>
        <w:tabs>
          <w:tab w:leader="none" w:pos="86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amendments were duly adopted in accordance with the provisions of Section 242 of the General Corporation Law of the State of Delaware.</w:t>
      </w:r>
    </w:p>
    <w:p>
      <w:pPr>
        <w:sectPr>
          <w:pgSz w:w="11900" w:h="16838" w:orient="portrait"/>
          <w:cols w:equalWidth="0" w:num="1">
            <w:col w:w="11140"/>
          </w:cols>
          <w:pgMar w:left="320" w:top="1418" w:right="439" w:bottom="1440" w:gutter="0" w:footer="0" w:header="0"/>
        </w:sectPr>
      </w:pPr>
    </w:p>
    <w:bookmarkStart w:id="59" w:name="page60"/>
    <w:bookmarkEnd w:id="59"/>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Corporation has caused this Certificate to be signed by Richard H. Lenny, its Chairman, President and Chief Executive Officer, the 19th day of April 2005.</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HERSHEY FOODS CORPORATION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u w:val="single" w:color="auto"/>
          <w:color w:val="auto"/>
        </w:rPr>
        <w:t>/s/Richard H. Lenny</w:t>
      </w:r>
    </w:p>
    <w:p>
      <w:pPr>
        <w:spacing w:after="0" w:line="3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Richard H. Lenny,</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Chairman, President and</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980"/>
          </w:cols>
          <w:pgMar w:left="320" w:top="1422" w:right="59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CERTIFICATE OF AMENDMENT</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RESTATED CERTIFICATE OF INCORPORATION</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HERSHEY FOODS CORPORATION</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22"/>
          <w:szCs w:val="22"/>
          <w:color w:val="auto"/>
        </w:rPr>
        <w:t>Hershey Foods Corporation (the “Corporation”), a corporation organized and existing under and by virtue of the General Corporation Law of the State of Delaware, DOES HEREBY CERTIFY:</w:t>
      </w:r>
    </w:p>
    <w:p>
      <w:pPr>
        <w:spacing w:after="0" w:line="144" w:lineRule="exact"/>
        <w:rPr>
          <w:sz w:val="20"/>
          <w:szCs w:val="20"/>
          <w:color w:val="auto"/>
        </w:rPr>
      </w:pPr>
    </w:p>
    <w:p>
      <w:pPr>
        <w:ind w:left="660" w:right="140"/>
        <w:spacing w:after="0" w:line="236" w:lineRule="auto"/>
        <w:rPr>
          <w:sz w:val="20"/>
          <w:szCs w:val="20"/>
          <w:color w:val="auto"/>
        </w:rPr>
      </w:pPr>
      <w:r>
        <w:rPr>
          <w:rFonts w:ascii="Times New Roman" w:cs="Times New Roman" w:eastAsia="Times New Roman" w:hAnsi="Times New Roman"/>
          <w:sz w:val="21"/>
          <w:szCs w:val="21"/>
          <w:color w:val="auto"/>
        </w:rPr>
        <w:t>FIRST: That the Board of Directors of the Corporation at a meeting duly convened and held on February 10, 1988, adopted resolutions proposing and declaring it advisable and in the best interests of the Corporation that Subparagraph D of the Fourth paragraph of the Restated Certificate of Incorporation of the Corporation be amended to read as follows:</w:t>
      </w:r>
    </w:p>
    <w:p>
      <w:pPr>
        <w:spacing w:after="0" w:line="179"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2"/>
          <w:szCs w:val="22"/>
          <w:color w:val="auto"/>
        </w:rPr>
        <w:t>“FOURTH:</w:t>
      </w:r>
      <w:r>
        <w:rPr>
          <w:sz w:val="20"/>
          <w:szCs w:val="20"/>
          <w:color w:val="auto"/>
        </w:rPr>
        <w:tab/>
      </w:r>
      <w:r>
        <w:rPr>
          <w:rFonts w:ascii="Times New Roman" w:cs="Times New Roman" w:eastAsia="Times New Roman" w:hAnsi="Times New Roman"/>
          <w:sz w:val="21"/>
          <w:szCs w:val="21"/>
          <w:color w:val="auto"/>
        </w:rPr>
        <w:t>Capital Stock.</w:t>
      </w:r>
    </w:p>
    <w:p>
      <w:pPr>
        <w:spacing w:after="0" w:line="220" w:lineRule="exact"/>
        <w:rPr>
          <w:sz w:val="20"/>
          <w:szCs w:val="20"/>
          <w:color w:val="auto"/>
        </w:rPr>
      </w:pPr>
    </w:p>
    <w:p>
      <w:pPr>
        <w:ind w:left="660" w:firstLine="648"/>
        <w:spacing w:after="0" w:line="247" w:lineRule="auto"/>
        <w:rPr>
          <w:sz w:val="20"/>
          <w:szCs w:val="20"/>
          <w:color w:val="auto"/>
        </w:rPr>
      </w:pPr>
      <w:r>
        <w:rPr>
          <w:rFonts w:ascii="Times New Roman" w:cs="Times New Roman" w:eastAsia="Times New Roman" w:hAnsi="Times New Roman"/>
          <w:sz w:val="22"/>
          <w:szCs w:val="22"/>
          <w:color w:val="auto"/>
        </w:rPr>
        <w:t>D. Issuance of the Common Stock and the Preferred Stock. The Board of Directors of the Corporation may from time to time authorize by resolution the issuance of any or all shares of the Common Stock and the Preferred Stock herein authorized in accordance with the terms and conditions set forth in this Restated Certificate of Incorporation for such purposes, in such amounts, to such persons, corporations, or entities, for such consideration, and in the case of the Preferred Stock, in one or more series, all as the Board of Directors in its discretion may determine and without any vote or other action by the stockholders, except as otherwise required by law, provided, however, that, subject to the provisions of subparagraph B.7 of this paragraph FOURTH, the approval of Hershey Trust Company (a Pennsylvania corporation), as Trustee for Milton Hershey School (a Pennsylvania not-for-profit corporation), under Deed of Trust dated November 15, 1909, or any successor to Hershey Trust Company as Trustee for Milton Hershey School, or Milton Hershey School, as appropriate, shall be obtained prior to the Board of Directors of the Corporation authorizing the issuance of any shares of the Common Stock or the Preferred Stock, or taking any other action, which would cause said Hershey Trust Company, successor Trustee, or Milton Hershey School to cease to be able at any time (either at a meeting of stockholders or by written consent) to cast a majority of the votes entitled to be cast with regard to any matter upon which the Class B Common Stock is entitled to vote either separately as a class or together with any other class. At any time shares of the Class B Common Stock are outstanding, the Board of Directors may issue shares of the Common Stock in the form of a distribution or distributions pursuant to a stock dividend on or split-up of the shares of the Common Stock only to the then holders of the outstanding shares of the Common Stock and in conjunction with and in the same ratio as a stock dividend on or split-up of the shares of the Class B Common Stock.”</w:t>
      </w:r>
    </w:p>
    <w:p>
      <w:pPr>
        <w:sectPr>
          <w:pgSz w:w="11900" w:h="16838" w:orient="portrait"/>
          <w:cols w:equalWidth="0" w:num="1">
            <w:col w:w="11240"/>
          </w:cols>
          <w:pgMar w:left="320" w:top="1418" w:right="339" w:bottom="1440" w:gutter="0" w:footer="0" w:header="0"/>
        </w:sectPr>
      </w:pPr>
    </w:p>
    <w:bookmarkStart w:id="61" w:name="page62"/>
    <w:bookmarkEnd w:id="61"/>
    <w:p>
      <w:pPr>
        <w:ind w:left="660"/>
        <w:spacing w:after="0" w:line="220" w:lineRule="auto"/>
        <w:rPr>
          <w:sz w:val="20"/>
          <w:szCs w:val="20"/>
          <w:color w:val="auto"/>
        </w:rPr>
      </w:pPr>
      <w:r>
        <w:rPr>
          <w:rFonts w:ascii="Times New Roman" w:cs="Times New Roman" w:eastAsia="Times New Roman" w:hAnsi="Times New Roman"/>
          <w:sz w:val="22"/>
          <w:szCs w:val="22"/>
          <w:color w:val="auto"/>
        </w:rPr>
        <w:t>SECOND: That thereafter, pursuant to resolution of the Board of Directors of the Corporation, an annual meeting of the stockholders of the Corporation was duly called and held on April 25, 1988, upon notice in accordance with Section 222 of the General Corporation Law of the State of Delaware, at which meeting the necessary number of shares as required by statute were voted in favor of the said amendment.</w:t>
      </w:r>
    </w:p>
    <w:p>
      <w:pPr>
        <w:spacing w:after="0" w:line="152" w:lineRule="exact"/>
        <w:rPr>
          <w:sz w:val="20"/>
          <w:szCs w:val="20"/>
          <w:color w:val="auto"/>
        </w:rPr>
      </w:pPr>
    </w:p>
    <w:p>
      <w:pPr>
        <w:ind w:left="660" w:right="780"/>
        <w:spacing w:after="0" w:line="236" w:lineRule="auto"/>
        <w:rPr>
          <w:sz w:val="20"/>
          <w:szCs w:val="20"/>
          <w:color w:val="auto"/>
        </w:rPr>
      </w:pPr>
      <w:r>
        <w:rPr>
          <w:rFonts w:ascii="Times New Roman" w:cs="Times New Roman" w:eastAsia="Times New Roman" w:hAnsi="Times New Roman"/>
          <w:sz w:val="22"/>
          <w:szCs w:val="22"/>
          <w:color w:val="auto"/>
        </w:rPr>
        <w:t>THIRD: That said amendment was duly adopted in accordance with the provisions of Section 242 of the General Corporation Law of the State of Delaware.</w:t>
      </w:r>
    </w:p>
    <w:p>
      <w:pPr>
        <w:spacing w:after="0" w:line="177" w:lineRule="exact"/>
        <w:rPr>
          <w:sz w:val="20"/>
          <w:szCs w:val="20"/>
          <w:color w:val="auto"/>
        </w:rPr>
      </w:pPr>
    </w:p>
    <w:p>
      <w:pPr>
        <w:ind w:right="320" w:firstLine="648"/>
        <w:spacing w:after="0" w:line="257" w:lineRule="auto"/>
        <w:rPr>
          <w:sz w:val="20"/>
          <w:szCs w:val="20"/>
          <w:color w:val="auto"/>
        </w:rPr>
      </w:pPr>
      <w:r>
        <w:rPr>
          <w:rFonts w:ascii="Times New Roman" w:cs="Times New Roman" w:eastAsia="Times New Roman" w:hAnsi="Times New Roman"/>
          <w:sz w:val="22"/>
          <w:szCs w:val="22"/>
          <w:color w:val="auto"/>
        </w:rPr>
        <w:t>IN WITNESS WHEREOF, said Hershey Foods Corporation has caused this certificate to be signed by Richard A. Zimmerman, its Chairman and Chief Executive Officer, and attested by William Lehr, Jr., its Secretary, this 25th day of April, 1988.</w:t>
      </w: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8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ATTEST:</w:t>
            </w:r>
          </w:p>
        </w:tc>
        <w:tc>
          <w:tcPr>
            <w:tcW w:w="5440" w:type="dxa"/>
            <w:vAlign w:val="bottom"/>
            <w:gridSpan w:val="3"/>
          </w:tcPr>
          <w:p>
            <w:pPr>
              <w:ind w:left="1800"/>
              <w:spacing w:after="0"/>
              <w:rPr>
                <w:sz w:val="20"/>
                <w:szCs w:val="20"/>
                <w:color w:val="auto"/>
              </w:rPr>
            </w:pPr>
            <w:r>
              <w:rPr>
                <w:rFonts w:ascii="Times New Roman" w:cs="Times New Roman" w:eastAsia="Times New Roman" w:hAnsi="Times New Roman"/>
                <w:sz w:val="22"/>
                <w:szCs w:val="22"/>
                <w:color w:val="auto"/>
              </w:rPr>
              <w:t>HERSHEY FOODS CORPORATION</w:t>
            </w:r>
          </w:p>
        </w:tc>
      </w:tr>
      <w:tr>
        <w:trPr>
          <w:trHeight w:val="447"/>
        </w:trPr>
        <w:tc>
          <w:tcPr>
            <w:tcW w:w="38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/s/ William Lehr, Jr.</w:t>
            </w:r>
          </w:p>
        </w:tc>
        <w:tc>
          <w:tcPr>
            <w:tcW w:w="5440" w:type="dxa"/>
            <w:vAlign w:val="bottom"/>
            <w:gridSpan w:val="3"/>
          </w:tcPr>
          <w:p>
            <w:pPr>
              <w:ind w:left="18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/s/ Richard A. Zimmerman</w:t>
            </w:r>
          </w:p>
        </w:tc>
      </w:tr>
      <w:tr>
        <w:trPr>
          <w:trHeight w:val="20"/>
        </w:trPr>
        <w:tc>
          <w:tcPr>
            <w:tcW w:w="30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63"/>
        </w:trPr>
        <w:tc>
          <w:tcPr>
            <w:tcW w:w="300" w:type="dxa"/>
            <w:vAlign w:val="bottom"/>
          </w:tcPr>
          <w:p>
            <w:pPr>
              <w:spacing w:after="0"/>
              <w:rPr>
                <w:sz w:val="22"/>
                <w:szCs w:val="22"/>
                <w:color w:val="auto"/>
              </w:rPr>
            </w:pPr>
          </w:p>
        </w:tc>
        <w:tc>
          <w:tcPr>
            <w:tcW w:w="1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William Lehr, Jr.</w:t>
            </w:r>
          </w:p>
        </w:tc>
        <w:tc>
          <w:tcPr>
            <w:tcW w:w="1780" w:type="dxa"/>
            <w:vAlign w:val="bottom"/>
          </w:tcPr>
          <w:p>
            <w:pPr>
              <w:spacing w:after="0"/>
              <w:rPr>
                <w:sz w:val="22"/>
                <w:szCs w:val="22"/>
                <w:color w:val="auto"/>
              </w:rPr>
            </w:pPr>
          </w:p>
        </w:tc>
        <w:tc>
          <w:tcPr>
            <w:tcW w:w="5440" w:type="dxa"/>
            <w:vAlign w:val="bottom"/>
            <w:gridSpan w:val="3"/>
          </w:tcPr>
          <w:p>
            <w:pPr>
              <w:ind w:left="2100"/>
              <w:spacing w:after="0"/>
              <w:rPr>
                <w:sz w:val="20"/>
                <w:szCs w:val="20"/>
                <w:color w:val="auto"/>
              </w:rPr>
            </w:pPr>
            <w:r>
              <w:rPr>
                <w:rFonts w:ascii="Times New Roman" w:cs="Times New Roman" w:eastAsia="Times New Roman" w:hAnsi="Times New Roman"/>
                <w:sz w:val="22"/>
                <w:szCs w:val="22"/>
                <w:color w:val="auto"/>
              </w:rPr>
              <w:t>Richard A. Zimmerman</w:t>
            </w:r>
          </w:p>
        </w:tc>
      </w:tr>
      <w:tr>
        <w:trPr>
          <w:trHeight w:val="282"/>
        </w:trPr>
        <w:tc>
          <w:tcPr>
            <w:tcW w:w="300" w:type="dxa"/>
            <w:vAlign w:val="bottom"/>
          </w:tcPr>
          <w:p>
            <w:pPr>
              <w:spacing w:after="0"/>
              <w:rPr>
                <w:sz w:val="24"/>
                <w:szCs w:val="24"/>
                <w:color w:val="auto"/>
              </w:rPr>
            </w:pP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Secretary</w:t>
            </w:r>
          </w:p>
        </w:tc>
        <w:tc>
          <w:tcPr>
            <w:tcW w:w="5440" w:type="dxa"/>
            <w:vAlign w:val="bottom"/>
            <w:gridSpan w:val="3"/>
          </w:tcPr>
          <w:p>
            <w:pPr>
              <w:ind w:left="2100"/>
              <w:spacing w:after="0"/>
              <w:rPr>
                <w:sz w:val="20"/>
                <w:szCs w:val="20"/>
                <w:color w:val="auto"/>
              </w:rPr>
            </w:pPr>
            <w:r>
              <w:rPr>
                <w:rFonts w:ascii="Times New Roman" w:cs="Times New Roman" w:eastAsia="Times New Roman" w:hAnsi="Times New Roman"/>
                <w:sz w:val="22"/>
                <w:szCs w:val="22"/>
                <w:color w:val="auto"/>
                <w:w w:val="97"/>
              </w:rPr>
              <w:t>Chairman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(SEAL)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00"/>
          </w:cols>
          <w:pgMar w:left="320" w:top="1395" w:right="379" w:bottom="1440" w:gutter="0" w:footer="0" w:header="0"/>
        </w:sectPr>
      </w:pPr>
    </w:p>
    <w:bookmarkStart w:id="62" w:name="page63"/>
    <w:bookmarkEnd w:id="62"/>
    <w:p>
      <w:pPr>
        <w:ind w:left="3940"/>
        <w:spacing w:after="0"/>
        <w:rPr>
          <w:sz w:val="20"/>
          <w:szCs w:val="20"/>
          <w:color w:val="auto"/>
        </w:rPr>
      </w:pPr>
      <w:r>
        <w:rPr>
          <w:rFonts w:ascii="Times New Roman" w:cs="Times New Roman" w:eastAsia="Times New Roman" w:hAnsi="Times New Roman"/>
          <w:sz w:val="22"/>
          <w:szCs w:val="22"/>
          <w:b w:val="1"/>
          <w:bCs w:val="1"/>
          <w:color w:val="auto"/>
        </w:rPr>
        <w:t>CERTIFICATE OF AMENDMENT</w:t>
      </w:r>
    </w:p>
    <w:p>
      <w:pPr>
        <w:spacing w:after="0" w:line="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b w:val="1"/>
          <w:bCs w:val="1"/>
          <w:color w:val="auto"/>
        </w:rPr>
        <w:t>RESTATED CERTIFICATE OF INCORPORATION</w:t>
      </w:r>
    </w:p>
    <w:p>
      <w:pPr>
        <w:spacing w:after="0" w:line="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HERSHEY FOODS CORPORATION</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120" w:firstLine="648"/>
        <w:spacing w:after="0" w:line="271" w:lineRule="auto"/>
        <w:rPr>
          <w:sz w:val="20"/>
          <w:szCs w:val="20"/>
          <w:color w:val="auto"/>
        </w:rPr>
      </w:pPr>
      <w:r>
        <w:rPr>
          <w:rFonts w:ascii="Times New Roman" w:cs="Times New Roman" w:eastAsia="Times New Roman" w:hAnsi="Times New Roman"/>
          <w:sz w:val="22"/>
          <w:szCs w:val="22"/>
          <w:color w:val="auto"/>
        </w:rPr>
        <w:t>Hershey Foods Corporation (the “Corporation”), a corporation organized and existing under and by virtue of the General Corporation Law of the State of Delaware, does hereby certify as follows:</w:t>
      </w:r>
    </w:p>
    <w:p>
      <w:pPr>
        <w:spacing w:after="0" w:line="144" w:lineRule="exact"/>
        <w:rPr>
          <w:sz w:val="20"/>
          <w:szCs w:val="20"/>
          <w:color w:val="auto"/>
        </w:rPr>
      </w:pPr>
    </w:p>
    <w:p>
      <w:pPr>
        <w:ind w:right="280" w:firstLine="656"/>
        <w:spacing w:after="0" w:line="225" w:lineRule="auto"/>
        <w:tabs>
          <w:tab w:leader="none" w:pos="12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of the Corporation, at a meeting duly convened and held on February 11, 1987, adopted resolutions proposing and declaring it advisable and in the best interests of the Corporation that the Restated Certificate of Incorporation of the Corporation be amended as follows:</w:t>
      </w:r>
    </w:p>
    <w:p>
      <w:pPr>
        <w:spacing w:after="0" w:line="153" w:lineRule="exact"/>
        <w:rPr>
          <w:sz w:val="20"/>
          <w:szCs w:val="20"/>
          <w:color w:val="auto"/>
        </w:rPr>
      </w:pPr>
    </w:p>
    <w:p>
      <w:pPr>
        <w:ind w:right="220" w:firstLine="656"/>
        <w:spacing w:after="0" w:line="236" w:lineRule="auto"/>
        <w:tabs>
          <w:tab w:leader="none" w:pos="129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two sentences of subparagraph A and the first sentence of subparagraph A1 of the Fourth Article of the Restated Certificate of Incorporation are amended by substituting in lieu thereof the following:</w:t>
      </w:r>
    </w:p>
    <w:p>
      <w:pPr>
        <w:spacing w:after="0" w:line="150" w:lineRule="exact"/>
        <w:rPr>
          <w:rFonts w:ascii="Times New Roman" w:cs="Times New Roman" w:eastAsia="Times New Roman" w:hAnsi="Times New Roman"/>
          <w:sz w:val="22"/>
          <w:szCs w:val="22"/>
          <w:color w:val="auto"/>
        </w:rPr>
      </w:pPr>
    </w:p>
    <w:p>
      <w:pPr>
        <w:ind w:left="660" w:right="100" w:firstLine="644"/>
        <w:spacing w:after="0" w:line="225" w:lineRule="auto"/>
        <w:tabs>
          <w:tab w:leader="none" w:pos="195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Classes and Number of Shares</w:t>
      </w:r>
      <w:r>
        <w:rPr>
          <w:rFonts w:ascii="Times New Roman" w:cs="Times New Roman" w:eastAsia="Times New Roman" w:hAnsi="Times New Roman"/>
          <w:sz w:val="22"/>
          <w:szCs w:val="22"/>
          <w:color w:val="auto"/>
        </w:rPr>
        <w:t>. The total number of shares of all classes of stock which the Corporation shall have authority to issue is 530,000,000 shares. The classes and the aggregate number of shares of stock of each class which the Corporation shall have authority to issue are as follows:</w:t>
      </w:r>
    </w:p>
    <w:p>
      <w:pPr>
        <w:spacing w:after="0" w:line="13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450,000,000 shares of Common Stock, one dollar ($1.00) par value (hereinafter the “Common</w:t>
      </w: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w:t>
      </w:r>
    </w:p>
    <w:p>
      <w:pPr>
        <w:spacing w:after="0" w:line="155" w:lineRule="exact"/>
        <w:rPr>
          <w:rFonts w:ascii="Times New Roman" w:cs="Times New Roman" w:eastAsia="Times New Roman" w:hAnsi="Times New Roman"/>
          <w:sz w:val="22"/>
          <w:szCs w:val="22"/>
          <w:color w:val="auto"/>
        </w:rPr>
      </w:pPr>
    </w:p>
    <w:p>
      <w:pPr>
        <w:ind w:right="40" w:firstLine="656"/>
        <w:spacing w:after="0" w:line="236" w:lineRule="auto"/>
        <w:tabs>
          <w:tab w:leader="none" w:pos="129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Sixth Article of the Restated Certificate of Incorporation is amended by re-lettering the current subparagraphs B and C of said Article to C and D, respectively, and adding a new subparagraph B as follows:</w:t>
      </w:r>
    </w:p>
    <w:p>
      <w:pPr>
        <w:spacing w:after="0" w:line="150" w:lineRule="exact"/>
        <w:rPr>
          <w:rFonts w:ascii="Times New Roman" w:cs="Times New Roman" w:eastAsia="Times New Roman" w:hAnsi="Times New Roman"/>
          <w:sz w:val="22"/>
          <w:szCs w:val="22"/>
          <w:color w:val="auto"/>
        </w:rPr>
      </w:pPr>
    </w:p>
    <w:p>
      <w:pPr>
        <w:ind w:left="660" w:firstLine="644"/>
        <w:spacing w:after="0" w:line="217" w:lineRule="auto"/>
        <w:tabs>
          <w:tab w:leader="none" w:pos="1952"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permitted by the Delaware General Corporation Law as it presently exists or may be amended from time to time, no director of the Corporation shall be liable to the Corporation or its stockholders for monetary damages for breach of fiduciary duty as a director. Any repeal or modification of this provision shall not adversely affect any right or protection of a director of the Corporation in respect of any act or omission occurring prior to or at the time of such repeal or modification.</w:t>
      </w:r>
    </w:p>
    <w:p>
      <w:pPr>
        <w:spacing w:after="0" w:line="152" w:lineRule="exact"/>
        <w:rPr>
          <w:sz w:val="20"/>
          <w:szCs w:val="20"/>
          <w:color w:val="auto"/>
        </w:rPr>
      </w:pPr>
    </w:p>
    <w:p>
      <w:pPr>
        <w:ind w:right="120" w:firstLine="656"/>
        <w:spacing w:after="0" w:line="220" w:lineRule="auto"/>
        <w:tabs>
          <w:tab w:leader="none" w:pos="12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Thereafter, pursuant to resolution of the Board of Directors of the Corporation, an annual meeting of the stockholders of the Corporation was duly called and held on April 27, 1987, upon notice in accordance with Section 222 of the General Corporation Law of the State of Delaware, at which meeting the necessary number of shares as required by statute were voted in favor of the foregoing amendments.</w:t>
      </w:r>
    </w:p>
    <w:p>
      <w:pPr>
        <w:spacing w:after="0" w:line="152" w:lineRule="exact"/>
        <w:rPr>
          <w:rFonts w:ascii="Times New Roman" w:cs="Times New Roman" w:eastAsia="Times New Roman" w:hAnsi="Times New Roman"/>
          <w:sz w:val="22"/>
          <w:szCs w:val="22"/>
          <w:color w:val="auto"/>
        </w:rPr>
      </w:pPr>
    </w:p>
    <w:p>
      <w:pPr>
        <w:ind w:right="320" w:firstLine="656"/>
        <w:spacing w:after="0" w:line="236" w:lineRule="auto"/>
        <w:tabs>
          <w:tab w:leader="none" w:pos="12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amendments were duly adopted in accordance with the provisions of Section 242 of the General Corporation Law of the State of Delaware.</w:t>
      </w:r>
    </w:p>
    <w:p>
      <w:pPr>
        <w:sectPr>
          <w:pgSz w:w="11900" w:h="16838" w:orient="portrait"/>
          <w:cols w:equalWidth="0" w:num="1">
            <w:col w:w="11220"/>
          </w:cols>
          <w:pgMar w:left="320" w:top="1418" w:right="359" w:bottom="1440" w:gutter="0" w:footer="0" w:header="0"/>
        </w:sectPr>
      </w:pPr>
    </w:p>
    <w:bookmarkStart w:id="63" w:name="page64"/>
    <w:bookmarkEnd w:id="63"/>
    <w:p>
      <w:pPr>
        <w:ind w:firstLine="648"/>
        <w:spacing w:after="0" w:line="257" w:lineRule="auto"/>
        <w:rPr>
          <w:sz w:val="20"/>
          <w:szCs w:val="20"/>
          <w:color w:val="auto"/>
        </w:rPr>
      </w:pPr>
      <w:r>
        <w:rPr>
          <w:rFonts w:ascii="Times New Roman" w:cs="Times New Roman" w:eastAsia="Times New Roman" w:hAnsi="Times New Roman"/>
          <w:sz w:val="22"/>
          <w:szCs w:val="22"/>
          <w:color w:val="auto"/>
        </w:rPr>
        <w:t>IN WITNESS WHEREOF, Hershey Foods Corporation has caused this Certificate to be signed by Richard A. Zimmerman, its Chairman and Chief Executive Officer, and attested by William Lehr, Jr., its Secretary, the 27th day of April, 1987.</w:t>
      </w: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8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ATTEST:</w:t>
            </w:r>
          </w:p>
        </w:tc>
        <w:tc>
          <w:tcPr>
            <w:tcW w:w="5440" w:type="dxa"/>
            <w:vAlign w:val="bottom"/>
            <w:gridSpan w:val="3"/>
          </w:tcPr>
          <w:p>
            <w:pPr>
              <w:ind w:left="1800"/>
              <w:spacing w:after="0"/>
              <w:rPr>
                <w:sz w:val="20"/>
                <w:szCs w:val="20"/>
                <w:color w:val="auto"/>
              </w:rPr>
            </w:pPr>
            <w:r>
              <w:rPr>
                <w:rFonts w:ascii="Times New Roman" w:cs="Times New Roman" w:eastAsia="Times New Roman" w:hAnsi="Times New Roman"/>
                <w:sz w:val="22"/>
                <w:szCs w:val="22"/>
                <w:color w:val="auto"/>
              </w:rPr>
              <w:t>HERSHEY FOODS CORPORATION</w:t>
            </w:r>
          </w:p>
        </w:tc>
      </w:tr>
      <w:tr>
        <w:trPr>
          <w:trHeight w:val="447"/>
        </w:trPr>
        <w:tc>
          <w:tcPr>
            <w:tcW w:w="38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/s/ William Lehr, Jr.</w:t>
            </w:r>
          </w:p>
        </w:tc>
        <w:tc>
          <w:tcPr>
            <w:tcW w:w="5440" w:type="dxa"/>
            <w:vAlign w:val="bottom"/>
            <w:gridSpan w:val="3"/>
          </w:tcPr>
          <w:p>
            <w:pPr>
              <w:ind w:left="18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/s/ Richard A. Zimmerman</w:t>
            </w:r>
          </w:p>
        </w:tc>
      </w:tr>
      <w:tr>
        <w:trPr>
          <w:trHeight w:val="20"/>
        </w:trPr>
        <w:tc>
          <w:tcPr>
            <w:tcW w:w="30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63"/>
        </w:trPr>
        <w:tc>
          <w:tcPr>
            <w:tcW w:w="300" w:type="dxa"/>
            <w:vAlign w:val="bottom"/>
          </w:tcPr>
          <w:p>
            <w:pPr>
              <w:spacing w:after="0"/>
              <w:rPr>
                <w:sz w:val="22"/>
                <w:szCs w:val="22"/>
                <w:color w:val="auto"/>
              </w:rPr>
            </w:pPr>
          </w:p>
        </w:tc>
        <w:tc>
          <w:tcPr>
            <w:tcW w:w="1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William Lehr, Jr.</w:t>
            </w:r>
          </w:p>
        </w:tc>
        <w:tc>
          <w:tcPr>
            <w:tcW w:w="1780" w:type="dxa"/>
            <w:vAlign w:val="bottom"/>
          </w:tcPr>
          <w:p>
            <w:pPr>
              <w:spacing w:after="0"/>
              <w:rPr>
                <w:sz w:val="22"/>
                <w:szCs w:val="22"/>
                <w:color w:val="auto"/>
              </w:rPr>
            </w:pPr>
          </w:p>
        </w:tc>
        <w:tc>
          <w:tcPr>
            <w:tcW w:w="5440" w:type="dxa"/>
            <w:vAlign w:val="bottom"/>
            <w:gridSpan w:val="3"/>
          </w:tcPr>
          <w:p>
            <w:pPr>
              <w:ind w:left="2100"/>
              <w:spacing w:after="0"/>
              <w:rPr>
                <w:sz w:val="20"/>
                <w:szCs w:val="20"/>
                <w:color w:val="auto"/>
              </w:rPr>
            </w:pPr>
            <w:r>
              <w:rPr>
                <w:rFonts w:ascii="Times New Roman" w:cs="Times New Roman" w:eastAsia="Times New Roman" w:hAnsi="Times New Roman"/>
                <w:sz w:val="22"/>
                <w:szCs w:val="22"/>
                <w:color w:val="auto"/>
              </w:rPr>
              <w:t>Richard A. Zimmerman</w:t>
            </w:r>
          </w:p>
        </w:tc>
      </w:tr>
      <w:tr>
        <w:trPr>
          <w:trHeight w:val="282"/>
        </w:trPr>
        <w:tc>
          <w:tcPr>
            <w:tcW w:w="300" w:type="dxa"/>
            <w:vAlign w:val="bottom"/>
          </w:tcPr>
          <w:p>
            <w:pPr>
              <w:spacing w:after="0"/>
              <w:rPr>
                <w:sz w:val="24"/>
                <w:szCs w:val="24"/>
                <w:color w:val="auto"/>
              </w:rPr>
            </w:pP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Secretary</w:t>
            </w:r>
          </w:p>
        </w:tc>
        <w:tc>
          <w:tcPr>
            <w:tcW w:w="5440" w:type="dxa"/>
            <w:vAlign w:val="bottom"/>
            <w:gridSpan w:val="3"/>
          </w:tcPr>
          <w:p>
            <w:pPr>
              <w:ind w:left="2100"/>
              <w:spacing w:after="0"/>
              <w:rPr>
                <w:sz w:val="20"/>
                <w:szCs w:val="20"/>
                <w:color w:val="auto"/>
              </w:rPr>
            </w:pPr>
            <w:r>
              <w:rPr>
                <w:rFonts w:ascii="Times New Roman" w:cs="Times New Roman" w:eastAsia="Times New Roman" w:hAnsi="Times New Roman"/>
                <w:sz w:val="22"/>
                <w:szCs w:val="22"/>
                <w:color w:val="auto"/>
                <w:w w:val="97"/>
              </w:rPr>
              <w:t>Chairman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840"/>
          </w:cols>
          <w:pgMar w:left="320" w:top="1422" w:right="739" w:bottom="1440" w:gutter="0" w:footer="0" w:header="0"/>
        </w:sectPr>
      </w:pPr>
    </w:p>
    <w:bookmarkStart w:id="64" w:name="page65"/>
    <w:bookmarkEnd w:id="64"/>
    <w:p>
      <w:pPr>
        <w:ind w:left="5060"/>
        <w:spacing w:after="0"/>
        <w:rPr>
          <w:sz w:val="20"/>
          <w:szCs w:val="20"/>
          <w:color w:val="auto"/>
        </w:rPr>
      </w:pPr>
      <w:r>
        <w:rPr>
          <w:rFonts w:ascii="Times New Roman" w:cs="Times New Roman" w:eastAsia="Times New Roman" w:hAnsi="Times New Roman"/>
          <w:sz w:val="22"/>
          <w:szCs w:val="22"/>
          <w:b w:val="1"/>
          <w:bCs w:val="1"/>
          <w:color w:val="auto"/>
        </w:rPr>
        <w:t>RESTATED</w:t>
      </w:r>
    </w:p>
    <w:p>
      <w:pPr>
        <w:spacing w:after="0" w:line="3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CERTIFICATE OF INCORPORATION</w:t>
      </w:r>
    </w:p>
    <w:p>
      <w:pPr>
        <w:spacing w:after="0" w:line="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HERSHEY FOODS CORPORATION</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(under Section 245 of the Delaware General Corporation Law)</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Hershey Foods Corporation (the “Corporation”) was originally incorporated as Hershey Chocolate Corporation. The Corporation’s original Certificate of Incorporation was filed with the Secretary of State of Delaware on October 24, 1927. This Restated Certificate of Incorporation was proposed to the stockholders of the Corporation by the Board of Directors on August 25, 1984, and duly adopted in accordance with the provisions of Sections 242 and 245 of the Delaware General Corporation Law, as amended, by an affirmative vote of the holders of at least a majority of all outstanding stock entitled to vote at a meeting of stockholders of the Corporation held at Hershey, Pennsylvania on October 9, 1984. The Restated Certificate of Incorporation as previously and herewith amended is hereby restated to read in its entirety as follows:</w:t>
      </w:r>
    </w:p>
    <w:p>
      <w:pPr>
        <w:spacing w:after="0" w:line="149"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22"/>
          <w:szCs w:val="22"/>
          <w:color w:val="auto"/>
        </w:rPr>
        <w:t>FIRST:</w:t>
      </w:r>
      <w:r>
        <w:rPr>
          <w:sz w:val="20"/>
          <w:szCs w:val="20"/>
          <w:color w:val="auto"/>
        </w:rPr>
        <w:tab/>
      </w:r>
      <w:r>
        <w:rPr>
          <w:rFonts w:ascii="Times New Roman" w:cs="Times New Roman" w:eastAsia="Times New Roman" w:hAnsi="Times New Roman"/>
          <w:sz w:val="22"/>
          <w:szCs w:val="22"/>
          <w:b w:val="1"/>
          <w:bCs w:val="1"/>
          <w:color w:val="auto"/>
        </w:rPr>
        <w:t>Name.</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name of the Corporation is HERSHEY FOODS CORPORATION.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SECOND: </w:t>
      </w:r>
      <w:r>
        <w:rPr>
          <w:rFonts w:ascii="Times New Roman" w:cs="Times New Roman" w:eastAsia="Times New Roman" w:hAnsi="Times New Roman"/>
          <w:sz w:val="22"/>
          <w:szCs w:val="22"/>
          <w:b w:val="1"/>
          <w:bCs w:val="1"/>
          <w:color w:val="auto"/>
        </w:rPr>
        <w:t>Registered Office and Agent.</w:t>
      </w:r>
    </w:p>
    <w:p>
      <w:pPr>
        <w:spacing w:after="0" w:line="210"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22"/>
          <w:szCs w:val="22"/>
          <w:color w:val="auto"/>
        </w:rPr>
        <w:t>The address of the registered office of the Corporation in the State of Delaware is Corporation Trust Center, 1209 Orange Street, in the City of Wilmington, County of New Castle. The name of its registered agent at such address is The Corporation Trust Company.</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THIRD: </w:t>
      </w:r>
      <w:r>
        <w:rPr>
          <w:rFonts w:ascii="Times New Roman" w:cs="Times New Roman" w:eastAsia="Times New Roman" w:hAnsi="Times New Roman"/>
          <w:sz w:val="22"/>
          <w:szCs w:val="22"/>
          <w:b w:val="1"/>
          <w:bCs w:val="1"/>
          <w:color w:val="auto"/>
        </w:rPr>
        <w:t>Purpose and Business.</w:t>
      </w:r>
    </w:p>
    <w:p>
      <w:pPr>
        <w:spacing w:after="0" w:line="210"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The purpose of the Corporation is to engage in any lawful act or activity for which corporations may be organized under the Delaware General Corporation Law and to conduct and promote any business in connection therewith.</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FOURTH: </w:t>
      </w:r>
      <w:r>
        <w:rPr>
          <w:rFonts w:ascii="Times New Roman" w:cs="Times New Roman" w:eastAsia="Times New Roman" w:hAnsi="Times New Roman"/>
          <w:sz w:val="22"/>
          <w:szCs w:val="22"/>
          <w:b w:val="1"/>
          <w:bCs w:val="1"/>
          <w:color w:val="auto"/>
        </w:rPr>
        <w:t>Capital Stock.</w:t>
      </w:r>
    </w:p>
    <w:p>
      <w:pPr>
        <w:spacing w:after="0" w:line="179" w:lineRule="exact"/>
        <w:rPr>
          <w:sz w:val="20"/>
          <w:szCs w:val="20"/>
          <w:color w:val="auto"/>
        </w:rPr>
      </w:pPr>
    </w:p>
    <w:p>
      <w:pPr>
        <w:ind w:left="660" w:right="100" w:firstLine="644"/>
        <w:spacing w:after="0" w:line="227" w:lineRule="auto"/>
        <w:tabs>
          <w:tab w:leader="none" w:pos="195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Classes and Number of Shares</w:t>
      </w:r>
      <w:r>
        <w:rPr>
          <w:rFonts w:ascii="Times New Roman" w:cs="Times New Roman" w:eastAsia="Times New Roman" w:hAnsi="Times New Roman"/>
          <w:sz w:val="22"/>
          <w:szCs w:val="22"/>
          <w:color w:val="auto"/>
        </w:rPr>
        <w:t>. The total number of shares of all classes of stock which the Corporation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have authority to issue is 230,000,000 shares. The classes and the aggregate number of shares of stock of each class which the Corporation shall have authority to issue are as follows:</w:t>
      </w:r>
    </w:p>
    <w:p>
      <w:pPr>
        <w:spacing w:after="0" w:line="150" w:lineRule="exact"/>
        <w:rPr>
          <w:rFonts w:ascii="Times New Roman" w:cs="Times New Roman" w:eastAsia="Times New Roman" w:hAnsi="Times New Roman"/>
          <w:sz w:val="22"/>
          <w:szCs w:val="22"/>
          <w:color w:val="auto"/>
        </w:rPr>
      </w:pPr>
    </w:p>
    <w:p>
      <w:pPr>
        <w:ind w:left="1300" w:firstLine="652"/>
        <w:spacing w:after="0" w:line="227" w:lineRule="auto"/>
        <w:tabs>
          <w:tab w:leader="none" w:pos="2596"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150,000,000 shares of Common Stock, one dollar ($1.00) par value (hereinafter the “Common Stock”). Upon the filing of this Restated Certificate of Incorporation, each issued share of common stock without par value of the Corporation, including the 31,337,112 shares of said common stock without par value outstanding as of said filing date, and including also any shares of said common stock without par value held in treasury by the Corporation, shall, without any action on the part of the respective holders thereof, be reclassified as</w:t>
      </w:r>
    </w:p>
    <w:p>
      <w:pPr>
        <w:sectPr>
          <w:pgSz w:w="11900" w:h="16838" w:orient="portrait"/>
          <w:cols w:equalWidth="0" w:num="1">
            <w:col w:w="11220"/>
          </w:cols>
          <w:pgMar w:left="320" w:top="1418" w:right="359" w:bottom="1440" w:gutter="0" w:footer="0" w:header="0"/>
        </w:sectPr>
      </w:pPr>
    </w:p>
    <w:bookmarkStart w:id="65" w:name="page66"/>
    <w:bookmarkEnd w:id="65"/>
    <w:p>
      <w:pPr>
        <w:jc w:val="both"/>
        <w:ind w:left="180" w:right="180"/>
        <w:spacing w:after="0" w:line="225" w:lineRule="auto"/>
        <w:rPr>
          <w:sz w:val="20"/>
          <w:szCs w:val="20"/>
          <w:color w:val="auto"/>
        </w:rPr>
      </w:pPr>
      <w:r>
        <w:rPr>
          <w:rFonts w:ascii="Times New Roman" w:cs="Times New Roman" w:eastAsia="Times New Roman" w:hAnsi="Times New Roman"/>
          <w:sz w:val="22"/>
          <w:szCs w:val="22"/>
          <w:color w:val="auto"/>
        </w:rPr>
        <w:t>and changed into one share of Common Stock, and the amount of capital represented by such shares of Common Stock in the aggregate shall be the same as the aggregate amount of capital represented by the shares of common stock without par value so reclassified and changed.</w:t>
      </w:r>
    </w:p>
    <w:p>
      <w:pPr>
        <w:spacing w:after="0" w:line="152" w:lineRule="exact"/>
        <w:rPr>
          <w:sz w:val="20"/>
          <w:szCs w:val="20"/>
          <w:color w:val="auto"/>
        </w:rPr>
      </w:pPr>
    </w:p>
    <w:p>
      <w:pPr>
        <w:ind w:left="180" w:firstLine="652"/>
        <w:spacing w:after="0" w:line="236" w:lineRule="auto"/>
        <w:tabs>
          <w:tab w:leader="none" w:pos="1476"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75,000,000 shares of Class B Common Stock, one dollar ($1.00) par value (hereinafter the “Class B Common Stock”).</w:t>
      </w:r>
    </w:p>
    <w:p>
      <w:pPr>
        <w:spacing w:after="0" w:line="137" w:lineRule="exact"/>
        <w:rPr>
          <w:rFonts w:ascii="Times New Roman" w:cs="Times New Roman" w:eastAsia="Times New Roman" w:hAnsi="Times New Roman"/>
          <w:sz w:val="22"/>
          <w:szCs w:val="22"/>
          <w:color w:val="auto"/>
        </w:rPr>
      </w:pPr>
    </w:p>
    <w:p>
      <w:pPr>
        <w:ind w:left="1480" w:hanging="648"/>
        <w:spacing w:after="0"/>
        <w:tabs>
          <w:tab w:leader="none" w:pos="148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5,000,000 shares of Preferred Stock, one dollar ($1.00) par value (hereinafter the “Preferred</w:t>
      </w: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w:t>
      </w:r>
    </w:p>
    <w:p>
      <w:pPr>
        <w:spacing w:after="0" w:line="151" w:lineRule="exact"/>
        <w:rPr>
          <w:rFonts w:ascii="Times New Roman" w:cs="Times New Roman" w:eastAsia="Times New Roman" w:hAnsi="Times New Roman"/>
          <w:sz w:val="22"/>
          <w:szCs w:val="22"/>
          <w:color w:val="auto"/>
        </w:rPr>
      </w:pP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1"/>
          <w:szCs w:val="21"/>
          <w:i w:val="1"/>
          <w:iCs w:val="1"/>
          <w:color w:val="auto"/>
        </w:rPr>
        <w:t>Powers and Rights of the Common Stock and the Class B Common Stock.</w:t>
      </w:r>
    </w:p>
    <w:p>
      <w:pPr>
        <w:spacing w:after="0" w:line="179" w:lineRule="exact"/>
        <w:rPr>
          <w:rFonts w:ascii="Times New Roman" w:cs="Times New Roman" w:eastAsia="Times New Roman" w:hAnsi="Times New Roman"/>
          <w:sz w:val="22"/>
          <w:szCs w:val="22"/>
          <w:color w:val="auto"/>
        </w:rPr>
      </w:pPr>
    </w:p>
    <w:p>
      <w:pPr>
        <w:ind w:left="180" w:right="20" w:firstLine="652"/>
        <w:spacing w:after="0" w:line="218" w:lineRule="auto"/>
        <w:tabs>
          <w:tab w:leader="none" w:pos="1476"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Voting Rights and Powers</w:t>
      </w:r>
      <w:r>
        <w:rPr>
          <w:rFonts w:ascii="Times New Roman" w:cs="Times New Roman" w:eastAsia="Times New Roman" w:hAnsi="Times New Roman"/>
          <w:sz w:val="21"/>
          <w:szCs w:val="21"/>
          <w:color w:val="auto"/>
        </w:rPr>
        <w:t>. With respect to all matters upon which stockholders are entitled to vote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to which stockholders are entitled to give consent, the holders of the outstanding shares of the Common Stock and the holders of any outstanding shares of the Class B Common Stock shall vote together without regard to class, and every holder of the outstanding shares of the Common Stock shall be entitled to cast thereon one (1) vote in person or by proxy for each share of the Common Stock standing in his name, and every holder of any outstanding shares of the Class B Common Stock shall be entitled to cast thereon ten (10) votes in person or by proxy for each share of the Class B Common Stock standing in his name, provided that at such time as shares of the Class B Common Stock become outstanding, holders of the Common Stock, voting separately as a class with each holder of the outstanding shares of the Common Stock being entitled to one (1) vote in person or by proxy for each share of the Common Stock standing in his name, shall have the right to elect that number of directors so that one-sixth (calculated to the nearest whole number, rounding a fractional number of five-tenths (.5) to the next highest whole number) of the total number of directors of the Corporation fixed from time to time by, or in the manner provided for in, the By-laws of the Corporation, shall have been elected by the holders of the Common Stock. With respect to any proposed amendment to this Restated Certificate of Incorporation which would increase or decrease the number of authorized shares of either the Common Stock or the Class B Common Stock, increase or decrease the par value of the shares of the Common Stock or the Class B Common Stock, or alter or change the powers, preferences, relative voting power or special rights of the shares of the Common Stock or the Class B Common Stock so as to affect them adversely, the approval of a majority of the votes entitled to be cast by the holders of the class affected by the proposed amendment, voting separately as a class, shall be obtained in addition to the approval of a majority of the votes entitled to be cast by the holders of the Common Stock and the Class B Common Stock voting together without regard to class as hereinbefore provided.</w:t>
      </w:r>
    </w:p>
    <w:p>
      <w:pPr>
        <w:spacing w:after="0" w:line="145" w:lineRule="exact"/>
        <w:rPr>
          <w:rFonts w:ascii="Times New Roman" w:cs="Times New Roman" w:eastAsia="Times New Roman" w:hAnsi="Times New Roman"/>
          <w:sz w:val="21"/>
          <w:szCs w:val="21"/>
          <w:color w:val="auto"/>
        </w:rPr>
      </w:pPr>
    </w:p>
    <w:p>
      <w:pPr>
        <w:ind w:left="1480" w:hanging="648"/>
        <w:spacing w:after="0"/>
        <w:tabs>
          <w:tab w:leader="none" w:pos="1480" w:val="left"/>
        </w:tabs>
        <w:numPr>
          <w:ilvl w:val="1"/>
          <w:numId w:val="4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Board of Directors</w:t>
      </w:r>
    </w:p>
    <w:p>
      <w:pPr>
        <w:spacing w:after="0" w:line="179" w:lineRule="exact"/>
        <w:rPr>
          <w:rFonts w:ascii="Times New Roman" w:cs="Times New Roman" w:eastAsia="Times New Roman" w:hAnsi="Times New Roman"/>
          <w:sz w:val="22"/>
          <w:szCs w:val="22"/>
          <w:i w:val="1"/>
          <w:iCs w:val="1"/>
          <w:color w:val="auto"/>
        </w:rPr>
      </w:pPr>
    </w:p>
    <w:p>
      <w:pPr>
        <w:ind w:left="840" w:right="200" w:firstLine="640"/>
        <w:spacing w:after="0" w:line="227" w:lineRule="auto"/>
        <w:tabs>
          <w:tab w:leader="none" w:pos="2124"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Number</w:t>
      </w:r>
      <w:r>
        <w:rPr>
          <w:rFonts w:ascii="Times New Roman" w:cs="Times New Roman" w:eastAsia="Times New Roman" w:hAnsi="Times New Roman"/>
          <w:sz w:val="22"/>
          <w:szCs w:val="22"/>
          <w:color w:val="auto"/>
        </w:rPr>
        <w:t>. The Board of Directors shall consist of at least three members, at least one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whom shall be electable by the holders of the Common Stock voting separately as a class as hereinbefore provided.</w:t>
      </w:r>
    </w:p>
    <w:p>
      <w:pPr>
        <w:spacing w:after="0" w:line="146" w:lineRule="exact"/>
        <w:rPr>
          <w:rFonts w:ascii="Times New Roman" w:cs="Times New Roman" w:eastAsia="Times New Roman" w:hAnsi="Times New Roman"/>
          <w:sz w:val="22"/>
          <w:szCs w:val="22"/>
          <w:color w:val="auto"/>
        </w:rPr>
      </w:pPr>
    </w:p>
    <w:p>
      <w:pPr>
        <w:ind w:left="840" w:right="20" w:firstLine="640"/>
        <w:spacing w:after="0" w:line="227" w:lineRule="auto"/>
        <w:tabs>
          <w:tab w:leader="none" w:pos="2136"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Standing and Term</w:t>
      </w:r>
      <w:r>
        <w:rPr>
          <w:rFonts w:ascii="Times New Roman" w:cs="Times New Roman" w:eastAsia="Times New Roman" w:hAnsi="Times New Roman"/>
          <w:sz w:val="22"/>
          <w:szCs w:val="22"/>
          <w:color w:val="auto"/>
        </w:rPr>
        <w:t>. All directors, whether elected by the holders of both the Common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the Class B Common Stock voting together or the Common Stock voting separately as a class,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120"/>
          </w:cols>
          <w:pgMar w:left="1440" w:top="1395" w:right="339" w:bottom="1440" w:gutter="0" w:footer="0" w:header="0"/>
        </w:sectPr>
      </w:pPr>
    </w:p>
    <w:bookmarkStart w:id="66" w:name="page67"/>
    <w:bookmarkEnd w:id="66"/>
    <w:p>
      <w:pPr>
        <w:ind w:left="840"/>
        <w:spacing w:after="0"/>
        <w:rPr>
          <w:sz w:val="20"/>
          <w:szCs w:val="20"/>
          <w:color w:val="auto"/>
        </w:rPr>
      </w:pPr>
      <w:r>
        <w:rPr>
          <w:rFonts w:ascii="Times New Roman" w:cs="Times New Roman" w:eastAsia="Times New Roman" w:hAnsi="Times New Roman"/>
          <w:sz w:val="22"/>
          <w:szCs w:val="22"/>
          <w:color w:val="auto"/>
        </w:rPr>
        <w:t>equal standing, serve terms of equal duration and have equal voting powers.</w:t>
      </w:r>
    </w:p>
    <w:p>
      <w:pPr>
        <w:spacing w:after="0" w:line="175" w:lineRule="exact"/>
        <w:rPr>
          <w:sz w:val="20"/>
          <w:szCs w:val="20"/>
          <w:color w:val="auto"/>
        </w:rPr>
      </w:pPr>
    </w:p>
    <w:p>
      <w:pPr>
        <w:ind w:left="840" w:right="240" w:firstLine="640"/>
        <w:spacing w:after="0" w:line="227" w:lineRule="auto"/>
        <w:tabs>
          <w:tab w:leader="none" w:pos="2124"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Vacancies</w:t>
      </w:r>
      <w:r>
        <w:rPr>
          <w:rFonts w:ascii="Times New Roman" w:cs="Times New Roman" w:eastAsia="Times New Roman" w:hAnsi="Times New Roman"/>
          <w:sz w:val="22"/>
          <w:szCs w:val="22"/>
          <w:color w:val="auto"/>
        </w:rPr>
        <w:t>. Vacancies and newly created directorships resulting from any increase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authorized number of directors may be filled by a majority vote of the remaining directors then in office, even though less than a quorum.</w:t>
      </w:r>
    </w:p>
    <w:p>
      <w:pPr>
        <w:spacing w:after="0" w:line="146" w:lineRule="exact"/>
        <w:rPr>
          <w:rFonts w:ascii="Times New Roman" w:cs="Times New Roman" w:eastAsia="Times New Roman" w:hAnsi="Times New Roman"/>
          <w:sz w:val="22"/>
          <w:szCs w:val="22"/>
          <w:color w:val="auto"/>
        </w:rPr>
      </w:pPr>
    </w:p>
    <w:p>
      <w:pPr>
        <w:ind w:left="840" w:firstLine="640"/>
        <w:spacing w:after="0" w:line="223" w:lineRule="auto"/>
        <w:tabs>
          <w:tab w:leader="none" w:pos="2136"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Removal</w:t>
      </w:r>
      <w:r>
        <w:rPr>
          <w:rFonts w:ascii="Times New Roman" w:cs="Times New Roman" w:eastAsia="Times New Roman" w:hAnsi="Times New Roman"/>
          <w:sz w:val="21"/>
          <w:szCs w:val="21"/>
          <w:color w:val="auto"/>
        </w:rPr>
        <w:t>. Directors elected or electable (in the case of vacancies or newly created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directorships filled by the remaining directors) by the holders of the Common Stock and the Class B Common Stock voting together without regard to class may be removed, with or without cause, only by the vote or consent of a majority of the votes then entitled to be cast by the holders of the Common Stock and Class B Common Stock, voting together without regard to class. Directors separately elected or electable (in the case of vacancies or newly created directorships filled by the remaining directors) by the holders of the Common Stock may be removed, with or without cause, only by the vote or consent of a majority of the votes then entitled to be cast by the holders of the Common Stock, voting separately as a class.</w:t>
      </w:r>
    </w:p>
    <w:p>
      <w:pPr>
        <w:spacing w:after="0" w:line="148" w:lineRule="exact"/>
        <w:rPr>
          <w:rFonts w:ascii="Times New Roman" w:cs="Times New Roman" w:eastAsia="Times New Roman" w:hAnsi="Times New Roman"/>
          <w:sz w:val="21"/>
          <w:szCs w:val="21"/>
          <w:color w:val="auto"/>
        </w:rPr>
      </w:pPr>
    </w:p>
    <w:p>
      <w:pPr>
        <w:ind w:left="840" w:right="180" w:firstLine="640"/>
        <w:spacing w:after="0" w:line="214" w:lineRule="auto"/>
        <w:tabs>
          <w:tab w:leader="none" w:pos="2124"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Common Stock Directorships Designation</w:t>
      </w:r>
      <w:r>
        <w:rPr>
          <w:rFonts w:ascii="Times New Roman" w:cs="Times New Roman" w:eastAsia="Times New Roman" w:hAnsi="Times New Roman"/>
          <w:sz w:val="22"/>
          <w:szCs w:val="22"/>
          <w:color w:val="auto"/>
        </w:rPr>
        <w:t>. At the time shares of the Class B Common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 shall first become outstanding, the Board of Directors shall designate one-sixth (calculated to the nearest whole number, rounding a fractional number of five-tenths (.5) to the next highest whole number) of the then authorized number of directorships as directorships to be elected by the separate class vote of the holders of the Common Stock at the next meeting of stockholders at which directors are to be elected. Any director filling such a designated directorship shall hold office until his successor is elected and qualified or until his earlier resignation, death or removal.</w:t>
      </w:r>
    </w:p>
    <w:p>
      <w:pPr>
        <w:spacing w:after="0" w:line="148" w:lineRule="exact"/>
        <w:rPr>
          <w:rFonts w:ascii="Times New Roman" w:cs="Times New Roman" w:eastAsia="Times New Roman" w:hAnsi="Times New Roman"/>
          <w:sz w:val="22"/>
          <w:szCs w:val="22"/>
          <w:color w:val="auto"/>
        </w:rPr>
      </w:pPr>
    </w:p>
    <w:p>
      <w:pPr>
        <w:ind w:left="1480" w:hanging="648"/>
        <w:spacing w:after="0"/>
        <w:tabs>
          <w:tab w:leader="none" w:pos="14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Dividends and Distributions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840" w:right="20" w:firstLine="640"/>
        <w:spacing w:after="0" w:line="214" w:lineRule="auto"/>
        <w:tabs>
          <w:tab w:leader="none" w:pos="2124"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Cash Dividends</w:t>
      </w:r>
      <w:r>
        <w:rPr>
          <w:rFonts w:ascii="Times New Roman" w:cs="Times New Roman" w:eastAsia="Times New Roman" w:hAnsi="Times New Roman"/>
          <w:sz w:val="22"/>
          <w:szCs w:val="22"/>
          <w:color w:val="auto"/>
        </w:rPr>
        <w:t>. At any time shares of the Class B Common Stock are outstanding, as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when cash dividends may be declared by the Board of Directors, the cash dividend payable on shares of the Common Stock shall in all cases be ten percent (10%) higher on a per share basis than the cash dividend payable on shares of the Class B Common Stock. For purposes of calculating the cash dividend to be paid on shares of the Common Stock and the Class B Common Stock, the amount of the cash dividend declared and payable on shares of the Common Stock, determined in accordance with this provision, may be rounded up to the next highest half cent or fraction thereof.</w:t>
      </w:r>
    </w:p>
    <w:p>
      <w:pPr>
        <w:spacing w:after="0" w:line="148" w:lineRule="exact"/>
        <w:rPr>
          <w:rFonts w:ascii="Times New Roman" w:cs="Times New Roman" w:eastAsia="Times New Roman" w:hAnsi="Times New Roman"/>
          <w:sz w:val="22"/>
          <w:szCs w:val="22"/>
          <w:color w:val="auto"/>
        </w:rPr>
      </w:pPr>
    </w:p>
    <w:p>
      <w:pPr>
        <w:ind w:left="840" w:right="100" w:firstLine="640"/>
        <w:spacing w:after="0" w:line="214" w:lineRule="auto"/>
        <w:tabs>
          <w:tab w:leader="none" w:pos="2136"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Other Dividends and Distributions</w:t>
      </w:r>
      <w:r>
        <w:rPr>
          <w:rFonts w:ascii="Times New Roman" w:cs="Times New Roman" w:eastAsia="Times New Roman" w:hAnsi="Times New Roman"/>
          <w:sz w:val="22"/>
          <w:szCs w:val="22"/>
          <w:color w:val="auto"/>
        </w:rPr>
        <w:t>. Each share of the Common Stock and each share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Class B Common Stock shall be equal in respect of rights to dividends (other than cash) and distributions, when and as declared, in the form of stock or other property of the Corporation, except that in the case of dividends or other distributions payable in stock of the Corporation other than the Preferred Stock, including distributions pursuant to stock split-ups or divisions, which occur after the date shares of the Class B Common Stock are first issued by the Corporation, only shares of the Common Stock shall be distributed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120"/>
          </w:cols>
          <w:pgMar w:left="1440" w:top="1395" w:right="339" w:bottom="1440" w:gutter="0" w:footer="0" w:header="0"/>
        </w:sectPr>
      </w:pPr>
    </w:p>
    <w:bookmarkStart w:id="67" w:name="page68"/>
    <w:bookmarkEnd w:id="67"/>
    <w:p>
      <w:pPr>
        <w:ind w:left="840" w:right="80"/>
        <w:spacing w:after="0" w:line="236" w:lineRule="auto"/>
        <w:rPr>
          <w:sz w:val="20"/>
          <w:szCs w:val="20"/>
          <w:color w:val="auto"/>
        </w:rPr>
      </w:pPr>
      <w:r>
        <w:rPr>
          <w:rFonts w:ascii="Times New Roman" w:cs="Times New Roman" w:eastAsia="Times New Roman" w:hAnsi="Times New Roman"/>
          <w:sz w:val="22"/>
          <w:szCs w:val="22"/>
          <w:color w:val="auto"/>
        </w:rPr>
        <w:t>with respect to the Common Stock and only shares of the Class B Common Stock shall be distributed with respect to the Class B Common Stock.</w:t>
      </w:r>
    </w:p>
    <w:p>
      <w:pPr>
        <w:spacing w:after="0" w:line="146" w:lineRule="exact"/>
        <w:rPr>
          <w:sz w:val="20"/>
          <w:szCs w:val="20"/>
          <w:color w:val="auto"/>
        </w:rPr>
      </w:pPr>
    </w:p>
    <w:p>
      <w:pPr>
        <w:ind w:left="180" w:right="160" w:firstLine="652"/>
        <w:spacing w:after="0" w:line="238" w:lineRule="auto"/>
        <w:tabs>
          <w:tab w:leader="none" w:pos="1476"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Other Rights</w:t>
      </w:r>
      <w:r>
        <w:rPr>
          <w:rFonts w:ascii="Times New Roman" w:cs="Times New Roman" w:eastAsia="Times New Roman" w:hAnsi="Times New Roman"/>
          <w:sz w:val="21"/>
          <w:szCs w:val="21"/>
          <w:color w:val="auto"/>
        </w:rPr>
        <w:t>. Except as otherwise required by the Delaware General Corporation Law or as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otherwise provided in this Restated Certificate of Incorporation, each share of the Common Stock and each share of the Class B Common Stock shall have identical powers, preferences and rights, including rights in liquidation.</w:t>
      </w:r>
    </w:p>
    <w:p>
      <w:pPr>
        <w:spacing w:after="0" w:line="145" w:lineRule="exact"/>
        <w:rPr>
          <w:rFonts w:ascii="Times New Roman" w:cs="Times New Roman" w:eastAsia="Times New Roman" w:hAnsi="Times New Roman"/>
          <w:sz w:val="21"/>
          <w:szCs w:val="21"/>
          <w:color w:val="auto"/>
        </w:rPr>
      </w:pPr>
    </w:p>
    <w:p>
      <w:pPr>
        <w:ind w:left="1480" w:hanging="648"/>
        <w:spacing w:after="0"/>
        <w:tabs>
          <w:tab w:leader="none" w:pos="14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Issuance of the Class B Common Stock</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840" w:right="100" w:firstLine="640"/>
        <w:spacing w:after="0" w:line="218" w:lineRule="auto"/>
        <w:tabs>
          <w:tab w:leader="none" w:pos="212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Initial Issuance</w:t>
      </w:r>
      <w:r>
        <w:rPr>
          <w:rFonts w:ascii="Times New Roman" w:cs="Times New Roman" w:eastAsia="Times New Roman" w:hAnsi="Times New Roman"/>
          <w:sz w:val="22"/>
          <w:szCs w:val="22"/>
          <w:color w:val="auto"/>
        </w:rPr>
        <w:t>. The Board of Directors may authorize by resolution the manner in which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shares of the Class B Common Stock shall initially be issued and may set such terms and conditions as it deems appropriate or advisable with respect thereto, without any vote or other action by the stockholders, except as otherwise required by law. Such initial issuance shall only be to the then holders of the Common Stock.</w:t>
      </w:r>
    </w:p>
    <w:p>
      <w:pPr>
        <w:spacing w:after="0" w:line="147" w:lineRule="exact"/>
        <w:rPr>
          <w:rFonts w:ascii="Times New Roman" w:cs="Times New Roman" w:eastAsia="Times New Roman" w:hAnsi="Times New Roman"/>
          <w:sz w:val="22"/>
          <w:szCs w:val="22"/>
          <w:color w:val="auto"/>
        </w:rPr>
      </w:pPr>
    </w:p>
    <w:p>
      <w:pPr>
        <w:ind w:left="840" w:right="460" w:firstLine="640"/>
        <w:spacing w:after="0" w:line="218" w:lineRule="auto"/>
        <w:tabs>
          <w:tab w:leader="none" w:pos="2136"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Subsequent Issuance</w:t>
      </w:r>
      <w:r>
        <w:rPr>
          <w:rFonts w:ascii="Times New Roman" w:cs="Times New Roman" w:eastAsia="Times New Roman" w:hAnsi="Times New Roman"/>
          <w:sz w:val="22"/>
          <w:szCs w:val="22"/>
          <w:color w:val="auto"/>
        </w:rPr>
        <w:t>. Following initial issuance, the Board of Directors may only issue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shares of the Class B Common Stock in the form of a distribution or distributions pursuant to a stock dividend on or split-up of the shares of the Class B Common Stock and only to the then holders of the outstanding shares of the Class B Common Stock in conjunction with and in the same ratio as a stock dividend on or split-up of the shares of the Common Stock.</w:t>
      </w:r>
    </w:p>
    <w:p>
      <w:pPr>
        <w:spacing w:after="0" w:line="147" w:lineRule="exact"/>
        <w:rPr>
          <w:rFonts w:ascii="Times New Roman" w:cs="Times New Roman" w:eastAsia="Times New Roman" w:hAnsi="Times New Roman"/>
          <w:sz w:val="22"/>
          <w:szCs w:val="22"/>
          <w:color w:val="auto"/>
        </w:rPr>
      </w:pPr>
    </w:p>
    <w:p>
      <w:pPr>
        <w:ind w:left="180" w:firstLine="652"/>
        <w:spacing w:after="0" w:line="208" w:lineRule="auto"/>
        <w:tabs>
          <w:tab w:leader="none" w:pos="147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Conversion of the Class B Common Stock</w:t>
      </w:r>
      <w:r>
        <w:rPr>
          <w:rFonts w:ascii="Times New Roman" w:cs="Times New Roman" w:eastAsia="Times New Roman" w:hAnsi="Times New Roman"/>
          <w:sz w:val="22"/>
          <w:szCs w:val="22"/>
          <w:color w:val="auto"/>
        </w:rPr>
        <w:t>. Each share of the Class B Common Stock may at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be converted at the election of the holder thereof into one fully paid and nonassessable share of the Common Stock. Any holder of shares of the Class B Common Stock may elect to convert any or all of such shares at one time or at various times in such holder’s discretion. Such right shall be exercised by the surrender of the certificate representing each share of the Class B Common Stock to be converted to the agent for the registration of transfer of shares of the Class B Common Stock at its office, or to the Corporation at its principal executive offices, accompanied by a written notice of the election by the holder thereof to convert and (if so required by the transfer agent or by the Corporation) by instruments of transfer, in form satisfactory to the transfer agent and to the Corporation, duly executed by such holder or his duly authorized attorney. The issuance of a certificate or certificates for shares of the Common Stock upon conversion of shares of the Class B Common Stock shall be made without charge for any stamp or other similar tax in respect of such issuance. However, if any such certificate or certificates is or are to be issued in a name other than that of the holder of the share or shares of the Class B Common Stock converted, the person or persons requesting the issuance thereof shall pay to the transfer agent or to the Corporation the amount of any tax which may be payable in respect of any such transfer, or shall establish to the satisfaction of the transfer agent or of the Corporation that such tax has been paid. As promptly as practicable after the surrender for conversion of a certificate or certificates representing shares of the Class B Common Stock and the payment of any tax as hereinbefore provided, the Corporation will deliver or cause to be delivered at the office of the transfer agent to, or upon the written order of, the holder of such certificate or certificates, a certificate or certificates representing the number of shares of the Common Stock issuable upon such conversion, issued in such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120"/>
          </w:cols>
          <w:pgMar w:left="1440" w:top="1395" w:right="339" w:bottom="1440" w:gutter="0" w:footer="0" w:header="0"/>
        </w:sectPr>
      </w:pPr>
    </w:p>
    <w:bookmarkStart w:id="68" w:name="page69"/>
    <w:bookmarkEnd w:id="68"/>
    <w:p>
      <w:pPr>
        <w:ind w:left="180"/>
        <w:spacing w:after="0" w:line="217" w:lineRule="auto"/>
        <w:rPr>
          <w:sz w:val="20"/>
          <w:szCs w:val="20"/>
          <w:color w:val="auto"/>
        </w:rPr>
      </w:pPr>
      <w:r>
        <w:rPr>
          <w:rFonts w:ascii="Times New Roman" w:cs="Times New Roman" w:eastAsia="Times New Roman" w:hAnsi="Times New Roman"/>
          <w:sz w:val="21"/>
          <w:szCs w:val="21"/>
          <w:color w:val="auto"/>
        </w:rPr>
        <w:t>or names as such holder may direct. Such conversion shall be deemed to have been made immediately prior to the close of business on the date of the surrender of the certificate or certificates representing shares of the Class B Common Stock (if on such date the transfer books of the Corporation shall be closed, then immediately prior to the close of business on the first date thereafter that said books shall be open), and all rights of such holder arising from ownership of shares of the Class B Common Stock shall cease at such time, and the person or persons in whose name or names the certificate or certificates representing shares of the Common Stock are to be issued shall be treated for all purposes as having become the record holder or holders of such shares of the Common Stock at such time and shall have and may exercise all the rights and powers appertaining thereto. No adjustments in respect of past cash dividends shall be made upon the conversion of any share of the Class B Common Stock; provided, however, that if any shares of the Class B Common Stock shall be converted subsequent to the record date for the payment of a cash or stock dividend or other distribution on shares of the Class B Common Stock but prior to such payment, the registered holder of such shares at the close of business on such record date shall be entitled to receive the cash or stock dividend or other distribution payable to holders of the Common Stock. The Corporation shall at all times reserve and keep available, solely for the purpose of issue upon conversion of outstanding shares of the Class B Common Stock, such number of shares of the Common Stock as may be issuable upon the conversion of all such outstanding shares of the Class B Common Stock, provided, the Corporation may deliver shares of the Common Stock which have previously been exchanged for shares of the Class B Common Stock or which are held in the treasury of the Corporation for shares of the Class B Common Stock to be converted. If any shares of the Common Stock require registration with or approval of any governmental authority under any federal or state law before such shares of the Common Stock may be issued upon conversion, the Corporation will cause such shares to be duly registered or approved, as the case may be. The Corporation will endeavor to list shares of the Common Stock required to be delivered upon conversion prior to such delivery upon any national securities exchange or national market system on which the outstanding shares of the Common Stock may be listed at the time of such delivery. All shares of the Common Stock which may be issued upon conversion of shares of the Class B Common Stock will, upon issue, be fully paid and nonassessable.</w:t>
      </w:r>
    </w:p>
    <w:p>
      <w:pPr>
        <w:spacing w:after="0" w:line="154" w:lineRule="exact"/>
        <w:rPr>
          <w:sz w:val="20"/>
          <w:szCs w:val="20"/>
          <w:color w:val="auto"/>
        </w:rPr>
      </w:pPr>
    </w:p>
    <w:p>
      <w:pPr>
        <w:ind w:left="1480" w:hanging="648"/>
        <w:spacing w:after="0"/>
        <w:tabs>
          <w:tab w:leader="none" w:pos="14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Duration of Class Rights and Powers</w:t>
      </w:r>
      <w:r>
        <w:rPr>
          <w:rFonts w:ascii="Times New Roman" w:cs="Times New Roman" w:eastAsia="Times New Roman" w:hAnsi="Times New Roman"/>
          <w:sz w:val="22"/>
          <w:szCs w:val="22"/>
          <w:color w:val="auto"/>
        </w:rPr>
        <w:t>. At any time when:</w:t>
      </w:r>
    </w:p>
    <w:p>
      <w:pPr>
        <w:spacing w:after="0" w:line="183" w:lineRule="exact"/>
        <w:rPr>
          <w:rFonts w:ascii="Times New Roman" w:cs="Times New Roman" w:eastAsia="Times New Roman" w:hAnsi="Times New Roman"/>
          <w:sz w:val="22"/>
          <w:szCs w:val="22"/>
          <w:color w:val="auto"/>
        </w:rPr>
      </w:pPr>
    </w:p>
    <w:p>
      <w:pPr>
        <w:ind w:left="840" w:right="20" w:firstLine="640"/>
        <w:spacing w:after="0" w:line="215" w:lineRule="auto"/>
        <w:tabs>
          <w:tab w:leader="none" w:pos="2124"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Hershey Trust Company (a Pennsylvania corporation), as Trustee for Milton Hershey School (a Pennsylvania not-for-profit corporation) under Deed of Trust dated November 15, 1909, or any successor to Hershey Trust Company as Trustee for Milton Hershey School, or Milton Hershey School, ceases to hold (1) more than fifty percent (50%) of the outstanding shares of the Class B Common Stock at a time when shares of such class are outstanding and (2) at least fifteen percent (15%) of the total number of shares of the Common Stock and the Class B Common Stock outstanding; or</w:t>
      </w:r>
    </w:p>
    <w:p>
      <w:pPr>
        <w:spacing w:after="0" w:line="152" w:lineRule="exact"/>
        <w:rPr>
          <w:rFonts w:ascii="Times New Roman" w:cs="Times New Roman" w:eastAsia="Times New Roman" w:hAnsi="Times New Roman"/>
          <w:sz w:val="22"/>
          <w:szCs w:val="22"/>
          <w:color w:val="auto"/>
        </w:rPr>
      </w:pPr>
    </w:p>
    <w:p>
      <w:pPr>
        <w:ind w:left="840" w:right="320" w:firstLine="640"/>
        <w:spacing w:after="0" w:line="236" w:lineRule="auto"/>
        <w:tabs>
          <w:tab w:leader="none" w:pos="2136"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only shares of either the Common Stock or shares of the Class B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100"/>
          </w:cols>
          <w:pgMar w:left="1440" w:top="1395" w:right="359" w:bottom="1440" w:gutter="0" w:footer="0" w:header="0"/>
        </w:sectPr>
      </w:pPr>
    </w:p>
    <w:bookmarkStart w:id="69" w:name="page70"/>
    <w:bookmarkEnd w:id="69"/>
    <w:p>
      <w:pPr>
        <w:ind w:left="1300"/>
        <w:spacing w:after="0" w:line="247" w:lineRule="auto"/>
        <w:rPr>
          <w:sz w:val="20"/>
          <w:szCs w:val="20"/>
          <w:color w:val="auto"/>
        </w:rPr>
      </w:pPr>
      <w:r>
        <w:rPr>
          <w:rFonts w:ascii="Times New Roman" w:cs="Times New Roman" w:eastAsia="Times New Roman" w:hAnsi="Times New Roman"/>
          <w:sz w:val="22"/>
          <w:szCs w:val="22"/>
          <w:color w:val="auto"/>
        </w:rPr>
        <w:t>any shares of the Class B Common Stock which are then outstanding shall, without any action by the Board of Directors or the holder or holders thereof, automatically convert into and become for all purposes shares of the Common Stock, and the provisions of this Certificate of Incorporation which provide for different voting or cash dividend rights for the Common Stock and the Class B Common Stock shall not be of any effect. All shares of either or both the Common Stock or the Class B Common Stock which are then outstanding shall have equal and general voting power in the election of directors and in all other matters upon which stockholders of the Corporation are entitled to vote or give consent, even if at such time there shall have been fixed by the Board of Directors a record date for voting at any meeting of stockholders. If any cash dividends shall have been declared at such time but not paid, holders of the Class B Common Stock shall be entitled to the same cash dividend payable to holders of the Common Stock, and future cash dividends, as and when declared, shall be payable at the same rate for all shares of the one class of Common Stock then outstanding. The Board of Directors is hereby authorized to take such actions, consistent with the Delaware General Corporation Law, as it deems appropriate or advisable with respect to the replacement of certificates then outstanding evidencing ownership of the Class B Common Stock, or otherwise, in order to carry into effect the foregoing provisions.</w:t>
      </w:r>
    </w:p>
    <w:p>
      <w:pPr>
        <w:spacing w:after="0" w:line="172" w:lineRule="exact"/>
        <w:rPr>
          <w:sz w:val="20"/>
          <w:szCs w:val="20"/>
          <w:color w:val="auto"/>
        </w:rPr>
      </w:pPr>
    </w:p>
    <w:p>
      <w:pPr>
        <w:jc w:val="both"/>
        <w:ind w:left="660" w:right="280" w:firstLine="644"/>
        <w:spacing w:after="0" w:line="227" w:lineRule="auto"/>
        <w:tabs>
          <w:tab w:leader="none" w:pos="195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Preferred Stock</w:t>
      </w:r>
      <w:r>
        <w:rPr>
          <w:rFonts w:ascii="Times New Roman" w:cs="Times New Roman" w:eastAsia="Times New Roman" w:hAnsi="Times New Roman"/>
          <w:sz w:val="22"/>
          <w:szCs w:val="22"/>
          <w:color w:val="auto"/>
        </w:rPr>
        <w:t>. The powers, preferences, rights, qualifications, limitations and restrictions pertaining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Preferred Stock, or any series thereof, shall be such as may be fixed by the Board of Directors in its sole discretion, authority so to do being hereby expressly vested in such Board.</w:t>
      </w:r>
    </w:p>
    <w:p>
      <w:pPr>
        <w:spacing w:after="0" w:line="146" w:lineRule="exact"/>
        <w:rPr>
          <w:rFonts w:ascii="Times New Roman" w:cs="Times New Roman" w:eastAsia="Times New Roman" w:hAnsi="Times New Roman"/>
          <w:sz w:val="22"/>
          <w:szCs w:val="22"/>
          <w:color w:val="auto"/>
        </w:rPr>
      </w:pPr>
    </w:p>
    <w:p>
      <w:pPr>
        <w:ind w:left="660" w:right="40" w:firstLine="644"/>
        <w:spacing w:after="0" w:line="211" w:lineRule="auto"/>
        <w:tabs>
          <w:tab w:leader="none" w:pos="195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Issuance of the Common Stock and the Preferred Stock</w:t>
      </w:r>
      <w:r>
        <w:rPr>
          <w:rFonts w:ascii="Times New Roman" w:cs="Times New Roman" w:eastAsia="Times New Roman" w:hAnsi="Times New Roman"/>
          <w:sz w:val="22"/>
          <w:szCs w:val="22"/>
          <w:color w:val="auto"/>
        </w:rPr>
        <w:t>. The Board of Directors of the Corporation may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from time to time authorize by resolution the issuance of any or all shares of the Common Stock and the Preferred Stock herein authorized in accordance with the terms and conditions set forth in this Restated Certificate of Incorporation for such purposes, in such amounts, to such persons, corporations, or entities, for such consideration, and in the case of the Preferred Stock, in one or more series, all as the Board of Directors in its discretion may determine and without any vote or other action by the stockholders, except as otherwise required by law. At any time shares of the Class B Common Stock are outstanding, the Board of Directors may issue shares of the Common Stock in the form of a distribution or distributions pursuant to a stock dividend on or split-up of the shares of the Common Stock only to the then holders of the outstanding shares of the Common Stock and in conjunction with and in the same ratio as a stock dividend on or split-up of the shares of the Class B Common Stock.</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FIFTH: </w:t>
      </w:r>
      <w:r>
        <w:rPr>
          <w:rFonts w:ascii="Times New Roman" w:cs="Times New Roman" w:eastAsia="Times New Roman" w:hAnsi="Times New Roman"/>
          <w:sz w:val="22"/>
          <w:szCs w:val="22"/>
          <w:b w:val="1"/>
          <w:bCs w:val="1"/>
          <w:color w:val="auto"/>
        </w:rPr>
        <w:t>Term of Existence.</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Corporation is to have perpetual existence.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SIXTH: </w:t>
      </w:r>
      <w:r>
        <w:rPr>
          <w:rFonts w:ascii="Times New Roman" w:cs="Times New Roman" w:eastAsia="Times New Roman" w:hAnsi="Times New Roman"/>
          <w:sz w:val="22"/>
          <w:szCs w:val="22"/>
          <w:b w:val="1"/>
          <w:bCs w:val="1"/>
          <w:color w:val="auto"/>
        </w:rPr>
        <w:t>Management of the Business of the Corporation.</w:t>
      </w:r>
    </w:p>
    <w:p>
      <w:pPr>
        <w:spacing w:after="0" w:line="210" w:lineRule="exact"/>
        <w:rPr>
          <w:sz w:val="20"/>
          <w:szCs w:val="20"/>
          <w:color w:val="auto"/>
        </w:rPr>
      </w:pPr>
    </w:p>
    <w:p>
      <w:pPr>
        <w:jc w:val="both"/>
        <w:ind w:right="700" w:firstLine="648"/>
        <w:spacing w:after="0" w:line="257" w:lineRule="auto"/>
        <w:rPr>
          <w:sz w:val="20"/>
          <w:szCs w:val="20"/>
          <w:color w:val="auto"/>
        </w:rPr>
      </w:pPr>
      <w:r>
        <w:rPr>
          <w:rFonts w:ascii="Times New Roman" w:cs="Times New Roman" w:eastAsia="Times New Roman" w:hAnsi="Times New Roman"/>
          <w:sz w:val="22"/>
          <w:szCs w:val="22"/>
          <w:color w:val="auto"/>
        </w:rPr>
        <w:t>The following provisions are adopted for the management of the business and for the conduct of the affairs of the Corporation and for further creating, defining, limiting and regulating the powers of the Corporation, the directors and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70" w:name="page71"/>
    <w:bookmarkEnd w:id="70"/>
    <w:p>
      <w:pPr>
        <w:ind w:left="660" w:right="20" w:firstLine="644"/>
        <w:spacing w:after="0" w:line="220" w:lineRule="auto"/>
        <w:tabs>
          <w:tab w:leader="none" w:pos="195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and affairs of the Corporation shall be managed by or under the direction of its Board of Directors. The Board of Directors shall have and may exercise all the powers of the Corporation, without any action of or by the stockholders, except as otherwise provided by the Delaware General Corporation Law, this Restated Certificate of Incorporation or the By-laws.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shall have and may exercise the power to adopt, amend or repeal the By-laws.</w:t>
      </w:r>
    </w:p>
    <w:p>
      <w:pPr>
        <w:spacing w:after="0" w:line="17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Elections of directors of the Corporation need not be by written ballot, except to the extent provided for in</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By-laws.</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SEVENTH: </w:t>
      </w:r>
      <w:r>
        <w:rPr>
          <w:rFonts w:ascii="Times New Roman" w:cs="Times New Roman" w:eastAsia="Times New Roman" w:hAnsi="Times New Roman"/>
          <w:sz w:val="22"/>
          <w:szCs w:val="22"/>
          <w:b w:val="1"/>
          <w:bCs w:val="1"/>
          <w:color w:val="auto"/>
        </w:rPr>
        <w:t>Amendment.</w:t>
      </w:r>
    </w:p>
    <w:p>
      <w:pPr>
        <w:spacing w:after="0" w:line="210"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22"/>
          <w:szCs w:val="22"/>
          <w:color w:val="auto"/>
        </w:rPr>
        <w:t>The Corporation reserves the right to amend, alter, change, add to or repeal any provision contained in this Restated Certificate of Incorporation, in the manner now or hereafter prescribed by the Delaware General Corporation Law, and all rights herein conferred on officers, directors and stockholders are granted subject to this reservation.</w:t>
      </w:r>
    </w:p>
    <w:p>
      <w:pPr>
        <w:spacing w:after="0" w:line="18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IN WITNESS WHEREOF, HERSHEY FOODS CORPORATION has caused this Restated Certificate of Incorporation to be executed by W. E. C. Dearden, its Chairman of the Board of Directors, to be attested to by W. Lehr, Jr., its Secretary, and its corporate seal to be affixed hereto this 9th day of October, 1984.</w:t>
      </w:r>
    </w:p>
    <w:p>
      <w:pPr>
        <w:spacing w:after="0" w:line="22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2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ATTEST:</w:t>
            </w:r>
          </w:p>
        </w:tc>
        <w:tc>
          <w:tcPr>
            <w:tcW w:w="694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w w:val="99"/>
              </w:rPr>
              <w:t>HERSHEY FOODS CORPORATION</w:t>
            </w:r>
          </w:p>
        </w:tc>
      </w:tr>
      <w:tr>
        <w:trPr>
          <w:trHeight w:val="447"/>
        </w:trPr>
        <w:tc>
          <w:tcPr>
            <w:tcW w:w="20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5"/>
              </w:rPr>
              <w:t>By: /s/ William Lehr, Jr.</w:t>
            </w:r>
          </w:p>
        </w:tc>
        <w:tc>
          <w:tcPr>
            <w:tcW w:w="694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/s/ W.E.C. Dearden</w:t>
            </w:r>
          </w:p>
        </w:tc>
      </w:tr>
      <w:tr>
        <w:trPr>
          <w:trHeight w:val="20"/>
        </w:trPr>
        <w:tc>
          <w:tcPr>
            <w:tcW w:w="3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73"/>
        </w:trPr>
        <w:tc>
          <w:tcPr>
            <w:tcW w:w="300" w:type="dxa"/>
            <w:vAlign w:val="bottom"/>
          </w:tcPr>
          <w:p>
            <w:pPr>
              <w:spacing w:after="0"/>
              <w:rPr>
                <w:sz w:val="23"/>
                <w:szCs w:val="23"/>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William Lehr, Jr.</w:t>
            </w:r>
          </w:p>
        </w:tc>
        <w:tc>
          <w:tcPr>
            <w:tcW w:w="6940" w:type="dxa"/>
            <w:vAlign w:val="bottom"/>
            <w:gridSpan w:val="3"/>
          </w:tcPr>
          <w:p>
            <w:pPr>
              <w:ind w:left="3840"/>
              <w:spacing w:after="0"/>
              <w:rPr>
                <w:sz w:val="20"/>
                <w:szCs w:val="20"/>
                <w:color w:val="auto"/>
              </w:rPr>
            </w:pPr>
            <w:r>
              <w:rPr>
                <w:rFonts w:ascii="Times New Roman" w:cs="Times New Roman" w:eastAsia="Times New Roman" w:hAnsi="Times New Roman"/>
                <w:sz w:val="22"/>
                <w:szCs w:val="22"/>
                <w:color w:val="auto"/>
              </w:rPr>
              <w:t>W.E.C. Dearden</w:t>
            </w:r>
          </w:p>
        </w:tc>
      </w:tr>
      <w:tr>
        <w:trPr>
          <w:trHeight w:val="286"/>
        </w:trPr>
        <w:tc>
          <w:tcPr>
            <w:tcW w:w="300" w:type="dxa"/>
            <w:vAlign w:val="bottom"/>
          </w:tcPr>
          <w:p>
            <w:pPr>
              <w:spacing w:after="0"/>
              <w:rPr>
                <w:sz w:val="24"/>
                <w:szCs w:val="24"/>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Secretary</w:t>
            </w:r>
          </w:p>
        </w:tc>
        <w:tc>
          <w:tcPr>
            <w:tcW w:w="6940" w:type="dxa"/>
            <w:vAlign w:val="bottom"/>
            <w:gridSpan w:val="3"/>
          </w:tcPr>
          <w:p>
            <w:pPr>
              <w:ind w:left="3840"/>
              <w:spacing w:after="0"/>
              <w:rPr>
                <w:sz w:val="20"/>
                <w:szCs w:val="20"/>
                <w:color w:val="auto"/>
              </w:rPr>
            </w:pPr>
            <w:r>
              <w:rPr>
                <w:rFonts w:ascii="Times New Roman" w:cs="Times New Roman" w:eastAsia="Times New Roman" w:hAnsi="Times New Roman"/>
                <w:sz w:val="22"/>
                <w:szCs w:val="22"/>
                <w:i w:val="1"/>
                <w:iCs w:val="1"/>
                <w:color w:val="auto"/>
                <w:w w:val="97"/>
              </w:rPr>
              <w:t>Chairman of the Board of Directors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(Corporate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180"/>
          </w:cols>
          <w:pgMar w:left="320" w:top="1395" w:right="39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Michele G. Buck, certify that:</w:t>
      </w:r>
    </w:p>
    <w:p>
      <w:pPr>
        <w:spacing w:after="0" w:line="104" w:lineRule="exact"/>
        <w:rPr>
          <w:sz w:val="20"/>
          <w:szCs w:val="20"/>
          <w:color w:val="auto"/>
        </w:rPr>
      </w:pPr>
    </w:p>
    <w:p>
      <w:pPr>
        <w:ind w:left="320" w:hanging="312"/>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Hershey Company;</w:t>
      </w:r>
    </w:p>
    <w:p>
      <w:pPr>
        <w:spacing w:after="0" w:line="90" w:lineRule="exact"/>
        <w:rPr>
          <w:rFonts w:ascii="Times New Roman" w:cs="Times New Roman" w:eastAsia="Times New Roman" w:hAnsi="Times New Roman"/>
          <w:sz w:val="18"/>
          <w:szCs w:val="18"/>
          <w:color w:val="auto"/>
        </w:rPr>
      </w:pPr>
    </w:p>
    <w:p>
      <w:pPr>
        <w:ind w:left="420" w:right="340" w:hanging="412"/>
        <w:spacing w:after="0" w:line="266" w:lineRule="auto"/>
        <w:tabs>
          <w:tab w:leader="none" w:pos="33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20" w:right="380" w:hanging="412"/>
        <w:spacing w:after="0" w:line="282" w:lineRule="auto"/>
        <w:tabs>
          <w:tab w:leader="none" w:pos="33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420" w:right="320" w:hanging="412"/>
        <w:spacing w:after="0" w:line="266" w:lineRule="auto"/>
        <w:tabs>
          <w:tab w:leader="none" w:pos="32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860" w:right="160" w:hanging="406"/>
        <w:spacing w:after="0" w:line="266" w:lineRule="auto"/>
        <w:tabs>
          <w:tab w:leader="none" w:pos="83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860" w:right="440" w:hanging="406"/>
        <w:spacing w:after="0" w:line="266" w:lineRule="auto"/>
        <w:tabs>
          <w:tab w:leader="none" w:pos="84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860" w:right="620" w:hanging="406"/>
        <w:spacing w:after="0" w:line="312" w:lineRule="auto"/>
        <w:tabs>
          <w:tab w:leader="none" w:pos="835"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860" w:right="140" w:hanging="406"/>
        <w:spacing w:after="0" w:line="266" w:lineRule="auto"/>
        <w:tabs>
          <w:tab w:leader="none" w:pos="84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20" w:right="120" w:hanging="412"/>
        <w:spacing w:after="0" w:line="282" w:lineRule="auto"/>
        <w:tabs>
          <w:tab w:leader="none" w:pos="32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860" w:right="60" w:hanging="406"/>
        <w:spacing w:after="0" w:line="282" w:lineRule="auto"/>
        <w:tabs>
          <w:tab w:leader="none" w:pos="82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60" w:right="20" w:hanging="406"/>
        <w:spacing w:after="0" w:line="282" w:lineRule="auto"/>
        <w:tabs>
          <w:tab w:leader="none" w:pos="83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83820</wp:posOffset>
            </wp:positionV>
            <wp:extent cx="34632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2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Michele G. Buck</w:t>
      </w:r>
    </w:p>
    <w:p>
      <w:pPr>
        <w:spacing w:after="0" w:line="29"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5"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b w:val="1"/>
          <w:bCs w:val="1"/>
          <w:color w:val="auto"/>
        </w:rPr>
        <w:t>July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487680</wp:posOffset>
            </wp:positionV>
            <wp:extent cx="19685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The Hershey Company | Q2 2025 Form 10-Q | Exhibit 31.1</w:t>
      </w:r>
    </w:p>
    <w:p>
      <w:pPr>
        <w:sectPr>
          <w:pgSz w:w="11900" w:h="16838" w:orient="portrait"/>
          <w:cols w:equalWidth="0" w:num="1">
            <w:col w:w="11200"/>
          </w:cols>
          <w:pgMar w:left="360" w:top="765"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E. Voskuil, certify that:</w:t>
      </w:r>
    </w:p>
    <w:p>
      <w:pPr>
        <w:spacing w:after="0" w:line="104" w:lineRule="exact"/>
        <w:rPr>
          <w:sz w:val="20"/>
          <w:szCs w:val="20"/>
          <w:color w:val="auto"/>
        </w:rPr>
      </w:pPr>
    </w:p>
    <w:p>
      <w:pPr>
        <w:ind w:left="320" w:hanging="312"/>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Hershey Company;</w:t>
      </w:r>
    </w:p>
    <w:p>
      <w:pPr>
        <w:spacing w:after="0" w:line="90" w:lineRule="exact"/>
        <w:rPr>
          <w:rFonts w:ascii="Times New Roman" w:cs="Times New Roman" w:eastAsia="Times New Roman" w:hAnsi="Times New Roman"/>
          <w:sz w:val="18"/>
          <w:szCs w:val="18"/>
          <w:color w:val="auto"/>
        </w:rPr>
      </w:pPr>
    </w:p>
    <w:p>
      <w:pPr>
        <w:ind w:left="420" w:right="340" w:hanging="412"/>
        <w:spacing w:after="0" w:line="266" w:lineRule="auto"/>
        <w:tabs>
          <w:tab w:leader="none" w:pos="33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20" w:right="380" w:hanging="412"/>
        <w:spacing w:after="0" w:line="282" w:lineRule="auto"/>
        <w:tabs>
          <w:tab w:leader="none" w:pos="33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420" w:right="320" w:hanging="412"/>
        <w:spacing w:after="0" w:line="266" w:lineRule="auto"/>
        <w:tabs>
          <w:tab w:leader="none" w:pos="32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860" w:right="160" w:hanging="406"/>
        <w:spacing w:after="0" w:line="266" w:lineRule="auto"/>
        <w:tabs>
          <w:tab w:leader="none" w:pos="83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860" w:right="440" w:hanging="406"/>
        <w:spacing w:after="0" w:line="266" w:lineRule="auto"/>
        <w:tabs>
          <w:tab w:leader="none" w:pos="84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860" w:right="620" w:hanging="406"/>
        <w:spacing w:after="0" w:line="312" w:lineRule="auto"/>
        <w:tabs>
          <w:tab w:leader="none" w:pos="835"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860" w:right="140" w:hanging="406"/>
        <w:spacing w:after="0" w:line="266" w:lineRule="auto"/>
        <w:tabs>
          <w:tab w:leader="none" w:pos="84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20" w:right="120" w:hanging="412"/>
        <w:spacing w:after="0" w:line="282" w:lineRule="auto"/>
        <w:tabs>
          <w:tab w:leader="none" w:pos="32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860" w:right="60" w:hanging="406"/>
        <w:spacing w:after="0" w:line="282" w:lineRule="auto"/>
        <w:tabs>
          <w:tab w:leader="none" w:pos="82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60" w:right="20" w:hanging="406"/>
        <w:spacing w:after="0" w:line="282" w:lineRule="auto"/>
        <w:tabs>
          <w:tab w:leader="none" w:pos="83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0"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92075</wp:posOffset>
            </wp:positionV>
            <wp:extent cx="34632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41"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b w:val="1"/>
          <w:bCs w:val="1"/>
          <w:color w:val="auto"/>
        </w:rPr>
        <w:t>Steven E. Voskuil</w:t>
      </w:r>
    </w:p>
    <w:p>
      <w:pPr>
        <w:spacing w:after="0" w:line="29"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5"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b w:val="1"/>
          <w:bCs w:val="1"/>
          <w:color w:val="auto"/>
        </w:rPr>
        <w:t>July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641985</wp:posOffset>
            </wp:positionV>
            <wp:extent cx="19685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The Hershey Company | Q2 2025 Form 10-Q | Exhibit 31.2</w:t>
      </w:r>
    </w:p>
    <w:p>
      <w:pPr>
        <w:sectPr>
          <w:pgSz w:w="11900" w:h="16838" w:orient="portrait"/>
          <w:cols w:equalWidth="0" w:num="1">
            <w:col w:w="11200"/>
          </w:cols>
          <w:pgMar w:left="360" w:top="765"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officers of The Hershey Company (the “Company”) hereby certify, to the best of their knowledge, that the Company’s Quarterly Report on Form 10-Q for the quarterly period ended June 29, 2025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8" w:lineRule="exact"/>
        <w:rPr>
          <w:sz w:val="20"/>
          <w:szCs w:val="20"/>
          <w:color w:val="auto"/>
        </w:rPr>
      </w:pPr>
    </w:p>
    <w:tbl>
      <w:tblPr>
        <w:tblLayout w:type="fixed"/>
        <w:tblInd w:w="540" w:type="dxa"/>
        <w:tblCellMar>
          <w:top w:w="0" w:type="dxa"/>
          <w:left w:w="0" w:type="dxa"/>
          <w:bottom w:w="0" w:type="dxa"/>
          <w:right w:w="0" w:type="dxa"/>
        </w:tblCellMar>
      </w:tblPr>
      <w:tr>
        <w:trPr>
          <w:trHeight w:val="261"/>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2025</w:t>
            </w: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MICHELE G. BUCK</w:t>
            </w:r>
          </w:p>
        </w:tc>
      </w:tr>
      <w:tr>
        <w:trPr>
          <w:trHeight w:val="196"/>
        </w:trPr>
        <w:tc>
          <w:tcPr>
            <w:tcW w:w="29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Michele G. Buck</w:t>
            </w:r>
          </w:p>
        </w:tc>
      </w:tr>
      <w:tr>
        <w:trPr>
          <w:trHeight w:val="162"/>
        </w:trPr>
        <w:tc>
          <w:tcPr>
            <w:tcW w:w="2920" w:type="dxa"/>
            <w:vAlign w:val="bottom"/>
          </w:tcPr>
          <w:p>
            <w:pPr>
              <w:spacing w:after="0"/>
              <w:rPr>
                <w:sz w:val="14"/>
                <w:szCs w:val="14"/>
                <w:color w:val="auto"/>
              </w:rPr>
            </w:pPr>
          </w:p>
        </w:tc>
        <w:tc>
          <w:tcPr>
            <w:tcW w:w="3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Chief Executive Officer</w:t>
            </w:r>
          </w:p>
        </w:tc>
      </w:tr>
      <w:tr>
        <w:trPr>
          <w:trHeight w:val="212"/>
        </w:trPr>
        <w:tc>
          <w:tcPr>
            <w:tcW w:w="29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tc>
      </w:tr>
    </w:tbl>
    <w:p>
      <w:pPr>
        <w:spacing w:after="0" w:line="228" w:lineRule="exact"/>
        <w:rPr>
          <w:sz w:val="20"/>
          <w:szCs w:val="20"/>
          <w:color w:val="auto"/>
        </w:rPr>
      </w:pPr>
    </w:p>
    <w:tbl>
      <w:tblPr>
        <w:tblLayout w:type="fixed"/>
        <w:tblInd w:w="540" w:type="dxa"/>
        <w:tblCellMar>
          <w:top w:w="0" w:type="dxa"/>
          <w:left w:w="0" w:type="dxa"/>
          <w:bottom w:w="0" w:type="dxa"/>
          <w:right w:w="0" w:type="dxa"/>
        </w:tblCellMar>
      </w:tblPr>
      <w:tr>
        <w:trPr>
          <w:trHeight w:val="261"/>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2025</w:t>
            </w: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E. VOSKUIL</w:t>
            </w:r>
          </w:p>
        </w:tc>
      </w:tr>
      <w:tr>
        <w:trPr>
          <w:trHeight w:val="196"/>
        </w:trPr>
        <w:tc>
          <w:tcPr>
            <w:tcW w:w="29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Steven E. Voskuil</w:t>
            </w:r>
          </w:p>
        </w:tc>
      </w:tr>
      <w:tr>
        <w:trPr>
          <w:trHeight w:val="162"/>
        </w:trPr>
        <w:tc>
          <w:tcPr>
            <w:tcW w:w="2920" w:type="dxa"/>
            <w:vAlign w:val="bottom"/>
          </w:tcPr>
          <w:p>
            <w:pPr>
              <w:spacing w:after="0"/>
              <w:rPr>
                <w:sz w:val="14"/>
                <w:szCs w:val="14"/>
                <w:color w:val="auto"/>
              </w:rPr>
            </w:pPr>
          </w:p>
        </w:tc>
        <w:tc>
          <w:tcPr>
            <w:tcW w:w="3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Chief Financial Officer</w:t>
            </w:r>
          </w:p>
        </w:tc>
      </w:tr>
      <w:tr>
        <w:trPr>
          <w:trHeight w:val="212"/>
        </w:trPr>
        <w:tc>
          <w:tcPr>
            <w:tcW w:w="29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tc>
      </w:tr>
    </w:tbl>
    <w:p>
      <w:pPr>
        <w:spacing w:after="0" w:line="24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1049020</wp:posOffset>
            </wp:positionV>
            <wp:extent cx="19685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Hershey Company | Q2 2025 Form 10-Q | Exhibit 32.1</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1)"/>
      <w:numFmt w:val="lowerLetter"/>
      <w:start w:val="1"/>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decimal"/>
      <w:start w:val="1"/>
    </w:lvl>
    <w:lvl w:ilvl="1">
      <w:lvlJc w:val="left"/>
      <w:lvlText w:val="(%2)"/>
      <w:numFmt w:val="decimal"/>
      <w:start w:val="1"/>
    </w:lvl>
  </w:abstractNum>
  <w:abstractNum w:abstractNumId="8">
    <w:nsid w:val="737B8DDC"/>
    <w:multiLevelType w:val="hybridMultilevel"/>
    <w:lvl w:ilvl="0">
      <w:lvlJc w:val="left"/>
      <w:lvlText w:val="%1."/>
      <w:numFmt w:val="decimal"/>
      <w:start w:val="10"/>
    </w:lvl>
    <w:lvl w:ilvl="1">
      <w:lvlJc w:val="left"/>
      <w:lvlText w:val="%2"/>
      <w:numFmt w:val="decimal"/>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lvl w:ilvl="1">
      <w:lvlJc w:val="left"/>
      <w:lvlText w:val="(%2)"/>
      <w:numFmt w:val="decimal"/>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1"/>
      <w:numFmt w:val="decimal"/>
      <w:start w:val="104"/>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1"/>
      <w:numFmt w:val="lowerLetter"/>
      <w:start w:val="1"/>
    </w:lvl>
    <w:lvl w:ilvl="1">
      <w:lvlJc w:val="left"/>
      <w:lvlText w:val="%2."/>
      <w:numFmt w:val="decimal"/>
      <w:start w:val="1"/>
    </w:lvl>
  </w:abstractNum>
  <w:abstractNum w:abstractNumId="30">
    <w:nsid w:val="6A2342EC"/>
    <w:multiLevelType w:val="hybridMultilevel"/>
    <w:lvl w:ilvl="0">
      <w:lvlJc w:val="left"/>
      <w:lvlText w:val="(%1)"/>
      <w:numFmt w:val="lowerLetter"/>
      <w:start w:val="1"/>
    </w:lvl>
    <w:lvl w:ilvl="1">
      <w:lvlJc w:val="left"/>
      <w:lvlText w:val="%2"/>
      <w:numFmt w:val="decimal"/>
      <w:start w:val="1"/>
    </w:lvl>
  </w:abstractNum>
  <w:abstractNum w:abstractNumId="31">
    <w:nsid w:val="2A487CB0"/>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32">
    <w:nsid w:val="1D4ED43B"/>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lvl w:ilvl="3">
      <w:lvlJc w:val="left"/>
      <w:lvlText w:val="%4"/>
      <w:numFmt w:val="lowerLetter"/>
      <w:start w:val="1"/>
    </w:lvl>
    <w:lvl w:ilvl="4">
      <w:lvlJc w:val="left"/>
      <w:lvlText w:val="%5"/>
      <w:numFmt w:val="decimal"/>
      <w:start w:val="1"/>
    </w:lvl>
  </w:abstractNum>
  <w:abstractNum w:abstractNumId="33">
    <w:nsid w:val="725A06FB"/>
    <w:multiLevelType w:val="hybridMultilevel"/>
    <w:lvl w:ilvl="0">
      <w:lvlJc w:val="left"/>
      <w:lvlText w:val="(%1)"/>
      <w:numFmt w:val="lowerLetter"/>
      <w:start w:val="3"/>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decimal"/>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lowerLetter"/>
      <w:start w:val="1"/>
    </w:lvl>
  </w:abstractNum>
  <w:abstractNum w:abstractNumId="36">
    <w:nsid w:val="7A6D8D3C"/>
    <w:multiLevelType w:val="hybridMultilevel"/>
    <w:lvl w:ilvl="0">
      <w:lvlJc w:val="left"/>
      <w:lvlText w:val="(%1)"/>
      <w:numFmt w:val="lowerLetter"/>
      <w:start w:val="2"/>
    </w:lvl>
  </w:abstractNum>
  <w:abstractNum w:abstractNumId="37">
    <w:nsid w:val="4B588F54"/>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38">
    <w:nsid w:val="542289EC"/>
    <w:multiLevelType w:val="hybridMultilevel"/>
    <w:lvl w:ilvl="0">
      <w:lvlJc w:val="left"/>
      <w:lvlText w:val="%1."/>
      <w:numFmt w:val="decimal"/>
      <w:start w:val="2"/>
    </w:lvl>
    <w:lvl w:ilvl="1">
      <w:lvlJc w:val="left"/>
      <w:lvlText w:val="%2"/>
      <w:numFmt w:val="upperLetter"/>
      <w:start w:val="1"/>
    </w:lvl>
    <w:lvl w:ilvl="2">
      <w:lvlJc w:val="left"/>
      <w:lvlText w:val="%3"/>
      <w:numFmt w:val="decimal"/>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abstractNum>
  <w:abstractNum w:abstractNumId="41">
    <w:nsid w:val="7644A45C"/>
    <w:multiLevelType w:val="hybridMultilevel"/>
    <w:lvl w:ilvl="0">
      <w:lvlJc w:val="left"/>
      <w:lvlText w:val="%1"/>
      <w:numFmt w:val="lowerLetter"/>
      <w:start w:val="1"/>
    </w:lvl>
    <w:lvl w:ilvl="1">
      <w:lvlJc w:val="left"/>
      <w:lvlText w:val="%2."/>
      <w:numFmt w:val="upperLetter"/>
      <w:start w:val="2"/>
    </w:lvl>
    <w:lvl w:ilvl="2">
      <w:lvlJc w:val="left"/>
      <w:lvlText w:val="%3"/>
      <w:numFmt w:val="decimal"/>
      <w:start w:val="1"/>
    </w:lvl>
  </w:abstractNum>
  <w:abstractNum w:abstractNumId="42">
    <w:nsid w:val="32FFF902"/>
    <w:multiLevelType w:val="hybridMultilevel"/>
    <w:lvl w:ilvl="0">
      <w:lvlJc w:val="left"/>
      <w:lvlText w:val="%1."/>
      <w:numFmt w:val="decimal"/>
      <w:start w:val="2"/>
    </w:lvl>
  </w:abstractNum>
  <w:abstractNum w:abstractNumId="43">
    <w:nsid w:val="684A481A"/>
    <w:multiLevelType w:val="hybridMultilevel"/>
    <w:lvl w:ilvl="0">
      <w:lvlJc w:val="left"/>
      <w:lvlText w:val="%1."/>
      <w:numFmt w:val="upperLetter"/>
      <w:start w:val="1"/>
    </w:lvl>
    <w:lvl w:ilvl="1">
      <w:lvlJc w:val="left"/>
      <w:lvlText w:val="%2."/>
      <w:numFmt w:val="decimal"/>
      <w:start w:val="1"/>
    </w:lvl>
  </w:abstractNum>
  <w:abstractNum w:abstractNumId="44">
    <w:nsid w:val="579478FE"/>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45">
    <w:nsid w:val="749ABB4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46">
    <w:nsid w:val="3DC240FB"/>
    <w:multiLevelType w:val="hybridMultilevel"/>
    <w:lvl w:ilvl="0">
      <w:lvlJc w:val="left"/>
      <w:lvlText w:val="%1"/>
      <w:numFmt w:val="decimal"/>
      <w:start w:val="1"/>
    </w:lvl>
    <w:lvl w:ilvl="1">
      <w:lvlJc w:val="left"/>
      <w:lvlText w:val="%2."/>
      <w:numFmt w:val="lowerLetter"/>
      <w:start w:val="3"/>
    </w:lvl>
  </w:abstractNum>
  <w:abstractNum w:abstractNumId="47">
    <w:nsid w:val="1BA026FA"/>
    <w:multiLevelType w:val="hybridMultilevel"/>
    <w:lvl w:ilvl="0">
      <w:lvlJc w:val="left"/>
      <w:lvlText w:val="%1."/>
      <w:numFmt w:val="decimal"/>
      <w:start w:val="3"/>
    </w:lvl>
    <w:lvl w:ilvl="1">
      <w:lvlJc w:val="left"/>
      <w:lvlText w:val="%2."/>
      <w:numFmt w:val="lowerLetter"/>
      <w:start w:val="1"/>
    </w:lvl>
  </w:abstractNum>
  <w:abstractNum w:abstractNumId="48">
    <w:nsid w:val="79A1DEAA"/>
    <w:multiLevelType w:val="hybridMultilevel"/>
    <w:lvl w:ilvl="0">
      <w:lvlJc w:val="left"/>
      <w:lvlText w:val="%1."/>
      <w:numFmt w:val="decimal"/>
      <w:start w:val="4"/>
    </w:lvl>
    <w:lvl w:ilvl="1">
      <w:lvlJc w:val="left"/>
      <w:lvlText w:val="%2."/>
      <w:numFmt w:val="lowerLetter"/>
      <w:start w:val="1"/>
    </w:lvl>
  </w:abstractNum>
  <w:abstractNum w:abstractNumId="49">
    <w:nsid w:val="75C6C33A"/>
    <w:multiLevelType w:val="hybridMultilevel"/>
    <w:lvl w:ilvl="0">
      <w:lvlJc w:val="left"/>
      <w:lvlText w:val="%1."/>
      <w:numFmt w:val="decimal"/>
      <w:start w:val="7"/>
    </w:lvl>
    <w:lvl w:ilvl="1">
      <w:lvlJc w:val="left"/>
      <w:lvlText w:val="%2."/>
      <w:numFmt w:val="lowerLetter"/>
      <w:start w:val="1"/>
    </w:lvl>
  </w:abstractNum>
  <w:abstractNum w:abstractNumId="50">
    <w:nsid w:val="12E685FB"/>
    <w:multiLevelType w:val="hybridMultilevel"/>
    <w:lvl w:ilvl="0">
      <w:lvlJc w:val="left"/>
      <w:lvlText w:val="%1."/>
      <w:numFmt w:val="upperLetter"/>
      <w:start w:val="3"/>
    </w:lvl>
  </w:abstractNum>
  <w:abstractNum w:abstractNumId="51">
    <w:nsid w:val="70C6A529"/>
    <w:multiLevelType w:val="hybridMultilevel"/>
    <w:lvl w:ilvl="0">
      <w:lvlJc w:val="left"/>
      <w:lvlText w:val="%1."/>
      <w:numFmt w:val="upperLetter"/>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jpeg"/><Relationship Id="rId158" Type="http://schemas.openxmlformats.org/officeDocument/2006/relationships/image" Target="media/image148.png"/><Relationship Id="rId159" Type="http://schemas.openxmlformats.org/officeDocument/2006/relationships/image" Target="media/image149.jpeg"/><Relationship Id="rId160" Type="http://schemas.openxmlformats.org/officeDocument/2006/relationships/image" Target="media/image150.png"/><Relationship Id="rId161" Type="http://schemas.openxmlformats.org/officeDocument/2006/relationships/image" Target="media/image151.jpeg"/><Relationship Id="rId162" Type="http://schemas.openxmlformats.org/officeDocument/2006/relationships/image" Target="media/image152.png"/><Relationship Id="rId163" Type="http://schemas.openxmlformats.org/officeDocument/2006/relationships/image" Target="media/image153.jpeg"/><Relationship Id="rId164" Type="http://schemas.openxmlformats.org/officeDocument/2006/relationships/image" Target="media/image154.jpeg"/><Relationship Id="rId153" Type="http://schemas.openxmlformats.org/officeDocument/2006/relationships/hyperlink" Target="https://www.sec.gov/Archives/edgar/data/47111/000004711125000026/ex31-amendedbyxlawsxeffect.htm" TargetMode="External"/><Relationship Id="rId154" Type="http://schemas.openxmlformats.org/officeDocument/2006/relationships/hyperlink" Target="https://www.sec.gov/Archives/edgar/data/0000047111/000004711125000026/ex31-amendedbyxlawsxeffect.htm" TargetMode="External"/><Relationship Id="rId155" Type="http://schemas.openxmlformats.org/officeDocument/2006/relationships/hyperlink" Target="https://www.sec.gov/Archives/edgar/data/47111/000004711125000095/exhibit101-executiveemplo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2025-07-30T15:33:49Z</dcterms:created>
  <dcterms:modified xsi:type="dcterms:W3CDTF">2025-07-30T15:33:49Z</dcterms:modified>
</cp:coreProperties>
</file>