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400" w:right="1280" w:hanging="298"/>
        <w:spacing w:after="0" w:line="235" w:lineRule="auto"/>
        <w:tabs>
          <w:tab w:leader="none" w:pos="140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2017</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400" w:right="1260" w:hanging="339"/>
        <w:spacing w:after="0"/>
        <w:tabs>
          <w:tab w:leader="none" w:pos="14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______to_______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HERSHEY COMPANY</w:t>
      </w: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87" w:right="239" w:bottom="1440" w:gutter="0" w:footer="0" w:header="0"/>
        </w:sectPr>
      </w:pPr>
    </w:p>
    <w:p>
      <w:pPr>
        <w:spacing w:after="0" w:line="304"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23-0691590</w:t>
      </w:r>
    </w:p>
    <w:p>
      <w:pPr>
        <w:spacing w:after="0" w:line="86" w:lineRule="exact"/>
        <w:rPr>
          <w:sz w:val="24"/>
          <w:szCs w:val="24"/>
          <w:color w:val="auto"/>
        </w:rPr>
      </w:pPr>
    </w:p>
    <w:p>
      <w:pPr>
        <w:sectPr>
          <w:pgSz w:w="11900" w:h="16838" w:orient="portrait"/>
          <w:cols w:equalWidth="0" w:num="2">
            <w:col w:w="7440" w:space="720"/>
            <w:col w:w="3260"/>
          </w:cols>
          <w:pgMar w:left="240" w:top="887" w:right="239" w:bottom="1440" w:gutter="0" w:footer="0" w:header="0"/>
          <w:type w:val="continuous"/>
        </w:sectPr>
      </w:pPr>
    </w:p>
    <w:p>
      <w:pPr>
        <w:jc w:val="center"/>
        <w:ind w:right="800"/>
        <w:spacing w:after="0"/>
        <w:rPr>
          <w:sz w:val="20"/>
          <w:szCs w:val="20"/>
          <w:color w:val="auto"/>
        </w:rPr>
      </w:pPr>
      <w:r>
        <w:rPr>
          <w:rFonts w:ascii="Arial" w:cs="Arial" w:eastAsia="Arial" w:hAnsi="Arial"/>
          <w:sz w:val="16"/>
          <w:szCs w:val="16"/>
          <w:color w:val="auto"/>
        </w:rPr>
        <w:t>(State or other jurisdiction of incorporation</w:t>
      </w:r>
    </w:p>
    <w:p>
      <w:pPr>
        <w:spacing w:after="0" w:line="46"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90" w:lineRule="exact"/>
        <w:rPr>
          <w:sz w:val="24"/>
          <w:szCs w:val="24"/>
          <w:color w:val="auto"/>
        </w:rPr>
      </w:pPr>
    </w:p>
    <w:p>
      <w:pPr>
        <w:sectPr>
          <w:pgSz w:w="11900" w:h="16838" w:orient="portrait"/>
          <w:cols w:equalWidth="0" w:num="2">
            <w:col w:w="6580" w:space="720"/>
            <w:col w:w="4120"/>
          </w:cols>
          <w:pgMar w:left="240" w:top="88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100 Crystal A Drive, Hershey, PA</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17033</w:t>
      </w:r>
    </w:p>
    <w:p>
      <w:pPr>
        <w:sectPr>
          <w:pgSz w:w="11900" w:h="16838" w:orient="portrait"/>
          <w:cols w:equalWidth="0" w:num="1">
            <w:col w:w="11420"/>
          </w:cols>
          <w:pgMar w:left="240" w:top="887" w:right="239" w:bottom="1440" w:gutter="0" w:footer="0" w:header="0"/>
          <w:type w:val="continuous"/>
        </w:sectPr>
      </w:pP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717-534-4200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887" w:right="23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2280" w:space="720"/>
            <w:col w:w="220" w:space="720"/>
            <w:col w:w="2080" w:space="720"/>
            <w:col w:w="240" w:space="720"/>
            <w:col w:w="2060" w:space="720"/>
            <w:col w:w="940"/>
          </w:cols>
          <w:pgMar w:left="240" w:top="887"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780"/>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2240" w:space="720"/>
            <w:col w:w="160" w:space="240"/>
            <w:col w:w="3620" w:space="720"/>
            <w:col w:w="2060" w:space="720"/>
            <w:col w:w="940"/>
          </w:cols>
          <w:pgMar w:left="240" w:top="887" w:right="239" w:bottom="14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Common Stock, one dollar par value—150,075,619 shares, as of October 20, 2017.</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Class B Common Stock, one dollar par value—60,619,777 shares, as of October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October 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6600" w:type="dxa"/>
            <w:vAlign w:val="bottom"/>
            <w:tcBorders>
              <w:bottom w:val="single" w:sz="8" w:color="CCEEFF"/>
            </w:tcBorders>
            <w:gridSpan w:val="9"/>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gridSpan w:val="19"/>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0000EE"/>
            </w:tcBorders>
            <w:gridSpan w:val="17"/>
            <w:shd w:val="clear" w:color="auto" w:fill="CCEEFF"/>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for the Three and Nine Months Ended October 1, 2017 and October 2, 2016</w:t>
              </w:r>
            </w:hyperlink>
          </w:p>
        </w:tc>
        <w:tc>
          <w:tcPr>
            <w:tcW w:w="1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8"/>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for the Three and Nine Months Ended October 1, 2017 and October 2, 2016</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as of October 1, 2017 and December 31, 2016</w:t>
              </w:r>
            </w:hyperlink>
          </w:p>
        </w:tc>
        <w:tc>
          <w:tcPr>
            <w:tcW w:w="3780" w:type="dxa"/>
            <w:vAlign w:val="bottom"/>
            <w:tcBorders>
              <w:bottom w:val="single" w:sz="8" w:color="CCEEFF"/>
            </w:tcBorders>
            <w:gridSpan w:val="5"/>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8"/>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October 1, 2017 and October 2, 2016</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 of Stockholders' Equity for the Nine Months Ended October 1, 2017</w:t>
              </w:r>
            </w:hyperlink>
          </w:p>
        </w:tc>
        <w:tc>
          <w:tcPr>
            <w:tcW w:w="2560" w:type="dxa"/>
            <w:vAlign w:val="bottom"/>
            <w:tcBorders>
              <w:bottom w:val="single" w:sz="8" w:color="CCEEFF"/>
            </w:tcBorders>
            <w:gridSpan w:val="4"/>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gridSpan w:val="18"/>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gridSpan w:val="16"/>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2360" w:type="dxa"/>
            <w:vAlign w:val="bottom"/>
            <w:gridSpan w:val="3"/>
          </w:tcPr>
          <w:p>
            <w:pPr>
              <w:spacing w:after="0"/>
              <w:rPr>
                <w:sz w:val="17"/>
                <w:szCs w:val="17"/>
                <w:color w:val="auto"/>
              </w:rPr>
            </w:pPr>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340" w:type="dxa"/>
            <w:vAlign w:val="bottom"/>
            <w:gridSpan w:val="19"/>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 Controls and Procedures</w:t>
              </w:r>
            </w:hyperlink>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9480" w:type="dxa"/>
            <w:vAlign w:val="bottom"/>
            <w:gridSpan w:val="20"/>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PART II. OTHER INFORMATION</w:t>
              </w:r>
            </w:hyperlink>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9"/>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Item1. Legal Proceedings</w:t>
              </w:r>
            </w:hyperlink>
          </w:p>
        </w:tc>
        <w:tc>
          <w:tcPr>
            <w:tcW w:w="6920" w:type="dxa"/>
            <w:vAlign w:val="bottom"/>
            <w:gridSpan w:val="10"/>
          </w:tcPr>
          <w:p>
            <w:pPr>
              <w:spacing w:after="0"/>
              <w:rPr>
                <w:sz w:val="17"/>
                <w:szCs w:val="17"/>
                <w:color w:val="auto"/>
              </w:rPr>
            </w:pPr>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4"/>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1A. Risk Factors</w:t>
              </w:r>
            </w:hyperlink>
          </w:p>
        </w:tc>
        <w:tc>
          <w:tcPr>
            <w:tcW w:w="7760" w:type="dxa"/>
            <w:vAlign w:val="bottom"/>
            <w:gridSpan w:val="15"/>
            <w:shd w:val="clear" w:color="auto" w:fill="CCEEFF"/>
          </w:tcPr>
          <w:p>
            <w:pPr>
              <w:spacing w:after="0"/>
              <w:rPr>
                <w:sz w:val="17"/>
                <w:szCs w:val="17"/>
                <w:color w:val="auto"/>
              </w:rPr>
            </w:pPr>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gridSpan w:val="19"/>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2. Unregistered Sales of Equity Securities and Use of Proceeds</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 Defaults Upon Senior Securities</w:t>
              </w:r>
            </w:hyperlink>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1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Mine Safety Disclosures</w:t>
              </w:r>
            </w:hyperlink>
          </w:p>
        </w:tc>
        <w:tc>
          <w:tcPr>
            <w:tcW w:w="6480" w:type="dxa"/>
            <w:vAlign w:val="bottom"/>
            <w:gridSpan w:val="8"/>
          </w:tcPr>
          <w:p>
            <w:pPr>
              <w:spacing w:after="0"/>
              <w:rPr>
                <w:sz w:val="17"/>
                <w:szCs w:val="17"/>
                <w:color w:val="auto"/>
              </w:rPr>
            </w:pPr>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6"/>
            <w:shd w:val="clear" w:color="auto" w:fill="CCEEFF"/>
          </w:tcPr>
          <w:p>
            <w:pPr>
              <w:spacing w:after="0" w:line="202"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5. Other Information</w:t>
              </w:r>
            </w:hyperlink>
          </w:p>
        </w:tc>
        <w:tc>
          <w:tcPr>
            <w:tcW w:w="7480" w:type="dxa"/>
            <w:vAlign w:val="bottom"/>
            <w:gridSpan w:val="13"/>
            <w:shd w:val="clear" w:color="auto" w:fill="CCEEFF"/>
          </w:tcPr>
          <w:p>
            <w:pPr>
              <w:spacing w:after="0"/>
              <w:rPr>
                <w:sz w:val="17"/>
                <w:szCs w:val="17"/>
                <w:color w:val="auto"/>
              </w:rPr>
            </w:pPr>
          </w:p>
        </w:tc>
        <w:tc>
          <w:tcPr>
            <w:tcW w:w="190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6"/>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7480" w:type="dxa"/>
            <w:vAlign w:val="bottom"/>
            <w:gridSpan w:val="13"/>
          </w:tcPr>
          <w:p>
            <w:pPr>
              <w:spacing w:after="0"/>
              <w:rPr>
                <w:sz w:val="17"/>
                <w:szCs w:val="17"/>
                <w:color w:val="auto"/>
              </w:rPr>
            </w:pPr>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8720" w:type="dxa"/>
            <w:vAlign w:val="bottom"/>
            <w:gridSpan w:val="17"/>
          </w:tcPr>
          <w:p>
            <w:pPr>
              <w:spacing w:after="0"/>
              <w:rPr>
                <w:sz w:val="17"/>
                <w:szCs w:val="17"/>
                <w:color w:val="auto"/>
              </w:rPr>
            </w:pPr>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10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1, 2017</w:t>
            </w: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2, 2016</w:t>
            </w: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1, 2017</w:t>
            </w:r>
          </w:p>
        </w:tc>
        <w:tc>
          <w:tcPr>
            <w:tcW w:w="180" w:type="dxa"/>
            <w:vAlign w:val="bottom"/>
          </w:tcPr>
          <w:p>
            <w:pPr>
              <w:spacing w:after="0"/>
              <w:rPr>
                <w:sz w:val="20"/>
                <w:szCs w:val="20"/>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October 2, 2016</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2,033,121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2,003,454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5,575,790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5,469,937</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1,092,899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1,152,606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2,965,798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3,054,315</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940,222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850,848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2,609,992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2,415,622</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Selling, marketing and administrative expense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497,182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474,494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1,404,970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1,408,759</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Long-lived asset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Business realignment costs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30,568</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439,020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374,024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946,292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976,295</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24,589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66,730</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8,703</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400,801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327,837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850,279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900,862</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126,788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297,671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including noncontrolling interest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274,013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227,403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574,988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603,191</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Net income (loss) attributable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attributable to The Hershey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273,303</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227,403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601,848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603,191</w:t>
            </w: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per share—basic:</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per share—diluted:</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Dividends paid per share: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Class B common stock</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0.596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0.562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1.622</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w w:val="93"/>
              </w:rPr>
              <w:t>October 1, 2017</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6"/>
          </w:tcPr>
          <w:p>
            <w:pPr>
              <w:jc w:val="center"/>
              <w:ind w:right="548"/>
              <w:spacing w:after="0"/>
              <w:rPr>
                <w:sz w:val="20"/>
                <w:szCs w:val="20"/>
                <w:color w:val="auto"/>
              </w:rPr>
            </w:pPr>
            <w:r>
              <w:rPr>
                <w:rFonts w:ascii="Arial" w:cs="Arial" w:eastAsia="Arial" w:hAnsi="Arial"/>
                <w:sz w:val="14"/>
                <w:szCs w:val="14"/>
                <w:b w:val="1"/>
                <w:bCs w:val="1"/>
                <w:color w:val="auto"/>
                <w:w w:val="92"/>
              </w:rPr>
              <w:t>October 2, 2016</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w w:val="92"/>
              </w:rPr>
              <w:t>October 1, 2017</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6"/>
          </w:tcPr>
          <w:p>
            <w:pPr>
              <w:jc w:val="right"/>
              <w:ind w:right="548"/>
              <w:spacing w:after="0"/>
              <w:rPr>
                <w:sz w:val="20"/>
                <w:szCs w:val="20"/>
                <w:color w:val="auto"/>
              </w:rPr>
            </w:pPr>
            <w:r>
              <w:rPr>
                <w:rFonts w:ascii="Arial" w:cs="Arial" w:eastAsia="Arial" w:hAnsi="Arial"/>
                <w:sz w:val="14"/>
                <w:szCs w:val="14"/>
                <w:b w:val="1"/>
                <w:bCs w:val="1"/>
                <w:color w:val="auto"/>
                <w:w w:val="92"/>
              </w:rPr>
              <w:t>October 2, 2016</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Pre-Tax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Pre-Tax</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9"/>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Pre-Tax</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Pre-Tax</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(Expense)</w:t>
            </w: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Net income including</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$ 274,013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$227,403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$574,988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$603,191</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Other comprehensive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$ 27,878</w:t>
            </w:r>
          </w:p>
        </w:tc>
        <w:tc>
          <w:tcPr>
            <w:tcW w:w="240" w:type="dxa"/>
            <w:vAlign w:val="bottom"/>
            <w:gridSpan w:val="3"/>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57"/>
        </w:trPr>
        <w:tc>
          <w:tcPr>
            <w:tcW w:w="1960" w:type="dxa"/>
            <w:vAlign w:val="bottom"/>
          </w:tcPr>
          <w:p>
            <w:pPr>
              <w:ind w:left="180"/>
              <w:spacing w:after="0" w:line="157" w:lineRule="exact"/>
              <w:rPr>
                <w:sz w:val="20"/>
                <w:szCs w:val="20"/>
                <w:color w:val="auto"/>
              </w:rPr>
            </w:pPr>
            <w:r>
              <w:rPr>
                <w:rFonts w:ascii="Arial" w:cs="Arial" w:eastAsia="Arial" w:hAnsi="Arial"/>
                <w:sz w:val="14"/>
                <w:szCs w:val="14"/>
                <w:color w:val="auto"/>
              </w:rPr>
              <w:t>Pension and post-retirement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180"/>
              <w:spacing w:after="0"/>
              <w:rPr>
                <w:sz w:val="20"/>
                <w:szCs w:val="20"/>
                <w:color w:val="auto"/>
              </w:rPr>
            </w:pPr>
            <w:r>
              <w:rPr>
                <w:rFonts w:ascii="Arial" w:cs="Arial" w:eastAsia="Arial" w:hAnsi="Arial"/>
                <w:sz w:val="14"/>
                <w:szCs w:val="14"/>
                <w:color w:val="auto"/>
              </w:rPr>
              <w:t>benefit plans: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loss and</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(29,738)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11,296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(18,442)</w:t>
            </w: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Reclassification to</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15,359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11,828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(4,447)</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7,381</w:t>
            </w: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38,544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(22,636)</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15,908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46,133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(17,807)</w:t>
            </w:r>
          </w:p>
        </w:tc>
        <w:tc>
          <w:tcPr>
            <w:tcW w:w="1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28,326</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80"/>
              <w:spacing w:after="0" w:line="157" w:lineRule="exact"/>
              <w:rPr>
                <w:sz w:val="20"/>
                <w:szCs w:val="20"/>
                <w:color w:val="auto"/>
              </w:rPr>
            </w:pPr>
            <w:r>
              <w:rPr>
                <w:rFonts w:ascii="Arial" w:cs="Arial" w:eastAsia="Arial" w:hAnsi="Arial"/>
                <w:sz w:val="14"/>
                <w:szCs w:val="14"/>
                <w:color w:val="auto"/>
              </w:rPr>
              <w:t>Losses on cash flow</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80"/>
              <w:spacing w:after="0"/>
              <w:rPr>
                <w:sz w:val="20"/>
                <w:szCs w:val="20"/>
                <w:color w:val="auto"/>
              </w:rPr>
            </w:pPr>
            <w:r>
              <w:rPr>
                <w:rFonts w:ascii="Arial" w:cs="Arial" w:eastAsia="Arial" w:hAnsi="Arial"/>
                <w:sz w:val="14"/>
                <w:szCs w:val="14"/>
                <w:color w:val="auto"/>
              </w:rPr>
              <w:t>hedging derivatives</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1,354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(53,627)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18,838</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(34,789)</w:t>
            </w: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(1,380)</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7,374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(14,064)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6,079</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(7,985)</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Total other comprehensive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25,328</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(6,073)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2,429</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$ 60,855</w:t>
            </w:r>
          </w:p>
        </w:tc>
        <w:tc>
          <w:tcPr>
            <w:tcW w:w="240" w:type="dxa"/>
            <w:vAlign w:val="bottom"/>
            <w:gridSpan w:val="3"/>
            <w:vMerge w:val="restart"/>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(21,259)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1"/>
              </w:rPr>
              <w:t>(46,243)</w:t>
            </w:r>
          </w:p>
        </w:tc>
        <w:tc>
          <w:tcPr>
            <w:tcW w:w="240" w:type="dxa"/>
            <w:vAlign w:val="bottom"/>
            <w:gridSpan w:val="3"/>
            <w:vMerge w:val="restart"/>
          </w:tcPr>
          <w:p>
            <w:pPr>
              <w:ind w:left="16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18,406</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income (loss), net of tax</w:t>
            </w: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19,255</w:t>
            </w:r>
          </w:p>
        </w:tc>
        <w:tc>
          <w:tcPr>
            <w:tcW w:w="2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(892)</w:t>
            </w:r>
          </w:p>
        </w:tc>
        <w:tc>
          <w:tcPr>
            <w:tcW w:w="740" w:type="dxa"/>
            <w:vAlign w:val="bottom"/>
            <w:gridSpan w:val="2"/>
            <w:vMerge w:val="continue"/>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39,596</w:t>
            </w:r>
          </w:p>
        </w:tc>
        <w:tc>
          <w:tcPr>
            <w:tcW w:w="22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(27,837)</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w:t>
            </w: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including noncontrolling</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$ 293,268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$ 226,511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$614,584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$575,354</w:t>
            </w:r>
          </w:p>
        </w:tc>
        <w:tc>
          <w:tcPr>
            <w:tcW w:w="0" w:type="dxa"/>
            <w:vAlign w:val="bottom"/>
          </w:tcPr>
          <w:p>
            <w:pPr>
              <w:spacing w:after="0"/>
              <w:rPr>
                <w:sz w:val="1"/>
                <w:szCs w:val="1"/>
                <w:color w:val="auto"/>
              </w:rPr>
            </w:pPr>
          </w:p>
        </w:tc>
      </w:tr>
      <w:tr>
        <w:trPr>
          <w:trHeight w:val="137"/>
        </w:trPr>
        <w:tc>
          <w:tcPr>
            <w:tcW w:w="1960" w:type="dxa"/>
            <w:vAlign w:val="bottom"/>
          </w:tcPr>
          <w:p>
            <w:pPr>
              <w:ind w:left="180"/>
              <w:spacing w:after="0" w:line="137"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(loss) attributable to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noncontrolling interest</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attributable to The Hershey</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$ 292,239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$227,262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$640,709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5"/>
              </w:rPr>
              <w:t>$577,394</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Company</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October 1,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296,967</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742,832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581,381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745,678</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258,379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192,752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2,214,454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1,816,778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2,050,124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2,177,248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812,344</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375,455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492,737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56,861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5,655,477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529,442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522,536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750,986</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632,471</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300,096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2,337,670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1,909,443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2,054,132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2,347,455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400,161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22,303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39,587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4,816,501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4,696,646</w:t>
            </w:r>
          </w:p>
        </w:tc>
        <w:tc>
          <w:tcPr>
            <w:tcW w:w="0" w:type="dxa"/>
            <w:vAlign w:val="bottom"/>
          </w:tcPr>
          <w:p>
            <w:pPr>
              <w:spacing w:after="0"/>
              <w:rPr>
                <w:sz w:val="1"/>
                <w:szCs w:val="1"/>
                <w:color w:val="auto"/>
              </w:rPr>
            </w:pPr>
          </w:p>
        </w:tc>
      </w:tr>
      <w:tr>
        <w:trPr>
          <w:trHeight w:val="277"/>
        </w:trPr>
        <w:tc>
          <w:tcPr>
            <w:tcW w:w="70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at October 1, 2017 and December 31, 2016</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w w:val="95"/>
              </w:rPr>
              <w:t>Common stock, shares issued: 299,281,967 at October 1, 2017 and December 31, 2016</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Class B common stock, shares issued: 60,619,777 at October 1, 2017 and December 31,</w:t>
            </w: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910,246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869,857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6,325,011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6,115,961</w:t>
            </w:r>
          </w:p>
        </w:tc>
        <w:tc>
          <w:tcPr>
            <w:tcW w:w="0" w:type="dxa"/>
            <w:vAlign w:val="bottom"/>
          </w:tcPr>
          <w:p>
            <w:pPr>
              <w:spacing w:after="0"/>
              <w:rPr>
                <w:sz w:val="1"/>
                <w:szCs w:val="1"/>
                <w:color w:val="auto"/>
              </w:rPr>
            </w:pPr>
          </w:p>
        </w:tc>
      </w:tr>
      <w:tr>
        <w:trPr>
          <w:trHeight w:val="229"/>
        </w:trPr>
        <w:tc>
          <w:tcPr>
            <w:tcW w:w="7000" w:type="dxa"/>
            <w:vAlign w:val="bottom"/>
          </w:tcPr>
          <w:p>
            <w:pPr>
              <w:ind w:left="280"/>
              <w:spacing w:after="0"/>
              <w:rPr>
                <w:sz w:val="20"/>
                <w:szCs w:val="20"/>
                <w:color w:val="auto"/>
              </w:rPr>
            </w:pPr>
            <w:r>
              <w:rPr>
                <w:rFonts w:ascii="Arial" w:cs="Arial" w:eastAsia="Arial" w:hAnsi="Arial"/>
                <w:sz w:val="18"/>
                <w:szCs w:val="18"/>
                <w:color w:val="auto"/>
                <w:w w:val="91"/>
              </w:rPr>
              <w:t>Treasury—common stock shares, at cost: 149,232,801 at October 1, 2017 and 147,642,009</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80"/>
              <w:spacing w:after="0"/>
              <w:rPr>
                <w:sz w:val="20"/>
                <w:szCs w:val="20"/>
                <w:color w:val="auto"/>
              </w:rPr>
            </w:pPr>
            <w:r>
              <w:rPr>
                <w:rFonts w:ascii="Arial" w:cs="Arial" w:eastAsia="Arial" w:hAnsi="Arial"/>
                <w:sz w:val="18"/>
                <w:szCs w:val="18"/>
                <w:color w:val="auto"/>
              </w:rPr>
              <w:t>at December 31, 2016</w:t>
            </w:r>
          </w:p>
        </w:tc>
        <w:tc>
          <w:tcPr>
            <w:tcW w:w="2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(6,434,861)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(6,183,975)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(375,888)</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823,270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785,856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c>
          <w:tcPr>
            <w:tcW w:w="0" w:type="dxa"/>
            <w:vAlign w:val="bottom"/>
          </w:tcPr>
          <w:p>
            <w:pPr>
              <w:spacing w:after="0"/>
              <w:rPr>
                <w:sz w:val="1"/>
                <w:szCs w:val="1"/>
                <w:color w:val="auto"/>
              </w:rPr>
            </w:pP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838,976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827,687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5,655,477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58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October 1, 2017</w:t>
            </w:r>
          </w:p>
        </w:tc>
        <w:tc>
          <w:tcPr>
            <w:tcW w:w="560" w:type="dxa"/>
            <w:vAlign w:val="bottom"/>
          </w:tcPr>
          <w:p>
            <w:pPr>
              <w:spacing w:after="0"/>
              <w:rPr>
                <w:sz w:val="22"/>
                <w:szCs w:val="22"/>
                <w:color w:val="auto"/>
              </w:rPr>
            </w:pPr>
          </w:p>
        </w:tc>
        <w:tc>
          <w:tcPr>
            <w:tcW w:w="1580" w:type="dxa"/>
            <w:vAlign w:val="bottom"/>
          </w:tcPr>
          <w:p>
            <w:pPr>
              <w:jc w:val="right"/>
              <w:ind w:right="508"/>
              <w:spacing w:after="0"/>
              <w:rPr>
                <w:sz w:val="20"/>
                <w:szCs w:val="20"/>
                <w:color w:val="auto"/>
              </w:rPr>
            </w:pPr>
            <w:r>
              <w:rPr>
                <w:rFonts w:ascii="Arial" w:cs="Arial" w:eastAsia="Arial" w:hAnsi="Arial"/>
                <w:sz w:val="14"/>
                <w:szCs w:val="14"/>
                <w:b w:val="1"/>
                <w:bCs w:val="1"/>
                <w:color w:val="auto"/>
                <w:w w:val="93"/>
              </w:rPr>
              <w:t>October 2, 2016</w:t>
            </w: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574,988</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603,191</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194,313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241,901</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37,966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40,699</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(14,859)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(12,703)</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assets (see Note 7)</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23,999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35,862</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settlement of SGM liability (see Note 2)</w:t>
            </w:r>
          </w:p>
        </w:tc>
        <w:tc>
          <w:tcPr>
            <w:tcW w:w="36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(26,650)</w:t>
            </w:r>
          </w:p>
        </w:tc>
      </w:tr>
      <w:tr>
        <w:trPr>
          <w:trHeight w:val="264"/>
        </w:trPr>
        <w:tc>
          <w:tcPr>
            <w:tcW w:w="6980" w:type="dxa"/>
            <w:vAlign w:val="bottom"/>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60,129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42,499</w:t>
            </w:r>
          </w:p>
        </w:tc>
      </w:tr>
      <w:tr>
        <w:trPr>
          <w:trHeight w:val="276"/>
        </w:trPr>
        <w:tc>
          <w:tcPr>
            <w:tcW w:w="6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Changes in assets and liabilities, net of business acquisitions: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Accounts receivable—trade, net</w:t>
            </w:r>
          </w:p>
        </w:tc>
        <w:tc>
          <w:tcPr>
            <w:tcW w:w="3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(161,451)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(157,142)</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(192,509)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(83,221)</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(33,581)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(44,254)</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(126,966)</w:t>
            </w:r>
          </w:p>
        </w:tc>
      </w:tr>
      <w:tr>
        <w:trPr>
          <w:trHeight w:val="264"/>
        </w:trPr>
        <w:tc>
          <w:tcPr>
            <w:tcW w:w="6980" w:type="dxa"/>
            <w:vAlign w:val="bottom"/>
          </w:tcPr>
          <w:p>
            <w:pPr>
              <w:ind w:left="820"/>
              <w:spacing w:after="0"/>
              <w:rPr>
                <w:sz w:val="20"/>
                <w:szCs w:val="20"/>
                <w:color w:val="auto"/>
              </w:rPr>
            </w:pPr>
            <w:r>
              <w:rPr>
                <w:rFonts w:ascii="Arial" w:cs="Arial" w:eastAsia="Arial" w:hAnsi="Arial"/>
                <w:sz w:val="14"/>
                <w:szCs w:val="14"/>
                <w:color w:val="auto"/>
              </w:rPr>
              <w:t>Accrued income taxes</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18,849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1,128</w:t>
            </w:r>
          </w:p>
        </w:tc>
      </w:tr>
      <w:tr>
        <w:trPr>
          <w:trHeight w:val="276"/>
        </w:trPr>
        <w:tc>
          <w:tcPr>
            <w:tcW w:w="69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Contributions to pension and other benefits plans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(42,566)</w:t>
            </w:r>
          </w:p>
        </w:tc>
      </w:tr>
      <w:tr>
        <w:trPr>
          <w:trHeight w:val="264"/>
        </w:trPr>
        <w:tc>
          <w:tcPr>
            <w:tcW w:w="698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Other assets and liabilities</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(17,394)</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625,899</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450,760</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additions (including software)</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(148,923)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(168,225)</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Proceeds from sales of property, plant and equipment</w:t>
            </w:r>
          </w:p>
        </w:tc>
        <w:tc>
          <w:tcPr>
            <w:tcW w:w="360" w:type="dxa"/>
            <w:vAlign w:val="bottom"/>
          </w:tcPr>
          <w:p>
            <w:pPr>
              <w:spacing w:after="0"/>
              <w:rPr>
                <w:sz w:val="22"/>
                <w:szCs w:val="22"/>
                <w:color w:val="auto"/>
              </w:rPr>
            </w:pP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3,032</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(35,395)</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tcPr>
          <w:p>
            <w:pPr>
              <w:spacing w:after="0"/>
              <w:rPr>
                <w:sz w:val="22"/>
                <w:szCs w:val="22"/>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(285,374)</w:t>
            </w:r>
          </w:p>
        </w:tc>
      </w:tr>
      <w:tr>
        <w:trPr>
          <w:trHeight w:val="256"/>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(187,142)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(485,962)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short-term debt</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173,110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250,573</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Long-term borrowings</w:t>
            </w:r>
          </w:p>
        </w:tc>
        <w:tc>
          <w:tcPr>
            <w:tcW w:w="360" w:type="dxa"/>
            <w:vAlign w:val="bottom"/>
          </w:tcPr>
          <w:p>
            <w:pPr>
              <w:spacing w:after="0"/>
              <w:rPr>
                <w:sz w:val="22"/>
                <w:szCs w:val="22"/>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792,923</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Payment of SGM liability (see Note 2)</w:t>
            </w:r>
          </w:p>
        </w:tc>
        <w:tc>
          <w:tcPr>
            <w:tcW w:w="360" w:type="dxa"/>
            <w:vAlign w:val="bottom"/>
          </w:tcPr>
          <w:p>
            <w:pPr>
              <w:spacing w:after="0"/>
              <w:rPr>
                <w:sz w:val="22"/>
                <w:szCs w:val="22"/>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(35,762)</w:t>
            </w:r>
          </w:p>
        </w:tc>
      </w:tr>
      <w:tr>
        <w:trPr>
          <w:trHeight w:val="276"/>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(391,845)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(371,706)</w:t>
            </w:r>
          </w:p>
        </w:tc>
      </w:tr>
      <w:tr>
        <w:trPr>
          <w:trHeight w:val="264"/>
        </w:trPr>
        <w:tc>
          <w:tcPr>
            <w:tcW w:w="698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(452,580)</w:t>
            </w:r>
          </w:p>
        </w:tc>
      </w:tr>
      <w:tr>
        <w:trPr>
          <w:trHeight w:val="270"/>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3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53,532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88,093</w:t>
            </w:r>
          </w:p>
        </w:tc>
      </w:tr>
      <w:tr>
        <w:trPr>
          <w:trHeight w:val="25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(465,719)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21,541</w:t>
            </w: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5,051</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Decrease in cash and cash equivalents</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(21,911)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(13,196)</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296,967</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346,529</w:t>
            </w: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275,056</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333,333</w:t>
            </w:r>
          </w:p>
        </w:tc>
      </w:tr>
      <w:tr>
        <w:trPr>
          <w:trHeight w:val="25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81,497</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72,925</w:t>
            </w:r>
          </w:p>
        </w:tc>
      </w:tr>
      <w:tr>
        <w:trPr>
          <w:trHeight w:val="276"/>
        </w:trPr>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271,412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306,580</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42" w:lineRule="exact"/>
        <w:rPr>
          <w:sz w:val="20"/>
          <w:szCs w:val="20"/>
          <w:color w:val="auto"/>
        </w:rPr>
      </w:pPr>
    </w:p>
    <w:p>
      <w:pPr>
        <w:ind w:right="540"/>
        <w:spacing w:after="0" w:line="253" w:lineRule="auto"/>
        <w:rPr>
          <w:sz w:val="20"/>
          <w:szCs w:val="20"/>
          <w:color w:val="auto"/>
        </w:rPr>
      </w:pPr>
      <w:r>
        <w:rPr>
          <w:rFonts w:ascii="Arial" w:cs="Arial" w:eastAsia="Arial" w:hAnsi="Arial"/>
          <w:sz w:val="14"/>
          <w:szCs w:val="14"/>
          <w:color w:val="auto"/>
        </w:rPr>
        <w:t>Dividends (including dividend equivalents):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Common Stock, $1.892 per share</w:t>
      </w:r>
    </w:p>
    <w:p>
      <w:pPr>
        <w:spacing w:after="0" w:line="53" w:lineRule="exact"/>
        <w:rPr>
          <w:sz w:val="20"/>
          <w:szCs w:val="20"/>
          <w:color w:val="auto"/>
        </w:rPr>
      </w:pPr>
    </w:p>
    <w:p>
      <w:pPr>
        <w:ind w:left="240"/>
        <w:spacing w:after="0" w:line="253" w:lineRule="auto"/>
        <w:rPr>
          <w:sz w:val="20"/>
          <w:szCs w:val="20"/>
          <w:color w:val="auto"/>
        </w:rPr>
      </w:pPr>
      <w:r>
        <w:rPr>
          <w:rFonts w:ascii="Arial" w:cs="Arial" w:eastAsia="Arial" w:hAnsi="Arial"/>
          <w:sz w:val="14"/>
          <w:szCs w:val="14"/>
          <w:color w:val="auto"/>
          <w:shd w:val="clear" w:color="auto" w:fill="CCEEFF"/>
        </w:rPr>
        <w:t>Class B Common Stock, $1.720 per share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right="600"/>
        <w:spacing w:after="0" w:line="54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October 1, 2017</w:t>
      </w:r>
    </w:p>
    <w:p>
      <w:pPr>
        <w:spacing w:after="0" w:line="20" w:lineRule="exact"/>
        <w:rPr>
          <w:sz w:val="20"/>
          <w:szCs w:val="20"/>
          <w:color w:val="auto"/>
        </w:rPr>
      </w:pPr>
      <w:r>
        <w:rPr>
          <w:sz w:val="20"/>
          <w:szCs w:val="20"/>
          <w:color w:val="auto"/>
        </w:rPr>
        <w:br w:type="column"/>
      </w:r>
    </w:p>
    <w:p>
      <w:pPr>
        <w:ind w:left="1940"/>
        <w:spacing w:after="0"/>
        <w:rPr>
          <w:sz w:val="20"/>
          <w:szCs w:val="20"/>
          <w:color w:val="auto"/>
        </w:rPr>
      </w:pPr>
      <w:r>
        <w:rPr>
          <w:rFonts w:ascii="Arial" w:cs="Arial" w:eastAsia="Arial" w:hAnsi="Arial"/>
          <w:sz w:val="18"/>
          <w:szCs w:val="18"/>
          <w:b w:val="1"/>
          <w:bCs w:val="1"/>
          <w:color w:val="auto"/>
        </w:rPr>
        <w:t>THE HERSHEY COMPANY</w:t>
      </w:r>
    </w:p>
    <w:p>
      <w:pPr>
        <w:ind w:left="600"/>
        <w:spacing w:after="0" w:line="203" w:lineRule="auto"/>
        <w:rPr>
          <w:sz w:val="20"/>
          <w:szCs w:val="20"/>
          <w:color w:val="auto"/>
        </w:rPr>
      </w:pPr>
      <w:r>
        <w:rPr>
          <w:rFonts w:ascii="Arial" w:cs="Arial" w:eastAsia="Arial" w:hAnsi="Arial"/>
          <w:sz w:val="18"/>
          <w:szCs w:val="18"/>
          <w:b w:val="1"/>
          <w:bCs w:val="1"/>
          <w:color w:val="auto"/>
        </w:rPr>
        <w:t>CONSOLIDATED STATEMENT OF STOCKHOLDERS’ EQUITY</w:t>
      </w:r>
    </w:p>
    <w:p>
      <w:pPr>
        <w:jc w:val="center"/>
        <w:ind w:right="264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640"/>
        <w:spacing w:after="0"/>
        <w:rPr>
          <w:sz w:val="20"/>
          <w:szCs w:val="20"/>
          <w:color w:val="auto"/>
        </w:rPr>
      </w:pPr>
      <w:r>
        <w:rPr>
          <w:rFonts w:ascii="Arial" w:cs="Arial" w:eastAsia="Arial" w:hAnsi="Arial"/>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Retained</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 in</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$ 299,281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60,620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869,857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6,115,961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w w:val="96"/>
              </w:rPr>
              <w:t>$ (6,183,975)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601,848</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574,988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39,596</w:t>
            </w:r>
          </w:p>
        </w:tc>
        <w:tc>
          <w:tcPr>
            <w:tcW w:w="0" w:type="dxa"/>
            <w:vAlign w:val="bottom"/>
          </w:tcPr>
          <w:p>
            <w:pPr>
              <w:spacing w:after="0"/>
              <w:rPr>
                <w:sz w:val="1"/>
                <w:szCs w:val="1"/>
                <w:color w:val="auto"/>
              </w:rPr>
            </w:pPr>
          </w:p>
        </w:tc>
      </w:tr>
      <w:tr>
        <w:trPr>
          <w:trHeight w:val="62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(288,533)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(288,533)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(104,265)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(104,265)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36,283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36,283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49,426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53,532</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w w:val="96"/>
              </w:rPr>
              <w:t>$ 299,281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60,620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910,246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6,325,011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w w:val="96"/>
              </w:rPr>
              <w:t>$ (6,434,861)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(337,027)</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838,976</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-1714500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-1371600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-977265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-582295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jc w:val="center"/>
        <w:ind w:right="2640"/>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300" w:space="300"/>
            <w:col w:w="8780"/>
          </w:cols>
          <w:pgMar w:left="280" w:top="5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which are, in our opinion, necessary for a fair presentation of the results of operations, financial position, and cash flows for the indicated periods.</w:t>
      </w:r>
    </w:p>
    <w:p>
      <w:pPr>
        <w:spacing w:after="0" w:line="3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results for the quarter ended October 1, 2017 may not be indicative of the results that may be expected for the year ending December 31, 2017 because of seasonal effects on our business. These financial statements should be read in conjunction with our Annual Report on Form 10-K for the year ended December 31, 2016 (our “2016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prior period amounts have been reclassified to conform to current year presentation. Specifically, this includes amounts reclassified to conform to the current year presentation in the Consolidated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which outlines a single comprehensive model for entities to use in accounting for revenue arising from contracts with customers that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most current revenue recognition guidance. This guidance requires an entity to recognize revenue when it transfers promised goods or services to customers in an amount that reflects the consideration to which the entity expects to be entitled in exchange for those goods or services. The guidance also requires additional financial statement disclosures that will enable users to understand the nature, amount, timing and uncertainty of revenue and cash flows relating to customer contracts. The new standard was originally effective for us on January 1, 2017; however, in July 2015 the FASB decided to defer the effective date by one year. Early application is not permitted, but reporting entities may choose to adopt the standard as of the original effective date. The standard permits the use of either the full retrospective or modified retrospective transition method.</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substantially completed our assessment of the new standard and we do not expect our adoption of the new standard to have a material impact on our consolidated financial statements. We intend to adopt the requirements of the new standard in the first quarter of 2018 utilizing the modified retrospective transition method.</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in the process of developing an inventory of our lease arrangements in order to determine the impact that the adoption of ASU 2016-02 will have on our consolidated financial statements and related disclosures. Based on our assessment to date, we expect adoption of this standard to result in a material increase in lease-related assets and liabilities on our Consolidated Balance Sheets; however, we do not expect it to have a significant impact on our Consolidated Statements of Income or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We adopted the provisions of this ASU in the first quarter of 2017. This update principally affects the recognition of excess tax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deficiencies and the cash flow classification of share-based compensation-related transactions. The requirement to recognize excess tax benefits and deficiencies as income tax expense or benefit in the income statement was applied prospectively, with a benefit of $7,927 recognized during the nine months ended October 1, 2017. Additionally, within the Consolidated Statement of Cash Flows, the impact of the adoption resulted in a $19,916 increase in net cash flow from operating activities and a corresponding decrease in net cash flow from financing activities for the nine months ended October 1, 2017. These classification requirements were adopted retrospectively to the Consolidated Statement of Cash Flows for the nine months ended October 2, 2016, resulting in a $28,221 increase in net cash flow from operating activities and a corresponding $28,221 decrease in net cash flow from financing activities.</w:t>
      </w:r>
    </w:p>
    <w:p>
      <w:pPr>
        <w:spacing w:after="0" w:line="11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will require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ASU 2017-07 is effective for us beginning January 1, 2018, with early adoption permitted as of the beginning of a financial year. We currently plan to adopt the requirements of the new standard in the first quarter of 2018 and expect the adoption to impact only classification within our Consolidated Statement of Income.</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currently plan to adopt the requirements of the new standard in the first quarter of 2018. We do not expect it to have a significant impact on our Consolidated Financial Statements.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of the acquisitions is allocated to the assets acquired and liabilities assumed.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On April 26,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is largely sold in the United States in take-home resealable packages and is available in the club channel, as well as select natural and conventional grocers. Our consolidated net sales for the year ended December 31, 2016 included approximately $35,600 attributed to </w:t>
      </w:r>
      <w:r>
        <w:rPr>
          <w:rFonts w:ascii="Arial" w:cs="Arial" w:eastAsia="Arial" w:hAnsi="Arial"/>
          <w:sz w:val="18"/>
          <w:szCs w:val="18"/>
          <w:i w:val="1"/>
          <w:iCs w:val="1"/>
          <w:color w:val="auto"/>
        </w:rPr>
        <w:t>barkTHINS</w:t>
      </w:r>
      <w:r>
        <w:rPr>
          <w:rFonts w:ascii="Arial" w:cs="Arial" w:eastAsia="Arial" w:hAnsi="Arial"/>
          <w:sz w:val="18"/>
          <w:szCs w:val="18"/>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57"/>
        </w:trPr>
        <w:tc>
          <w:tcPr>
            <w:tcW w:w="9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 (“SGM”)</w:t>
      </w:r>
    </w:p>
    <w:p>
      <w:pPr>
        <w:spacing w:after="0" w:line="14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3, 2016, we completed the purchase of the remaining 20% of the outstanding shares of SGM for cash consideration totaling $35,762, pursuant to a new agreement entered into during the fourth quarter of 2015 with the SGM selling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Unaudited Consolidated Statements of Cash Flows.</w:t>
      </w:r>
    </w:p>
    <w:p>
      <w:pPr>
        <w:spacing w:after="0" w:line="2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Unaudited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nine months ended October 1,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2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812,344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10,004</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October 1, 2017</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800,591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822,348</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900"/>
              <w:spacing w:after="0"/>
              <w:rPr>
                <w:sz w:val="20"/>
                <w:szCs w:val="20"/>
                <w:color w:val="auto"/>
              </w:rPr>
            </w:pPr>
            <w:r>
              <w:rPr>
                <w:rFonts w:ascii="Arial" w:cs="Arial" w:eastAsia="Arial" w:hAnsi="Arial"/>
                <w:sz w:val="16"/>
                <w:szCs w:val="16"/>
                <w:b w:val="1"/>
                <w:bCs w:val="1"/>
                <w:color w:val="auto"/>
              </w:rPr>
              <w:t>October 1, 2017</w:t>
            </w:r>
          </w:p>
        </w:tc>
        <w:tc>
          <w:tcPr>
            <w:tcW w:w="160" w:type="dxa"/>
            <w:vAlign w:val="bottom"/>
          </w:tcPr>
          <w:p>
            <w:pPr>
              <w:spacing w:after="0"/>
              <w:rPr>
                <w:sz w:val="18"/>
                <w:szCs w:val="18"/>
                <w:color w:val="auto"/>
              </w:rPr>
            </w:pPr>
          </w:p>
        </w:tc>
        <w:tc>
          <w:tcPr>
            <w:tcW w:w="30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272,599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(34,516)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317,023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(30,458)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(36,482)</w:t>
            </w: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r>
      <w:tr>
        <w:trPr>
          <w:trHeight w:val="324"/>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40,222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375,455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492,737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7, 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$105,992 representing the portion of the impairment loss that was allocated to the distributor relationship and trademark intangible assets that had been recognized in connection with the 2014 SGM acquisition.</w:t>
      </w:r>
    </w:p>
    <w:p>
      <w:pPr>
        <w:spacing w:after="0" w:line="1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Total amortization expense for the three months ended October 1, 2017 and October 2, 2016 was $5,410 and $7,666, respectively. Total amortization expense for the nine months ended October 1, 2017 and October 2, 2016 was $17,968 and $18,811,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w:t>
      </w:r>
    </w:p>
    <w:p>
      <w:pPr>
        <w:spacing w:after="0" w:line="12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October 1, 2017, we were in compliance with all covenants pertaining to the credit agreement, and we had no significant compensating balance agreements that legally restricted these funds. For more information, refer to the Consolidated Financial Statements included in our 2016 Annual Report on Form 10-K.</w:t>
      </w:r>
    </w:p>
    <w:p>
      <w:pPr>
        <w:spacing w:after="0" w:line="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$175,279 at October 1, 2017 and $158,805 at December 31, 2016. Commitment fees relating to our revolving credit facility and lines of credit are not material.</w:t>
      </w:r>
    </w:p>
    <w:p>
      <w:pPr>
        <w:spacing w:after="0" w:line="127"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At October 1, 2017, we had outstanding commercial paper totaling $640,309, at a weighted average interest rate of 1.2%. At December 31, 2016, we had outstanding commercial paper totaling $473,666, at a weighted average interest rate of 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October 1, 2017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4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4.125% Notes due 2020</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2.625% Notes due 2023</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2.30% Notes due 2026</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3.375% Notes due 2046</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83,619</w:t>
            </w:r>
          </w:p>
        </w:tc>
        <w:tc>
          <w:tcPr>
            <w:tcW w:w="0" w:type="dxa"/>
            <w:vAlign w:val="bottom"/>
          </w:tcPr>
          <w:p>
            <w:pPr>
              <w:spacing w:after="0"/>
              <w:rPr>
                <w:sz w:val="1"/>
                <w:szCs w:val="1"/>
                <w:color w:val="auto"/>
              </w:rPr>
            </w:pPr>
          </w:p>
        </w:tc>
      </w:tr>
      <w:tr>
        <w:trPr>
          <w:trHeight w:val="243"/>
        </w:trPr>
        <w:tc>
          <w:tcPr>
            <w:tcW w:w="6340" w:type="dxa"/>
            <w:vAlign w:val="bottom"/>
            <w:gridSpan w:val="5"/>
          </w:tcPr>
          <w:p>
            <w:pPr>
              <w:ind w:left="40"/>
              <w:spacing w:after="0"/>
              <w:rPr>
                <w:sz w:val="20"/>
                <w:szCs w:val="20"/>
                <w:color w:val="auto"/>
              </w:rPr>
            </w:pPr>
            <w:r>
              <w:rPr>
                <w:rFonts w:ascii="Arial" w:cs="Arial" w:eastAsia="Arial" w:hAnsi="Arial"/>
                <w:sz w:val="18"/>
                <w:szCs w:val="18"/>
                <w:color w:val="auto"/>
                <w:w w:val="90"/>
              </w:rPr>
              <w:t>Net impact of interest rate swaps, debt issuance costs and unamortized debt discounts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(14,275)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2,354,228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2,347,698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300,096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2,054,132</w:t>
            </w:r>
          </w:p>
        </w:tc>
        <w:tc>
          <w:tcPr>
            <w:tcW w:w="1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2,347,455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0"/>
                <w:szCs w:val="20"/>
                <w:color w:val="auto"/>
              </w:rPr>
            </w:pPr>
            <w:r>
              <w:rPr>
                <w:rFonts w:ascii="Arial" w:cs="Arial" w:eastAsia="Arial" w:hAnsi="Arial"/>
                <w:sz w:val="18"/>
                <w:szCs w:val="18"/>
                <w:color w:val="auto"/>
              </w:rPr>
              <w:t>Net interest expense consisted of the following:</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9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October 1, 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October 2, 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October 1, 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October 2, 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76,208</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72,404</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24,589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72,456</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and options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assuming period-end market prices, of $408,983 as of October 1, 2017 and $739,374 as of December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11,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$107,507 at October 1, 2017 and $68,263 at December 31, 2016.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October 1, 2017 and December 31, 2016. The change in fair value on these instruments is recorded directly in cost of sales or selling, marketing and administrative expense, depending on the nature of the underlying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At October 1, 2017 and December 31, 2016, we had interest rate derivative instruments in fair value hedging relationships with a total notional amount of $350,000.</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October 1, 2017 and December 31, 2016 was $24,164 and $22,099, respectively.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1"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classification of derivative assets and liabilities within the Consolidated Balance Sheets as of October 1, 2017 and December 31, 2016:</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8"/>
                <w:szCs w:val="18"/>
                <w:color w:val="auto"/>
              </w:rPr>
            </w:pPr>
          </w:p>
        </w:tc>
        <w:tc>
          <w:tcPr>
            <w:tcW w:w="3040" w:type="dxa"/>
            <w:vAlign w:val="bottom"/>
            <w:gridSpan w:val="5"/>
          </w:tcPr>
          <w:p>
            <w:pPr>
              <w:ind w:left="800"/>
              <w:spacing w:after="0"/>
              <w:rPr>
                <w:sz w:val="20"/>
                <w:szCs w:val="20"/>
                <w:color w:val="auto"/>
              </w:rPr>
            </w:pPr>
            <w:r>
              <w:rPr>
                <w:rFonts w:ascii="Arial" w:cs="Arial" w:eastAsia="Arial" w:hAnsi="Arial"/>
                <w:sz w:val="16"/>
                <w:szCs w:val="16"/>
                <w:b w:val="1"/>
                <w:bCs w:val="1"/>
                <w:color w:val="auto"/>
              </w:rPr>
              <w:t>October 1, 2017</w:t>
            </w:r>
          </w:p>
        </w:tc>
        <w:tc>
          <w:tcPr>
            <w:tcW w:w="280" w:type="dxa"/>
            <w:vAlign w:val="bottom"/>
          </w:tcPr>
          <w:p>
            <w:pPr>
              <w:spacing w:after="0"/>
              <w:rPr>
                <w:sz w:val="18"/>
                <w:szCs w:val="18"/>
                <w:color w:val="auto"/>
              </w:rPr>
            </w:pPr>
          </w:p>
        </w:tc>
        <w:tc>
          <w:tcPr>
            <w:tcW w:w="2900" w:type="dxa"/>
            <w:vAlign w:val="bottom"/>
            <w:gridSpan w:val="4"/>
          </w:tcPr>
          <w:p>
            <w:pPr>
              <w:jc w:val="right"/>
              <w:ind w:right="83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Derivatives designated as cash flow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Commodities futures and options (2)</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w:t>
            </w:r>
          </w:p>
        </w:tc>
      </w:tr>
      <w:tr>
        <w:trPr>
          <w:trHeight w:val="25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10,825</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60" w:hanging="330"/>
        <w:spacing w:after="0" w:line="30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October 1, 2017, assets and liabilities include the net of assets of $38,963 and liabilities of $33,780 associated with cash transfers receivable or payable on commodities futures contracts reflecting the change in quoted market prices on the last trading day for the period. The comparable amounts reflected on a net basis in liabilities at December 31, 2016 were assets of $140,885 and liabilities of $150,872. At October 1, 2017 and December 31, 2016, the remaining amount reflected in assets and liabilities relates to the fair value of other non-exchange traded derivative instruments,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October 1, 2017 and October 2, 2016 was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7"/>
              </w:rPr>
              <w:t>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left="573"/>
              <w:spacing w:after="0"/>
              <w:rPr>
                <w:sz w:val="20"/>
                <w:szCs w:val="20"/>
                <w:color w:val="auto"/>
              </w:rPr>
            </w:pPr>
            <w:r>
              <w:rPr>
                <w:rFonts w:ascii="Arial" w:cs="Arial" w:eastAsia="Arial" w:hAnsi="Arial"/>
                <w:sz w:val="16"/>
                <w:szCs w:val="16"/>
                <w:b w:val="1"/>
                <w:bCs w:val="1"/>
                <w:color w:val="auto"/>
                <w:w w:val="92"/>
              </w:rPr>
              <w:t>income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(1,339)</w:t>
            </w:r>
          </w:p>
        </w:tc>
        <w:tc>
          <w:tcPr>
            <w:tcW w:w="3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869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(2,659)</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349</w:t>
            </w: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2,288</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570"/>
              <w:spacing w:after="0"/>
              <w:rPr>
                <w:sz w:val="20"/>
                <w:szCs w:val="20"/>
                <w:color w:val="auto"/>
              </w:rPr>
            </w:pPr>
            <w:r>
              <w:rPr>
                <w:rFonts w:ascii="Arial" w:cs="Arial" w:eastAsia="Arial" w:hAnsi="Arial"/>
                <w:sz w:val="18"/>
                <w:szCs w:val="18"/>
                <w:color w:val="auto"/>
                <w:w w:val="79"/>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2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nine months ended October 1, 2017 and October 2, 2016 was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7"/>
              </w:rPr>
              <w:t>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(40,500)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(3,545)</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1,087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994</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(39,546)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(3,545)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(7,374)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14,064</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amount of pretax net losses on derivative instruments, including interest rate swap agreements, foreign currency forward exchange contracts and options, commodities futures and options contracts, and other commodity derivative instruments expected to be reclassified from AOCI into earnings in the next 12 months was approximately $13,299 as of October 1, 2017. This amount is primarily associated with deferred losses relating to interest rate swap agreements.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October 1, 2017 and October 2, 2016, we recognized a net pretax benefit to interest expense of $573 and $1,022 relating to our fixed-to-floating interest swap arrangements. For the nine months ended October 1, 2017 and October 2, 2016, we recognized a net pretax benefit to interest expense of $2,203 and $3,477 relating to our fixed-to-floating interest swap arrangements.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October 1, 2017 and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October 1, 2017: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4,571</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w:t>
            </w: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r>
      <w:tr>
        <w:trPr>
          <w:trHeight w:val="243"/>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2,348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18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October 1, 2017 and October 2, 2016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80" w:type="dxa"/>
            <w:vAlign w:val="bottom"/>
            <w:gridSpan w:val="5"/>
          </w:tcPr>
          <w:p>
            <w:pPr>
              <w:ind w:left="136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3780" w:type="dxa"/>
            <w:vAlign w:val="bottom"/>
            <w:gridSpan w:val="4"/>
          </w:tcPr>
          <w:p>
            <w:pPr>
              <w:jc w:val="right"/>
              <w:ind w:right="1332"/>
              <w:spacing w:after="0"/>
              <w:rPr>
                <w:sz w:val="20"/>
                <w:szCs w:val="20"/>
                <w:color w:val="auto"/>
              </w:rPr>
            </w:pPr>
            <w:r>
              <w:rPr>
                <w:rFonts w:ascii="Arial" w:cs="Arial" w:eastAsia="Arial" w:hAnsi="Arial"/>
                <w:sz w:val="18"/>
                <w:szCs w:val="18"/>
                <w:b w:val="1"/>
                <w:bCs w:val="1"/>
                <w:color w:val="auto"/>
              </w:rPr>
              <w:t>Carrying Value</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20"/>
                <w:szCs w:val="20"/>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2016</w:t>
            </w:r>
          </w:p>
        </w:tc>
      </w:tr>
      <w:tr>
        <w:trPr>
          <w:trHeight w:val="33"/>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2,114,276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2,379,054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2,054,132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2,347,455</w:t>
            </w: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2,414,624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2,379,297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2,354,228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2,347,698</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assets and liabilities that are recorded at fair value on a recurring basis, GAAP requires that, under certain circumstances, we also record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at fair value on a nonrecurring basis. Generally, assets are recorded at fair value on a nonrecurring basis as a result of impairment charges.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7, we recorded impairment charges totaling $105,992 to write-down distributor relationship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during the three and nine months ended October 1, 2017 and October 2, 2016 related to these activities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2017</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2016</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2017</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2, 2016</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33,331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57,948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9,822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Pension settlement charge</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13,669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Severance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6,149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business realignment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104,487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costs and related benefits to be derived from the Margin for Growth Program relate approximately 85% to the North America segment and 15% to the International and Other segment for the three months ended October 1,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costs and related benefits to be derived from the Margin for Growth Program relate approximately 45% to the North America segment and 55% to the International and Other segment for the nine months ended October 1, 2017. The costs and related benefits to be derived from the Operational Optimization Program primarily relate to the North America segment in 2017 and to the International and Other segment in 2016. The costs and related benefits to be derived from the 2015 Productivity Initiative relate primarily to the North American segment. However, segment operating results do not include these business realignment expenses because we evaluate segment performance excluding such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estimates that the “Margin for Growth” program will result in total pre-tax charges of $375,000 to $425,000 over the next three years.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$175,000 to $200,000. At the conclusion of the program in 2019, ongoing annual savings are expected to be approximately $150,000 to $175,000. The Company expects that implementation of the program will reduce its global workforce by approximately 15%, with a majority of the reductions coming from hourly headcount positions outside of the United States.</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program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11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and nine months ended October 1, 2017, we recognized estimated employee severance totaling $2,876 and $33,331, respectively. These charges relate largely to our initiative to improve the cost structure of our China business, as well as our initiative to further streamline our corporate operating model. We also recognized non-cash, asset-related incremental depreciation expense totaling $6,873 for the nine months ended October 1, 2017 as part of optimizing the North America supply chain. During the three and nine months ended October 1, 2017, we also recognized other program costs totaling $5,013 and $16,216, respectively. These charges relate primarily to third-party charges for our initiative of improving global efficiency and effectiveness.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During the three months ended October 1, 2017, we recognized costs of $368. During the nine months ended October 1, 2017, we recognized costs of $13,279 primarily related to employee severance associated with the workforce planning efforts within North America. We currently expect to incur additional cash costs of approximately $9,000 over the next 18 months to complete this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2017, we reclassified property, plant and equipment and land use rights with a total book value of $20,303 to prepaid and other current assets within the Consolidated Balance Sheets. These represent select China facilities that were taken out of operation in connection with this program and are currently being marketed for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We incurred total costs of $125,031 relating to this program, including pension settlement charges of $13,669 recorded through the nine months ended October 2, 2016 relating to lump sum withdrawals by employees retiring or leaving the Company as a result of this program.</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Costs associated with business realignment activities are classified in our Consolidated Statements of Income for the three and nine months ended October 1, 2017 and October 2, 2016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2017</w:t>
            </w:r>
          </w:p>
        </w:tc>
        <w:tc>
          <w:tcPr>
            <w:tcW w:w="20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 2016</w:t>
            </w:r>
          </w:p>
        </w:tc>
        <w:tc>
          <w:tcPr>
            <w:tcW w:w="200" w:type="dxa"/>
            <w:vAlign w:val="bottom"/>
          </w:tcPr>
          <w:p>
            <w:pPr>
              <w:spacing w:after="0"/>
              <w:rPr>
                <w:sz w:val="22"/>
                <w:szCs w:val="22"/>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1, 2017</w:t>
            </w:r>
          </w:p>
        </w:tc>
        <w:tc>
          <w:tcPr>
            <w:tcW w:w="140" w:type="dxa"/>
            <w:vAlign w:val="bottom"/>
          </w:tcPr>
          <w:p>
            <w:pPr>
              <w:spacing w:after="0"/>
              <w:rPr>
                <w:sz w:val="22"/>
                <w:szCs w:val="22"/>
                <w:color w:val="auto"/>
              </w:rPr>
            </w:pPr>
          </w:p>
        </w:tc>
        <w:tc>
          <w:tcPr>
            <w:tcW w:w="1340" w:type="dxa"/>
            <w:vAlign w:val="bottom"/>
          </w:tcPr>
          <w:p>
            <w:pPr>
              <w:jc w:val="right"/>
              <w:ind w:right="172"/>
              <w:spacing w:after="0"/>
              <w:rPr>
                <w:sz w:val="20"/>
                <w:szCs w:val="20"/>
                <w:color w:val="auto"/>
              </w:rPr>
            </w:pPr>
            <w:r>
              <w:rPr>
                <w:rFonts w:ascii="Arial" w:cs="Arial" w:eastAsia="Arial" w:hAnsi="Arial"/>
                <w:sz w:val="14"/>
                <w:szCs w:val="14"/>
                <w:b w:val="1"/>
                <w:bCs w:val="1"/>
                <w:color w:val="auto"/>
              </w:rPr>
              <w:t>October 2, 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1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15,971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30,568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8,257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69,699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104,487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65"/>
        </w:trPr>
        <w:tc>
          <w:tcPr>
            <w:tcW w:w="6980" w:type="dxa"/>
            <w:vAlign w:val="bottom"/>
            <w:gridSpan w:val="5"/>
          </w:tcPr>
          <w:p>
            <w:pPr>
              <w:spacing w:after="0"/>
              <w:rPr>
                <w:sz w:val="20"/>
                <w:szCs w:val="20"/>
                <w:color w:val="auto"/>
              </w:rPr>
            </w:pPr>
            <w:r>
              <w:rPr>
                <w:rFonts w:ascii="Arial" w:cs="Arial" w:eastAsia="Arial" w:hAnsi="Arial"/>
                <w:sz w:val="18"/>
                <w:szCs w:val="18"/>
                <w:color w:val="auto"/>
                <w:w w:val="93"/>
              </w:rPr>
              <w:t>The following table presents the liability activity for costs qualifying as exit and disposal costs: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892"/>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2017 business realignment charges (1)</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61,253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(69)</w:t>
            </w:r>
          </w:p>
        </w:tc>
      </w:tr>
      <w:tr>
        <w:trPr>
          <w:trHeight w:val="27"/>
        </w:trPr>
        <w:tc>
          <w:tcPr>
            <w:tcW w:w="6780" w:type="dxa"/>
            <w:vAlign w:val="bottom"/>
            <w:tcBorders>
              <w:bottom w:val="single" w:sz="8" w:color="CCEEFF"/>
            </w:tcBorders>
            <w:gridSpan w:val="4"/>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3"/>
              </w:rPr>
              <w:t>Liability balance at October 1, 2017 (reported within accrued and other long-term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41,167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00" w:hanging="330"/>
        <w:spacing w:after="0" w:line="286" w:lineRule="auto"/>
        <w:tabs>
          <w:tab w:leader="none" w:pos="50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represents employee-related and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majority of our taxable income is generated in the U.S. and taxed at the U.S. statutory rate of 35%. The effective tax rates for the nine months ended October 1, 2017 and October 2, 2016 were 32.4% and 33.0%, respectively. Relative to the statutory rate, the 2017 effective tax rate was impacted by a favorable foreign rate differential relating to foreign operations and cocoa procurement, investment tax credits and the benefit of ASU 2016-09, which were partially offset by non-benefited costs resulting from the Margin for Growth Program. The 2016 effective rate benefited from the impact of non-taxable income related to the settlement of the SGM liability and investment tax credits.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Hershey and its subsidiaries file tax returns in the U.S., including various state and local returns, and in foreign jurisdictions. We believe adequate provision has been made for all income tax uncertainties. We are routinely audited by taxing authorities in our filing jurisdictions, and a number of these audits are currently underway. We reasonably expect reductions in the liability for unrecognized tax benefits of approximately $7,191 within the next 12 months because of the expiration of statutes of limitations and settlements of tax audits.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third quarter were as follows:</w:t>
      </w:r>
    </w:p>
    <w:p>
      <w:pPr>
        <w:spacing w:after="0" w:line="185" w:lineRule="exact"/>
        <w:rPr>
          <w:sz w:val="20"/>
          <w:szCs w:val="20"/>
          <w:color w:val="auto"/>
        </w:rPr>
      </w:pPr>
    </w:p>
    <w:p>
      <w:pPr>
        <w:ind w:left="5220"/>
        <w:spacing w:after="0"/>
        <w:tabs>
          <w:tab w:leader="none" w:pos="89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37465</wp:posOffset>
            </wp:positionV>
            <wp:extent cx="4639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86"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37465</wp:posOffset>
            </wp:positionV>
            <wp:extent cx="2272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80" w:lineRule="exact"/>
        <w:rPr>
          <w:sz w:val="20"/>
          <w:szCs w:val="20"/>
          <w:color w:val="auto"/>
        </w:rPr>
      </w:pPr>
    </w:p>
    <w:p>
      <w:pPr>
        <w:ind w:left="4320"/>
        <w:spacing w:after="0"/>
        <w:tabs>
          <w:tab w:leader="none" w:pos="6140" w:val="left"/>
        </w:tabs>
        <w:rPr>
          <w:sz w:val="20"/>
          <w:szCs w:val="20"/>
          <w:color w:val="auto"/>
        </w:rPr>
      </w:pPr>
      <w:r>
        <w:rPr>
          <w:rFonts w:ascii="Arial" w:cs="Arial" w:eastAsia="Arial" w:hAnsi="Arial"/>
          <w:sz w:val="16"/>
          <w:szCs w:val="16"/>
          <w:b w:val="1"/>
          <w:bCs w:val="1"/>
          <w:color w:val="auto"/>
        </w:rPr>
        <w:t>October 1, 2017</w:t>
      </w:r>
      <w:r>
        <w:rPr>
          <w:sz w:val="20"/>
          <w:szCs w:val="20"/>
          <w:color w:val="auto"/>
        </w:rPr>
        <w:tab/>
      </w:r>
      <w:r>
        <w:rPr>
          <w:rFonts w:ascii="Arial" w:cs="Arial" w:eastAsia="Arial" w:hAnsi="Arial"/>
          <w:sz w:val="14"/>
          <w:szCs w:val="14"/>
          <w:b w:val="1"/>
          <w:bCs w:val="1"/>
          <w:color w:val="auto"/>
        </w:rPr>
        <w:t>October 2, 2016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37465</wp:posOffset>
            </wp:positionV>
            <wp:extent cx="2298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October 1, 2017</w:t>
      </w:r>
      <w:r>
        <w:rPr>
          <w:sz w:val="20"/>
          <w:szCs w:val="20"/>
          <w:color w:val="auto"/>
        </w:rPr>
        <w:tab/>
      </w:r>
      <w:r>
        <w:rPr>
          <w:rFonts w:ascii="Arial" w:cs="Arial" w:eastAsia="Arial" w:hAnsi="Arial"/>
          <w:sz w:val="14"/>
          <w:szCs w:val="14"/>
          <w:b w:val="1"/>
          <w:bCs w:val="1"/>
          <w:color w:val="auto"/>
        </w:rPr>
        <w:t>October 2, 2016</w:t>
      </w:r>
    </w:p>
    <w:p>
      <w:pPr>
        <w:spacing w:after="0" w:line="39" w:lineRule="exact"/>
        <w:rPr>
          <w:sz w:val="20"/>
          <w:szCs w:val="20"/>
          <w:color w:val="auto"/>
        </w:rPr>
      </w:pPr>
    </w:p>
    <w:p>
      <w:pPr>
        <w:sectPr>
          <w:pgSz w:w="11900" w:h="16838" w:orient="portrait"/>
          <w:cols w:equalWidth="0" w:num="2">
            <w:col w:w="7300" w:space="720"/>
            <w:col w:w="3360"/>
          </w:cols>
          <w:pgMar w:left="240" w:top="121" w:right="27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2,435</w:t>
            </w:r>
          </w:p>
        </w:tc>
      </w:tr>
      <w:tr>
        <w:trPr>
          <w:trHeight w:val="27"/>
        </w:trPr>
        <w:tc>
          <w:tcPr>
            <w:tcW w:w="4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4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r>
      <w:tr>
        <w:trPr>
          <w:trHeight w:val="20"/>
        </w:trPr>
        <w:tc>
          <w:tcPr>
            <w:tcW w:w="4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made contributions of $31,512 and $6,922 to the pension plans and other benefits plans, respectively, during the third quarter of 2017. In the third quarter of 2016, we made contributions of $18,549 and $7,473 to our pension plans and other benefits plans, respectively. The contributions in 2017 and 2016 also included benefit payments from our non-qualified pension plans and post-retirement benefit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year-to-date periods were as follows:</w:t>
      </w:r>
    </w:p>
    <w:p>
      <w:pPr>
        <w:spacing w:after="0" w:line="185" w:lineRule="exact"/>
        <w:rPr>
          <w:sz w:val="20"/>
          <w:szCs w:val="20"/>
          <w:color w:val="auto"/>
        </w:rPr>
      </w:pPr>
    </w:p>
    <w:p>
      <w:pPr>
        <w:ind w:left="5220"/>
        <w:spacing w:after="0"/>
        <w:tabs>
          <w:tab w:leader="none" w:pos="89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37465</wp:posOffset>
            </wp:positionV>
            <wp:extent cx="4639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p>
      <w:pPr>
        <w:spacing w:after="0" w:line="86"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37465</wp:posOffset>
            </wp:positionV>
            <wp:extent cx="2272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80" w:lineRule="exact"/>
        <w:rPr>
          <w:sz w:val="20"/>
          <w:szCs w:val="20"/>
          <w:color w:val="auto"/>
        </w:rPr>
      </w:pPr>
    </w:p>
    <w:p>
      <w:pPr>
        <w:ind w:left="4320"/>
        <w:spacing w:after="0"/>
        <w:tabs>
          <w:tab w:leader="none" w:pos="6140" w:val="left"/>
        </w:tabs>
        <w:rPr>
          <w:sz w:val="20"/>
          <w:szCs w:val="20"/>
          <w:color w:val="auto"/>
        </w:rPr>
      </w:pPr>
      <w:r>
        <w:rPr>
          <w:rFonts w:ascii="Arial" w:cs="Arial" w:eastAsia="Arial" w:hAnsi="Arial"/>
          <w:sz w:val="16"/>
          <w:szCs w:val="16"/>
          <w:b w:val="1"/>
          <w:bCs w:val="1"/>
          <w:color w:val="auto"/>
        </w:rPr>
        <w:t>October 1, 2017</w:t>
      </w:r>
      <w:r>
        <w:rPr>
          <w:sz w:val="20"/>
          <w:szCs w:val="20"/>
          <w:color w:val="auto"/>
        </w:rPr>
        <w:tab/>
      </w:r>
      <w:r>
        <w:rPr>
          <w:rFonts w:ascii="Arial" w:cs="Arial" w:eastAsia="Arial" w:hAnsi="Arial"/>
          <w:sz w:val="14"/>
          <w:szCs w:val="14"/>
          <w:b w:val="1"/>
          <w:bCs w:val="1"/>
          <w:color w:val="auto"/>
        </w:rPr>
        <w:t>October 2, 2016</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37465</wp:posOffset>
            </wp:positionV>
            <wp:extent cx="2298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b w:val="1"/>
          <w:bCs w:val="1"/>
          <w:color w:val="auto"/>
        </w:rPr>
        <w:t>October 1, 2017</w:t>
      </w:r>
      <w:r>
        <w:rPr>
          <w:sz w:val="20"/>
          <w:szCs w:val="20"/>
          <w:color w:val="auto"/>
        </w:rPr>
        <w:tab/>
      </w:r>
      <w:r>
        <w:rPr>
          <w:rFonts w:ascii="Arial" w:cs="Arial" w:eastAsia="Arial" w:hAnsi="Arial"/>
          <w:sz w:val="14"/>
          <w:szCs w:val="14"/>
          <w:b w:val="1"/>
          <w:bCs w:val="1"/>
          <w:color w:val="auto"/>
        </w:rPr>
        <w:t>October 2, 2016</w:t>
      </w:r>
    </w:p>
    <w:p>
      <w:pPr>
        <w:spacing w:after="0" w:line="39" w:lineRule="exact"/>
        <w:rPr>
          <w:sz w:val="20"/>
          <w:szCs w:val="20"/>
          <w:color w:val="auto"/>
        </w:rPr>
      </w:pPr>
    </w:p>
    <w:p>
      <w:pPr>
        <w:sectPr>
          <w:pgSz w:w="11900" w:h="16838" w:orient="portrait"/>
          <w:cols w:equalWidth="0" w:num="2">
            <w:col w:w="7300" w:space="720"/>
            <w:col w:w="3360"/>
          </w:cols>
          <w:pgMar w:left="240" w:top="121" w:right="27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6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31,914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7,300</w:t>
            </w:r>
          </w:p>
        </w:tc>
      </w:tr>
      <w:tr>
        <w:trPr>
          <w:trHeight w:val="27"/>
        </w:trPr>
        <w:tc>
          <w:tcPr>
            <w:tcW w:w="4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7"/>
        </w:trPr>
        <w:tc>
          <w:tcPr>
            <w:tcW w:w="4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(gain)</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41,203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50,929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7,946</w:t>
            </w:r>
          </w:p>
        </w:tc>
      </w:tr>
      <w:tr>
        <w:trPr>
          <w:trHeight w:val="20"/>
        </w:trPr>
        <w:tc>
          <w:tcPr>
            <w:tcW w:w="4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made contributions of $36,497 and $21,386 to the pension plans and other benefits plans, respectively, during the first nine months of 2017. In the first nine months of 2016, we made contributions of $20,385 and $22,181 to our pension plans and other benefits plans, respectively. The contributions in 2017 and 2016 also included benefit payments from our non-qualified pension plans and post-retirement benefit plans.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2017, there are no significant minimum funding requirements for our domestic pension plans and planned voluntary funding of our non-domestic pension plans in 2017 is not material.</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of 2017, cumulative lump sum distributions from our supplemental executive retirement plan exceeded the plan’s anticipated annual service and interest costs, triggering the recognition of non-cash pension settlement charges due to the acceleration of a portion of the accumulated unrecognized actuarial loss. In addition, settlement charges were also triggered in the pension plan benefiting our employees in Puerto Rico as a result of lump sum distributions and the purchase of annuity contracts relating to the termination of this plan. In connection with these settlements, the related plan assets and liabilities were remeasured at September 1, 2017 using a discount rate of 3.44%, compared to 3.81% as of December 31, 2016 and an expected rate of return on plan assets of 5.8%.</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three and nine months ended October 2, 2016, settlement charges in our salaried defined benefit pension plan were triggered by lump sum withdrawals by employees retiring or leaving the Company as a result of the 2015 Productivity Initiative.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 PLANS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2016 Annual Report on Form 10-K.</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2017</w:t>
            </w:r>
          </w:p>
        </w:tc>
        <w:tc>
          <w:tcPr>
            <w:tcW w:w="24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 2016</w:t>
            </w: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2017</w:t>
            </w:r>
          </w:p>
        </w:tc>
        <w:tc>
          <w:tcPr>
            <w:tcW w:w="260" w:type="dxa"/>
            <w:vAlign w:val="bottom"/>
          </w:tcPr>
          <w:p>
            <w:pPr>
              <w:spacing w:after="0"/>
              <w:rPr>
                <w:sz w:val="22"/>
                <w:szCs w:val="22"/>
                <w:color w:val="auto"/>
              </w:rPr>
            </w:pPr>
          </w:p>
        </w:tc>
        <w:tc>
          <w:tcPr>
            <w:tcW w:w="1480" w:type="dxa"/>
            <w:vAlign w:val="bottom"/>
          </w:tcPr>
          <w:p>
            <w:pPr>
              <w:jc w:val="right"/>
              <w:ind w:right="296"/>
              <w:spacing w:after="0"/>
              <w:rPr>
                <w:sz w:val="20"/>
                <w:szCs w:val="20"/>
                <w:color w:val="auto"/>
              </w:rPr>
            </w:pPr>
            <w:r>
              <w:rPr>
                <w:rFonts w:ascii="Arial" w:cs="Arial" w:eastAsia="Arial" w:hAnsi="Arial"/>
                <w:sz w:val="14"/>
                <w:szCs w:val="14"/>
                <w:b w:val="1"/>
                <w:bCs w:val="1"/>
                <w:color w:val="auto"/>
              </w:rPr>
              <w:t>October 2, 2016</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40,699</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4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4,076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13,186</w:t>
            </w:r>
          </w:p>
        </w:tc>
      </w:tr>
    </w:tbl>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Compensation costs for stock-based compensation plans are primarily included in selling, marketing and administrative expense. As of October 1, 2017, total stock-based compensation cost related to non-vested awards not yet recognized was $71,908 and the weighted-average period over which this amount is expected to be recognized was approximately 2.2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October 1,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36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22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6,192,008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82.67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6.2 years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1,086,175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108.05</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(966,532)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69.95</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(219,456)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103.08</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October 1, 2017</w:t>
            </w: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6,092,195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88.47</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6.0 years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115,872</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Options exercisable as of October 1, 2017</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3,848,894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80.96</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4.5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101,692</w:t>
            </w:r>
          </w:p>
        </w:tc>
      </w:tr>
      <w:tr>
        <w:trPr>
          <w:trHeight w:val="20"/>
        </w:trPr>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27"/>
        </w:trPr>
        <w:tc>
          <w:tcPr>
            <w:tcW w:w="466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$15.77 and $11.46 per share for the periods ended October 1, 2017 and October 2,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estimated on the date of grant using a Black-Scholes option-pricing model and the following weighted-average assumptions:</w:t>
      </w:r>
    </w:p>
    <w:p>
      <w:pPr>
        <w:spacing w:after="0" w:line="216"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2"/>
              </w:rPr>
              <w:t>October 1, 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October 2, 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7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0" w:type="dxa"/>
            <w:vAlign w:val="bottom"/>
          </w:tcPr>
          <w:p>
            <w:pPr>
              <w:jc w:val="right"/>
              <w:ind w:right="94"/>
              <w:spacing w:after="0"/>
              <w:rPr>
                <w:sz w:val="20"/>
                <w:szCs w:val="20"/>
                <w:color w:val="auto"/>
              </w:rPr>
            </w:pPr>
            <w:r>
              <w:rPr>
                <w:rFonts w:ascii="Arial" w:cs="Arial" w:eastAsia="Arial" w:hAnsi="Arial"/>
                <w:sz w:val="18"/>
                <w:szCs w:val="18"/>
                <w:color w:val="auto"/>
              </w:rPr>
              <w:t>6.8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$38,845 and $70,009 for the periods ended October 1, 2017 and October 2, 2016,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October 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828,228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441,634</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23,780</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(242,011)</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$111.19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(125,782)</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Outstanding as of October 1, 2017</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925,849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$102.36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above includes 6,410 units of PSUs awarded to participants in a prior period for which the measurement (grant) date occurred for accounting purposes in 2017.</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3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1, 2017</w:t>
            </w:r>
          </w:p>
        </w:tc>
        <w:tc>
          <w:tcPr>
            <w:tcW w:w="320" w:type="dxa"/>
            <w:vAlign w:val="bottom"/>
          </w:tcPr>
          <w:p>
            <w:pPr>
              <w:spacing w:after="0"/>
              <w:rPr>
                <w:sz w:val="22"/>
                <w:szCs w:val="22"/>
                <w:color w:val="auto"/>
              </w:rPr>
            </w:pPr>
          </w:p>
        </w:tc>
        <w:tc>
          <w:tcPr>
            <w:tcW w:w="1680" w:type="dxa"/>
            <w:vAlign w:val="bottom"/>
          </w:tcPr>
          <w:p>
            <w:pPr>
              <w:jc w:val="right"/>
              <w:ind w:right="433"/>
              <w:spacing w:after="0"/>
              <w:rPr>
                <w:sz w:val="20"/>
                <w:szCs w:val="20"/>
                <w:color w:val="auto"/>
              </w:rPr>
            </w:pPr>
            <w:r>
              <w:rPr>
                <w:rFonts w:ascii="Arial" w:cs="Arial" w:eastAsia="Arial" w:hAnsi="Arial"/>
                <w:sz w:val="14"/>
                <w:szCs w:val="14"/>
                <w:b w:val="1"/>
                <w:bCs w:val="1"/>
                <w:color w:val="auto"/>
              </w:rPr>
              <w:t>October 2, 2016</w:t>
            </w:r>
          </w:p>
        </w:tc>
        <w:tc>
          <w:tcPr>
            <w:tcW w:w="0" w:type="dxa"/>
            <w:vAlign w:val="bottom"/>
          </w:tcPr>
          <w:p>
            <w:pPr>
              <w:spacing w:after="0"/>
              <w:rPr>
                <w:sz w:val="1"/>
                <w:szCs w:val="1"/>
                <w:color w:val="auto"/>
              </w:rPr>
            </w:pPr>
          </w:p>
        </w:tc>
      </w:tr>
      <w:tr>
        <w:trPr>
          <w:trHeight w:val="250"/>
        </w:trPr>
        <w:tc>
          <w:tcPr>
            <w:tcW w:w="7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441,634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531,019</w:t>
            </w: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tcPr>
          <w:p>
            <w:pPr>
              <w:jc w:val="right"/>
              <w:ind w:right="115"/>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vMerge w:val="restart"/>
          </w:tcPr>
          <w:p>
            <w:pPr>
              <w:jc w:val="right"/>
              <w:ind w:right="113"/>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81"/>
        </w:trPr>
        <w:tc>
          <w:tcPr>
            <w:tcW w:w="724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5"/>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3"/>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$26,097 and $19,673 for the periods ended October 1, 2017 and October 2, 2016, respectively.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369,037 units as of October 1, 2017. Each unit is equivalent to one share of the Company’s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95"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Shanghai,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components of our operating income are managed centrally at the corporate level and are excluded from the measure of segment income reviewed by the CODM as well the measure of segment performance used for incentive compensation purposes.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Accounting policies associated with our operating segments are generally the same as those described in Note 1 to the Consolidated Financial Statements included in our 2016 Annual Report on Form 10-K.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5, derivatives used to manage commodity price risk are not designated for hedge accounting treatment. These derivatives are recognized at fair market value with the resulting realized and unrealized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2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340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2, 2016</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1, 2017</w:t>
            </w:r>
          </w:p>
        </w:tc>
        <w:tc>
          <w:tcPr>
            <w:tcW w:w="200" w:type="dxa"/>
            <w:vAlign w:val="bottom"/>
          </w:tcPr>
          <w:p>
            <w:pPr>
              <w:spacing w:after="0"/>
              <w:rPr>
                <w:sz w:val="20"/>
                <w:szCs w:val="20"/>
                <w:color w:val="auto"/>
              </w:rPr>
            </w:pPr>
          </w:p>
        </w:tc>
        <w:tc>
          <w:tcPr>
            <w:tcW w:w="152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October 2, 2016</w:t>
            </w:r>
          </w:p>
        </w:tc>
      </w:tr>
      <w:tr>
        <w:trPr>
          <w:trHeight w:val="33"/>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1,792,377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1,764,528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4,946,537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4,842,840</w:t>
            </w: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240,744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629,253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627,097</w:t>
            </w:r>
          </w:p>
        </w:tc>
      </w:tr>
      <w:tr>
        <w:trPr>
          <w:trHeight w:val="29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2,033,121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2,003,454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5,575,790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5,469,937</w:t>
            </w:r>
          </w:p>
        </w:tc>
      </w:tr>
      <w:tr>
        <w:trPr>
          <w:trHeight w:val="311"/>
        </w:trPr>
        <w:tc>
          <w:tcPr>
            <w:tcW w:w="4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554,578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1,568,098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1,519,059</w:t>
            </w:r>
          </w:p>
        </w:tc>
      </w:tr>
      <w:tr>
        <w:trPr>
          <w:trHeight w:val="243"/>
        </w:trPr>
        <w:tc>
          <w:tcPr>
            <w:tcW w:w="402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26,491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(12,411)</w:t>
            </w:r>
          </w:p>
        </w:tc>
      </w:tr>
      <w:tr>
        <w:trPr>
          <w:trHeight w:val="27"/>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570,978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1,594,589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1,506,648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124,115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121,828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366,938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370,622</w:t>
            </w: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4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208,712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Costs associated with business realignment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104,487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Non-service related pension expense</w:t>
            </w: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21,540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30,123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20,666</w:t>
            </w: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3,727</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439,020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374,024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946,292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976,295</w:t>
            </w:r>
          </w:p>
        </w:tc>
      </w:tr>
      <w:tr>
        <w:trPr>
          <w:trHeight w:val="27"/>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66,730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13,630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23,557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8,703</w:t>
            </w:r>
          </w:p>
        </w:tc>
      </w:tr>
      <w:tr>
        <w:trPr>
          <w:trHeight w:val="27"/>
        </w:trPr>
        <w:tc>
          <w:tcPr>
            <w:tcW w:w="4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400,801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327,837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850,279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900,862</w:t>
            </w: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3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1, 2017</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 2016</w:t>
            </w: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1, 2017</w:t>
            </w:r>
          </w:p>
        </w:tc>
        <w:tc>
          <w:tcPr>
            <w:tcW w:w="18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October 2,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losses on mark-to-market valuation of commodity</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positions recognized in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37,176</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Net losses on commodity derivative positions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reclassified from unallocated to segment income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mark-to-market valuation of</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derivative positions recognized in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35,791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30,851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derivative (gains) losses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 of October 1, 2017, the cumulative amount of mark-to-market losses on commodity derivatives that have been recognized in our consolidated cost of sales and not yet allocated to reportable segments was $135,538. Based on our forecasts of the timing of the recognition of the underlying hedged items, we expect to reclassify net pre-tax losses on commodity derivatives of $93,814 to segment operating results in the next twelve months.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3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1, 2017</w:t>
            </w:r>
          </w:p>
        </w:tc>
        <w:tc>
          <w:tcPr>
            <w:tcW w:w="18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 2016</w:t>
            </w: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1, 2017</w:t>
            </w:r>
          </w:p>
        </w:tc>
        <w:tc>
          <w:tcPr>
            <w:tcW w:w="18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October 2, 2016</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120,378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37,523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84,000</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62,234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194,313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241,901</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7. Such amounts are not included within our measure of segment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38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Nine Months Ended October 1, 2017</w:t>
            </w:r>
          </w:p>
        </w:tc>
      </w:tr>
      <w:tr>
        <w:trPr>
          <w:trHeight w:val="33"/>
        </w:trPr>
        <w:tc>
          <w:tcPr>
            <w:tcW w:w="686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260" w:type="dxa"/>
            <w:vAlign w:val="bottom"/>
            <w:gridSpan w:val="2"/>
          </w:tcPr>
          <w:p>
            <w:pPr>
              <w:ind w:left="840"/>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8"/>
                <w:szCs w:val="18"/>
                <w:color w:val="auto"/>
              </w:rPr>
            </w:pPr>
          </w:p>
        </w:tc>
        <w:tc>
          <w:tcPr>
            <w:tcW w:w="1760" w:type="dxa"/>
            <w:vAlign w:val="bottom"/>
          </w:tcPr>
          <w:p>
            <w:pPr>
              <w:jc w:val="right"/>
              <w:ind w:right="732"/>
              <w:spacing w:after="0"/>
              <w:rPr>
                <w:sz w:val="20"/>
                <w:szCs w:val="20"/>
                <w:color w:val="auto"/>
              </w:rPr>
            </w:pPr>
            <w:r>
              <w:rPr>
                <w:rFonts w:ascii="Arial" w:cs="Arial" w:eastAsia="Arial" w:hAnsi="Arial"/>
                <w:sz w:val="16"/>
                <w:szCs w:val="16"/>
                <w:b w:val="1"/>
                <w:bCs w:val="1"/>
                <w:color w:val="auto"/>
              </w:rPr>
              <w:t>Dollars</w:t>
            </w:r>
          </w:p>
        </w:tc>
      </w:tr>
      <w:tr>
        <w:trPr>
          <w:trHeight w:val="47"/>
        </w:trPr>
        <w:tc>
          <w:tcPr>
            <w:tcW w:w="686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7"/>
        </w:trPr>
        <w:tc>
          <w:tcPr>
            <w:tcW w:w="6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ind w:right="532"/>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6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Shares repurchased in the open market under pre-approved share repurchase programs</w:t>
            </w:r>
          </w:p>
        </w:tc>
        <w:tc>
          <w:tcPr>
            <w:tcW w:w="2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Milton Hershey School Trust repurchase</w:t>
            </w: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159,015</w:t>
            </w:r>
          </w:p>
        </w:tc>
      </w:tr>
      <w:tr>
        <w:trPr>
          <w:trHeight w:val="27"/>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9"/>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1,278,675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141,297</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share repurchases</w:t>
            </w:r>
          </w:p>
        </w:tc>
        <w:tc>
          <w:tcPr>
            <w:tcW w:w="2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2,778,675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300,312</w:t>
            </w:r>
          </w:p>
        </w:tc>
      </w:tr>
      <w:tr>
        <w:trPr>
          <w:trHeight w:val="27"/>
        </w:trPr>
        <w:tc>
          <w:tcPr>
            <w:tcW w:w="6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(49,426)</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change</w:t>
            </w:r>
          </w:p>
        </w:tc>
        <w:tc>
          <w:tcPr>
            <w:tcW w:w="2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1,590,792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250,886</w:t>
            </w:r>
          </w:p>
        </w:tc>
      </w:tr>
      <w:tr>
        <w:trPr>
          <w:trHeight w:val="20"/>
        </w:trPr>
        <w:tc>
          <w:tcPr>
            <w:tcW w:w="68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Milton Hershey School Trust (the “Trust”), pursuant to which the Company agreed to purchase 1,500,000 shares of the Company’s common stock from the Trust at a price equal to $106.01 per share, for a total purchase price of $159,015.</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2016, our Board of Directors approved a $500,000 authorization to repurchase shares of our Common Stock. As of October 1, 2017, $100,000 remained available for repurchases of our Common Stock under this program. In October 2017, our Board of Directors approved an additional $100,000 share repurchase authorization, to commence after the existing 2016 authorization is completed. We are authorized to purchase our outstanding shares in open market and privately negotiated transactions. The programs have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2017 activity relating to the noncontrolling interest follows:</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(26,860)</w:t>
            </w:r>
          </w:p>
        </w:tc>
      </w:tr>
      <w:tr>
        <w:trPr>
          <w:trHeight w:val="27"/>
        </w:trPr>
        <w:tc>
          <w:tcPr>
            <w:tcW w:w="9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October 1, 2017</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15,706</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2017 net loss attributable to the noncontrolling interest reflects the 50% allocation of LSFC-related business realignment and impairment costs (see Note 7). For the nine months ended October 2, 2016, the net loss attributable to noncontrolling interests totaled $798, which was presented within selling, marketing and administrative expense in the Consolidated Statements of Income since the amount was not considered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With respect to dividend rights, the Common Stock holders are entitled to cash dividends 10% higher than those declared and paid on the Class B common stock.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October 1, 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October 2,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0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99,588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34,068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100,892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72,691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26,146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200,480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167,189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60,214</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151,418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153,259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200,480</w:t>
            </w:r>
          </w:p>
        </w:tc>
        <w:tc>
          <w:tcPr>
            <w:tcW w:w="1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72,823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167,189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60,214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72,823</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273,303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227,403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60,054</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151,418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153,259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w w:val="96"/>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213,392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215,161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earnings per share calculations for the three months ended October 1, 2017 and October 2, 2016 excluded 2,374 and 2,921, respectively, of stock options (in thousands) that would have been antidilutive.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October 1, 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October 2,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30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287,580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98,326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154,128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55,875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170,458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61,027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441,708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160,140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159,353</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152,004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153,943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441,708</w:t>
            </w:r>
          </w:p>
        </w:tc>
        <w:tc>
          <w:tcPr>
            <w:tcW w:w="1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160,140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443,838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159,353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 to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160,140</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159,353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601,848</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159,739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603,191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159,006</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152,004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153,943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w w:val="96"/>
              </w:rPr>
              <w:t>Conversion of Class B common stock to Common shares outstanding</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214,123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215,758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earnings per share calculations for the nine months ended October 1, 2017 and October 2, 2016 excluded 2,374 and 3,680, respectively, of stock options (in thousands) that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2017</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2016</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2017</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October 2, 2016</w:t>
            </w: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Write-down of equity investments in partnerships qualifying</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 credits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of SGM liability (see Note 2)</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(26,650)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13,630</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23,557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8,703</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2017</w:t>
            </w:r>
          </w:p>
        </w:tc>
        <w:tc>
          <w:tcPr>
            <w:tcW w:w="320" w:type="dxa"/>
            <w:vAlign w:val="bottom"/>
          </w:tcPr>
          <w:p>
            <w:pPr>
              <w:spacing w:after="0"/>
              <w:rPr>
                <w:sz w:val="16"/>
                <w:szCs w:val="16"/>
                <w:color w:val="auto"/>
              </w:rPr>
            </w:pPr>
          </w:p>
        </w:tc>
        <w:tc>
          <w:tcPr>
            <w:tcW w:w="1680" w:type="dxa"/>
            <w:vAlign w:val="bottom"/>
          </w:tcPr>
          <w:p>
            <w:pPr>
              <w:jc w:val="right"/>
              <w:ind w:right="331"/>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292,976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315,239</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Goods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724,754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528,587</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at FIFO</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932,316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Adjustment to LIFO</w:t>
            </w: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(181,835)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(186,638)</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938,187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745,678</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108,173</w:t>
            </w:r>
          </w:p>
        </w:tc>
        <w:tc>
          <w:tcPr>
            <w:tcW w:w="10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103,865</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1,238,634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2,910,916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3,001,552</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191,805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230,987</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Property, plant and equipment, gross</w:t>
            </w:r>
          </w:p>
        </w:tc>
        <w:tc>
          <w:tcPr>
            <w:tcW w:w="3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4,411,088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4,575,038</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(2,360,964)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(2,397,790)</w:t>
            </w:r>
          </w:p>
        </w:tc>
      </w:tr>
      <w:tr>
        <w:trPr>
          <w:trHeight w:val="311"/>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2,050,124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2,177,248</w:t>
            </w:r>
          </w:p>
        </w:tc>
      </w:tr>
      <w:tr>
        <w:trPr>
          <w:trHeight w:val="217"/>
        </w:trPr>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software, net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95,301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3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1,449</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71,615</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174,611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168,365</w:t>
            </w:r>
          </w:p>
        </w:tc>
      </w:tr>
      <w:tr>
        <w:trPr>
          <w:trHeight w:val="217"/>
        </w:trPr>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compensation and benefits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240,080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320,788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358,573</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152,333</w:t>
            </w:r>
          </w:p>
        </w:tc>
      </w:tr>
      <w:tr>
        <w:trPr>
          <w:trHeight w:val="29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accrued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673,435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750,986</w:t>
            </w:r>
          </w:p>
        </w:tc>
      </w:tr>
      <w:tr>
        <w:trPr>
          <w:trHeight w:val="217"/>
        </w:trPr>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 liabilities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Pension benefits liabilities</w:t>
            </w:r>
          </w:p>
        </w:tc>
        <w:tc>
          <w:tcPr>
            <w:tcW w:w="3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65,687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114,204</w:t>
            </w:r>
          </w:p>
        </w:tc>
      </w:tr>
      <w:tr>
        <w:trPr>
          <w:trHeight w:val="297"/>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402,396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400,161</w:t>
            </w:r>
          </w:p>
        </w:tc>
      </w:tr>
      <w:tr>
        <w:trPr>
          <w:trHeight w:val="217"/>
        </w:trPr>
        <w:tc>
          <w:tcPr>
            <w:tcW w:w="7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Pension and post-retirement benefit plans, net of tax</w:t>
            </w: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(197,095)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(207,169)</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(58,106)</w:t>
            </w:r>
          </w:p>
        </w:tc>
      </w:tr>
      <w:tr>
        <w:trPr>
          <w:trHeight w:val="257"/>
        </w:trPr>
        <w:tc>
          <w:tcPr>
            <w:tcW w:w="720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(337,027)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(375,888)</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1440"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00"/>
          </w:cols>
          <w:pgMar w:left="240" w:top="121"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2016 Annual Report on Form 10-K for information concerning the key risks to achieving future performance goals.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 and Outlook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Overview and Outlook presented below is an executive-level summary highlighting the key trends and measures on which the Company’s management focuses in evaluating its financial condition and operating performance. Certain earnings and performance measures within the Overview and Outlook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Our third quarter 2017 net sales totaled $2,033.1 million, an increase of 1.5%, versus $2,003.5 million for the comparable period of 2016. Excluding a 0.4% impact from favorable foreign exchange rates, our net sales increased 1.1%. Net sales growth was driven by the North America segment, which benefited from core brand growth and innovation, including </w:t>
      </w:r>
      <w:r>
        <w:rPr>
          <w:rFonts w:ascii="Arial" w:cs="Arial" w:eastAsia="Arial" w:hAnsi="Arial"/>
          <w:sz w:val="18"/>
          <w:szCs w:val="18"/>
          <w:i w:val="1"/>
          <w:iCs w:val="1"/>
          <w:color w:val="auto"/>
        </w:rPr>
        <w:t>Hershey's Cookie Layer Crunch</w:t>
      </w:r>
      <w:r>
        <w:rPr>
          <w:rFonts w:ascii="Arial" w:cs="Arial" w:eastAsia="Arial" w:hAnsi="Arial"/>
          <w:sz w:val="18"/>
          <w:szCs w:val="18"/>
          <w:color w:val="auto"/>
        </w:rPr>
        <w:t xml:space="preserve">, and the launch of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Popped Snack Mix and Chocolate Dipped Pretzels.</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reported gross margin was 46.2% in the third quarter of 2017, an increase of 370 basis points compared to the third quarter of 2016. Our non-GAAP gross margin decreased 30 basis points in the third quarter of 2017, with the benefits from supply chain productivity and cost savings initiatives, as well as lower input costs, being more than offset by higher freight rates and increased levels of manufacturing and distribution costs associated with an effort to maintain customer service targets at fast growing retail customers.</w:t>
      </w:r>
    </w:p>
    <w:p>
      <w:pPr>
        <w:spacing w:after="0" w:line="133"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Our third quarter 2017 reported net income and earnings per share-diluted (EPS) totaled $273.3 million and $1.28, respectively, compared to the third quarter 2016 reported net income and EPS-diluted of $227.4 million and $1.06, respectively. From a non-GAAP perspective, third quarter 2017 adjusted net income was $283.6 million, an increase of 2.3% versus $277.3 million in 2016. Our adjusted EPS-diluted for the third quarter of 2017 was $1.33 compared to $1.29 for the same period of 2016, with this 3.1% increase attributable to the same factors driving the increase in non-GAAP net income.</w:t>
      </w:r>
    </w:p>
    <w:p>
      <w:pPr>
        <w:spacing w:after="0" w:line="10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Over the remainder of the year, our outlook remains unchanged and we are focused on executing the priorities we outlined earlier this year. Our seasonal business and programs are on track and the upcoming launch of </w:t>
      </w:r>
      <w:r>
        <w:rPr>
          <w:rFonts w:ascii="Arial" w:cs="Arial" w:eastAsia="Arial" w:hAnsi="Arial"/>
          <w:sz w:val="18"/>
          <w:szCs w:val="18"/>
          <w:i w:val="1"/>
          <w:iCs w:val="1"/>
          <w:color w:val="auto"/>
        </w:rPr>
        <w:t>Hershey's Gold</w:t>
      </w:r>
      <w:r>
        <w:rPr>
          <w:rFonts w:ascii="Arial" w:cs="Arial" w:eastAsia="Arial" w:hAnsi="Arial"/>
          <w:sz w:val="18"/>
          <w:szCs w:val="18"/>
          <w:color w:val="auto"/>
        </w:rPr>
        <w:t>, a caramelized creme with peanuts and pretzels, should enable us to deliver on our objectives.</w:t>
      </w:r>
    </w:p>
    <w:p>
      <w:pPr>
        <w:spacing w:after="0" w:line="12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currently estimate that full-year 2017 net sales growth will be approximately 1.25%. The impact of foreign currency exchange rates is expected to be minimal versus a prior estimate of 0.25% unfavorable impact. We currently expect full-year 2017 reported EPS-diluted to be in the $3.54 to $3.68 range. From a non-GAAP perspective,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23" w:right="239" w:bottom="1440" w:gutter="0" w:footer="0" w:header="0"/>
        </w:sectPr>
      </w:pPr>
    </w:p>
    <w:bookmarkStart w:id="30" w:name="page31"/>
    <w:bookmarkEnd w:id="30"/>
    <w:p>
      <w:pPr>
        <w:ind w:right="60"/>
        <w:spacing w:after="0" w:line="279" w:lineRule="auto"/>
        <w:rPr>
          <w:sz w:val="20"/>
          <w:szCs w:val="20"/>
          <w:color w:val="auto"/>
        </w:rPr>
      </w:pPr>
      <w:r>
        <w:rPr>
          <w:rFonts w:ascii="Arial" w:cs="Arial" w:eastAsia="Arial" w:hAnsi="Arial"/>
          <w:sz w:val="17"/>
          <w:szCs w:val="17"/>
          <w:color w:val="auto"/>
        </w:rPr>
        <w:t>expect 2017 adjusted EPS-diluted to be towards the high end of our outlook of $4.72 to $4.81, an increase of 7% to 9%, primarily due to strong productivity and cost savings initiatives, as well as a lower effective tax rate. The reduction in our full-year 2017 effective tax rate is primarily driven by a favorable foreign rate differential and benefit from tax credits, as well as the adoption of ASU 2016-09 for the accounting of employee share-based payments. A reconciliation of reported to adjusted projections for 2017 are reflected in the non-GAAP reconciliations that follow.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costs associated with business realignment activities, costs relating to the integration of acquisitions, non-service related components of our pension expense ("NSRPE"), impairment of long-lived assets, and settlement of the SGM liability in conjunction with the purchase of the remaining 20% of the outstanding shares of SGM.</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74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5360" w:type="dxa"/>
            <w:vAlign w:val="bottom"/>
            <w:gridSpan w:val="7"/>
          </w:tcPr>
          <w:p>
            <w:pPr>
              <w:ind w:left="1140"/>
              <w:spacing w:after="0"/>
              <w:rPr>
                <w:sz w:val="20"/>
                <w:szCs w:val="20"/>
                <w:color w:val="auto"/>
              </w:rPr>
            </w:pPr>
            <w:r>
              <w:rPr>
                <w:rFonts w:ascii="Arial" w:cs="Arial" w:eastAsia="Arial" w:hAnsi="Arial"/>
                <w:sz w:val="16"/>
                <w:szCs w:val="16"/>
                <w:b w:val="1"/>
                <w:bCs w:val="1"/>
                <w:color w:val="auto"/>
                <w:w w:val="98"/>
              </w:rPr>
              <w:t>Reconciliation of Certain Non-GAAP Financial Measures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220" w:type="dxa"/>
            <w:vAlign w:val="bottom"/>
          </w:tcPr>
          <w:p>
            <w:pPr>
              <w:spacing w:after="0"/>
              <w:rPr>
                <w:sz w:val="23"/>
                <w:szCs w:val="23"/>
                <w:color w:val="auto"/>
              </w:rPr>
            </w:pPr>
          </w:p>
        </w:tc>
        <w:tc>
          <w:tcPr>
            <w:tcW w:w="36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3"/>
                <w:szCs w:val="23"/>
                <w:color w:val="auto"/>
              </w:rPr>
            </w:pPr>
          </w:p>
        </w:tc>
        <w:tc>
          <w:tcPr>
            <w:tcW w:w="328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2, 2016</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200" w:type="dxa"/>
            <w:vAlign w:val="bottom"/>
          </w:tcPr>
          <w:p>
            <w:pPr>
              <w:spacing w:after="0"/>
              <w:rPr>
                <w:sz w:val="20"/>
                <w:szCs w:val="20"/>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October 2, 2016</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1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940,222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850,848</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2,609,992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2,415,622</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35,791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30,851</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24,470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57,948</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NSRPE</w:t>
            </w: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8,344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9,132</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913,729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2,513,553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operating profit</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374,024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976,295</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35,791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30,851</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27,962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3,727</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20,666</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208,712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446,402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1,227,651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1,136,026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Reported provision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100,434</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297,671</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 *</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13,566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11,694</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16,409</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1,413</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7,900</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29,264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122,867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331,699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335,087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227,403</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603,191</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22,225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(24,760)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19,157</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88,073</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2,314</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12,766</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179,448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shd w:val="clear" w:color="auto" w:fill="CCEEFF"/>
              </w:rPr>
              <w:t>Noncontrolling interest share of business realignment and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3"/>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charges</w:t>
            </w:r>
          </w:p>
        </w:tc>
        <w:tc>
          <w:tcPr>
            <w:tcW w:w="1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Settlement of SGM liability</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(26,650)</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277,348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698,851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Long-lived asset impairment charges</w:t>
            </w: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shd w:val="clear" w:color="auto" w:fill="CCEEFF"/>
              </w:rPr>
              <w:t>Noncontrolling interest share of business realignment and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3"/>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charges</w:t>
            </w:r>
          </w:p>
        </w:tc>
        <w:tc>
          <w:tcPr>
            <w:tcW w:w="1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Settlement of SGM liability</w:t>
            </w:r>
          </w:p>
        </w:tc>
        <w:tc>
          <w:tcPr>
            <w:tcW w:w="22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33"/>
        </w:trPr>
        <w:tc>
          <w:tcPr>
            <w:tcW w:w="2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EPS - Diluted</w:t>
            </w: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19" w:lineRule="exact"/>
        <w:rPr>
          <w:sz w:val="20"/>
          <w:szCs w:val="20"/>
          <w:color w:val="auto"/>
        </w:rPr>
      </w:pPr>
    </w:p>
    <w:p>
      <w:pPr>
        <w:ind w:left="180" w:right="40" w:hanging="172"/>
        <w:spacing w:after="0" w:line="252"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were no pre-tax impairment charges associated with long-lived assets during the three months ended October 1, 2017. However, the long-lived asset impairment charge in the first quarter of 2017 was not treated as a discrete tax item. Therefore, the tax impact was included in the estimated annual effective tax rate resulting in an EPS-diluted impact for each of the quarters throughout 2017.</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7" w:right="239" w:bottom="1440" w:gutter="0" w:footer="0" w:header="0"/>
          <w:type w:val="continuous"/>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800" w:type="dxa"/>
            <w:vAlign w:val="bottom"/>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c>
          <w:tcPr>
            <w:tcW w:w="360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47"/>
        </w:trPr>
        <w:tc>
          <w:tcPr>
            <w:tcW w:w="4020" w:type="dxa"/>
            <w:vAlign w:val="bottom"/>
          </w:tcPr>
          <w:p>
            <w:pPr>
              <w:spacing w:after="0"/>
              <w:rPr>
                <w:sz w:val="4"/>
                <w:szCs w:val="4"/>
                <w:color w:val="auto"/>
              </w:rPr>
            </w:pPr>
          </w:p>
        </w:tc>
        <w:tc>
          <w:tcPr>
            <w:tcW w:w="1840" w:type="dxa"/>
            <w:vAlign w:val="bottom"/>
            <w:tcBorders>
              <w:bottom w:val="single" w:sz="8" w:color="auto"/>
            </w:tcBorders>
            <w:gridSpan w:val="2"/>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tcBorders>
              <w:bottom w:val="single" w:sz="8" w:color="auto"/>
            </w:tcBorders>
            <w:gridSpan w:val="2"/>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31"/>
        </w:trPr>
        <w:tc>
          <w:tcPr>
            <w:tcW w:w="40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6"/>
                <w:szCs w:val="16"/>
                <w:b w:val="1"/>
                <w:bCs w:val="1"/>
                <w:color w:val="auto"/>
              </w:rPr>
              <w:t>October 1, 2017</w:t>
            </w:r>
          </w:p>
        </w:tc>
        <w:tc>
          <w:tcPr>
            <w:tcW w:w="1960" w:type="dxa"/>
            <w:vAlign w:val="bottom"/>
            <w:gridSpan w:val="2"/>
          </w:tcPr>
          <w:p>
            <w:pPr>
              <w:ind w:left="340"/>
              <w:spacing w:after="0"/>
              <w:rPr>
                <w:sz w:val="20"/>
                <w:szCs w:val="20"/>
                <w:color w:val="auto"/>
              </w:rPr>
            </w:pPr>
            <w:r>
              <w:rPr>
                <w:rFonts w:ascii="Arial" w:cs="Arial" w:eastAsia="Arial" w:hAnsi="Arial"/>
                <w:sz w:val="16"/>
                <w:szCs w:val="16"/>
                <w:b w:val="1"/>
                <w:bCs w:val="1"/>
                <w:color w:val="auto"/>
              </w:rPr>
              <w:t>October 2, 2016</w:t>
            </w: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October 1, 2017</w:t>
            </w: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rPr>
              <w:t>October 2, 2016</w:t>
            </w:r>
          </w:p>
        </w:tc>
      </w:tr>
      <w:tr>
        <w:trPr>
          <w:trHeight w:val="33"/>
        </w:trPr>
        <w:tc>
          <w:tcPr>
            <w:tcW w:w="40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Non-GAAP gross margin (1)</w:t>
            </w:r>
          </w:p>
        </w:tc>
        <w:tc>
          <w:tcPr>
            <w:tcW w:w="174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33"/>
        </w:trPr>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324"/>
        </w:trPr>
        <w:tc>
          <w:tcPr>
            <w:tcW w:w="40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As reported operating profit margin</w:t>
            </w:r>
          </w:p>
        </w:tc>
        <w:tc>
          <w:tcPr>
            <w:tcW w:w="17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324"/>
        </w:trPr>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Non-GAAP effective tax rate (3)</w:t>
            </w:r>
          </w:p>
        </w:tc>
        <w:tc>
          <w:tcPr>
            <w:tcW w:w="174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30.7%</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32.4%</w:t>
            </w:r>
          </w:p>
        </w:tc>
      </w:tr>
    </w:tbl>
    <w:p>
      <w:pPr>
        <w:spacing w:after="0" w:line="2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losses on commodity derivatives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Commensurate with our discontinuance of hedge accounting treatment for commodity derivatives, we are adjusting the mark-to-market losses (gains) on such commodity derivatives, until such time as the related inventory is sold.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three months ended October 1, 2017 and October 2, 2016, the net unallocated mark-to-market adjustment on commodity derivatives totaled pre-tax gains of $22.0 million and losses of $35.8 million, respectively. For the nine months ended October 1, 2017 and October 2, 2016, the net unallocated mark-to-market adjustment on commodity derivatives totaled pre-tax gains of $27.5 million and losses of $30.9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We periodically undertake restructuring and cost reduction activities as part of ongoing efforts to enhance long-term profitability. For the three months ended October 1, 2017 and October 2, 2016, we incurred $8.3 million and $28.0 million, respectively, of pre-tax costs related to business realignment activities. For the nine months ended October 1, 2017 and October 2, 2016, we incurred $69.7 million and $104.5 million, respectively, of pre-tax costs related to business realignment activities. See Note 7 to the Consolidated Financial Statements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integration costs</w:t>
      </w:r>
    </w:p>
    <w:p>
      <w:pPr>
        <w:spacing w:after="0" w:line="2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Costs incurred during the three and nine months ended October 1, 2017 and 2016 relate to the integration of the 2016 acquisition of Ripple Brand Collective, LLC as we incorporate this business into our operating practices and information systems.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8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Non-service related pension expense</w:t>
      </w:r>
    </w:p>
    <w:p>
      <w:pPr>
        <w:spacing w:after="0" w:line="2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NSRPE includes interest costs, the expected return on pension plan assets, the amortization of actuarial gains and losses, and certain curtailment and settlement losses or credits. NSRPE can fluctuate from year to year as a result of changes in market interest rates and market returns on pension plan assets. We believe that the service cost component of our total pension benefit costs closely reflects the operating costs of our business and provides for a better comparison of our operating results from year to year. Therefore, we exclude NSRPE from our internal performance measures. Our most significant defined benefit pension plans have been closed to new participants for a number of years, resulting in ongoing service costs that are stable and predictable. We recorded pre-tax NSRPE of $21.5 million and $6.4 million, respectively, for the three months ended October 1, 2017 and October 2, 2016, respectively. We recorded pre-tax NSRPE of $30.1 million and $20.7 million, respectively, for the nine months ended October 1, 2017 and October 2,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 impairment charges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October 1, 2017, we incurred $208.7 million of pre-tax long-lived asset impairment charges related to certain business realignment activities. This includes a write-down of certain intangible assets that had been recognized in connection with the 2014 SGM acquisition and write-down of property, plant and equipment.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loss attributed to the non-controlling interest.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reported and constant currency growth rates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Three Months Ended October 1, 2017</w:t>
            </w:r>
          </w:p>
        </w:tc>
        <w:tc>
          <w:tcPr>
            <w:tcW w:w="244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Percentage Change as Reported</w:t>
            </w: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12.1 %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15.5 %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20.9 %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16.0 %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Pr>
          <w:p>
            <w:pPr>
              <w:jc w:val="right"/>
              <w:spacing w:after="0"/>
              <w:rPr>
                <w:sz w:val="20"/>
                <w:szCs w:val="20"/>
                <w:color w:val="auto"/>
              </w:rPr>
            </w:pPr>
            <w:r>
              <w:rPr>
                <w:rFonts w:ascii="Arial" w:cs="Arial" w:eastAsia="Arial" w:hAnsi="Arial"/>
                <w:sz w:val="16"/>
                <w:szCs w:val="16"/>
                <w:color w:val="auto"/>
              </w:rPr>
              <w:t>1.5 %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388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Nine Months Ended October 1, 2017</w:t>
            </w:r>
          </w:p>
        </w:tc>
        <w:tc>
          <w:tcPr>
            <w:tcW w:w="2440" w:type="dxa"/>
            <w:vAlign w:val="bottom"/>
          </w:tcPr>
          <w:p>
            <w:pPr>
              <w:spacing w:after="0"/>
              <w:rPr>
                <w:sz w:val="24"/>
                <w:szCs w:val="24"/>
                <w:color w:val="auto"/>
              </w:rPr>
            </w:pPr>
          </w:p>
        </w:tc>
      </w:tr>
      <w:tr>
        <w:trPr>
          <w:trHeight w:val="33"/>
        </w:trPr>
        <w:tc>
          <w:tcPr>
            <w:tcW w:w="38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Impact of Foreign Currency</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Percentage Change as Reported</w:t>
            </w:r>
          </w:p>
        </w:tc>
        <w:tc>
          <w:tcPr>
            <w:tcW w:w="10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Exchange</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0"/>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40" w:type="dxa"/>
            <w:vAlign w:val="bottom"/>
          </w:tcPr>
          <w:p>
            <w:pPr>
              <w:jc w:val="right"/>
              <w:spacing w:after="0"/>
              <w:rPr>
                <w:sz w:val="20"/>
                <w:szCs w:val="20"/>
                <w:color w:val="auto"/>
              </w:rPr>
            </w:pPr>
            <w:r>
              <w:rPr>
                <w:rFonts w:ascii="Arial" w:cs="Arial" w:eastAsia="Arial" w:hAnsi="Arial"/>
                <w:sz w:val="16"/>
                <w:szCs w:val="16"/>
                <w:color w:val="auto"/>
              </w:rPr>
              <w:t>8.3 %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33"/>
        </w:trPr>
        <w:tc>
          <w:tcPr>
            <w:tcW w:w="38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60"/>
              <w:spacing w:after="0"/>
              <w:rPr>
                <w:sz w:val="20"/>
                <w:szCs w:val="20"/>
                <w:color w:val="auto"/>
              </w:rPr>
            </w:pPr>
            <w:r>
              <w:rPr>
                <w:rFonts w:ascii="Arial" w:cs="Arial" w:eastAsia="Arial" w:hAnsi="Arial"/>
                <w:sz w:val="16"/>
                <w:szCs w:val="16"/>
                <w:color w:val="auto"/>
              </w:rPr>
              <w:t>— %</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324"/>
        </w:trPr>
        <w:tc>
          <w:tcPr>
            <w:tcW w:w="3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40" w:type="dxa"/>
            <w:vAlign w:val="bottom"/>
          </w:tcPr>
          <w:p>
            <w:pPr>
              <w:jc w:val="right"/>
              <w:spacing w:after="0"/>
              <w:rPr>
                <w:sz w:val="20"/>
                <w:szCs w:val="20"/>
                <w:color w:val="auto"/>
              </w:rPr>
            </w:pPr>
            <w:r>
              <w:rPr>
                <w:rFonts w:ascii="Arial" w:cs="Arial" w:eastAsia="Arial" w:hAnsi="Arial"/>
                <w:sz w:val="16"/>
                <w:szCs w:val="16"/>
                <w:color w:val="auto"/>
              </w:rPr>
              <w:t>9.4 %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40" w:type="dxa"/>
            <w:vAlign w:val="bottom"/>
          </w:tcPr>
          <w:p>
            <w:pPr>
              <w:jc w:val="right"/>
              <w:spacing w:after="0"/>
              <w:rPr>
                <w:sz w:val="20"/>
                <w:szCs w:val="20"/>
                <w:color w:val="auto"/>
              </w:rPr>
            </w:pPr>
            <w:r>
              <w:rPr>
                <w:rFonts w:ascii="Arial" w:cs="Arial" w:eastAsia="Arial" w:hAnsi="Arial"/>
                <w:sz w:val="16"/>
                <w:szCs w:val="16"/>
                <w:color w:val="auto"/>
              </w:rPr>
              <w:t>13.9 %</w:t>
            </w:r>
          </w:p>
        </w:tc>
        <w:tc>
          <w:tcPr>
            <w:tcW w:w="254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60" w:type="dxa"/>
            <w:vAlign w:val="bottom"/>
            <w:gridSpan w:val="2"/>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1"/>
                <w:szCs w:val="21"/>
                <w:color w:val="auto"/>
              </w:rPr>
            </w:pPr>
          </w:p>
        </w:tc>
        <w:tc>
          <w:tcPr>
            <w:tcW w:w="2560" w:type="dxa"/>
            <w:vAlign w:val="bottom"/>
            <w:gridSpan w:val="2"/>
          </w:tcPr>
          <w:p>
            <w:pPr>
              <w:ind w:left="2060"/>
              <w:spacing w:after="0"/>
              <w:rPr>
                <w:sz w:val="20"/>
                <w:szCs w:val="20"/>
                <w:color w:val="auto"/>
              </w:rPr>
            </w:pPr>
            <w:r>
              <w:rPr>
                <w:rFonts w:ascii="Arial" w:cs="Arial" w:eastAsia="Arial" w:hAnsi="Arial"/>
                <w:sz w:val="16"/>
                <w:szCs w:val="16"/>
                <w:color w:val="auto"/>
              </w:rPr>
              <w:t>— %</w:t>
            </w:r>
          </w:p>
        </w:tc>
        <w:tc>
          <w:tcPr>
            <w:tcW w:w="244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388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2017 Outlook</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table provides a reconciliation of projected 2017 EPS-diluted, prepared in accordance with GAAP, to projected non-GAAP EPS-diluted for 2017, prepared on a non-GAAP basis, with adjustments consistent to those discussed previously. The reconciliation of 2016 EPS-diluted, prepared in accordance with GAAP, to 2016 non-GAAP EPS-diluted is provided below for comparison.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160" w:type="dxa"/>
            <w:vAlign w:val="bottom"/>
            <w:gridSpan w:val="3"/>
          </w:tcPr>
          <w:p>
            <w:pPr>
              <w:ind w:left="400"/>
              <w:spacing w:after="0"/>
              <w:rPr>
                <w:sz w:val="20"/>
                <w:szCs w:val="20"/>
                <w:color w:val="auto"/>
              </w:rPr>
            </w:pPr>
            <w:r>
              <w:rPr>
                <w:rFonts w:ascii="Arial" w:cs="Arial" w:eastAsia="Arial" w:hAnsi="Arial"/>
                <w:sz w:val="18"/>
                <w:szCs w:val="18"/>
                <w:b w:val="1"/>
                <w:bCs w:val="1"/>
                <w:color w:val="auto"/>
              </w:rPr>
              <w:t>2017 (Projected)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EPS – Diluted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$3.68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$3.34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Derivative mark-to-market losses</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0.66</w:t>
            </w:r>
          </w:p>
        </w:tc>
      </w:tr>
      <w:tr>
        <w:trPr>
          <w:trHeight w:val="27"/>
        </w:trPr>
        <w:tc>
          <w:tcPr>
            <w:tcW w:w="7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costs (including Margin for Growth Program costs)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- 0.21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0.02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Non-service related pension expense</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Settlement of SGM liability</w:t>
            </w: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(0.12)</w:t>
            </w:r>
          </w:p>
        </w:tc>
      </w:tr>
      <w:tr>
        <w:trPr>
          <w:trHeight w:val="27"/>
        </w:trPr>
        <w:tc>
          <w:tcPr>
            <w:tcW w:w="72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 charges</w:t>
            </w:r>
          </w:p>
        </w:tc>
        <w:tc>
          <w:tcPr>
            <w:tcW w:w="20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0.87</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0.01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Adjusted EPS – Diluted</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 $4.81</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$4.41</w:t>
            </w: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2017 projected EPS-diluted, as presented above, does not include the impact of mark-to-market gains and losses on our commodity derivative contracts that will be reflected within corporate unallocated expenses in our segment results until the related inventory is sold, since we are not able to forecast the impact of the market changes.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2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2880" w:type="dxa"/>
        <w:tblCellMar>
          <w:top w:w="0" w:type="dxa"/>
          <w:left w:w="0" w:type="dxa"/>
          <w:bottom w:w="0" w:type="dxa"/>
          <w:right w:w="0" w:type="dxa"/>
        </w:tblCellMar>
      </w:tblPr>
      <w:tr>
        <w:trPr>
          <w:trHeight w:val="192"/>
        </w:trPr>
        <w:tc>
          <w:tcPr>
            <w:tcW w:w="318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Percent</w:t>
            </w:r>
          </w:p>
        </w:tc>
        <w:tc>
          <w:tcPr>
            <w:tcW w:w="31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ind w:left="360"/>
              <w:spacing w:after="0"/>
              <w:rPr>
                <w:sz w:val="20"/>
                <w:szCs w:val="20"/>
                <w:color w:val="auto"/>
              </w:rPr>
            </w:pPr>
            <w:r>
              <w:rPr>
                <w:rFonts w:ascii="Arial" w:cs="Arial" w:eastAsia="Arial" w:hAnsi="Arial"/>
                <w:sz w:val="14"/>
                <w:szCs w:val="14"/>
                <w:b w:val="1"/>
                <w:bCs w:val="1"/>
                <w:color w:val="auto"/>
                <w:w w:val="85"/>
              </w:rPr>
              <w:t>Percent</w:t>
            </w:r>
          </w:p>
        </w:tc>
      </w:tr>
      <w:tr>
        <w:trPr>
          <w:trHeight w:val="258"/>
        </w:trPr>
        <w:tc>
          <w:tcPr>
            <w:tcW w:w="1580" w:type="dxa"/>
            <w:vAlign w:val="bottom"/>
          </w:tcPr>
          <w:p>
            <w:pPr>
              <w:ind w:left="280"/>
              <w:spacing w:after="0"/>
              <w:rPr>
                <w:sz w:val="20"/>
                <w:szCs w:val="20"/>
                <w:color w:val="auto"/>
              </w:rPr>
            </w:pPr>
            <w:r>
              <w:rPr>
                <w:rFonts w:ascii="Arial" w:cs="Arial" w:eastAsia="Arial" w:hAnsi="Arial"/>
                <w:sz w:val="14"/>
                <w:szCs w:val="14"/>
                <w:b w:val="1"/>
                <w:bCs w:val="1"/>
                <w:color w:val="auto"/>
              </w:rPr>
              <w:t>October 1, 2017</w:t>
            </w:r>
          </w:p>
        </w:tc>
        <w:tc>
          <w:tcPr>
            <w:tcW w:w="1600" w:type="dxa"/>
            <w:vAlign w:val="bottom"/>
          </w:tcPr>
          <w:p>
            <w:pPr>
              <w:ind w:left="340"/>
              <w:spacing w:after="0"/>
              <w:rPr>
                <w:sz w:val="20"/>
                <w:szCs w:val="20"/>
                <w:color w:val="auto"/>
              </w:rPr>
            </w:pPr>
            <w:r>
              <w:rPr>
                <w:rFonts w:ascii="Arial" w:cs="Arial" w:eastAsia="Arial" w:hAnsi="Arial"/>
                <w:sz w:val="14"/>
                <w:szCs w:val="14"/>
                <w:b w:val="1"/>
                <w:bCs w:val="1"/>
                <w:color w:val="auto"/>
              </w:rPr>
              <w:t>October 2, 2016</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1520" w:type="dxa"/>
            <w:vAlign w:val="bottom"/>
          </w:tcPr>
          <w:p>
            <w:pPr>
              <w:ind w:left="240"/>
              <w:spacing w:after="0"/>
              <w:rPr>
                <w:sz w:val="20"/>
                <w:szCs w:val="20"/>
                <w:color w:val="auto"/>
              </w:rPr>
            </w:pPr>
            <w:r>
              <w:rPr>
                <w:rFonts w:ascii="Arial" w:cs="Arial" w:eastAsia="Arial" w:hAnsi="Arial"/>
                <w:sz w:val="14"/>
                <w:szCs w:val="14"/>
                <w:b w:val="1"/>
                <w:bCs w:val="1"/>
                <w:color w:val="auto"/>
              </w:rPr>
              <w:t>October 1, 2017</w:t>
            </w:r>
          </w:p>
        </w:tc>
        <w:tc>
          <w:tcPr>
            <w:tcW w:w="1580" w:type="dxa"/>
            <w:vAlign w:val="bottom"/>
          </w:tcPr>
          <w:p>
            <w:pPr>
              <w:ind w:left="320"/>
              <w:spacing w:after="0"/>
              <w:rPr>
                <w:sz w:val="20"/>
                <w:szCs w:val="20"/>
                <w:color w:val="auto"/>
              </w:rPr>
            </w:pPr>
            <w:r>
              <w:rPr>
                <w:rFonts w:ascii="Arial" w:cs="Arial" w:eastAsia="Arial" w:hAnsi="Arial"/>
                <w:sz w:val="14"/>
                <w:szCs w:val="14"/>
                <w:b w:val="1"/>
                <w:bCs w:val="1"/>
                <w:color w:val="auto"/>
              </w:rPr>
              <w:t>October 2, 2016</w:t>
            </w:r>
          </w:p>
        </w:tc>
        <w:tc>
          <w:tcPr>
            <w:tcW w:w="820" w:type="dxa"/>
            <w:vAlign w:val="bottom"/>
          </w:tcPr>
          <w:p>
            <w:pPr>
              <w:ind w:left="360"/>
              <w:spacing w:after="0"/>
              <w:rPr>
                <w:sz w:val="20"/>
                <w:szCs w:val="20"/>
                <w:color w:val="auto"/>
              </w:rPr>
            </w:pPr>
            <w:r>
              <w:rPr>
                <w:rFonts w:ascii="Arial" w:cs="Arial" w:eastAsia="Arial" w:hAnsi="Arial"/>
                <w:sz w:val="14"/>
                <w:szCs w:val="14"/>
                <w:b w:val="1"/>
                <w:bCs w:val="1"/>
                <w:color w:val="auto"/>
                <w:w w:val="85"/>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7620</wp:posOffset>
            </wp:positionV>
            <wp:extent cx="5419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In millions of dollars except per share</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840" w:type="dxa"/>
            <w:vAlign w:val="bottom"/>
          </w:tcPr>
          <w:p>
            <w:pPr>
              <w:spacing w:after="0"/>
              <w:rPr>
                <w:sz w:val="20"/>
                <w:szCs w:val="20"/>
                <w:color w:val="auto"/>
              </w:rPr>
            </w:pPr>
            <w:r>
              <w:rPr>
                <w:rFonts w:ascii="Arial" w:cs="Arial" w:eastAsia="Arial" w:hAnsi="Arial"/>
                <w:sz w:val="16"/>
                <w:szCs w:val="16"/>
                <w:color w:val="auto"/>
              </w:rPr>
              <w:t>Net Sales</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2,033.1</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2,003.5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5,575.8</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5,469.9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Cost of Sales</w:t>
            </w:r>
          </w:p>
        </w:tc>
        <w:tc>
          <w:tcPr>
            <w:tcW w:w="54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1,092.9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1,152.6</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2,965.8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3,054.3</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6"/>
                <w:szCs w:val="16"/>
                <w:color w:val="auto"/>
              </w:rPr>
              <w:t>Gross Profit</w:t>
            </w:r>
          </w:p>
        </w:tc>
        <w:tc>
          <w:tcPr>
            <w:tcW w:w="5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940.2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850.8</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10.5 %</w:t>
            </w:r>
          </w:p>
        </w:tc>
        <w:tc>
          <w:tcPr>
            <w:tcW w:w="4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2,610.0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2,415.6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Pr>
          <w:p>
            <w:pPr>
              <w:ind w:left="160"/>
              <w:spacing w:after="0"/>
              <w:rPr>
                <w:sz w:val="20"/>
                <w:szCs w:val="20"/>
                <w:color w:val="auto"/>
              </w:rPr>
            </w:pPr>
            <w:r>
              <w:rPr>
                <w:rFonts w:ascii="Arial" w:cs="Arial" w:eastAsia="Arial" w:hAnsi="Arial"/>
                <w:sz w:val="16"/>
                <w:szCs w:val="16"/>
                <w:i w:val="1"/>
                <w:iCs w:val="1"/>
                <w:color w:val="auto"/>
              </w:rPr>
              <w:t>Gross Margin</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42.5%</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44.2%</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SM&amp;A Expense</w:t>
            </w:r>
          </w:p>
        </w:tc>
        <w:tc>
          <w:tcPr>
            <w:tcW w:w="54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497.2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474.5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4.8 %</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1,405.0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1,408.8</w:t>
            </w:r>
          </w:p>
        </w:tc>
        <w:tc>
          <w:tcPr>
            <w:tcW w:w="0" w:type="dxa"/>
            <w:vAlign w:val="bottom"/>
          </w:tcPr>
          <w:p>
            <w:pPr>
              <w:spacing w:after="0"/>
              <w:rPr>
                <w:sz w:val="1"/>
                <w:szCs w:val="1"/>
                <w:color w:val="auto"/>
              </w:rPr>
            </w:pPr>
          </w:p>
        </w:tc>
      </w:tr>
      <w:tr>
        <w:trPr>
          <w:trHeight w:val="33"/>
        </w:trPr>
        <w:tc>
          <w:tcPr>
            <w:tcW w:w="284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SM&amp;A Expense as a percent of net</w:t>
            </w: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24.5%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23.7%</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25.8%</w:t>
            </w:r>
          </w:p>
        </w:tc>
        <w:tc>
          <w:tcPr>
            <w:tcW w:w="0" w:type="dxa"/>
            <w:vAlign w:val="bottom"/>
          </w:tcPr>
          <w:p>
            <w:pPr>
              <w:spacing w:after="0"/>
              <w:rPr>
                <w:sz w:val="1"/>
                <w:szCs w:val="1"/>
                <w:color w:val="auto"/>
              </w:rPr>
            </w:pPr>
          </w:p>
        </w:tc>
      </w:tr>
      <w:tr>
        <w:trPr>
          <w:trHeight w:val="206"/>
        </w:trPr>
        <w:tc>
          <w:tcPr>
            <w:tcW w:w="2840" w:type="dxa"/>
            <w:vAlign w:val="bottom"/>
          </w:tcPr>
          <w:p>
            <w:pPr>
              <w:ind w:left="320"/>
              <w:spacing w:after="0"/>
              <w:rPr>
                <w:sz w:val="20"/>
                <w:szCs w:val="20"/>
                <w:color w:val="auto"/>
              </w:rPr>
            </w:pPr>
            <w:r>
              <w:rPr>
                <w:rFonts w:ascii="Arial" w:cs="Arial" w:eastAsia="Arial" w:hAnsi="Arial"/>
                <w:sz w:val="16"/>
                <w:szCs w:val="16"/>
                <w:i w:val="1"/>
                <w:iCs w:val="1"/>
                <w:color w:val="auto"/>
              </w:rPr>
              <w:t>sales</w:t>
            </w:r>
          </w:p>
        </w:tc>
        <w:tc>
          <w:tcPr>
            <w:tcW w:w="5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25.2%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Long-lived Asset Impairment Charges</w:t>
            </w:r>
          </w:p>
        </w:tc>
        <w:tc>
          <w:tcPr>
            <w:tcW w:w="54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Business Realignment Costs</w:t>
            </w:r>
          </w:p>
        </w:tc>
        <w:tc>
          <w:tcPr>
            <w:tcW w:w="54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72.5 %</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6"/>
                <w:szCs w:val="16"/>
                <w:color w:val="auto"/>
              </w:rPr>
              <w:t>Operating Profit</w:t>
            </w:r>
          </w:p>
        </w:tc>
        <w:tc>
          <w:tcPr>
            <w:tcW w:w="5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374.0</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17.4 %</w:t>
            </w:r>
          </w:p>
        </w:tc>
        <w:tc>
          <w:tcPr>
            <w:tcW w:w="4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946.3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976.3</w:t>
            </w:r>
          </w:p>
        </w:tc>
        <w:tc>
          <w:tcPr>
            <w:tcW w:w="0" w:type="dxa"/>
            <w:vAlign w:val="bottom"/>
          </w:tcPr>
          <w:p>
            <w:pPr>
              <w:spacing w:after="0"/>
              <w:rPr>
                <w:sz w:val="1"/>
                <w:szCs w:val="1"/>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21.6%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18.7%</w:t>
            </w: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17.0%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17.8%</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Interest Expense, Net</w:t>
            </w:r>
          </w:p>
        </w:tc>
        <w:tc>
          <w:tcPr>
            <w:tcW w:w="54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0.8 %</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57"/>
        </w:trPr>
        <w:tc>
          <w:tcPr>
            <w:tcW w:w="2840" w:type="dxa"/>
            <w:vAlign w:val="bottom"/>
            <w:vMerge w:val="restart"/>
          </w:tcPr>
          <w:p>
            <w:pPr>
              <w:spacing w:after="0"/>
              <w:rPr>
                <w:sz w:val="20"/>
                <w:szCs w:val="20"/>
                <w:color w:val="auto"/>
              </w:rPr>
            </w:pPr>
            <w:r>
              <w:rPr>
                <w:rFonts w:ascii="Arial" w:cs="Arial" w:eastAsia="Arial" w:hAnsi="Arial"/>
                <w:sz w:val="16"/>
                <w:szCs w:val="16"/>
                <w:color w:val="auto"/>
              </w:rPr>
              <w:t>Other (Income) Expense, Net</w:t>
            </w:r>
          </w:p>
        </w:tc>
        <w:tc>
          <w:tcPr>
            <w:tcW w:w="540" w:type="dxa"/>
            <w:vAlign w:val="bottom"/>
          </w:tcPr>
          <w:p>
            <w:pPr>
              <w:spacing w:after="0"/>
              <w:rPr>
                <w:sz w:val="22"/>
                <w:szCs w:val="22"/>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21.8</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460" w:type="dxa"/>
            <w:vAlign w:val="bottom"/>
          </w:tcPr>
          <w:p>
            <w:pPr>
              <w:spacing w:after="0"/>
              <w:rPr>
                <w:sz w:val="22"/>
                <w:szCs w:val="22"/>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81"/>
        </w:trPr>
        <w:tc>
          <w:tcPr>
            <w:tcW w:w="28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54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100.4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26.2 %</w:t>
            </w:r>
          </w:p>
        </w:tc>
        <w:tc>
          <w:tcPr>
            <w:tcW w:w="460" w:type="dxa"/>
            <w:vAlign w:val="bottom"/>
          </w:tcPr>
          <w:p>
            <w:pPr>
              <w:spacing w:after="0"/>
              <w:rPr>
                <w:sz w:val="23"/>
                <w:szCs w:val="23"/>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275.3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31.6%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30.6%</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32.4%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33.0%</w:t>
            </w:r>
          </w:p>
        </w:tc>
        <w:tc>
          <w:tcPr>
            <w:tcW w:w="0" w:type="dxa"/>
            <w:vAlign w:val="bottom"/>
          </w:tcPr>
          <w:p>
            <w:pPr>
              <w:spacing w:after="0"/>
              <w:rPr>
                <w:sz w:val="1"/>
                <w:szCs w:val="1"/>
                <w:color w:val="auto"/>
              </w:rPr>
            </w:pPr>
          </w:p>
        </w:tc>
      </w:tr>
      <w:tr>
        <w:trPr>
          <w:trHeight w:val="253"/>
        </w:trPr>
        <w:tc>
          <w:tcPr>
            <w:tcW w:w="2840" w:type="dxa"/>
            <w:vAlign w:val="bottom"/>
          </w:tcPr>
          <w:p>
            <w:pPr>
              <w:spacing w:after="0"/>
              <w:rPr>
                <w:sz w:val="20"/>
                <w:szCs w:val="20"/>
                <w:color w:val="auto"/>
              </w:rPr>
            </w:pPr>
            <w:r>
              <w:rPr>
                <w:rFonts w:ascii="Arial" w:cs="Arial" w:eastAsia="Arial" w:hAnsi="Arial"/>
                <w:sz w:val="16"/>
                <w:szCs w:val="16"/>
                <w:color w:val="auto"/>
              </w:rPr>
              <w:t>Net Income Including Noncontrolling</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220"/>
              <w:spacing w:after="0"/>
              <w:rPr>
                <w:sz w:val="20"/>
                <w:szCs w:val="20"/>
                <w:color w:val="auto"/>
              </w:rPr>
            </w:pPr>
            <w:r>
              <w:rPr>
                <w:rFonts w:ascii="Arial" w:cs="Arial" w:eastAsia="Arial" w:hAnsi="Arial"/>
                <w:sz w:val="16"/>
                <w:szCs w:val="16"/>
                <w:color w:val="auto"/>
              </w:rPr>
              <w:t>Interest</w:t>
            </w:r>
          </w:p>
        </w:tc>
        <w:tc>
          <w:tcPr>
            <w:tcW w:w="54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227.4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20.5 %</w:t>
            </w:r>
          </w:p>
        </w:tc>
        <w:tc>
          <w:tcPr>
            <w:tcW w:w="4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253"/>
        </w:trPr>
        <w:tc>
          <w:tcPr>
            <w:tcW w:w="2840" w:type="dxa"/>
            <w:vAlign w:val="bottom"/>
          </w:tcPr>
          <w:p>
            <w:pPr>
              <w:spacing w:after="0"/>
              <w:rPr>
                <w:sz w:val="20"/>
                <w:szCs w:val="20"/>
                <w:color w:val="auto"/>
              </w:rPr>
            </w:pPr>
            <w:r>
              <w:rPr>
                <w:rFonts w:ascii="Arial" w:cs="Arial" w:eastAsia="Arial" w:hAnsi="Arial"/>
                <w:sz w:val="16"/>
                <w:szCs w:val="16"/>
                <w:color w:val="auto"/>
              </w:rPr>
              <w:t>Less: Net Gain (Loss) Attributable to</w:t>
            </w:r>
          </w:p>
        </w:tc>
        <w:tc>
          <w:tcPr>
            <w:tcW w:w="540" w:type="dxa"/>
            <w:vAlign w:val="bottom"/>
          </w:tcPr>
          <w:p>
            <w:pPr>
              <w:spacing w:after="0"/>
              <w:rPr>
                <w:sz w:val="21"/>
                <w:szCs w:val="21"/>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39"/>
              <w:spacing w:after="0"/>
              <w:rPr>
                <w:sz w:val="20"/>
                <w:szCs w:val="20"/>
                <w:color w:val="auto"/>
              </w:rPr>
            </w:pPr>
            <w:r>
              <w:rPr>
                <w:rFonts w:ascii="Arial" w:cs="Arial" w:eastAsia="Arial" w:hAnsi="Arial"/>
                <w:sz w:val="16"/>
                <w:szCs w:val="16"/>
                <w:color w:val="auto"/>
              </w:rPr>
              <w:t>NM</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2840" w:type="dxa"/>
            <w:vAlign w:val="bottom"/>
            <w:vMerge w:val="restart"/>
          </w:tcPr>
          <w:p>
            <w:pPr>
              <w:ind w:left="220"/>
              <w:spacing w:after="0"/>
              <w:rPr>
                <w:sz w:val="20"/>
                <w:szCs w:val="20"/>
                <w:color w:val="auto"/>
              </w:rPr>
            </w:pPr>
            <w:r>
              <w:rPr>
                <w:rFonts w:ascii="Arial" w:cs="Arial" w:eastAsia="Arial" w:hAnsi="Arial"/>
                <w:sz w:val="16"/>
                <w:szCs w:val="16"/>
                <w:color w:val="auto"/>
              </w:rPr>
              <w:t>Noncontrolling Interest</w:t>
            </w:r>
          </w:p>
        </w:tc>
        <w:tc>
          <w:tcPr>
            <w:tcW w:w="5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840" w:type="dxa"/>
            <w:vAlign w:val="bottom"/>
            <w:vMerge w:val="restart"/>
          </w:tcPr>
          <w:p>
            <w:pPr>
              <w:spacing w:after="0"/>
              <w:rPr>
                <w:sz w:val="20"/>
                <w:szCs w:val="20"/>
                <w:color w:val="auto"/>
              </w:rPr>
            </w:pPr>
            <w:r>
              <w:rPr>
                <w:rFonts w:ascii="Arial" w:cs="Arial" w:eastAsia="Arial" w:hAnsi="Arial"/>
                <w:sz w:val="16"/>
                <w:szCs w:val="16"/>
                <w:color w:val="auto"/>
              </w:rPr>
              <w:t>Net Income Attributable to The Hershey</w:t>
            </w: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40" w:type="dxa"/>
            <w:vAlign w:val="bottom"/>
            <w:vMerge w:val="continue"/>
          </w:tcPr>
          <w:p>
            <w:pPr>
              <w:spacing w:after="0"/>
              <w:rPr>
                <w:sz w:val="17"/>
                <w:szCs w:val="17"/>
                <w:color w:val="auto"/>
              </w:rPr>
            </w:pP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273.3</w:t>
            </w:r>
          </w:p>
        </w:tc>
        <w:tc>
          <w:tcPr>
            <w:tcW w:w="100" w:type="dxa"/>
            <w:vAlign w:val="bottom"/>
          </w:tcPr>
          <w:p>
            <w:pPr>
              <w:spacing w:after="0"/>
              <w:rPr>
                <w:sz w:val="17"/>
                <w:szCs w:val="17"/>
                <w:color w:val="auto"/>
              </w:rPr>
            </w:pP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227.4</w:t>
            </w:r>
          </w:p>
        </w:tc>
        <w:tc>
          <w:tcPr>
            <w:tcW w:w="1180" w:type="dxa"/>
            <w:vAlign w:val="bottom"/>
          </w:tcPr>
          <w:p>
            <w:pPr>
              <w:spacing w:after="0"/>
              <w:rPr>
                <w:sz w:val="17"/>
                <w:szCs w:val="17"/>
                <w:color w:val="auto"/>
              </w:rPr>
            </w:pP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99"/>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17"/>
                <w:szCs w:val="17"/>
                <w:color w:val="auto"/>
              </w:rPr>
            </w:pPr>
          </w:p>
        </w:tc>
        <w:tc>
          <w:tcPr>
            <w:tcW w:w="54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224"/>
        </w:trPr>
        <w:tc>
          <w:tcPr>
            <w:tcW w:w="2840" w:type="dxa"/>
            <w:vAlign w:val="bottom"/>
          </w:tcPr>
          <w:p>
            <w:pPr>
              <w:ind w:left="220"/>
              <w:spacing w:after="0"/>
              <w:rPr>
                <w:sz w:val="20"/>
                <w:szCs w:val="20"/>
                <w:color w:val="auto"/>
              </w:rPr>
            </w:pPr>
            <w:r>
              <w:rPr>
                <w:rFonts w:ascii="Arial" w:cs="Arial" w:eastAsia="Arial" w:hAnsi="Arial"/>
                <w:sz w:val="16"/>
                <w:szCs w:val="16"/>
                <w:color w:val="auto"/>
              </w:rPr>
              <w:t>Company</w:t>
            </w:r>
          </w:p>
        </w:tc>
        <w:tc>
          <w:tcPr>
            <w:tcW w:w="5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20.2 %</w:t>
            </w:r>
          </w:p>
        </w:tc>
        <w:tc>
          <w:tcPr>
            <w:tcW w:w="4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40" w:type="dxa"/>
            <w:vAlign w:val="bottom"/>
          </w:tcPr>
          <w:p>
            <w:pPr>
              <w:spacing w:after="0"/>
              <w:rPr>
                <w:sz w:val="20"/>
                <w:szCs w:val="20"/>
                <w:color w:val="auto"/>
              </w:rPr>
            </w:pPr>
            <w:r>
              <w:rPr>
                <w:rFonts w:ascii="Arial" w:cs="Arial" w:eastAsia="Arial" w:hAnsi="Arial"/>
                <w:sz w:val="16"/>
                <w:szCs w:val="16"/>
                <w:color w:val="auto"/>
              </w:rPr>
              <w:t>Net Income Per Share—Diluted</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20.8 %</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-3309620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-2503805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1.9 %</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(2.9)%</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5"/>
          <w:szCs w:val="15"/>
          <w:color w:val="auto"/>
        </w:rPr>
        <w:t>8.0 %</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(0.3)%</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63.6 %</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368" w:lineRule="exact"/>
        <w:rPr>
          <w:sz w:val="20"/>
          <w:szCs w:val="20"/>
          <w:color w:val="auto"/>
        </w:rPr>
      </w:pPr>
    </w:p>
    <w:p>
      <w:pPr>
        <w:ind w:left="80"/>
        <w:spacing w:after="0"/>
        <w:rPr>
          <w:sz w:val="20"/>
          <w:szCs w:val="20"/>
          <w:color w:val="auto"/>
        </w:rPr>
      </w:pPr>
      <w:r>
        <w:rPr>
          <w:rFonts w:ascii="Arial" w:cs="Arial" w:eastAsia="Arial" w:hAnsi="Arial"/>
          <w:sz w:val="15"/>
          <w:szCs w:val="15"/>
          <w:color w:val="auto"/>
        </w:rPr>
        <w:t>8.6 %</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(7.5)%</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(4.7)%</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(0.2)%</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color w:val="auto"/>
        </w:rPr>
        <w:t>0.4 %</w:t>
      </w:r>
    </w:p>
    <w:p>
      <w:pPr>
        <w:spacing w:after="0" w:line="981" w:lineRule="exact"/>
        <w:rPr>
          <w:sz w:val="20"/>
          <w:szCs w:val="20"/>
          <w:color w:val="auto"/>
        </w:rPr>
      </w:pPr>
    </w:p>
    <w:p>
      <w:pPr>
        <w:sectPr>
          <w:pgSz w:w="11900" w:h="16838" w:orient="portrait"/>
          <w:cols w:equalWidth="0" w:num="2">
            <w:col w:w="10340" w:space="580"/>
            <w:col w:w="500"/>
          </w:cols>
          <w:pgMar w:left="240" w:top="823" w:right="2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2017 vs. Third Quarter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Net sales increased 1.5% in the third quarter of 2017 compared to the same period of 2016, reflecting volume increases of 0.7%, favorable price realization of 0.4% and a favorable impact from foreign currency exchange rates of 0.4%. Excluding foreign currency, our net sales increased 1.1% in the third quarter of 2017. Consolidated volumes increased as a result of higher sales volume in the North America segment, which benefited from core brand growth and innovation, including </w:t>
      </w:r>
      <w:r>
        <w:rPr>
          <w:rFonts w:ascii="Arial" w:cs="Arial" w:eastAsia="Arial" w:hAnsi="Arial"/>
          <w:sz w:val="17"/>
          <w:szCs w:val="17"/>
          <w:i w:val="1"/>
          <w:iCs w:val="1"/>
          <w:color w:val="auto"/>
        </w:rPr>
        <w:t>Hershey's Cookie Layer Crunch</w:t>
      </w:r>
      <w:r>
        <w:rPr>
          <w:rFonts w:ascii="Arial" w:cs="Arial" w:eastAsia="Arial" w:hAnsi="Arial"/>
          <w:sz w:val="17"/>
          <w:szCs w:val="17"/>
          <w:color w:val="auto"/>
        </w:rPr>
        <w:t xml:space="preserve">, and the launch of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and </w:t>
      </w:r>
      <w:r>
        <w:rPr>
          <w:rFonts w:ascii="Arial" w:cs="Arial" w:eastAsia="Arial" w:hAnsi="Arial"/>
          <w:sz w:val="17"/>
          <w:szCs w:val="17"/>
          <w:i w:val="1"/>
          <w:iCs w:val="1"/>
          <w:color w:val="auto"/>
        </w:rPr>
        <w:t>Reese's</w:t>
      </w:r>
      <w:r>
        <w:rPr>
          <w:rFonts w:ascii="Arial" w:cs="Arial" w:eastAsia="Arial" w:hAnsi="Arial"/>
          <w:sz w:val="17"/>
          <w:szCs w:val="17"/>
          <w:color w:val="auto"/>
        </w:rPr>
        <w:t xml:space="preserve"> Popped Snack Mix and Chocolate Dipped Pretzels. These volume increases were partially offset by volume declines in our International and Other segment, where growth, driven by measured investments in Mexico, Brazil and India, was more than offset by declines in China. Favorable net price realization was attributed to higher prices in select markets within our International and Other segment versus the prior year.</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CMG Marketplace Metrics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12 week period ended</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October 8, 2017</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October 8, 2016</w:t>
            </w:r>
          </w:p>
        </w:tc>
      </w:tr>
      <w:tr>
        <w:trPr>
          <w:trHeight w:val="23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Hershey's Consumer Takeaway Increase (Decrease)</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w w:val="97"/>
              </w:rPr>
              <w:t>(0.4)%</w:t>
            </w: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Hershey's Market Share Decrease</w:t>
            </w:r>
          </w:p>
        </w:tc>
        <w:tc>
          <w:tcPr>
            <w:tcW w:w="196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20" w:type="dxa"/>
            <w:vAlign w:val="bottom"/>
          </w:tcPr>
          <w:p>
            <w:pPr>
              <w:ind w:left="1540"/>
              <w:spacing w:after="0"/>
              <w:rPr>
                <w:sz w:val="20"/>
                <w:szCs w:val="20"/>
                <w:color w:val="auto"/>
              </w:rPr>
            </w:pPr>
            <w:r>
              <w:rPr>
                <w:rFonts w:ascii="Arial" w:cs="Arial" w:eastAsia="Arial" w:hAnsi="Arial"/>
                <w:sz w:val="16"/>
                <w:szCs w:val="16"/>
                <w:color w:val="auto"/>
              </w:rPr>
              <w:t>(0.1)</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type w:val="continuous"/>
        </w:sectPr>
      </w:pPr>
    </w:p>
    <w:bookmarkStart w:id="37" w:name="page38"/>
    <w:bookmarkEnd w:id="37"/>
    <w:p>
      <w:pPr>
        <w:ind w:right="140"/>
        <w:spacing w:after="0" w:line="273" w:lineRule="auto"/>
        <w:rPr>
          <w:sz w:val="20"/>
          <w:szCs w:val="20"/>
          <w:color w:val="auto"/>
        </w:rPr>
      </w:pPr>
      <w:r>
        <w:rPr>
          <w:rFonts w:ascii="Arial" w:cs="Arial" w:eastAsia="Arial" w:hAnsi="Arial"/>
          <w:sz w:val="17"/>
          <w:szCs w:val="17"/>
          <w:color w:val="auto"/>
        </w:rPr>
        <w:t>The consumer takeaway and market share information provided for the twelve week period above are for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Nielsen and provide a means to assess our retail takeaway and market position relative to the overall category. In 2017, takeaway improved relative to the prior year mainly driven by core brand growth and innovation. The amounts presented above are solely for the U.S. CMG category which does not include revenue from our snack mixes and grocery items.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sales decreased 5.2% in the third quarter of 2017 compared to the same period of 2016. The improvement was driven by an incremental $57.7 million favorable impact from marking-to-market our commodity derivative instruments intended to economically hedge future years' commodity purchases, a $24.3 million decrease in business realignment costs, and supply chain productivity and cost savings initiatives. These benefits were offset in part by unfavorable manufacturing variances and higher freight and warehousing costs.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margin increased by 370 basis points in the third quarter of 2017 compared to the same period of 2016. Favorable mark-to-market impact from commodity derivative instruments, lower commodity and business realignment costs, and supply chain productivity contributed to the improvement in gross margin. However, higher supply chain costs partially offset the increase in gross margin.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marketing and administrative (“SM&amp;A”) expenses increased $22.7 million or 4.8% in the third quarter of 2017. Advertising and related consumer marketing expense increased 3.7% during this period. Excluding these advertising and related consumer marketing costs, selling and administrative expenses for 2017 increased by 5.4% as compared to 2016. SM&amp;A was impacted by pension settlement charges and higher costs associated with business realignment programs and investments in go-to-market capabilities, partially offset by costs savings and efficiency initiatives.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third quarter of 2017 and 2016, we recorded business realignment costs of $4.0 million and $2.3 million, respectively. The 2017 costs related primarily to severance and other program costs associated with the Margin for Growth Program that commenced in the first quarter of 2017. The 2016 costs related primarily to the Operational Optimization Program, as described in Note 7 to the Unaudited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Operating profit increased 17.4% in the third quarter of 2017 compared to the same period of 2016 due primarily to the higher gross margin as discussed above. Operating profit margin increased to 21.6% in 2017 from 18.7% in 2016 also driven by the improvement in gross margin.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interest expense was $0.2 million higher in the third quarter of 2017 compared to the same period of 2016. The increase was due to higher interest rates on higher levels of short-term debt outstanding during the 2017 quarter, as well as a decreased benefit on the fixed to floating swaps during the third quarter of 2017 as compared to the 2016 quarter.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expense, net totaled $13.6 million in the third quarter of 2017 compared to $21.8 million for the same period of 2016, driven in both periods by the write-down on equity investments qualifying for federal historic and energy tax credits.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746"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effective income tax rate was 31.6% for the third quarter of 2017 compared to 30.6% for the same period of 2016. Relative to the statutory rate, the 2017 effective tax rate was impacted by favorable foreign rate differential relating to our cocoa procurement operations and investment tax credits, which were partially offset by non-benefited costs resulting from the Margin for Growth Program. The 2016 tax rate benefited from a one time tax return amendment for research and development credits and other tax deductions.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income increased $45.9 million, or 20.2%, while EPS-diluted increased $0.22, or 20.8%, in the third quarter of 2017 compared to the same period of 2016. The increases in both net income and EPS-diluted were driven by the higher gross margin as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2017 vs. First Nine Months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sales increased 1.9% in the first nine months of 2017 compared to the same period of 2016, reflecting favorable price realization of 0.8%, volume increases of 0.7% and a 0.4% benefit from acquisitions. There was no impact from foreign currency exchange rates during the period. The favorable net price realization was attributed to lower levels of trade promotional spending in both the North America and International and Other segments versus the prior year. Consolidated volumes increased as a result of higher sales volume in North America, specifically from core brand growth throughout 2017 and innovation, including new product launches and stand-up packaging. These volume increases were partially offset by volume declines in our International and Other segment, where growth, driven by measured investments in Mexico, Brazil and India, was more than offset by declines in China.</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Cost of sales decreased 2.9% in the first nine months of 2017 compared to the same period of 2016. The improvement was driven by lower commodity costs, including an incremental $58.3 million favorable impact from marking-to-market our commodity derivative instruments intended to economically hedge future years' commodity purchases, a $51.5 million year-over-year decrease in business realignment costs, and supply chain productivity. These benefits were offset in part by unfavorable manufacturing variances and higher freight and warehousing costs.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Gross margin increased by 260 basis points in the first nine months of 2017 compared to the same period of 2016, driven by lower commodity and business realignment costs, and supply chain productivity. However, the increase in gross margin was partially offset by higher supply chain costs.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marketing and administrative (“SM&amp;A”) expenses decreased $3.8 million or 0.3% in the first nine months of 2017. Advertising and related consumer marketing expense increased 1.1% during this period. Excluding these advertising and related consumer marketing costs, selling and administrative expenses for 2017 decreased by 1.0% as compared to 2016. SM&amp;A benefited from lower costs relating to business realignment activities as well as costs savings and efficiency initiatives, partially offset by higher pension settlement charges and investments in go-to-market capabilities.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Long-lived Asset Impairment Charges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first nine months of 2017, we recorded long-lived asset impairment charges of $208.7 million. This relates to a first quarter write-down of certain intangible assets that had been recognized in connection with the 2014 SGM acquisition and write-down of property, plant and equipment. See Note 7 to the Unaudited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42" w:right="259"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9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the first nine months of 2017 and 2016, we recorded business realignment costs of $50.0 million and $30.6 million, respectively. The 2017 costs related primarily to severance and other program costs associated with the Margin for Growth Program that commenced in the first quarter of 2017. The 2016 costs related primarily to the Operational Optimization Program, as described in Note 7 to the Unaudited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Operating profit decreased 3.1% in the first nine months of 2017 compared to the same period of 2016 due primarily to the long-lived asset impairment charges and higher business realignment costs, partially offset by higher gross margin and lower SM&amp;A expenses, as discussed above. Operating profit margin decreased to 17.0% in 2017 from 17.8% in 2016 driven by these same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interest expense was $5.7 million higher in the first nine months of 2017 compared to the same period of 2016. The increase was due to higher levels of long-term debt outstanding and higher interest rates on commercial paper during the 2017 period, as well as a decreased benefit from the fixed to floating swaps during the nine months of 2017 as compared to the 2016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expense, net totaled expense of $23.6 million during the first nine months of 2017 versus expense of $8.7 million for the same period of 2016. In 2017 we recognized a $24.0 million write-down on equity investments qualifying for federal historic and energy tax credits, compared to a $35.9 million write down in the first nine month of 2016. Additionally, 2016 was offset by an extinguishment gain of $26.7 million related to the settlement of the SGM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Our effective income tax rate was 32.4% for the first nine months of 2017 compared with 33.0% for the same period of 2016. Relative to the statutory rate, the 2017 effective tax rate was impacted by a favorable foreign rate differential relating to foreign operations and cocoa procurement, investment tax credits and the benefit of ASU 2016-09, which were partially offset by non-benefited costs resulting from the Margin for Growth Program. The 2016 effective rate benefited from the impact of non-taxable income related to the settlement of the SGM liability and investment tax credits.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decreased $1.3 million, or 0.2%, while EPS-diluted increased $0.01, or 0.4%, in the first nine months of 2017 compared to the same period of 2016. The decrease in net income was driven by the long-lived asset impairment charges and higher business realignment costs, as noted above, whereas, the increase in EPS was driven by lower diluted shares outstanding.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2"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and NSRPE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integral to our ongoing operations. For further information, see the Non-GAAP Information section of this MD&amp;A.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30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22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2, 2016</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1, 2017</w:t>
            </w:r>
          </w:p>
        </w:tc>
        <w:tc>
          <w:tcPr>
            <w:tcW w:w="200" w:type="dxa"/>
            <w:vAlign w:val="bottom"/>
          </w:tcPr>
          <w:p>
            <w:pPr>
              <w:spacing w:after="0"/>
              <w:rPr>
                <w:sz w:val="20"/>
                <w:szCs w:val="20"/>
                <w:color w:val="auto"/>
              </w:rPr>
            </w:pPr>
          </w:p>
        </w:tc>
        <w:tc>
          <w:tcPr>
            <w:tcW w:w="150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October 2, 2016</w:t>
            </w:r>
          </w:p>
        </w:tc>
      </w:tr>
      <w:tr>
        <w:trPr>
          <w:trHeight w:val="33"/>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1,792,377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1,764,528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4,946,537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4,842,840</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240,744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629,253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627,097</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2,033,121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2,003,454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5,575,790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5,469,937</w:t>
            </w:r>
          </w:p>
        </w:tc>
      </w:tr>
      <w:tr>
        <w:trPr>
          <w:trHeight w:val="311"/>
        </w:trPr>
        <w:tc>
          <w:tcPr>
            <w:tcW w:w="4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554,578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1,568,098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1,519,059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(12,411)</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570,978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1,506,648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4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124,115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121,828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366,938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370,622</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(2)</w:t>
            </w:r>
          </w:p>
        </w:tc>
        <w:tc>
          <w:tcPr>
            <w:tcW w:w="2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208,712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Costs associated with business realignment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104,487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Non-service related pension expense</w:t>
            </w:r>
          </w:p>
        </w:tc>
        <w:tc>
          <w:tcPr>
            <w:tcW w:w="24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21,540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30,123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20,666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439,020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374,024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946,292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976,295</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8,703</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400,801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850,279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900,862</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11 to the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88.2% and 88.1% of our net sales for the three months ended October 1, 2017 and October 2, 2016, respectively. North America results for the three and nine months ended October 1, 2017 and October 2, 2016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w:t>
            </w:r>
          </w:p>
        </w:tc>
      </w:tr>
      <w:tr>
        <w:trPr>
          <w:trHeight w:val="263"/>
        </w:trPr>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2017</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 2016</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2017</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 2016</w:t>
            </w:r>
          </w:p>
        </w:tc>
        <w:tc>
          <w:tcPr>
            <w:tcW w:w="118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1,764.5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4,946.5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4,842.8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1,568.1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1,519.1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2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2017 vs. Third Quarter 2016</w:t>
      </w:r>
    </w:p>
    <w:p>
      <w:pPr>
        <w:spacing w:after="0" w:line="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Net sales of our North America segment increased $27.9 million or 1.6% in 2017 compared to 2016, driven by increased volume of 1.6% due to core brand growth and innovation, specifically, </w:t>
      </w:r>
      <w:r>
        <w:rPr>
          <w:rFonts w:ascii="Arial" w:cs="Arial" w:eastAsia="Arial" w:hAnsi="Arial"/>
          <w:sz w:val="17"/>
          <w:szCs w:val="17"/>
          <w:i w:val="1"/>
          <w:iCs w:val="1"/>
          <w:color w:val="auto"/>
        </w:rPr>
        <w:t>Hershey's Cookie Layer Crunch</w:t>
      </w:r>
      <w:r>
        <w:rPr>
          <w:rFonts w:ascii="Arial" w:cs="Arial" w:eastAsia="Arial" w:hAnsi="Arial"/>
          <w:sz w:val="17"/>
          <w:szCs w:val="17"/>
          <w:color w:val="auto"/>
        </w:rPr>
        <w:t xml:space="preserve">, and the launch of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and </w:t>
      </w:r>
      <w:r>
        <w:rPr>
          <w:rFonts w:ascii="Arial" w:cs="Arial" w:eastAsia="Arial" w:hAnsi="Arial"/>
          <w:sz w:val="17"/>
          <w:szCs w:val="17"/>
          <w:i w:val="1"/>
          <w:iCs w:val="1"/>
          <w:color w:val="auto"/>
        </w:rPr>
        <w:t>Reese's</w:t>
      </w:r>
      <w:r>
        <w:rPr>
          <w:rFonts w:ascii="Arial" w:cs="Arial" w:eastAsia="Arial" w:hAnsi="Arial"/>
          <w:sz w:val="17"/>
          <w:szCs w:val="17"/>
          <w:color w:val="auto"/>
        </w:rPr>
        <w:t xml:space="preserve"> Popped Snack Mix and Chocolate Dipped Pretzels. Net price realization decreased by 0.3% due to increased levels of trade promotional spending. Excluding the favorable impact of foreign currency exchange rates of 0.3%, the net sales of our North America segment increased by approximately 1.3%.</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North America segment income decreased $9.3 million or 1.7% in 2017 compared to 2016, driven by investments in greater levels of advertising expense and go-to-market capabilities, as well as unfavorable manufacturing variances and higher freight and warehousing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2017 vs. First Nine Months 2016</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Net sales of our North America segment increased $103.7 million or 2.1% in 2017 compared to 2016, driven by increased volume of 1.3% due to core brand growth throughout 2017 and innovation, specifically, new product launches. Additionally, the </w:t>
      </w:r>
      <w:r>
        <w:rPr>
          <w:rFonts w:ascii="Arial" w:cs="Arial" w:eastAsia="Arial" w:hAnsi="Arial"/>
          <w:sz w:val="16"/>
          <w:szCs w:val="16"/>
          <w:i w:val="1"/>
          <w:iCs w:val="1"/>
          <w:color w:val="auto"/>
        </w:rPr>
        <w:t>barkTHINS</w:t>
      </w:r>
      <w:r>
        <w:rPr>
          <w:rFonts w:ascii="Arial" w:cs="Arial" w:eastAsia="Arial" w:hAnsi="Arial"/>
          <w:sz w:val="16"/>
          <w:szCs w:val="16"/>
          <w:color w:val="auto"/>
        </w:rPr>
        <w:t xml:space="preserve"> brand acquisition contributed 0.4%. Net price realization increased by 0.4% due to decreased levels of trade promotional spending. There was no foreign currency exchange rate impact during the period.</w:t>
      </w:r>
    </w:p>
    <w:p>
      <w:pPr>
        <w:spacing w:after="0" w:line="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Our North America segment income increased $49.0 million or 3.2% in 2017 compared to 2016, driven by higher gross profit, partially offset by investments in greater levels of selling expense and go-to-market capabilities and increased depreciation and amortization resulting from the recent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brand acquisition.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Shanghai, Niagara Falls (Ontario), Dubai and Singapore, as well as operations associated with licensing the use of certain trademarks and products to third parties around the world. International and Other accounted for 11.8% and 11.9% of our net sales for the three months ended October 1, 2017 and October 2, 2016, respectively. International and Other results for the three and nine months ended October 1, 2017 and October 2, 2016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Percent</w:t>
            </w:r>
          </w:p>
        </w:tc>
      </w:tr>
      <w:tr>
        <w:trPr>
          <w:trHeight w:val="263"/>
        </w:trPr>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 2017</w:t>
            </w: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 2016</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 2017</w:t>
            </w:r>
          </w:p>
        </w:tc>
        <w:tc>
          <w:tcPr>
            <w:tcW w:w="200" w:type="dxa"/>
            <w:vAlign w:val="bottom"/>
          </w:tcPr>
          <w:p>
            <w:pPr>
              <w:spacing w:after="0"/>
              <w:rPr>
                <w:sz w:val="22"/>
                <w:szCs w:val="22"/>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 2016</w:t>
            </w:r>
          </w:p>
        </w:tc>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Change</w:t>
            </w: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629.3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627.1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18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7"/>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NM</w:t>
            </w:r>
          </w:p>
        </w:tc>
      </w:tr>
      <w:tr>
        <w:trPr>
          <w:trHeight w:val="27"/>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2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Third Quarter 2017 vs. Third Quarter 2016</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sales of our International and Other segment increased $1.8 million or 0.8% in 2017 compared to 2016, reflecting favorable price realization of 4.7% and a favorable impact from foreign currency exchange rates of 1.3%, partially offset by volume declines of 5.2%. Excluding the favorable impact of foreign currency exchange rates, the net sales of our International and Other segment decreased by approximately 0.5%.</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favorable net price realization was driven by higher prices in select markets, as well as reduced levels of trade promotional spending, which declined significantly compared to the prior year. Constant currency net sales in Mexico and Brazil increased by 9.6% and 3.3%, respectively, driven by solid chocolate marketplace performance. India also experienced constant currency net sales growth of 16.0%. The volume decrease is primarily attributed to our China business, driven by softness in the modern trade channel coupled with a focus on optimizing our product offerings.</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International and Other segment generated income of $16.4 million in 2017 compared to $4.3 million in 2016, driven by reduced trade promotional spending and lower operating expenses in China as a result of our Margin for Growth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Nine Months 2017 vs. First Nine Months 2016</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Net sales of our International and Other segment increased $2.2 million or 0.3% in 2017 compared to 2016, reflecting favorable price realization of 3.8%, favorable impact from foreign currency exchange rates of 0.3%, partially offset by volume declines of 3.8%. Excluding the favorable impact of foreign currency exchange rates, the net sales of our International and Other segment were flat.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favorable net price realization was driven by reduced levels of trade promotional spending, which declined significantly compared to the prior year, as well as higher prices in select markets. Constant currency net sales in Mexico and Brazil increased by 13.1% and 7.7%, respectively, driven by solid chocolate marketplace performance. India also experienced constant currency net sales growth of 10.9%. The volume decrease is primarily attributed to our China business, driven by softness in the modern trade channel coupled with a focus on optimizing our product offerings.</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International and Other segment generated income of $26.5 million in 2017 compared to a loss of $12.4 million in 2016 due to improved combined income in Latin America and export markets versus the prior year. Additionally, segment income benefited from reduced trade promotional spending and lower operating expenses in China as a result of our Margin for Growth Program.</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third quarter of 2017, unallocated corporate expense totaled $124.1 million, as compared to $121.8 million in the same period of 2016, primarily due to higher employee related costs. In the first nine months of 2017, unallocated corporate expense totaled $366.9 million, as compared to $370.6 million in the same period of 2016, primarily due to savings realized in 2017 from our productivity and cost savings initiatives.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October 1, 2017, our cash and cash equivalents totaled $275.1 million. At December 31, 2016, our cash and cash equivalents totaled $297.0 million. Our cash and cash equivalents during the first nine months of 2017 declined $21.9 million compared to the 2016 year-end balance as a result of the net uses of cash outlined in the following discussion.</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Approximately 80% of the balance of our cash and cash equivalents at October 1, 2017 was held by subsidiaries domiciled outside of the United States. If these amounts held outside of the United States were to be repatriated, under current law they would be subject to U.S. federal income taxes, less applicable foreign tax credits. However,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ectPr>
          <w:pgSz w:w="11900" w:h="16838" w:orient="portrait"/>
          <w:cols w:equalWidth="0" w:num="1">
            <w:col w:w="11420"/>
          </w:cols>
          <w:pgMar w:left="240" w:top="824"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derived from our Consolidated Statement of Cash Flows:</w:t>
      </w: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624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2017</w:t>
            </w:r>
          </w:p>
        </w:tc>
        <w:tc>
          <w:tcPr>
            <w:tcW w:w="380" w:type="dxa"/>
            <w:vAlign w:val="bottom"/>
          </w:tcPr>
          <w:p>
            <w:pPr>
              <w:spacing w:after="0"/>
              <w:rPr>
                <w:sz w:val="16"/>
                <w:szCs w:val="16"/>
                <w:color w:val="auto"/>
              </w:rPr>
            </w:pPr>
          </w:p>
        </w:tc>
        <w:tc>
          <w:tcPr>
            <w:tcW w:w="1640" w:type="dxa"/>
            <w:vAlign w:val="bottom"/>
          </w:tcPr>
          <w:p>
            <w:pPr>
              <w:jc w:val="right"/>
              <w:ind w:right="433"/>
              <w:spacing w:after="0"/>
              <w:rPr>
                <w:sz w:val="20"/>
                <w:szCs w:val="20"/>
                <w:color w:val="auto"/>
              </w:rPr>
            </w:pPr>
            <w:r>
              <w:rPr>
                <w:rFonts w:ascii="Arial" w:cs="Arial" w:eastAsia="Arial" w:hAnsi="Arial"/>
                <w:sz w:val="14"/>
                <w:szCs w:val="14"/>
                <w:b w:val="1"/>
                <w:bCs w:val="1"/>
                <w:color w:val="auto"/>
              </w:rPr>
              <w:t>October 2, 2016</w:t>
            </w:r>
          </w:p>
        </w:tc>
      </w:tr>
      <w:tr>
        <w:trPr>
          <w:trHeight w:val="513"/>
        </w:trPr>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450.8</w:t>
            </w:r>
          </w:p>
        </w:tc>
      </w:tr>
      <w:tr>
        <w:trPr>
          <w:trHeight w:val="284"/>
        </w:trPr>
        <w:tc>
          <w:tcPr>
            <w:tcW w:w="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270"/>
        </w:trPr>
        <w:tc>
          <w:tcPr>
            <w:tcW w:w="3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21.5</w:t>
            </w:r>
          </w:p>
        </w:tc>
      </w:tr>
      <w:tr>
        <w:trPr>
          <w:trHeight w:val="284"/>
        </w:trPr>
        <w:tc>
          <w:tcPr>
            <w:tcW w:w="380" w:type="dxa"/>
            <w:vAlign w:val="bottom"/>
          </w:tcPr>
          <w:p>
            <w:pPr>
              <w:spacing w:after="0"/>
              <w:rPr>
                <w:sz w:val="24"/>
                <w:szCs w:val="24"/>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1"/>
        </w:trPr>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720"/>
            <w:col w:w="4140"/>
          </w:cols>
          <w:pgMar w:left="240" w:top="824" w:right="23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82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generated net cash from operating activities of $625.9 million in the first nine months of 2017, an increase of $175.1 million compared to $450.8 million in the same period of 2016. This increase in net cash from operating activities was mainly driven by the following factors:</w:t>
      </w:r>
    </w:p>
    <w:p>
      <w:pPr>
        <w:spacing w:after="0" w:line="116" w:lineRule="exact"/>
        <w:rPr>
          <w:sz w:val="20"/>
          <w:szCs w:val="20"/>
          <w:color w:val="auto"/>
        </w:rPr>
      </w:pPr>
    </w:p>
    <w:p>
      <w:pPr>
        <w:ind w:left="660" w:right="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long-lived asset impairment charges, write-down of equity investments, the gain on settlement of the SGM liability and other charges) resulted in an incremental $160.4 million of cash flow in the 2017 period relative to the same period of 2016.</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Working capital (comprised of trade accounts receivable, inventory, accounts payable and accrued liabilities) used cash of $369.3 million in the 2017 period compared to $367.3 million during the same period of 2016. This $2.0 million unfavorable fluctuation was mainly driven by:</w:t>
      </w:r>
    </w:p>
    <w:p>
      <w:pPr>
        <w:spacing w:after="0" w:line="92" w:lineRule="exact"/>
        <w:rPr>
          <w:rFonts w:ascii="Arial" w:cs="Arial" w:eastAsia="Arial" w:hAnsi="Arial"/>
          <w:sz w:val="17"/>
          <w:szCs w:val="17"/>
          <w:color w:val="auto"/>
        </w:rPr>
      </w:pPr>
    </w:p>
    <w:p>
      <w:pPr>
        <w:ind w:left="1300" w:right="6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Increase in cash used by inventories of $109.3 million, due to a higher year-over-year build up of U.S. inventories to satisfy seasonal product requirements and maintain sufficient levels to accommodate customer requirements, coupled with a higher investment in inventory in Brazil and Mexico, driven by volume growth in those markets.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in working capital was partially offset by the following net cash inflow:</w:t>
      </w:r>
    </w:p>
    <w:p>
      <w:pPr>
        <w:spacing w:after="0" w:line="171" w:lineRule="exact"/>
        <w:rPr>
          <w:rFonts w:ascii="Arial" w:cs="Arial" w:eastAsia="Arial" w:hAnsi="Arial"/>
          <w:sz w:val="18"/>
          <w:szCs w:val="18"/>
          <w:color w:val="auto"/>
        </w:rPr>
      </w:pPr>
    </w:p>
    <w:p>
      <w:pPr>
        <w:ind w:left="1300" w:right="120" w:hanging="320"/>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Reduction in cash used by accounts payable and accrued liabilities of $111.6 million, due to the timing of payments for trade-related and other accounts payables, as well as an increase in our liability for business realignment activities (see Note 7 to the Consolidated Financial Statements for more information). Additionally, derivative activity in 2016 included an $87 million payment to settle an interest rate swap in connection with the issuance of new debt in August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used net cash for investing activities of $187.1 million in the first nine months of 2017, a decrease of $298.9 million compared to $486.0 million in the same period of 2016. This decrease in net cash used in investing activities was mainly driven by the following factors:</w:t>
      </w:r>
    </w:p>
    <w:p>
      <w:pPr>
        <w:spacing w:after="0" w:line="116" w:lineRule="exact"/>
        <w:rPr>
          <w:sz w:val="20"/>
          <w:szCs w:val="20"/>
          <w:color w:val="auto"/>
        </w:rPr>
      </w:pPr>
    </w:p>
    <w:p>
      <w:pPr>
        <w:ind w:left="660" w:right="20" w:hanging="328"/>
        <w:spacing w:after="0" w:line="26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We spent $19.3 million less for property, plant and equipment, including capitalized software, during the first nine months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2016. For the full year 2017, we expect capital expenditures, including capitalized software, to approximate $260 million to $275 million.</w:t>
      </w:r>
    </w:p>
    <w:p>
      <w:pPr>
        <w:spacing w:after="0" w:line="127" w:lineRule="exact"/>
        <w:rPr>
          <w:rFonts w:ascii="Arial" w:cs="Arial" w:eastAsia="Arial" w:hAnsi="Arial"/>
          <w:sz w:val="18"/>
          <w:szCs w:val="18"/>
          <w:i w:val="1"/>
          <w:iCs w:val="1"/>
          <w:color w:val="auto"/>
        </w:rPr>
      </w:pPr>
    </w:p>
    <w:p>
      <w:pPr>
        <w:jc w:val="both"/>
        <w:ind w:left="660" w:right="160" w:hanging="328"/>
        <w:spacing w:after="0" w:line="264" w:lineRule="auto"/>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$4.6 million more in projects qualifying for tax credits during the first nine months of 2017 compared to the same period of 2016.</w:t>
      </w:r>
    </w:p>
    <w:p>
      <w:pPr>
        <w:spacing w:after="0" w:line="127"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April 2016, we acquired Ripple Brand Collective, LLC for $285 million. Further details regarding our business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are provided in Note 2 to the Unaudited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used net cash for financing activities of $465.7 million in the first nine months of 2017, compared to net cash generated of $21.5 million in the same period of 2016. This $487.2 million incremental change in cash for financing activities was mainly driven by the following factors:</w:t>
      </w:r>
    </w:p>
    <w:p>
      <w:pPr>
        <w:spacing w:after="0" w:line="93" w:lineRule="exact"/>
        <w:rPr>
          <w:sz w:val="20"/>
          <w:szCs w:val="20"/>
          <w:color w:val="auto"/>
        </w:rPr>
      </w:pPr>
    </w:p>
    <w:p>
      <w:pPr>
        <w:jc w:val="both"/>
        <w:ind w:left="660" w:right="240" w:hanging="328"/>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nine months of 2017, we generated cash flow of $173 million primarily from proceeds on short-term commercial paper issuances. During the first nine months of 2016, we generated cash flow of $345 million from proceeds on short-term commercial paper issuances, partially offset by a $97 million reduction in short-term foreign bank borrowings.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46" w:right="259" w:bottom="1440" w:gutter="0" w:footer="0" w:header="0"/>
        </w:sectPr>
      </w:pPr>
    </w:p>
    <w:bookmarkStart w:id="45" w:name="page46"/>
    <w:bookmarkEnd w:id="45"/>
    <w:p>
      <w:pPr>
        <w:ind w:left="660" w:right="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We had no long-term issuance or repayment activity during the first nine months of 2017.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2016, we used $250 million to repay long-term debt. Additionally, in 2016, we issued $500 million of 2.30% Notes due in 2026 and $300 million of 3.375% Notes due in 2046.</w:t>
      </w:r>
    </w:p>
    <w:p>
      <w:pPr>
        <w:spacing w:after="0" w:line="127"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We used cash for total share repurchases of $300.3 million during the first nine months of 2017 pursuant to our practice of</w:t>
      </w:r>
      <w:r>
        <w:rPr>
          <w:rFonts w:ascii="Arial" w:cs="Arial" w:eastAsia="Arial" w:hAnsi="Arial"/>
          <w:sz w:val="16"/>
          <w:szCs w:val="16"/>
          <w:i w:val="1"/>
          <w:iCs w:val="1"/>
          <w:color w:val="auto"/>
        </w:rPr>
        <w:t xml:space="preserve"> </w:t>
      </w:r>
      <w:r>
        <w:rPr>
          <w:rFonts w:ascii="Arial" w:cs="Arial" w:eastAsia="Arial" w:hAnsi="Arial"/>
          <w:sz w:val="16"/>
          <w:szCs w:val="16"/>
          <w:color w:val="auto"/>
        </w:rPr>
        <w:t>replenishing shares issued for stock options and incentive compensation. Additionally, our 2017 share repurchases included a privately negotiated repurchase transaction with the Milton Hershey School Trust. We used cash for total share repurchases of $452.6 million during the first nine months of 2016, which included shares repurchased in the open market under pre-approved share repurchase programs. In October 2017, our Board of Directors approved an additional $100 million share repurchase authorization, to commence after the existing 2016 authorization is completed.</w:t>
      </w:r>
    </w:p>
    <w:p>
      <w:pPr>
        <w:spacing w:after="0" w:line="104" w:lineRule="exact"/>
        <w:rPr>
          <w:rFonts w:ascii="Arial" w:cs="Arial" w:eastAsia="Arial" w:hAnsi="Arial"/>
          <w:sz w:val="16"/>
          <w:szCs w:val="16"/>
          <w:i w:val="1"/>
          <w:iCs w:val="1"/>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$391.8 million during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2017, an increase of $20.1 million compared to $371.7 million in the same period of 2016.</w:t>
      </w:r>
    </w:p>
    <w:p>
      <w:pPr>
        <w:spacing w:after="0" w:line="116"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w:t>
      </w:r>
      <w:r>
        <w:rPr>
          <w:rFonts w:ascii="Arial" w:cs="Arial" w:eastAsia="Arial" w:hAnsi="Arial"/>
          <w:sz w:val="18"/>
          <w:szCs w:val="18"/>
          <w:color w:val="auto"/>
        </w:rPr>
        <w:t>We received $53.5 million from employee exercises of stock options, net of payments of employee taxes</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from share-based awards, during the first nine months of 2017, a decrease of $34.6 million compared to $88.1 million in the same period of 2016.</w:t>
      </w:r>
    </w:p>
    <w:p>
      <w:pPr>
        <w:spacing w:after="0" w:line="127"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February 2016, we used $35.8 million to purchase the remaining 20% of the outstanding shares of SGM.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recently adopted and recently issued accounting standards is included in Note 1 to the Unaudited Consolidated Financial Statements.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46"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44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or concerns related to the quality and safety of our products, ingredients or packaging could cause a product recall and/or result in harm to the Company's reputation, negatively impacting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42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6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 and</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other matters as discussed in our 2016 Annual Report on Form 10-K.</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823"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total notional amount of interest rate swaps outstanding was $350 million at October 1, 2017 and December 31, 2016. The notional amount relates to fixed-to-floating interest rate swaps which convert a comparable amount of fixed-rate debt to variable rate debt at October 1, 2017 and December 31, 2016. A hypothetical 100 basis point increase in interest rates applied to this now variable rate debt as of October 1, 2017 would have increased interest expense by approximately $2.7 million for the first nine months of 2017 and $3.6 million for the full year 2016.</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October 1, 2017 and December 31, 2016 by approximately $137 million and $142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potential decline in fair value of foreign currency forward exchange contracts resulting from a hypothetical near-term adverse change in market rates of 10% was $17.6 million as of October 1, 2017 and $9.6 million as of December 31, 2016. Our open commodity contracts had a notional value, assuming period-end market prices, of $408.9 million as of October 1, 2017 and $739.4 million as of December 31, 2016. At the end of the third quarter of 2017, the potential change in fair value of commodity derivative instruments, assuming a 10% decrease in the underlying commodity price, would have increased our net unrealized losses by $40.9 million, generally offset by a reduction in the cost of the underlying commodity purchases.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2016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October 1, 2017. Based on this evaluation, our Chief Executive Officer and Chief Financial Officer concluded that our disclosure controls and procedures were effective as of October 1, 2017.</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October 1, 2017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824"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legal proceedings is included in Note 14 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2016 Annual Report on Form 10-K, the risk factor previously disclosed in Part II, Item 1A, "Risk Factors," of our Quarterly Report on Form 10-Q for the quarter ended July 2, 2017, and the information contained in this Quarterly Report on Form 10-Q and our other reports and registration statements filed with the SEC. There have been no material changes in our risk factors since the filing of our Quarterly Report on Form 10-Q for the quarter ended July 2,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 10b-18(a)(3) under the Securities Exchange Act of 1934, as amended) of Hershey, for each fiscal month in the three months ended October 1, 2017:</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ind w:left="319"/>
              <w:spacing w:after="0"/>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ind w:left="14"/>
              <w:spacing w:after="0"/>
              <w:rPr>
                <w:sz w:val="20"/>
                <w:szCs w:val="20"/>
                <w:color w:val="auto"/>
              </w:rPr>
            </w:pPr>
            <w:r>
              <w:rPr>
                <w:rFonts w:ascii="Arial" w:cs="Arial" w:eastAsia="Arial" w:hAnsi="Arial"/>
                <w:sz w:val="16"/>
                <w:szCs w:val="16"/>
                <w:b w:val="1"/>
                <w:bCs w:val="1"/>
                <w:color w:val="auto"/>
                <w:w w:val="94"/>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Average Price</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Paid</w:t>
            </w:r>
          </w:p>
        </w:tc>
        <w:tc>
          <w:tcPr>
            <w:tcW w:w="168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120" w:type="dxa"/>
            <w:vAlign w:val="bottom"/>
            <w:gridSpan w:val="2"/>
          </w:tcPr>
          <w:p>
            <w:pPr>
              <w:ind w:left="1260"/>
              <w:spacing w:after="0"/>
              <w:rPr>
                <w:sz w:val="20"/>
                <w:szCs w:val="20"/>
                <w:color w:val="auto"/>
              </w:rPr>
            </w:pPr>
            <w:r>
              <w:rPr>
                <w:rFonts w:ascii="Arial" w:cs="Arial" w:eastAsia="Arial" w:hAnsi="Arial"/>
                <w:sz w:val="16"/>
                <w:szCs w:val="16"/>
                <w:b w:val="1"/>
                <w:bCs w:val="1"/>
                <w:color w:val="auto"/>
              </w:rPr>
              <w:t>Period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per Share</w:t>
            </w:r>
          </w:p>
        </w:tc>
        <w:tc>
          <w:tcPr>
            <w:tcW w:w="1680" w:type="dxa"/>
            <w:vAlign w:val="bottom"/>
          </w:tcPr>
          <w:p>
            <w:pPr>
              <w:jc w:val="center"/>
              <w:ind w:left="339"/>
              <w:spacing w:after="0"/>
              <w:rPr>
                <w:sz w:val="20"/>
                <w:szCs w:val="20"/>
                <w:color w:val="auto"/>
              </w:rPr>
            </w:pPr>
            <w:r>
              <w:rPr>
                <w:rFonts w:ascii="Arial" w:cs="Arial" w:eastAsia="Arial" w:hAnsi="Arial"/>
                <w:sz w:val="16"/>
                <w:szCs w:val="16"/>
                <w:b w:val="1"/>
                <w:bCs w:val="1"/>
                <w:color w:val="auto"/>
                <w:w w:val="92"/>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117"/>
              <w:spacing w:after="0"/>
              <w:rPr>
                <w:sz w:val="20"/>
                <w:szCs w:val="20"/>
                <w:color w:val="auto"/>
              </w:rPr>
            </w:pPr>
            <w:r>
              <w:rPr>
                <w:rFonts w:ascii="Arial" w:cs="Arial" w:eastAsia="Arial" w:hAnsi="Arial"/>
                <w:sz w:val="16"/>
                <w:szCs w:val="16"/>
                <w:b w:val="1"/>
                <w:bCs w:val="1"/>
                <w:color w:val="auto"/>
                <w:w w:val="93"/>
              </w:rPr>
              <w:t>Programs (2)</w:t>
            </w:r>
          </w:p>
        </w:tc>
      </w:tr>
      <w:tr>
        <w:trPr>
          <w:trHeight w:val="3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8"/>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jc w:val="right"/>
              <w:ind w:right="277"/>
              <w:spacing w:after="0"/>
              <w:rPr>
                <w:sz w:val="20"/>
                <w:szCs w:val="20"/>
                <w:color w:val="auto"/>
              </w:rPr>
            </w:pPr>
            <w:r>
              <w:rPr>
                <w:rFonts w:ascii="Arial" w:cs="Arial" w:eastAsia="Arial" w:hAnsi="Arial"/>
                <w:sz w:val="14"/>
                <w:szCs w:val="14"/>
                <w:b w:val="1"/>
                <w:bCs w:val="1"/>
                <w:color w:val="auto"/>
                <w:w w:val="94"/>
              </w:rPr>
              <w:t>(in thousands of dollars)</w:t>
            </w: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 through July 30</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July 31 through August 27</w:t>
            </w: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392,000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100,000</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84"/>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28 through October 1</w:t>
            </w:r>
          </w:p>
        </w:tc>
        <w:tc>
          <w:tcPr>
            <w:tcW w:w="1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1,500,000</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r>
      <w:tr>
        <w:trPr>
          <w:trHeight w:val="27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1,892,000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105.88</w:t>
            </w:r>
          </w:p>
        </w:tc>
        <w:tc>
          <w:tcPr>
            <w:tcW w:w="12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7" w:lineRule="exact"/>
        <w:rPr>
          <w:sz w:val="20"/>
          <w:szCs w:val="20"/>
          <w:color w:val="auto"/>
        </w:rPr>
      </w:pPr>
    </w:p>
    <w:p>
      <w:pPr>
        <w:ind w:right="220" w:firstLine="8"/>
        <w:spacing w:after="0" w:line="286"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During the three months ended October 1, 2017, 392,000 shares of Common Stock were purchased in open market transactions in connection with our practice of buying back shares sufficient to offset those issued under incentive compensation plans. Additionally, our 2017 share repurchases included 1,500,000 shares repurchased under a privately negotiated repurchase transaction with the Milton Hershey School Trust.</w:t>
      </w:r>
    </w:p>
    <w:p>
      <w:pPr>
        <w:spacing w:after="0" w:line="3" w:lineRule="exact"/>
        <w:rPr>
          <w:rFonts w:ascii="Arial" w:cs="Arial" w:eastAsia="Arial" w:hAnsi="Arial"/>
          <w:sz w:val="17"/>
          <w:szCs w:val="17"/>
          <w:color w:val="auto"/>
        </w:rPr>
      </w:pPr>
    </w:p>
    <w:p>
      <w:pPr>
        <w:ind w:right="80" w:firstLine="8"/>
        <w:spacing w:after="0" w:line="259"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January 2016, our Board of Directors approved a $500 million share repurchase authorization. As of October 1, 2017, approximately $100 million remained available for repurchases of our Common Stock under this program. In October 2017, our Board of Directors approved an additional $100 million share repurchase authorization (excluded from the table above), to commence after the existing 2016 authorization is completed. Neither the 2016 or 2017 share repurchase authorizations has an expiration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58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6"/>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40" w:type="dxa"/>
            <w:vAlign w:val="bottom"/>
            <w:gridSpan w:val="6"/>
          </w:tcPr>
          <w:p>
            <w:pPr>
              <w:ind w:left="12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440" w:type="dxa"/>
            <w:vAlign w:val="bottom"/>
            <w:gridSpan w:val="3"/>
            <w:shd w:val="clear" w:color="auto" w:fill="CCEEFF"/>
          </w:tcPr>
          <w:p>
            <w:pPr>
              <w:spacing w:after="0"/>
              <w:rPr>
                <w:sz w:val="15"/>
                <w:szCs w:val="15"/>
                <w:color w:val="auto"/>
              </w:rPr>
            </w:pPr>
          </w:p>
        </w:tc>
        <w:tc>
          <w:tcPr>
            <w:tcW w:w="280" w:type="dxa"/>
            <w:vAlign w:val="bottom"/>
            <w:shd w:val="clear" w:color="auto" w:fill="CCEEFF"/>
          </w:tcPr>
          <w:p>
            <w:pPr>
              <w:jc w:val="center"/>
              <w:spacing w:after="0" w:line="183" w:lineRule="exact"/>
              <w:rPr>
                <w:rFonts w:ascii="Arial" w:cs="Arial" w:eastAsia="Arial" w:hAnsi="Arial"/>
                <w:sz w:val="16"/>
                <w:szCs w:val="16"/>
                <w:color w:val="0000FF"/>
                <w:w w:val="89"/>
              </w:rPr>
            </w:pPr>
            <w:hyperlink r:id="rId3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w w:val="95"/>
              </w:rPr>
            </w:pPr>
            <w:hyperlink r:id="rId38">
              <w:r>
                <w:rPr>
                  <w:rFonts w:ascii="Arial" w:cs="Arial" w:eastAsia="Arial" w:hAnsi="Arial"/>
                  <w:sz w:val="16"/>
                  <w:szCs w:val="16"/>
                  <w:color w:val="0000FF"/>
                  <w:w w:val="95"/>
                </w:rPr>
                <w:t>Stock Purchase Agreement, dated August 24, 2017, between Milton Hershey School Trust, by its trustee, Hershey Trust Company, and The Hershey</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Company is incorporated by reference from Exhibit 10.1 to the Company's Current Report on Form 8-K filed August 28, 2017.</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1</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4"/>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Computation of Ratio of Earnings to Fixed Charges.</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720" w:type="dxa"/>
            <w:vAlign w:val="bottom"/>
            <w:gridSpan w:val="4"/>
            <w:shd w:val="clear" w:color="auto" w:fill="CCEEFF"/>
          </w:tcPr>
          <w:p>
            <w:pPr>
              <w:jc w:val="center"/>
              <w:ind w:left="359"/>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4"/>
            <w:shd w:val="clear" w:color="auto" w:fill="CCEEFF"/>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2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720" w:type="dxa"/>
            <w:vAlign w:val="bottom"/>
            <w:gridSpan w:val="4"/>
          </w:tcPr>
          <w:p>
            <w:pPr>
              <w:jc w:val="center"/>
              <w:ind w:left="35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20" w:type="dxa"/>
            <w:vAlign w:val="bottom"/>
            <w:gridSpan w:val="14"/>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2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440" w:type="dxa"/>
            <w:vAlign w:val="bottom"/>
            <w:gridSpan w:val="3"/>
            <w:shd w:val="clear" w:color="auto" w:fill="CCEEFF"/>
          </w:tcPr>
          <w:p>
            <w:pPr>
              <w:spacing w:after="0"/>
              <w:rPr>
                <w:sz w:val="16"/>
                <w:szCs w:val="16"/>
                <w:color w:val="auto"/>
              </w:rPr>
            </w:pPr>
          </w:p>
        </w:tc>
        <w:tc>
          <w:tcPr>
            <w:tcW w:w="280" w:type="dxa"/>
            <w:vAlign w:val="bottom"/>
            <w:shd w:val="clear" w:color="auto" w:fill="CCEEFF"/>
          </w:tcPr>
          <w:p>
            <w:pPr>
              <w:jc w:val="center"/>
              <w:spacing w:after="0"/>
              <w:rPr>
                <w:rFonts w:ascii="Arial" w:cs="Arial" w:eastAsia="Arial" w:hAnsi="Arial"/>
                <w:sz w:val="16"/>
                <w:szCs w:val="16"/>
                <w:color w:val="0000FF"/>
                <w:w w:val="89"/>
              </w:rPr>
            </w:pPr>
            <w:hyperlink w:anchor="page55">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120" w:type="dxa"/>
            <w:vAlign w:val="bottom"/>
            <w:gridSpan w:val="14"/>
            <w:shd w:val="clear" w:color="auto" w:fill="CCEEFF"/>
          </w:tcPr>
          <w:p>
            <w:pPr>
              <w:spacing w:after="0"/>
              <w:rPr>
                <w:rFonts w:ascii="Arial" w:cs="Arial" w:eastAsia="Arial" w:hAnsi="Arial"/>
                <w:sz w:val="16"/>
                <w:szCs w:val="16"/>
                <w:color w:val="0000FF"/>
                <w:w w:val="95"/>
              </w:rPr>
            </w:pPr>
            <w:hyperlink w:anchor="page55">
              <w:r>
                <w:rPr>
                  <w:rFonts w:ascii="Arial" w:cs="Arial" w:eastAsia="Arial" w:hAnsi="Arial"/>
                  <w:sz w:val="16"/>
                  <w:szCs w:val="16"/>
                  <w:color w:val="0000FF"/>
                  <w:w w:val="95"/>
                </w:rPr>
                <w:t>Certification of Michele G. Buck, Chief Executive Officer, and Patricia A. Little, Chief Financial Officer, pursuant to Section 906 of the Sarbanes-Oxley</w:t>
              </w:r>
            </w:hyperlink>
          </w:p>
        </w:tc>
      </w:tr>
      <w:tr>
        <w:trPr>
          <w:trHeight w:val="20"/>
        </w:trPr>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580" w:type="dxa"/>
            <w:vAlign w:val="bottom"/>
            <w:gridSpan w:val="6"/>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14"/>
            <w:shd w:val="clear" w:color="auto" w:fill="CCEEFF"/>
          </w:tcPr>
          <w:p>
            <w:pPr>
              <w:spacing w:after="0" w:line="183" w:lineRule="exact"/>
              <w:rPr>
                <w:rFonts w:ascii="Arial" w:cs="Arial" w:eastAsia="Arial" w:hAnsi="Arial"/>
                <w:sz w:val="16"/>
                <w:szCs w:val="16"/>
                <w:color w:val="0000FF"/>
              </w:rPr>
            </w:pPr>
            <w:hyperlink w:anchor="page55">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189"/>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jc w:val="center"/>
              <w:ind w:right="44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INS</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Instance Document</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2"/>
              </w:rPr>
              <w:t>101.</w:t>
            </w:r>
            <w:r>
              <w:rPr>
                <w:rFonts w:ascii="Arial" w:cs="Arial" w:eastAsia="Arial" w:hAnsi="Arial"/>
                <w:sz w:val="16"/>
                <w:szCs w:val="16"/>
                <w:u w:val="single" w:color="auto"/>
                <w:color w:val="0000FF"/>
                <w:w w:val="92"/>
              </w:rPr>
              <w:t>SCH</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Schema</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20"/>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CAL</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Taxonomy Extension Calculation Linkbase</w:t>
            </w:r>
          </w:p>
        </w:tc>
      </w:tr>
      <w:tr>
        <w:trPr>
          <w:trHeight w:val="61"/>
        </w:trPr>
        <w:tc>
          <w:tcPr>
            <w:tcW w:w="280" w:type="dxa"/>
            <w:vAlign w:val="bottom"/>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7"/>
              </w:rPr>
              <w:t>101.</w:t>
            </w:r>
            <w:r>
              <w:rPr>
                <w:rFonts w:ascii="Arial" w:cs="Arial" w:eastAsia="Arial" w:hAnsi="Arial"/>
                <w:sz w:val="16"/>
                <w:szCs w:val="16"/>
                <w:u w:val="single" w:color="auto"/>
                <w:color w:val="0000FF"/>
                <w:w w:val="97"/>
              </w:rPr>
              <w:t>LAB</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Label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1020" w:type="dxa"/>
            <w:vAlign w:val="bottom"/>
            <w:gridSpan w:val="7"/>
          </w:tcPr>
          <w:p>
            <w:pPr>
              <w:jc w:val="center"/>
              <w:ind w:right="400"/>
              <w:spacing w:after="0"/>
              <w:rPr>
                <w:sz w:val="20"/>
                <w:szCs w:val="20"/>
                <w:color w:val="auto"/>
              </w:rPr>
            </w:pPr>
            <w:r>
              <w:rPr>
                <w:rFonts w:ascii="Arial" w:cs="Arial" w:eastAsia="Arial" w:hAnsi="Arial"/>
                <w:sz w:val="16"/>
                <w:szCs w:val="16"/>
                <w:color w:val="0000FF"/>
                <w:w w:val="90"/>
              </w:rPr>
              <w:t>101.</w:t>
            </w:r>
            <w:r>
              <w:rPr>
                <w:rFonts w:ascii="Arial" w:cs="Arial" w:eastAsia="Arial" w:hAnsi="Arial"/>
                <w:sz w:val="16"/>
                <w:szCs w:val="16"/>
                <w:u w:val="single" w:color="auto"/>
                <w:color w:val="0000FF"/>
                <w:w w:val="90"/>
              </w:rPr>
              <w:t>PRE</w:t>
            </w:r>
          </w:p>
        </w:tc>
        <w:tc>
          <w:tcPr>
            <w:tcW w:w="10120" w:type="dxa"/>
            <w:vAlign w:val="bottom"/>
            <w:gridSpan w:val="14"/>
          </w:tcPr>
          <w:p>
            <w:pPr>
              <w:spacing w:after="0"/>
              <w:rPr>
                <w:sz w:val="20"/>
                <w:szCs w:val="20"/>
                <w:color w:val="auto"/>
              </w:rPr>
            </w:pPr>
            <w:r>
              <w:rPr>
                <w:rFonts w:ascii="Arial" w:cs="Arial" w:eastAsia="Arial" w:hAnsi="Arial"/>
                <w:sz w:val="16"/>
                <w:szCs w:val="16"/>
                <w:color w:val="0000FF"/>
              </w:rPr>
              <w:t>XBRL Taxonomy Extension Presentation Linkbase</w:t>
            </w:r>
          </w:p>
        </w:tc>
      </w:tr>
      <w:tr>
        <w:trPr>
          <w:trHeight w:val="61"/>
        </w:trPr>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4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189"/>
        </w:trPr>
        <w:tc>
          <w:tcPr>
            <w:tcW w:w="28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7"/>
            <w:shd w:val="clear" w:color="auto" w:fill="CCEEFF"/>
          </w:tcPr>
          <w:p>
            <w:pPr>
              <w:jc w:val="center"/>
              <w:ind w:right="420"/>
              <w:spacing w:after="0"/>
              <w:rPr>
                <w:sz w:val="20"/>
                <w:szCs w:val="20"/>
                <w:color w:val="auto"/>
              </w:rPr>
            </w:pPr>
            <w:r>
              <w:rPr>
                <w:rFonts w:ascii="Arial" w:cs="Arial" w:eastAsia="Arial" w:hAnsi="Arial"/>
                <w:sz w:val="16"/>
                <w:szCs w:val="16"/>
                <w:color w:val="0000FF"/>
                <w:w w:val="94"/>
              </w:rPr>
              <w:t>101.</w:t>
            </w:r>
            <w:r>
              <w:rPr>
                <w:rFonts w:ascii="Arial" w:cs="Arial" w:eastAsia="Arial" w:hAnsi="Arial"/>
                <w:sz w:val="16"/>
                <w:szCs w:val="16"/>
                <w:u w:val="single" w:color="auto"/>
                <w:color w:val="0000FF"/>
                <w:w w:val="94"/>
              </w:rPr>
              <w:t>DEF</w:t>
            </w:r>
          </w:p>
        </w:tc>
        <w:tc>
          <w:tcPr>
            <w:tcW w:w="10120" w:type="dxa"/>
            <w:vAlign w:val="bottom"/>
            <w:gridSpan w:val="14"/>
            <w:shd w:val="clear" w:color="auto" w:fill="CCEEFF"/>
          </w:tcPr>
          <w:p>
            <w:pPr>
              <w:spacing w:after="0"/>
              <w:rPr>
                <w:sz w:val="20"/>
                <w:szCs w:val="20"/>
                <w:color w:val="auto"/>
              </w:rPr>
            </w:pPr>
            <w:r>
              <w:rPr>
                <w:rFonts w:ascii="Arial" w:cs="Arial" w:eastAsia="Arial" w:hAnsi="Arial"/>
                <w:sz w:val="16"/>
                <w:szCs w:val="16"/>
                <w:color w:val="0000FF"/>
              </w:rPr>
              <w:t>XBRL Taxonomy Extension Definition Linkbase</w:t>
            </w: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0" w:type="dxa"/>
            <w:vAlign w:val="bottom"/>
            <w:tcBorders>
              <w:top w:val="single" w:sz="8" w:color="0000FF"/>
            </w:tcBorders>
            <w:shd w:val="clear" w:color="auto" w:fill="CCEEFF"/>
          </w:tcPr>
          <w:p>
            <w:pPr>
              <w:spacing w:after="0"/>
              <w:rPr>
                <w:sz w:val="5"/>
                <w:szCs w:val="5"/>
                <w:color w:val="auto"/>
              </w:rPr>
            </w:pPr>
          </w:p>
        </w:tc>
        <w:tc>
          <w:tcPr>
            <w:tcW w:w="920" w:type="dxa"/>
            <w:vAlign w:val="bottom"/>
            <w:tcBorders>
              <w:top w:val="single" w:sz="8" w:color="0000FF"/>
            </w:tcBorders>
            <w:shd w:val="clear" w:color="auto" w:fill="CCEEFF"/>
          </w:tcPr>
          <w:p>
            <w:pPr>
              <w:spacing w:after="0"/>
              <w:rPr>
                <w:sz w:val="5"/>
                <w:szCs w:val="5"/>
                <w:color w:val="auto"/>
              </w:rPr>
            </w:pPr>
          </w:p>
        </w:tc>
        <w:tc>
          <w:tcPr>
            <w:tcW w:w="68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bl>
    <w:p>
      <w:pPr>
        <w:spacing w:after="0" w:line="341" w:lineRule="exact"/>
        <w:rPr>
          <w:sz w:val="20"/>
          <w:szCs w:val="20"/>
          <w:color w:val="auto"/>
        </w:rPr>
      </w:pPr>
    </w:p>
    <w:p>
      <w:pPr>
        <w:ind w:left="1300" w:hanging="759"/>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300" w:hanging="799"/>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23" w:right="239" w:bottom="1440" w:gutter="0" w:footer="0" w:header="0"/>
        </w:sectPr>
      </w:pPr>
    </w:p>
    <w:bookmarkStart w:id="50" w:name="page51"/>
    <w:bookmarkEnd w:id="50"/>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74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70"/>
        </w:trPr>
        <w:tc>
          <w:tcPr>
            <w:tcW w:w="2680" w:type="dxa"/>
            <w:vAlign w:val="bottom"/>
          </w:tcPr>
          <w:p>
            <w:pPr>
              <w:spacing w:after="0"/>
              <w:rPr>
                <w:sz w:val="23"/>
                <w:szCs w:val="23"/>
                <w:color w:val="auto"/>
              </w:rPr>
            </w:pPr>
          </w:p>
        </w:tc>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27, 2017</w:t>
            </w:r>
          </w:p>
        </w:tc>
        <w:tc>
          <w:tcPr>
            <w:tcW w:w="5740" w:type="dxa"/>
            <w:vAlign w:val="bottom"/>
          </w:tcPr>
          <w:p>
            <w:pPr>
              <w:ind w:left="100"/>
              <w:spacing w:after="0"/>
              <w:rPr>
                <w:sz w:val="20"/>
                <w:szCs w:val="20"/>
                <w:color w:val="auto"/>
              </w:rPr>
            </w:pPr>
            <w:r>
              <w:rPr>
                <w:rFonts w:ascii="Arial" w:cs="Arial" w:eastAsia="Arial" w:hAnsi="Arial"/>
                <w:sz w:val="18"/>
                <w:szCs w:val="18"/>
                <w:color w:val="auto"/>
              </w:rPr>
              <w:t>/s/ Patricia A. Little</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Patricia A. Little</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Senior Vice President, Chief Financial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2680" w:type="dxa"/>
            <w:vAlign w:val="bottom"/>
          </w:tcPr>
          <w:p>
            <w:pPr>
              <w:spacing w:after="0"/>
              <w:rPr>
                <w:sz w:val="20"/>
                <w:szCs w:val="20"/>
                <w:color w:val="auto"/>
              </w:rPr>
            </w:pPr>
            <w:r>
              <w:rPr>
                <w:rFonts w:ascii="Arial" w:cs="Arial" w:eastAsia="Arial" w:hAnsi="Arial"/>
                <w:sz w:val="18"/>
                <w:szCs w:val="18"/>
                <w:color w:val="auto"/>
              </w:rPr>
              <w:t>Date: October 27, 2017</w:t>
            </w:r>
          </w:p>
        </w:tc>
        <w:tc>
          <w:tcPr>
            <w:tcW w:w="5740" w:type="dxa"/>
            <w:vAlign w:val="bottom"/>
          </w:tcPr>
          <w:p>
            <w:pPr>
              <w:ind w:left="100"/>
              <w:spacing w:after="0"/>
              <w:rPr>
                <w:sz w:val="20"/>
                <w:szCs w:val="20"/>
                <w:color w:val="auto"/>
              </w:rPr>
            </w:pPr>
            <w:r>
              <w:rPr>
                <w:rFonts w:ascii="Arial" w:cs="Arial" w:eastAsia="Arial" w:hAnsi="Arial"/>
                <w:sz w:val="18"/>
                <w:szCs w:val="18"/>
                <w:color w:val="auto"/>
              </w:rPr>
              <w:t>/s/ Javier H. Idrovo</w:t>
            </w:r>
          </w:p>
        </w:tc>
      </w:tr>
      <w:tr>
        <w:trPr>
          <w:trHeight w:val="27"/>
        </w:trPr>
        <w:tc>
          <w:tcPr>
            <w:tcW w:w="26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spacing w:after="0"/>
              <w:rPr>
                <w:sz w:val="20"/>
                <w:szCs w:val="20"/>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Javier H. Idrovo</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Chief Accounting Officer</w:t>
            </w:r>
          </w:p>
        </w:tc>
      </w:tr>
      <w:tr>
        <w:trPr>
          <w:trHeight w:val="270"/>
        </w:trPr>
        <w:tc>
          <w:tcPr>
            <w:tcW w:w="2680" w:type="dxa"/>
            <w:vAlign w:val="bottom"/>
          </w:tcPr>
          <w:p>
            <w:pPr>
              <w:spacing w:after="0"/>
              <w:rPr>
                <w:sz w:val="23"/>
                <w:szCs w:val="23"/>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2680" w:type="dxa"/>
            <w:vAlign w:val="bottom"/>
          </w:tcPr>
          <w:p>
            <w:pPr>
              <w:spacing w:after="0"/>
              <w:rPr>
                <w:sz w:val="24"/>
                <w:szCs w:val="24"/>
                <w:color w:val="auto"/>
              </w:rPr>
            </w:pPr>
          </w:p>
        </w:tc>
        <w:tc>
          <w:tcPr>
            <w:tcW w:w="5740" w:type="dxa"/>
            <w:vAlign w:val="bottom"/>
          </w:tcPr>
          <w:p>
            <w:pPr>
              <w:ind w:left="196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40"/>
          </w:cols>
          <w:pgMar w:left="240" w:top="580" w:right="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4"/>
          </w:tcPr>
          <w:p>
            <w:pPr>
              <w:jc w:val="right"/>
              <w:ind w:right="1531"/>
              <w:spacing w:after="0"/>
              <w:rPr>
                <w:sz w:val="20"/>
                <w:szCs w:val="20"/>
                <w:color w:val="auto"/>
              </w:rPr>
            </w:pPr>
            <w:r>
              <w:rPr>
                <w:rFonts w:ascii="Arial" w:cs="Arial" w:eastAsia="Arial" w:hAnsi="Arial"/>
                <w:sz w:val="16"/>
                <w:szCs w:val="16"/>
                <w:b w:val="1"/>
                <w:bCs w:val="1"/>
                <w:color w:val="auto"/>
              </w:rPr>
              <w:t>Nine Months Ended</w:t>
            </w:r>
          </w:p>
        </w:tc>
      </w:tr>
      <w:tr>
        <w:trPr>
          <w:trHeight w:val="47"/>
        </w:trPr>
        <w:tc>
          <w:tcPr>
            <w:tcW w:w="67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October 1, 2017</w:t>
            </w:r>
          </w:p>
        </w:tc>
        <w:tc>
          <w:tcPr>
            <w:tcW w:w="360" w:type="dxa"/>
            <w:vAlign w:val="bottom"/>
          </w:tcPr>
          <w:p>
            <w:pPr>
              <w:spacing w:after="0"/>
              <w:rPr>
                <w:sz w:val="20"/>
                <w:szCs w:val="20"/>
                <w:color w:val="auto"/>
              </w:rPr>
            </w:pPr>
          </w:p>
        </w:tc>
        <w:tc>
          <w:tcPr>
            <w:tcW w:w="1920" w:type="dxa"/>
            <w:vAlign w:val="bottom"/>
          </w:tcPr>
          <w:p>
            <w:pPr>
              <w:jc w:val="right"/>
              <w:ind w:right="511"/>
              <w:spacing w:after="0"/>
              <w:rPr>
                <w:sz w:val="20"/>
                <w:szCs w:val="20"/>
                <w:color w:val="auto"/>
              </w:rPr>
            </w:pPr>
            <w:r>
              <w:rPr>
                <w:rFonts w:ascii="Arial" w:cs="Arial" w:eastAsia="Arial" w:hAnsi="Arial"/>
                <w:sz w:val="16"/>
                <w:szCs w:val="16"/>
                <w:b w:val="1"/>
                <w:bCs w:val="1"/>
                <w:color w:val="auto"/>
              </w:rPr>
              <w:t>October 2, 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850,279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900,862</w:t>
            </w: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0"/>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79,371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2,166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4"/>
              </w:rPr>
              <w:t>Adjustment to exclude noncontrolling interests in subsidiaries and income from equity</w:t>
            </w: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investee</w:t>
            </w:r>
          </w:p>
        </w:tc>
        <w:tc>
          <w:tcPr>
            <w:tcW w:w="36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Earnings as adjusted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933,221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976,899</w:t>
            </w:r>
          </w:p>
        </w:tc>
      </w:tr>
      <w:tr>
        <w:trPr>
          <w:trHeight w:val="217"/>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expensed and capitalized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75,030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71,167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Portion of rents representative of the interest factor (a)</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8,867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6,967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304"/>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85,075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79,371</w:t>
            </w:r>
          </w:p>
        </w:tc>
      </w:tr>
      <w:tr>
        <w:trPr>
          <w:trHeight w:val="217"/>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Arial" w:cs="Arial" w:eastAsia="Arial" w:hAnsi="Arial"/>
                <w:sz w:val="18"/>
                <w:szCs w:val="18"/>
                <w:color w:val="auto"/>
              </w:rPr>
              <w:t>12.31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27, 2017</w:t>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October 27, 2017</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October 1, 2017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October 27, 2017</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October 27, 2017</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lvl w:ilvl="1">
      <w:lvlJc w:val="left"/>
      <w:lvlText w:val="(%2)"/>
      <w:numFmt w:val="decimal"/>
      <w:start w:val="1"/>
    </w:lvl>
  </w:abstractNum>
  <w:abstractNum w:abstractNumId="7">
    <w:nsid w:val="4E6AFB66"/>
    <w:multiLevelType w:val="hybridMultilevel"/>
    <w:lvl w:ilvl="0">
      <w:lvlJc w:val="left"/>
      <w:lvlText w:val="%1."/>
      <w:numFmt w:val="decimal"/>
      <w:start w:val="8"/>
    </w:lvl>
    <w:lvl w:ilvl="1">
      <w:lvlJc w:val="left"/>
      <w:lvlText w:val="%2"/>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38" Type="http://schemas.openxmlformats.org/officeDocument/2006/relationships/hyperlink" Target="http://www.sec.gov/Archives/edgar/data/47111/000004711117000037/exhibit101-stockpurchaseag.htm?_sm_byp=iVVVDw57Qr3D6Mr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2019-12-29T04:26:11Z</dcterms:created>
  <dcterms:modified xsi:type="dcterms:W3CDTF">2019-12-29T04:26:11Z</dcterms:modified>
</cp:coreProperties>
</file>