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56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40" w:type="dxa"/>
            <w:vAlign w:val="bottom"/>
          </w:tcPr>
          <w:p>
            <w:pPr>
              <w:spacing w:after="0"/>
              <w:rPr>
                <w:sz w:val="20"/>
                <w:szCs w:val="20"/>
                <w:color w:val="auto"/>
              </w:rPr>
            </w:pPr>
          </w:p>
        </w:tc>
        <w:tc>
          <w:tcPr>
            <w:tcW w:w="6900" w:type="dxa"/>
            <w:vAlign w:val="bottom"/>
            <w:gridSpan w:val="5"/>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57"/>
        </w:trPr>
        <w:tc>
          <w:tcPr>
            <w:tcW w:w="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gridSpan w:val="3"/>
          </w:tcPr>
          <w:p>
            <w:pPr>
              <w:jc w:val="center"/>
              <w:ind w:left="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90"/>
              <w:spacing w:after="0" w:line="176" w:lineRule="exact"/>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21"/>
        </w:trPr>
        <w:tc>
          <w:tcPr>
            <w:tcW w:w="6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35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0" w:type="dxa"/>
            <w:vAlign w:val="bottom"/>
          </w:tcPr>
          <w:p>
            <w:pPr>
              <w:spacing w:after="0"/>
              <w:rPr>
                <w:sz w:val="19"/>
                <w:szCs w:val="19"/>
                <w:color w:val="auto"/>
              </w:rPr>
            </w:pPr>
          </w:p>
        </w:tc>
        <w:tc>
          <w:tcPr>
            <w:tcW w:w="35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4"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6" w:lineRule="exact"/>
        <w:rPr>
          <w:sz w:val="24"/>
          <w:szCs w:val="24"/>
          <w:color w:val="auto"/>
        </w:rPr>
      </w:pPr>
    </w:p>
    <w:p>
      <w:pPr>
        <w:ind w:right="120"/>
        <w:spacing w:after="0" w:line="2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6" w:lineRule="exact"/>
        <w:rPr>
          <w:sz w:val="24"/>
          <w:szCs w:val="24"/>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71" w:right="339" w:bottom="1440" w:gutter="0" w:footer="0" w:header="0"/>
        </w:sectPr>
      </w:pP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both"/>
        <w:ind w:hanging="1"/>
        <w:spacing w:after="0" w:line="323" w:lineRule="auto"/>
        <w:rPr>
          <w:sz w:val="20"/>
          <w:szCs w:val="20"/>
          <w:color w:val="auto"/>
        </w:rPr>
      </w:pPr>
      <w:r>
        <w:rPr>
          <w:rFonts w:ascii="Times New Roman" w:cs="Times New Roman" w:eastAsia="Times New Roman" w:hAnsi="Times New Roman"/>
          <w:sz w:val="17"/>
          <w:szCs w:val="17"/>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28" w:lineRule="exact"/>
        <w:rPr>
          <w:sz w:val="24"/>
          <w:szCs w:val="24"/>
          <w:color w:val="auto"/>
        </w:rPr>
      </w:pPr>
    </w:p>
    <w:p>
      <w:pPr>
        <w:sectPr>
          <w:pgSz w:w="11900" w:h="16838" w:orient="portrait"/>
          <w:cols w:equalWidth="0" w:num="8">
            <w:col w:w="2040" w:space="500"/>
            <w:col w:w="220" w:space="720"/>
            <w:col w:w="1200" w:space="680"/>
            <w:col w:w="160" w:space="620"/>
            <w:col w:w="1520" w:space="520"/>
            <w:col w:w="160" w:space="400"/>
            <w:col w:w="1960" w:space="300"/>
            <w:col w:w="240"/>
          </w:cols>
          <w:pgMar w:left="320" w:top="971" w:right="339" w:bottom="1440" w:gutter="0" w:footer="0" w:header="0"/>
          <w:type w:val="continuous"/>
        </w:sectPr>
      </w:pPr>
    </w:p>
    <w:p>
      <w:pPr>
        <w:spacing w:after="0" w:line="52" w:lineRule="exact"/>
        <w:rPr>
          <w:sz w:val="24"/>
          <w:szCs w:val="24"/>
          <w:color w:val="auto"/>
        </w:rPr>
      </w:pPr>
    </w:p>
    <w:p>
      <w:pPr>
        <w:ind w:right="16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08"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Times New Roman" w:cs="Times New Roman" w:eastAsia="Times New Roman" w:hAnsi="Times New Roman"/>
          <w:sz w:val="18"/>
          <w:szCs w:val="18"/>
          <w:color w:val="auto"/>
        </w:rPr>
        <w:t>Common Stock, one dollar par value—147,529,729 shares, as of October 30, 2020.</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value—60,613,777 shares,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September 27, 2020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100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PART I. FINANCIAL INFORMATION</w:t>
            </w:r>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2</w:t>
              </w:r>
            </w:hyperlink>
          </w:p>
        </w:tc>
      </w:tr>
      <w:tr>
        <w:trPr>
          <w:trHeight w:val="176"/>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0"/>
          </w:tcPr>
          <w:p>
            <w:pPr>
              <w:ind w:left="120"/>
              <w:spacing w:after="0" w:line="175"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7440" w:type="dxa"/>
            <w:vAlign w:val="bottom"/>
            <w:tcBorders>
              <w:top w:val="single" w:sz="8" w:color="CCEEFF"/>
            </w:tcBorders>
            <w:gridSpan w:val="5"/>
          </w:tcPr>
          <w:p>
            <w:pPr>
              <w:spacing w:after="0"/>
              <w:rPr>
                <w:sz w:val="15"/>
                <w:szCs w:val="15"/>
                <w:color w:val="auto"/>
              </w:rPr>
            </w:pPr>
          </w:p>
        </w:tc>
        <w:tc>
          <w:tcPr>
            <w:tcW w:w="1180" w:type="dxa"/>
            <w:vAlign w:val="bottom"/>
            <w:tcBorders>
              <w:top w:val="single" w:sz="8" w:color="CCEEFF"/>
            </w:tcBorders>
          </w:tcPr>
          <w:p>
            <w:pPr>
              <w:jc w:val="right"/>
              <w:spacing w:after="0" w:line="175" w:lineRule="exact"/>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2</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gridSpan w:val="14"/>
            <w:shd w:val="clear" w:color="auto" w:fill="CCEEFF"/>
          </w:tcPr>
          <w:p>
            <w:pPr>
              <w:ind w:left="8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Consolidated Statements of Income for the Three and Nine Months Ended September 27, 2020 and September 29, 2019</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2</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14"/>
          </w:tcPr>
          <w:p>
            <w:pPr>
              <w:ind w:left="8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Consolidated Statements of Comprehensive Income for the Three and Nine Months Ended September 27, 2020 and September 29, 2019</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3</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gridSpan w:val="14"/>
            <w:shd w:val="clear" w:color="auto" w:fill="CCEEFF"/>
          </w:tcPr>
          <w:p>
            <w:pPr>
              <w:ind w:left="80"/>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Consolidated Balance Sheets as of September 27, 2020 and December 31, 2019</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4</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14"/>
          </w:tcPr>
          <w:p>
            <w:pPr>
              <w:ind w:left="80"/>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Consolidated Statements of Cash Flows for the Nine Months Ended September 27, 2020 and September 29, 2019</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5</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20" w:type="dxa"/>
            <w:vAlign w:val="bottom"/>
            <w:gridSpan w:val="14"/>
            <w:shd w:val="clear" w:color="auto" w:fill="CCEEFF"/>
          </w:tcPr>
          <w:p>
            <w:pPr>
              <w:ind w:left="80"/>
              <w:spacing w:after="0"/>
              <w:rPr>
                <w:rFonts w:ascii="Times New Roman" w:cs="Times New Roman" w:eastAsia="Times New Roman" w:hAnsi="Times New Roman"/>
                <w:sz w:val="16"/>
                <w:szCs w:val="16"/>
                <w:u w:val="single" w:color="auto"/>
                <w:color w:val="0000FF"/>
              </w:rPr>
            </w:pPr>
            <w:hyperlink w:anchor="page6">
              <w:r>
                <w:rPr>
                  <w:rFonts w:ascii="Times New Roman" w:cs="Times New Roman" w:eastAsia="Times New Roman" w:hAnsi="Times New Roman"/>
                  <w:sz w:val="16"/>
                  <w:szCs w:val="16"/>
                  <w:u w:val="single" w:color="auto"/>
                  <w:color w:val="0000FF"/>
                </w:rPr>
                <w:t>Consolidated Statement of Stockholders' Equity for the Three and Nine Months Ended September 27, 2020 and September 29, 2019</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6">
              <w:r>
                <w:rPr>
                  <w:rFonts w:ascii="Times New Roman" w:cs="Times New Roman" w:eastAsia="Times New Roman" w:hAnsi="Times New Roman"/>
                  <w:sz w:val="16"/>
                  <w:szCs w:val="16"/>
                  <w:u w:val="single" w:color="auto"/>
                  <w:color w:val="0000FF"/>
                </w:rPr>
                <w:t>6</w:t>
              </w:r>
            </w:hyperlink>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4"/>
          </w:tcPr>
          <w:p>
            <w:pPr>
              <w:ind w:left="80"/>
              <w:spacing w:after="0" w:line="175" w:lineRule="exact"/>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1180" w:type="dxa"/>
            <w:vAlign w:val="bottom"/>
          </w:tcPr>
          <w:p>
            <w:pPr>
              <w:jc w:val="right"/>
              <w:spacing w:after="0" w:line="175" w:lineRule="exact"/>
              <w:rPr>
                <w:rFonts w:ascii="Times New Roman" w:cs="Times New Roman" w:eastAsia="Times New Roman" w:hAnsi="Times New Roman"/>
                <w:sz w:val="16"/>
                <w:szCs w:val="16"/>
                <w:u w:val="single" w:color="auto"/>
                <w:color w:val="0000FF"/>
              </w:rPr>
            </w:pPr>
            <w:hyperlink w:anchor="page8">
              <w:r>
                <w:rPr>
                  <w:rFonts w:ascii="Times New Roman" w:cs="Times New Roman" w:eastAsia="Times New Roman" w:hAnsi="Times New Roman"/>
                  <w:sz w:val="16"/>
                  <w:szCs w:val="16"/>
                  <w:u w:val="single" w:color="auto"/>
                  <w:color w:val="0000FF"/>
                </w:rPr>
                <w:t>8</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9">
              <w:r>
                <w:rPr>
                  <w:rFonts w:ascii="Times New Roman" w:cs="Times New Roman" w:eastAsia="Times New Roman" w:hAnsi="Times New Roman"/>
                  <w:sz w:val="16"/>
                  <w:szCs w:val="16"/>
                  <w:u w:val="single" w:color="auto"/>
                  <w:color w:val="0000FF"/>
                </w:rPr>
                <w:t>Note 1 - Summary of Significant Accounting Policies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9">
              <w:r>
                <w:rPr>
                  <w:rFonts w:ascii="Times New Roman" w:cs="Times New Roman" w:eastAsia="Times New Roman" w:hAnsi="Times New Roman"/>
                  <w:sz w:val="16"/>
                  <w:szCs w:val="16"/>
                  <w:u w:val="single" w:color="auto"/>
                  <w:color w:val="0000FF"/>
                </w:rPr>
                <w:t>8</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11">
              <w:r>
                <w:rPr>
                  <w:rFonts w:ascii="Times New Roman" w:cs="Times New Roman" w:eastAsia="Times New Roman" w:hAnsi="Times New Roman"/>
                  <w:sz w:val="16"/>
                  <w:szCs w:val="16"/>
                  <w:u w:val="single" w:color="auto"/>
                  <w:color w:val="0000FF"/>
                </w:rPr>
                <w:t>Note 2 - Business Acquisition and Divestitures</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11">
              <w:r>
                <w:rPr>
                  <w:rFonts w:ascii="Times New Roman" w:cs="Times New Roman" w:eastAsia="Times New Roman" w:hAnsi="Times New Roman"/>
                  <w:sz w:val="16"/>
                  <w:szCs w:val="16"/>
                  <w:u w:val="single" w:color="auto"/>
                  <w:color w:val="0000FF"/>
                </w:rPr>
                <w:t>10</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11">
              <w:r>
                <w:rPr>
                  <w:rFonts w:ascii="Times New Roman" w:cs="Times New Roman" w:eastAsia="Times New Roman" w:hAnsi="Times New Roman"/>
                  <w:sz w:val="16"/>
                  <w:szCs w:val="16"/>
                  <w:u w:val="single" w:color="auto"/>
                  <w:color w:val="0000FF"/>
                </w:rPr>
                <w:t>Note 3 - Goodwill and Intangible Assets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11">
              <w:r>
                <w:rPr>
                  <w:rFonts w:ascii="Times New Roman" w:cs="Times New Roman" w:eastAsia="Times New Roman" w:hAnsi="Times New Roman"/>
                  <w:sz w:val="16"/>
                  <w:szCs w:val="16"/>
                  <w:u w:val="single" w:color="auto"/>
                  <w:color w:val="0000FF"/>
                </w:rPr>
                <w:t>11</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12">
              <w:r>
                <w:rPr>
                  <w:rFonts w:ascii="Times New Roman" w:cs="Times New Roman" w:eastAsia="Times New Roman" w:hAnsi="Times New Roman"/>
                  <w:sz w:val="16"/>
                  <w:szCs w:val="16"/>
                  <w:u w:val="single" w:color="auto"/>
                  <w:color w:val="0000FF"/>
                </w:rPr>
                <w:t>Note 4 - Short and Long-Term Debt</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12">
              <w:r>
                <w:rPr>
                  <w:rFonts w:ascii="Times New Roman" w:cs="Times New Roman" w:eastAsia="Times New Roman" w:hAnsi="Times New Roman"/>
                  <w:sz w:val="16"/>
                  <w:szCs w:val="16"/>
                  <w:u w:val="single" w:color="auto"/>
                  <w:color w:val="0000FF"/>
                </w:rPr>
                <w:t>11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13">
              <w:r>
                <w:rPr>
                  <w:rFonts w:ascii="Times New Roman" w:cs="Times New Roman" w:eastAsia="Times New Roman" w:hAnsi="Times New Roman"/>
                  <w:sz w:val="16"/>
                  <w:szCs w:val="16"/>
                  <w:u w:val="single" w:color="auto"/>
                  <w:color w:val="0000FF"/>
                </w:rPr>
                <w:t>Note 5 - Derivative Instruments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13">
              <w:r>
                <w:rPr>
                  <w:rFonts w:ascii="Times New Roman" w:cs="Times New Roman" w:eastAsia="Times New Roman" w:hAnsi="Times New Roman"/>
                  <w:sz w:val="16"/>
                  <w:szCs w:val="16"/>
                  <w:u w:val="single" w:color="auto"/>
                  <w:color w:val="0000FF"/>
                </w:rPr>
                <w:t>12</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17">
              <w:r>
                <w:rPr>
                  <w:rFonts w:ascii="Times New Roman" w:cs="Times New Roman" w:eastAsia="Times New Roman" w:hAnsi="Times New Roman"/>
                  <w:sz w:val="16"/>
                  <w:szCs w:val="16"/>
                  <w:u w:val="single" w:color="auto"/>
                  <w:color w:val="0000FF"/>
                </w:rPr>
                <w:t>Note 6 - Fair Value Measurements</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17">
              <w:r>
                <w:rPr>
                  <w:rFonts w:ascii="Times New Roman" w:cs="Times New Roman" w:eastAsia="Times New Roman" w:hAnsi="Times New Roman"/>
                  <w:sz w:val="16"/>
                  <w:szCs w:val="16"/>
                  <w:u w:val="single" w:color="auto"/>
                  <w:color w:val="0000FF"/>
                </w:rPr>
                <w:t>16</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18">
              <w:r>
                <w:rPr>
                  <w:rFonts w:ascii="Times New Roman" w:cs="Times New Roman" w:eastAsia="Times New Roman" w:hAnsi="Times New Roman"/>
                  <w:sz w:val="16"/>
                  <w:szCs w:val="16"/>
                  <w:u w:val="single" w:color="auto"/>
                  <w:color w:val="0000FF"/>
                </w:rPr>
                <w:t>Note 7 - Leases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18">
              <w:r>
                <w:rPr>
                  <w:rFonts w:ascii="Times New Roman" w:cs="Times New Roman" w:eastAsia="Times New Roman" w:hAnsi="Times New Roman"/>
                  <w:sz w:val="16"/>
                  <w:szCs w:val="16"/>
                  <w:u w:val="single" w:color="auto"/>
                  <w:color w:val="0000FF"/>
                </w:rPr>
                <w:t>18</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21">
              <w:r>
                <w:rPr>
                  <w:rFonts w:ascii="Times New Roman" w:cs="Times New Roman" w:eastAsia="Times New Roman" w:hAnsi="Times New Roman"/>
                  <w:sz w:val="16"/>
                  <w:szCs w:val="16"/>
                  <w:u w:val="single" w:color="auto"/>
                  <w:color w:val="0000FF"/>
                </w:rPr>
                <w:t>Note 8 - Assets and Liabilities Held for Sale</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21">
              <w:r>
                <w:rPr>
                  <w:rFonts w:ascii="Times New Roman" w:cs="Times New Roman" w:eastAsia="Times New Roman" w:hAnsi="Times New Roman"/>
                  <w:sz w:val="16"/>
                  <w:szCs w:val="16"/>
                  <w:u w:val="single" w:color="auto"/>
                  <w:color w:val="0000FF"/>
                </w:rPr>
                <w:t>20</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21">
              <w:r>
                <w:rPr>
                  <w:rFonts w:ascii="Times New Roman" w:cs="Times New Roman" w:eastAsia="Times New Roman" w:hAnsi="Times New Roman"/>
                  <w:sz w:val="16"/>
                  <w:szCs w:val="16"/>
                  <w:u w:val="single" w:color="auto"/>
                  <w:color w:val="0000FF"/>
                </w:rPr>
                <w:t>Note 9 - Business Realignment Activities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21">
              <w:r>
                <w:rPr>
                  <w:rFonts w:ascii="Times New Roman" w:cs="Times New Roman" w:eastAsia="Times New Roman" w:hAnsi="Times New Roman"/>
                  <w:sz w:val="16"/>
                  <w:szCs w:val="16"/>
                  <w:u w:val="single" w:color="auto"/>
                  <w:color w:val="0000FF"/>
                </w:rPr>
                <w:t>20</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22">
              <w:r>
                <w:rPr>
                  <w:rFonts w:ascii="Times New Roman" w:cs="Times New Roman" w:eastAsia="Times New Roman" w:hAnsi="Times New Roman"/>
                  <w:sz w:val="16"/>
                  <w:szCs w:val="16"/>
                  <w:u w:val="single" w:color="auto"/>
                  <w:color w:val="0000FF"/>
                </w:rPr>
                <w:t>Note 10 - Income Taxes</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22">
              <w:r>
                <w:rPr>
                  <w:rFonts w:ascii="Times New Roman" w:cs="Times New Roman" w:eastAsia="Times New Roman" w:hAnsi="Times New Roman"/>
                  <w:sz w:val="16"/>
                  <w:szCs w:val="16"/>
                  <w:u w:val="single" w:color="auto"/>
                  <w:color w:val="0000FF"/>
                </w:rPr>
                <w:t>21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22">
              <w:r>
                <w:rPr>
                  <w:rFonts w:ascii="Times New Roman" w:cs="Times New Roman" w:eastAsia="Times New Roman" w:hAnsi="Times New Roman"/>
                  <w:sz w:val="16"/>
                  <w:szCs w:val="16"/>
                  <w:u w:val="single" w:color="auto"/>
                  <w:color w:val="0000FF"/>
                </w:rPr>
                <w:t>Note 11 - Pension and Other Post-Retirement Benefit Plans</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22">
              <w:r>
                <w:rPr>
                  <w:rFonts w:ascii="Times New Roman" w:cs="Times New Roman" w:eastAsia="Times New Roman" w:hAnsi="Times New Roman"/>
                  <w:sz w:val="16"/>
                  <w:szCs w:val="16"/>
                  <w:u w:val="single" w:color="auto"/>
                  <w:color w:val="0000FF"/>
                </w:rPr>
                <w:t>22</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24">
              <w:r>
                <w:rPr>
                  <w:rFonts w:ascii="Times New Roman" w:cs="Times New Roman" w:eastAsia="Times New Roman" w:hAnsi="Times New Roman"/>
                  <w:sz w:val="16"/>
                  <w:szCs w:val="16"/>
                  <w:u w:val="single" w:color="auto"/>
                  <w:color w:val="0000FF"/>
                </w:rPr>
                <w:t>Note 12 - Stock Compensation Plans</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24">
              <w:r>
                <w:rPr>
                  <w:rFonts w:ascii="Times New Roman" w:cs="Times New Roman" w:eastAsia="Times New Roman" w:hAnsi="Times New Roman"/>
                  <w:sz w:val="16"/>
                  <w:szCs w:val="16"/>
                  <w:u w:val="single" w:color="auto"/>
                  <w:color w:val="0000FF"/>
                </w:rPr>
                <w:t>23</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26">
              <w:r>
                <w:rPr>
                  <w:rFonts w:ascii="Times New Roman" w:cs="Times New Roman" w:eastAsia="Times New Roman" w:hAnsi="Times New Roman"/>
                  <w:sz w:val="16"/>
                  <w:szCs w:val="16"/>
                  <w:u w:val="single" w:color="auto"/>
                  <w:color w:val="0000FF"/>
                </w:rPr>
                <w:t>Note 13 - Segment Information</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26">
              <w:r>
                <w:rPr>
                  <w:rFonts w:ascii="Times New Roman" w:cs="Times New Roman" w:eastAsia="Times New Roman" w:hAnsi="Times New Roman"/>
                  <w:sz w:val="16"/>
                  <w:szCs w:val="16"/>
                  <w:u w:val="single" w:color="auto"/>
                  <w:color w:val="0000FF"/>
                </w:rPr>
                <w:t>26</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29">
              <w:r>
                <w:rPr>
                  <w:rFonts w:ascii="Times New Roman" w:cs="Times New Roman" w:eastAsia="Times New Roman" w:hAnsi="Times New Roman"/>
                  <w:sz w:val="16"/>
                  <w:szCs w:val="16"/>
                  <w:u w:val="single" w:color="auto"/>
                  <w:color w:val="0000FF"/>
                </w:rPr>
                <w:t>Note 14 - Treasury Stock Activity</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29">
              <w:r>
                <w:rPr>
                  <w:rFonts w:ascii="Times New Roman" w:cs="Times New Roman" w:eastAsia="Times New Roman" w:hAnsi="Times New Roman"/>
                  <w:sz w:val="16"/>
                  <w:szCs w:val="16"/>
                  <w:u w:val="single" w:color="auto"/>
                  <w:color w:val="0000FF"/>
                </w:rPr>
                <w:t>28</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Note 15 - Noncontrolling Interest</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29</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Note 16 - Contingencies</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29</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Note 17 - Earnings Per Share</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29</w:t>
              </w:r>
            </w:hyperlink>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40" w:type="dxa"/>
            <w:vAlign w:val="bottom"/>
            <w:gridSpan w:val="13"/>
          </w:tcPr>
          <w:p>
            <w:pPr>
              <w:ind w:left="340"/>
              <w:spacing w:after="0"/>
              <w:rPr>
                <w:rFonts w:ascii="Times New Roman" w:cs="Times New Roman" w:eastAsia="Times New Roman" w:hAnsi="Times New Roman"/>
                <w:sz w:val="16"/>
                <w:szCs w:val="16"/>
                <w:u w:val="single" w:color="auto"/>
                <w:color w:val="0000FF"/>
              </w:rPr>
            </w:pPr>
            <w:hyperlink w:anchor="page32">
              <w:r>
                <w:rPr>
                  <w:rFonts w:ascii="Times New Roman" w:cs="Times New Roman" w:eastAsia="Times New Roman" w:hAnsi="Times New Roman"/>
                  <w:sz w:val="16"/>
                  <w:szCs w:val="16"/>
                  <w:u w:val="single" w:color="auto"/>
                  <w:color w:val="0000FF"/>
                </w:rPr>
                <w:t>Note 18 - Other (Income) Expense, Net</w:t>
              </w:r>
            </w:hyperlink>
          </w:p>
        </w:tc>
        <w:tc>
          <w:tcPr>
            <w:tcW w:w="1180" w:type="dxa"/>
            <w:vAlign w:val="bottom"/>
          </w:tcPr>
          <w:p>
            <w:pPr>
              <w:jc w:val="right"/>
              <w:spacing w:after="0"/>
              <w:rPr>
                <w:rFonts w:ascii="Times New Roman" w:cs="Times New Roman" w:eastAsia="Times New Roman" w:hAnsi="Times New Roman"/>
                <w:sz w:val="16"/>
                <w:szCs w:val="16"/>
                <w:u w:val="single" w:color="auto"/>
                <w:color w:val="0000FF"/>
              </w:rPr>
            </w:pPr>
            <w:hyperlink w:anchor="page32">
              <w:r>
                <w:rPr>
                  <w:rFonts w:ascii="Times New Roman" w:cs="Times New Roman" w:eastAsia="Times New Roman" w:hAnsi="Times New Roman"/>
                  <w:sz w:val="16"/>
                  <w:szCs w:val="16"/>
                  <w:u w:val="single" w:color="auto"/>
                  <w:color w:val="0000FF"/>
                </w:rPr>
                <w:t>31</w:t>
              </w:r>
            </w:hyperlink>
          </w:p>
        </w:tc>
      </w:tr>
      <w:tr>
        <w:trPr>
          <w:trHeight w:val="21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40" w:type="dxa"/>
            <w:vAlign w:val="bottom"/>
            <w:gridSpan w:val="13"/>
            <w:shd w:val="clear" w:color="auto" w:fill="CCEEFF"/>
          </w:tcPr>
          <w:p>
            <w:pPr>
              <w:ind w:left="340"/>
              <w:spacing w:after="0"/>
              <w:rPr>
                <w:rFonts w:ascii="Times New Roman" w:cs="Times New Roman" w:eastAsia="Times New Roman" w:hAnsi="Times New Roman"/>
                <w:sz w:val="16"/>
                <w:szCs w:val="16"/>
                <w:u w:val="single" w:color="auto"/>
                <w:color w:val="0000FF"/>
              </w:rPr>
            </w:pPr>
            <w:hyperlink w:anchor="page33">
              <w:r>
                <w:rPr>
                  <w:rFonts w:ascii="Times New Roman" w:cs="Times New Roman" w:eastAsia="Times New Roman" w:hAnsi="Times New Roman"/>
                  <w:sz w:val="16"/>
                  <w:szCs w:val="16"/>
                  <w:u w:val="single" w:color="auto"/>
                  <w:color w:val="0000FF"/>
                </w:rPr>
                <w:t>Note 19 - Supplemental Balance Sheet Information</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33">
              <w:r>
                <w:rPr>
                  <w:rFonts w:ascii="Times New Roman" w:cs="Times New Roman" w:eastAsia="Times New Roman" w:hAnsi="Times New Roman"/>
                  <w:sz w:val="16"/>
                  <w:szCs w:val="16"/>
                  <w:u w:val="single" w:color="auto"/>
                  <w:color w:val="0000FF"/>
                </w:rPr>
                <w:t>33</w:t>
              </w:r>
            </w:hyperlink>
          </w:p>
        </w:tc>
      </w:tr>
      <w:tr>
        <w:trPr>
          <w:trHeight w:val="175"/>
        </w:trPr>
        <w:tc>
          <w:tcPr>
            <w:tcW w:w="20" w:type="dxa"/>
            <w:vAlign w:val="bottom"/>
          </w:tcPr>
          <w:p>
            <w:pPr>
              <w:spacing w:after="0"/>
              <w:rPr>
                <w:sz w:val="15"/>
                <w:szCs w:val="15"/>
                <w:color w:val="auto"/>
              </w:rPr>
            </w:pPr>
          </w:p>
        </w:tc>
        <w:tc>
          <w:tcPr>
            <w:tcW w:w="10040" w:type="dxa"/>
            <w:vAlign w:val="bottom"/>
            <w:gridSpan w:val="15"/>
          </w:tcPr>
          <w:p>
            <w:pPr>
              <w:ind w:left="120"/>
              <w:spacing w:after="0" w:line="175" w:lineRule="exact"/>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1180" w:type="dxa"/>
            <w:vAlign w:val="bottom"/>
          </w:tcPr>
          <w:p>
            <w:pPr>
              <w:jc w:val="right"/>
              <w:spacing w:after="0" w:line="175" w:lineRule="exact"/>
              <w:rPr>
                <w:rFonts w:ascii="Times New Roman" w:cs="Times New Roman" w:eastAsia="Times New Roman" w:hAnsi="Times New Roman"/>
                <w:sz w:val="16"/>
                <w:szCs w:val="16"/>
                <w:u w:val="single" w:color="auto"/>
                <w:color w:val="0000FF"/>
              </w:rPr>
            </w:pPr>
            <w:hyperlink w:anchor="page34">
              <w:r>
                <w:rPr>
                  <w:rFonts w:ascii="Times New Roman" w:cs="Times New Roman" w:eastAsia="Times New Roman" w:hAnsi="Times New Roman"/>
                  <w:sz w:val="16"/>
                  <w:szCs w:val="16"/>
                  <w:u w:val="single" w:color="auto"/>
                  <w:color w:val="0000FF"/>
                </w:rPr>
                <w:t>34</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1180" w:type="dxa"/>
            <w:vAlign w:val="bottom"/>
            <w:shd w:val="clear" w:color="auto" w:fill="CCEEFF"/>
          </w:tcPr>
          <w:p>
            <w:pPr>
              <w:jc w:val="right"/>
              <w:spacing w:after="0" w:line="175" w:lineRule="exact"/>
              <w:rPr>
                <w:rFonts w:ascii="Times New Roman" w:cs="Times New Roman" w:eastAsia="Times New Roman" w:hAnsi="Times New Roman"/>
                <w:sz w:val="16"/>
                <w:szCs w:val="16"/>
                <w:u w:val="single" w:color="auto"/>
                <w:color w:val="0000FF"/>
              </w:rPr>
            </w:pPr>
            <w:hyperlink w:anchor="page48">
              <w:r>
                <w:rPr>
                  <w:rFonts w:ascii="Times New Roman" w:cs="Times New Roman" w:eastAsia="Times New Roman" w:hAnsi="Times New Roman"/>
                  <w:sz w:val="16"/>
                  <w:szCs w:val="16"/>
                  <w:u w:val="single" w:color="auto"/>
                  <w:color w:val="0000FF"/>
                </w:rPr>
                <w:t>47</w:t>
              </w:r>
            </w:hyperlink>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12"/>
          </w:tcPr>
          <w:p>
            <w:pPr>
              <w:spacing w:after="0" w:line="175" w:lineRule="exact"/>
              <w:rPr>
                <w:sz w:val="20"/>
                <w:szCs w:val="20"/>
                <w:color w:val="auto"/>
              </w:rPr>
            </w:pPr>
            <w:r>
              <w:rPr>
                <w:rFonts w:ascii="Times New Roman" w:cs="Times New Roman" w:eastAsia="Times New Roman" w:hAnsi="Times New Roman"/>
                <w:sz w:val="16"/>
                <w:szCs w:val="16"/>
                <w:color w:val="0000FF"/>
              </w:rPr>
              <w:t>Item 4. Controls and Procedures</w:t>
            </w:r>
          </w:p>
        </w:tc>
        <w:tc>
          <w:tcPr>
            <w:tcW w:w="5500" w:type="dxa"/>
            <w:vAlign w:val="bottom"/>
            <w:tcBorders>
              <w:top w:val="single" w:sz="8" w:color="CCEEFF"/>
            </w:tcBorders>
            <w:gridSpan w:val="2"/>
          </w:tcPr>
          <w:p>
            <w:pPr>
              <w:spacing w:after="0"/>
              <w:rPr>
                <w:sz w:val="15"/>
                <w:szCs w:val="15"/>
                <w:color w:val="auto"/>
              </w:rPr>
            </w:pPr>
          </w:p>
        </w:tc>
        <w:tc>
          <w:tcPr>
            <w:tcW w:w="1180" w:type="dxa"/>
            <w:vAlign w:val="bottom"/>
            <w:tcBorders>
              <w:top w:val="single" w:sz="8" w:color="CCEEFF"/>
            </w:tcBorders>
          </w:tcPr>
          <w:p>
            <w:pPr>
              <w:jc w:val="right"/>
              <w:spacing w:after="0" w:line="175" w:lineRule="exact"/>
              <w:rPr>
                <w:rFonts w:ascii="Times New Roman" w:cs="Times New Roman" w:eastAsia="Times New Roman" w:hAnsi="Times New Roman"/>
                <w:sz w:val="16"/>
                <w:szCs w:val="16"/>
                <w:u w:val="single" w:color="auto"/>
                <w:color w:val="0000FF"/>
              </w:rPr>
            </w:pPr>
            <w:hyperlink w:anchor="page48">
              <w:r>
                <w:rPr>
                  <w:rFonts w:ascii="Times New Roman" w:cs="Times New Roman" w:eastAsia="Times New Roman" w:hAnsi="Times New Roman"/>
                  <w:sz w:val="16"/>
                  <w:szCs w:val="16"/>
                  <w:u w:val="single" w:color="auto"/>
                  <w:color w:val="0000FF"/>
                </w:rPr>
                <w:t>48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040" w:type="dxa"/>
            <w:vAlign w:val="bottom"/>
            <w:gridSpan w:val="1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PART II. OTHER INFORMATION</w:t>
            </w:r>
          </w:p>
        </w:tc>
        <w:tc>
          <w:tcPr>
            <w:tcW w:w="1180" w:type="dxa"/>
            <w:vAlign w:val="bottom"/>
            <w:shd w:val="clear" w:color="auto" w:fill="CCEEFF"/>
          </w:tcPr>
          <w:p>
            <w:pPr>
              <w:jc w:val="right"/>
              <w:spacing w:after="0" w:line="175" w:lineRule="exact"/>
              <w:rPr>
                <w:rFonts w:ascii="Times New Roman" w:cs="Times New Roman" w:eastAsia="Times New Roman" w:hAnsi="Times New Roman"/>
                <w:sz w:val="16"/>
                <w:szCs w:val="16"/>
                <w:u w:val="single" w:color="auto"/>
                <w:color w:val="0000FF"/>
              </w:rPr>
            </w:pPr>
            <w:hyperlink w:anchor="page49">
              <w:r>
                <w:rPr>
                  <w:rFonts w:ascii="Times New Roman" w:cs="Times New Roman" w:eastAsia="Times New Roman" w:hAnsi="Times New Roman"/>
                  <w:sz w:val="16"/>
                  <w:szCs w:val="16"/>
                  <w:u w:val="single" w:color="auto"/>
                  <w:color w:val="0000FF"/>
                </w:rPr>
                <w:t>49</w:t>
              </w:r>
            </w:hyperlink>
          </w:p>
        </w:tc>
      </w:tr>
      <w:tr>
        <w:trPr>
          <w:trHeight w:val="176"/>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9"/>
          </w:tcPr>
          <w:p>
            <w:pPr>
              <w:ind w:left="120"/>
              <w:spacing w:after="0" w:line="175" w:lineRule="exact"/>
              <w:rPr>
                <w:sz w:val="20"/>
                <w:szCs w:val="20"/>
                <w:color w:val="auto"/>
              </w:rPr>
            </w:pPr>
            <w:r>
              <w:rPr>
                <w:rFonts w:ascii="Times New Roman" w:cs="Times New Roman" w:eastAsia="Times New Roman" w:hAnsi="Times New Roman"/>
                <w:sz w:val="16"/>
                <w:szCs w:val="16"/>
                <w:color w:val="0000FF"/>
              </w:rPr>
              <w:t>Item 1. Legal Proceedings</w:t>
            </w:r>
          </w:p>
        </w:tc>
        <w:tc>
          <w:tcPr>
            <w:tcW w:w="7720" w:type="dxa"/>
            <w:vAlign w:val="bottom"/>
            <w:tcBorders>
              <w:top w:val="single" w:sz="8" w:color="CCEEFF"/>
            </w:tcBorders>
            <w:gridSpan w:val="6"/>
          </w:tcPr>
          <w:p>
            <w:pPr>
              <w:spacing w:after="0"/>
              <w:rPr>
                <w:sz w:val="15"/>
                <w:szCs w:val="15"/>
                <w:color w:val="auto"/>
              </w:rPr>
            </w:pPr>
          </w:p>
        </w:tc>
        <w:tc>
          <w:tcPr>
            <w:tcW w:w="1180" w:type="dxa"/>
            <w:vAlign w:val="bottom"/>
            <w:tcBorders>
              <w:top w:val="single" w:sz="8" w:color="CCEEFF"/>
            </w:tcBorders>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1A. Risk Factors</w:t>
            </w:r>
          </w:p>
        </w:tc>
        <w:tc>
          <w:tcPr>
            <w:tcW w:w="8480" w:type="dxa"/>
            <w:vAlign w:val="bottom"/>
            <w:tcBorders>
              <w:bottom w:val="single" w:sz="8" w:color="CCEEFF"/>
            </w:tcBorders>
            <w:gridSpan w:val="11"/>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175"/>
        </w:trPr>
        <w:tc>
          <w:tcPr>
            <w:tcW w:w="20" w:type="dxa"/>
            <w:vAlign w:val="bottom"/>
          </w:tcPr>
          <w:p>
            <w:pPr>
              <w:spacing w:after="0"/>
              <w:rPr>
                <w:sz w:val="15"/>
                <w:szCs w:val="15"/>
                <w:color w:val="auto"/>
              </w:rPr>
            </w:pPr>
          </w:p>
        </w:tc>
        <w:tc>
          <w:tcPr>
            <w:tcW w:w="10040" w:type="dxa"/>
            <w:vAlign w:val="bottom"/>
            <w:gridSpan w:val="15"/>
          </w:tcPr>
          <w:p>
            <w:pPr>
              <w:ind w:left="120"/>
              <w:spacing w:after="0" w:line="175" w:lineRule="exact"/>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1180" w:type="dxa"/>
            <w:vAlign w:val="bottom"/>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 Defaults Upon Senior Securities</w:t>
            </w:r>
          </w:p>
        </w:tc>
        <w:tc>
          <w:tcPr>
            <w:tcW w:w="7320" w:type="dxa"/>
            <w:vAlign w:val="bottom"/>
            <w:tcBorders>
              <w:bottom w:val="single" w:sz="8" w:color="CCEEFF"/>
            </w:tcBorders>
            <w:gridSpan w:val="4"/>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175"/>
        </w:trPr>
        <w:tc>
          <w:tcPr>
            <w:tcW w:w="20" w:type="dxa"/>
            <w:vAlign w:val="bottom"/>
          </w:tcPr>
          <w:p>
            <w:pPr>
              <w:spacing w:after="0"/>
              <w:rPr>
                <w:sz w:val="15"/>
                <w:szCs w:val="15"/>
                <w:color w:val="auto"/>
              </w:rPr>
            </w:pPr>
          </w:p>
        </w:tc>
        <w:tc>
          <w:tcPr>
            <w:tcW w:w="10040" w:type="dxa"/>
            <w:vAlign w:val="bottom"/>
            <w:gridSpan w:val="15"/>
          </w:tcPr>
          <w:p>
            <w:pPr>
              <w:ind w:left="120"/>
              <w:spacing w:after="0" w:line="175" w:lineRule="exact"/>
              <w:rPr>
                <w:sz w:val="20"/>
                <w:szCs w:val="20"/>
                <w:color w:val="auto"/>
              </w:rPr>
            </w:pPr>
            <w:r>
              <w:rPr>
                <w:rFonts w:ascii="Times New Roman" w:cs="Times New Roman" w:eastAsia="Times New Roman" w:hAnsi="Times New Roman"/>
                <w:sz w:val="16"/>
                <w:szCs w:val="16"/>
                <w:color w:val="0000FF"/>
              </w:rPr>
              <w:t>Item 4. Mine Safety Disclosures</w:t>
            </w:r>
          </w:p>
        </w:tc>
        <w:tc>
          <w:tcPr>
            <w:tcW w:w="1180" w:type="dxa"/>
            <w:vAlign w:val="bottom"/>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5. Other Information</w:t>
            </w:r>
          </w:p>
        </w:tc>
        <w:tc>
          <w:tcPr>
            <w:tcW w:w="1180" w:type="dxa"/>
            <w:vAlign w:val="bottom"/>
            <w:shd w:val="clear" w:color="auto" w:fill="CCEEFF"/>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49</w:t>
              </w:r>
            </w:hyperlink>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6. Exhibits</w:t>
            </w:r>
          </w:p>
        </w:tc>
        <w:tc>
          <w:tcPr>
            <w:tcW w:w="8240" w:type="dxa"/>
            <w:vAlign w:val="bottom"/>
            <w:tcBorders>
              <w:top w:val="single" w:sz="8" w:color="CCEEFF"/>
            </w:tcBorders>
            <w:gridSpan w:val="10"/>
          </w:tcPr>
          <w:p>
            <w:pPr>
              <w:spacing w:after="0"/>
              <w:rPr>
                <w:sz w:val="15"/>
                <w:szCs w:val="15"/>
                <w:color w:val="auto"/>
              </w:rPr>
            </w:pPr>
          </w:p>
        </w:tc>
        <w:tc>
          <w:tcPr>
            <w:tcW w:w="1180" w:type="dxa"/>
            <w:vAlign w:val="bottom"/>
            <w:tcBorders>
              <w:top w:val="single" w:sz="8" w:color="CCEEFF"/>
            </w:tcBorders>
          </w:tcPr>
          <w:p>
            <w:pPr>
              <w:jc w:val="right"/>
              <w:spacing w:after="0" w:line="175" w:lineRule="exact"/>
              <w:rPr>
                <w:rFonts w:ascii="Times New Roman" w:cs="Times New Roman" w:eastAsia="Times New Roman" w:hAnsi="Times New Roman"/>
                <w:sz w:val="16"/>
                <w:szCs w:val="16"/>
                <w:u w:val="single" w:color="auto"/>
                <w:color w:val="0000FF"/>
              </w:rPr>
            </w:pPr>
            <w:hyperlink w:anchor="page50">
              <w:r>
                <w:rPr>
                  <w:rFonts w:ascii="Times New Roman" w:cs="Times New Roman" w:eastAsia="Times New Roman" w:hAnsi="Times New Roman"/>
                  <w:sz w:val="16"/>
                  <w:szCs w:val="16"/>
                  <w:u w:val="single" w:color="auto"/>
                  <w:color w:val="0000FF"/>
                </w:rPr>
                <w:t>50</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40" w:type="dxa"/>
            <w:vAlign w:val="bottom"/>
            <w:gridSpan w:val="15"/>
            <w:shd w:val="clear" w:color="auto" w:fill="CCEEFF"/>
          </w:tcPr>
          <w:p>
            <w:pPr>
              <w:spacing w:after="0"/>
              <w:rPr>
                <w:rFonts w:ascii="Times New Roman" w:cs="Times New Roman" w:eastAsia="Times New Roman" w:hAnsi="Times New Roman"/>
                <w:sz w:val="16"/>
                <w:szCs w:val="16"/>
                <w:u w:val="single" w:color="auto"/>
                <w:color w:val="0000FF"/>
              </w:rPr>
            </w:pPr>
            <w:hyperlink w:anchor="page51">
              <w:r>
                <w:rPr>
                  <w:rFonts w:ascii="Times New Roman" w:cs="Times New Roman" w:eastAsia="Times New Roman" w:hAnsi="Times New Roman"/>
                  <w:sz w:val="16"/>
                  <w:szCs w:val="16"/>
                  <w:u w:val="single" w:color="auto"/>
                  <w:color w:val="0000FF"/>
                </w:rPr>
                <w:t>Signature</w:t>
              </w:r>
            </w:hyperlink>
          </w:p>
        </w:tc>
        <w:tc>
          <w:tcPr>
            <w:tcW w:w="1180" w:type="dxa"/>
            <w:vAlign w:val="bottom"/>
            <w:shd w:val="clear" w:color="auto" w:fill="CCEEFF"/>
          </w:tcPr>
          <w:p>
            <w:pPr>
              <w:jc w:val="right"/>
              <w:spacing w:after="0"/>
              <w:rPr>
                <w:rFonts w:ascii="Times New Roman" w:cs="Times New Roman" w:eastAsia="Times New Roman" w:hAnsi="Times New Roman"/>
                <w:sz w:val="16"/>
                <w:szCs w:val="16"/>
                <w:u w:val="single" w:color="auto"/>
                <w:color w:val="0000FF"/>
              </w:rPr>
            </w:pPr>
            <w:hyperlink w:anchor="page51">
              <w:r>
                <w:rPr>
                  <w:rFonts w:ascii="Times New Roman" w:cs="Times New Roman" w:eastAsia="Times New Roman" w:hAnsi="Times New Roman"/>
                  <w:sz w:val="16"/>
                  <w:szCs w:val="16"/>
                  <w:u w:val="single" w:color="auto"/>
                  <w:color w:val="0000FF"/>
                </w:rPr>
                <w:t>51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29, 2019</w:t>
            </w:r>
          </w:p>
        </w:tc>
        <w:tc>
          <w:tcPr>
            <w:tcW w:w="100" w:type="dxa"/>
            <w:vAlign w:val="bottom"/>
          </w:tcPr>
          <w:p>
            <w:pPr>
              <w:spacing w:after="0"/>
              <w:rPr>
                <w:sz w:val="19"/>
                <w:szCs w:val="19"/>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29, 2019</w:t>
            </w: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2,219,829</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2,134,422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5,964,475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5,918,127</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1,139,805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3,225,277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3,207,561</w:t>
            </w:r>
          </w:p>
        </w:tc>
      </w:tr>
      <w:tr>
        <w:trPr>
          <w:trHeight w:val="223"/>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2,710,566</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1,352,947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1,388,729</w:t>
            </w: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realignment costs (benefits)</w:t>
            </w: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23"/>
        </w:trPr>
        <w:tc>
          <w:tcPr>
            <w:tcW w:w="43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611,410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460,815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1,377,583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1,309,754</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106,690</w:t>
            </w: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1,166,463</w:t>
            </w: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224,129</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including noncontrolling interest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447,258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984,083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942,334</w:t>
            </w: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447,283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987,321</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942,505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70"/>
        </w:trPr>
        <w:tc>
          <w:tcPr>
            <w:tcW w:w="43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0"/>
        </w:trPr>
        <w:tc>
          <w:tcPr>
            <w:tcW w:w="43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4"/>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0.731</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80" w:type="dxa"/>
            <w:vAlign w:val="bottom"/>
          </w:tcPr>
          <w:p>
            <w:pPr>
              <w:spacing w:after="0"/>
              <w:rPr>
                <w:sz w:val="16"/>
                <w:szCs w:val="16"/>
                <w:color w:val="auto"/>
              </w:rPr>
            </w:pPr>
          </w:p>
        </w:tc>
        <w:tc>
          <w:tcPr>
            <w:tcW w:w="2020" w:type="dxa"/>
            <w:vAlign w:val="bottom"/>
            <w:tcBorders>
              <w:bottom w:val="single" w:sz="8" w:color="auto"/>
            </w:tcBorders>
            <w:gridSpan w:val="6"/>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80" w:type="dxa"/>
            <w:vAlign w:val="bottom"/>
          </w:tcPr>
          <w:p>
            <w:pPr>
              <w:spacing w:after="0"/>
              <w:rPr>
                <w:sz w:val="16"/>
                <w:szCs w:val="16"/>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29, 2019</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Tax</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Tax</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4140" w:type="dxa"/>
            <w:vAlign w:val="bottom"/>
            <w:gridSpan w:val="1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Pre-Tax  (Expense)  After-Tax  Pre-Tax  (Expense)  After-Tax</w:t>
            </w: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7"/>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Pre-Tax  (Expense)  After-Tax</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5"/>
        </w:trPr>
        <w:tc>
          <w:tcPr>
            <w:tcW w:w="282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Net income including noncontrolling</w:t>
            </w: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$ 447,258</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$ 325,182</w:t>
            </w: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$ 984,083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$ 942,334</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Other comprehensive income (loss), net of</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Foreign currency translation gains (losses)</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(7,604)</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(7,604)</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(41,242)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(41,242)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during period</w:t>
            </w:r>
          </w:p>
        </w:tc>
        <w:tc>
          <w:tcPr>
            <w:tcW w:w="1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and post-retirement benefit plans: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Net actuarial gain (loss) and prior service</w:t>
            </w: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10,020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0" w:type="dxa"/>
            <w:vAlign w:val="bottom"/>
          </w:tcPr>
          <w:p>
            <w:pPr>
              <w:spacing w:after="0"/>
              <w:rPr>
                <w:sz w:val="1"/>
                <w:szCs w:val="1"/>
                <w:color w:val="auto"/>
              </w:rPr>
            </w:pPr>
          </w:p>
        </w:tc>
      </w:tr>
      <w:tr>
        <w:trPr>
          <w:trHeight w:val="189"/>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24,975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0" w:type="dxa"/>
            <w:vAlign w:val="bottom"/>
          </w:tcPr>
          <w:p>
            <w:pPr>
              <w:spacing w:after="0"/>
              <w:rPr>
                <w:sz w:val="1"/>
                <w:szCs w:val="1"/>
                <w:color w:val="auto"/>
              </w:rPr>
            </w:pPr>
          </w:p>
        </w:tc>
      </w:tr>
      <w:tr>
        <w:trPr>
          <w:trHeight w:val="189"/>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(Losses) gains on cash flow hedging</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Reclassification to earnings</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0" w:type="dxa"/>
            <w:vAlign w:val="bottom"/>
          </w:tcPr>
          <w:p>
            <w:pPr>
              <w:spacing w:after="0"/>
              <w:rPr>
                <w:sz w:val="1"/>
                <w:szCs w:val="1"/>
                <w:color w:val="auto"/>
              </w:rPr>
            </w:pPr>
          </w:p>
        </w:tc>
      </w:tr>
      <w:tr>
        <w:trPr>
          <w:trHeight w:val="115"/>
        </w:trPr>
        <w:tc>
          <w:tcPr>
            <w:tcW w:w="28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Total other comprehensive income (loss),</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15,386</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(25,594)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42,343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32,694</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820" w:type="dxa"/>
            <w:vAlign w:val="bottom"/>
            <w:tcBorders>
              <w:top w:val="single" w:sz="8" w:color="CCEEFF"/>
            </w:tcBorders>
          </w:tcPr>
          <w:p>
            <w:pPr>
              <w:ind w:left="20"/>
              <w:spacing w:after="0" w:line="82" w:lineRule="exact"/>
              <w:rPr>
                <w:sz w:val="20"/>
                <w:szCs w:val="20"/>
                <w:color w:val="auto"/>
              </w:rPr>
            </w:pPr>
            <w:r>
              <w:rPr>
                <w:rFonts w:ascii="Times New Roman" w:cs="Times New Roman" w:eastAsia="Times New Roman" w:hAnsi="Times New Roman"/>
                <w:sz w:val="9"/>
                <w:szCs w:val="9"/>
                <w:b w:val="1"/>
                <w:bCs w:val="1"/>
                <w:color w:val="auto"/>
              </w:rPr>
              <w:t>Total comprehensive income including</w:t>
            </w: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$ 462,644</w:t>
            </w:r>
          </w:p>
        </w:tc>
        <w:tc>
          <w:tcPr>
            <w:tcW w:w="80" w:type="dxa"/>
            <w:vAlign w:val="bottom"/>
            <w:tcBorders>
              <w:top w:val="single" w:sz="8" w:color="CCEEFF"/>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$ 337,370</w:t>
            </w: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$ 956,167</w:t>
            </w: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$ 975,028</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2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3"/>
                <w:szCs w:val="13"/>
                <w:color w:val="auto"/>
              </w:rPr>
              <w:t>Comprehensive income (loss) attributable to</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 income attributable to The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$ 462,169</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$ 337,902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$ 958,980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$ 975,144</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Hershey Company</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29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4920" w:type="dxa"/>
            <w:vAlign w:val="bottom"/>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9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220" w:type="dxa"/>
            <w:vAlign w:val="bottom"/>
          </w:tcPr>
          <w:p>
            <w:pPr>
              <w:spacing w:after="0"/>
              <w:rPr>
                <w:sz w:val="22"/>
                <w:szCs w:val="22"/>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493,262</w:t>
            </w: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815,251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2,117,102</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2,153,139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1,985,955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1,341,166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550,828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702,372</w:t>
            </w: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income taxes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703,390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2,008,793</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3,530,813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655,777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200,018</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7,186,221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6,395,401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shares issued: none in 2020 and 2019</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shares issued: 160,939,248 at September 27, 2020 and December 31,</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160,939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160,939</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60,613,777 at September 27, 2020 and December</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31, 2019</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1,142,210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1,290,461</w:t>
            </w:r>
          </w:p>
        </w:tc>
        <w:tc>
          <w:tcPr>
            <w:tcW w:w="0" w:type="dxa"/>
            <w:vAlign w:val="bottom"/>
          </w:tcPr>
          <w:p>
            <w:pPr>
              <w:spacing w:after="0"/>
              <w:rPr>
                <w:sz w:val="1"/>
                <w:szCs w:val="1"/>
                <w:color w:val="auto"/>
              </w:rPr>
            </w:pPr>
          </w:p>
        </w:tc>
      </w:tr>
      <w:tr>
        <w:trPr>
          <w:trHeight w:val="175"/>
        </w:trPr>
        <w:tc>
          <w:tcPr>
            <w:tcW w:w="71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13,426,093 at September 27, 2020 and</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(773,161)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(591,036)</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12,723,592 at December 31, 2019</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(323,966)</w:t>
            </w:r>
          </w:p>
        </w:tc>
        <w:tc>
          <w:tcPr>
            <w:tcW w:w="0" w:type="dxa"/>
            <w:vAlign w:val="bottom"/>
          </w:tcPr>
          <w:p>
            <w:pPr>
              <w:spacing w:after="0"/>
              <w:rPr>
                <w:sz w:val="1"/>
                <w:szCs w:val="1"/>
                <w:color w:val="auto"/>
              </w:rPr>
            </w:pPr>
          </w:p>
        </w:tc>
      </w:tr>
      <w:tr>
        <w:trPr>
          <w:trHeight w:val="22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Total—The Hershey Company stockholders’ equity</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1,739,222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2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2,068,813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ectPr>
          <w:pgSz w:w="11900" w:h="16838" w:orient="portrait"/>
          <w:cols w:equalWidth="0" w:num="1">
            <w:col w:w="11200"/>
          </w:cols>
          <w:pgMar w:left="34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type w:val="continuous"/>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2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19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including noncontrolling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942,334</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8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218,841</w:t>
            </w:r>
          </w:p>
        </w:tc>
      </w:tr>
      <w:tr>
        <w:trPr>
          <w:trHeight w:val="219"/>
        </w:trPr>
        <w:tc>
          <w:tcPr>
            <w:tcW w:w="7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39,579</w:t>
            </w:r>
          </w:p>
        </w:tc>
      </w:tr>
      <w:tr>
        <w:trPr>
          <w:trHeight w:val="213"/>
        </w:trPr>
        <w:tc>
          <w:tcPr>
            <w:tcW w:w="78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r>
      <w:tr>
        <w:trPr>
          <w:trHeight w:val="219"/>
        </w:trPr>
        <w:tc>
          <w:tcPr>
            <w:tcW w:w="7800" w:type="dxa"/>
            <w:vAlign w:val="bottom"/>
            <w:shd w:val="clear" w:color="auto" w:fill="CCEEFF"/>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Impairment of long-lived assets (see </w:t>
            </w:r>
            <w:hyperlink w:anchor="page17">
              <w:r>
                <w:rPr>
                  <w:rFonts w:ascii="Times New Roman" w:cs="Times New Roman" w:eastAsia="Times New Roman" w:hAnsi="Times New Roman"/>
                  <w:sz w:val="16"/>
                  <w:szCs w:val="16"/>
                  <w:u w:val="single" w:color="auto"/>
                  <w:color w:val="0000FF"/>
                </w:rPr>
                <w:t>Note 6</w:t>
              </w:r>
            </w:hyperlink>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13"/>
        </w:trPr>
        <w:tc>
          <w:tcPr>
            <w:tcW w:w="78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Write-down of equity investments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18,564</w:t>
            </w:r>
          </w:p>
        </w:tc>
      </w:tr>
      <w:tr>
        <w:trPr>
          <w:trHeight w:val="219"/>
        </w:trPr>
        <w:tc>
          <w:tcPr>
            <w:tcW w:w="7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r>
      <w:tr>
        <w:trPr>
          <w:trHeight w:val="213"/>
        </w:trPr>
        <w:tc>
          <w:tcPr>
            <w:tcW w:w="78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acquisitions and divestitures:</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(240,457)</w:t>
            </w:r>
          </w:p>
        </w:tc>
      </w:tr>
      <w:tr>
        <w:trPr>
          <w:trHeight w:val="213"/>
        </w:trPr>
        <w:tc>
          <w:tcPr>
            <w:tcW w:w="78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(174,514)</w:t>
            </w:r>
          </w:p>
        </w:tc>
      </w:tr>
      <w:tr>
        <w:trPr>
          <w:trHeight w:val="219"/>
        </w:trPr>
        <w:tc>
          <w:tcPr>
            <w:tcW w:w="7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r>
      <w:tr>
        <w:trPr>
          <w:trHeight w:val="213"/>
        </w:trPr>
        <w:tc>
          <w:tcPr>
            <w:tcW w:w="78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108,169</w:t>
            </w:r>
          </w:p>
        </w:tc>
      </w:tr>
      <w:tr>
        <w:trPr>
          <w:trHeight w:val="219"/>
        </w:trPr>
        <w:tc>
          <w:tcPr>
            <w:tcW w:w="7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39,871</w:t>
            </w:r>
          </w:p>
        </w:tc>
      </w:tr>
      <w:tr>
        <w:trPr>
          <w:trHeight w:val="213"/>
        </w:trPr>
        <w:tc>
          <w:tcPr>
            <w:tcW w:w="78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(13,859)</w:t>
            </w:r>
          </w:p>
        </w:tc>
      </w:tr>
      <w:tr>
        <w:trPr>
          <w:trHeight w:val="219"/>
        </w:trPr>
        <w:tc>
          <w:tcPr>
            <w:tcW w:w="7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12,826</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1,095,266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993,387</w:t>
            </w: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(236,599)</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investments in tax credit qualifying partnerships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(52,658)</w:t>
            </w:r>
          </w:p>
        </w:tc>
      </w:tr>
      <w:tr>
        <w:trPr>
          <w:trHeight w:val="213"/>
        </w:trPr>
        <w:tc>
          <w:tcPr>
            <w:tcW w:w="7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Business acquisitions, net of cash and cash equivalents acquired</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(401,461)</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(697,641)</w:t>
            </w: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in short-term debt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80,707</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r>
      <w:tr>
        <w:trPr>
          <w:trHeight w:val="213"/>
        </w:trPr>
        <w:tc>
          <w:tcPr>
            <w:tcW w:w="7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(453,210)</w:t>
            </w:r>
          </w:p>
        </w:tc>
      </w:tr>
      <w:tr>
        <w:trPr>
          <w:trHeight w:val="213"/>
        </w:trPr>
        <w:tc>
          <w:tcPr>
            <w:tcW w:w="7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(445,870)</w:t>
            </w:r>
          </w:p>
        </w:tc>
      </w:tr>
      <w:tr>
        <w:trPr>
          <w:trHeight w:val="219"/>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235,328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 including cash classified as held for sale</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(285,362)</w:t>
            </w:r>
          </w:p>
        </w:tc>
      </w:tr>
      <w:tr>
        <w:trPr>
          <w:trHeight w:val="219"/>
        </w:trPr>
        <w:tc>
          <w:tcPr>
            <w:tcW w:w="7800" w:type="dxa"/>
            <w:vAlign w:val="bottom"/>
            <w:shd w:val="clear" w:color="auto" w:fill="CCEEFF"/>
          </w:tcPr>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Less: Increase in cash and cash equivalents classified as held for sale (see </w:t>
            </w:r>
            <w:hyperlink w:anchor="page21">
              <w:r>
                <w:rPr>
                  <w:rFonts w:ascii="Times New Roman" w:cs="Times New Roman" w:eastAsia="Times New Roman" w:hAnsi="Times New Roman"/>
                  <w:sz w:val="16"/>
                  <w:szCs w:val="16"/>
                  <w:u w:val="single" w:color="auto"/>
                  <w:color w:val="0000FF"/>
                </w:rPr>
                <w:t>Note 8</w:t>
              </w:r>
            </w:hyperlink>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712,627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(285,362)</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587,998</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1,205,889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302,636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105,164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162,757</w:t>
            </w: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6" w:name="page7"/>
    <w:bookmarkEnd w:id="6"/>
    <w:p>
      <w:pPr>
        <w:ind w:left="444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ind w:left="3060"/>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299"/>
        <w:spacing w:after="0" w:line="215" w:lineRule="auto"/>
        <w:rPr>
          <w:sz w:val="20"/>
          <w:szCs w:val="20"/>
          <w:color w:val="auto"/>
        </w:rPr>
      </w:pPr>
      <w:r>
        <w:rPr>
          <w:rFonts w:ascii="Times New Roman" w:cs="Times New Roman" w:eastAsia="Times New Roman" w:hAnsi="Times New Roman"/>
          <w:sz w:val="17"/>
          <w:szCs w:val="17"/>
          <w:b w:val="1"/>
          <w:bCs w:val="1"/>
          <w:color w:val="auto"/>
        </w:rPr>
        <w:t>For the Three Months Ended September 27, 2020 and September 29, 2019</w:t>
      </w:r>
    </w:p>
    <w:p>
      <w:pPr>
        <w:jc w:val="center"/>
        <w:ind w:right="2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June 28, 2020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$0.804 per share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Class B Common Stock, $0.731 per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September 27, 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2"/>
            <w:vMerge w:val="continue"/>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1,161,878</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1,516,543</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(779,176)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(367,193)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1,756,089</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447,258</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15,386</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(119,332)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(119,332)</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(44,308)</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12,153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0" w:type="dxa"/>
            <w:vAlign w:val="bottom"/>
          </w:tcPr>
          <w:p>
            <w:pPr>
              <w:spacing w:after="0"/>
              <w:rPr>
                <w:sz w:val="1"/>
                <w:szCs w:val="1"/>
                <w:color w:val="auto"/>
              </w:rPr>
            </w:pPr>
          </w:p>
        </w:tc>
      </w:tr>
      <w:tr>
        <w:trPr>
          <w:trHeight w:val="329"/>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6,015</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187"/>
        </w:trPr>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$ 160,939</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$ 1,169,583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$ 1,800,186</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(773,161)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(352,307)</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2,068,813</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-1216660</wp:posOffset>
            </wp:positionV>
            <wp:extent cx="711517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-968375</wp:posOffset>
            </wp:positionV>
            <wp:extent cx="711517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-728345</wp:posOffset>
            </wp:positionV>
            <wp:extent cx="711517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-488315</wp:posOffset>
            </wp:positionV>
            <wp:extent cx="711517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-162560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100"/>
            <w:col w:w="802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June 30, 2019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$0.773 per share</w:t>
      </w:r>
    </w:p>
    <w:p>
      <w:pPr>
        <w:spacing w:after="0" w:line="28" w:lineRule="exact"/>
        <w:rPr>
          <w:sz w:val="20"/>
          <w:szCs w:val="20"/>
          <w:color w:val="auto"/>
        </w:rPr>
      </w:pPr>
    </w:p>
    <w:p>
      <w:pPr>
        <w:ind w:right="440" w:firstLine="203"/>
        <w:spacing w:after="0" w:line="281" w:lineRule="auto"/>
        <w:rPr>
          <w:sz w:val="20"/>
          <w:szCs w:val="20"/>
          <w:color w:val="auto"/>
        </w:rPr>
      </w:pPr>
      <w:r>
        <w:rPr>
          <w:rFonts w:ascii="Times New Roman" w:cs="Times New Roman" w:eastAsia="Times New Roman" w:hAnsi="Times New Roman"/>
          <w:sz w:val="14"/>
          <w:szCs w:val="14"/>
          <w:color w:val="auto"/>
        </w:rPr>
        <w:t>Class B Common Stock, $0.702 per share Stock-based compensation</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1" w:lineRule="exact"/>
        <w:rPr>
          <w:sz w:val="20"/>
          <w:szCs w:val="20"/>
          <w:color w:val="auto"/>
        </w:rPr>
      </w:pPr>
    </w:p>
    <w:p>
      <w:pPr>
        <w:ind w:right="1280"/>
        <w:spacing w:after="0" w:line="382" w:lineRule="auto"/>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4"/>
          <w:szCs w:val="14"/>
          <w:b w:val="1"/>
          <w:bCs w:val="1"/>
          <w:color w:val="auto"/>
        </w:rPr>
        <w:t>Balance, September 29, 2019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2"/>
            <w:vMerge w:val="continue"/>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299,287</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1,075,187</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7,358,277</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(6,781,509)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(336,736)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1,684,081</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325,307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325,182</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(115,380)</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(42,551)</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15,583</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73,929</w:t>
            </w:r>
          </w:p>
        </w:tc>
        <w:tc>
          <w:tcPr>
            <w:tcW w:w="0" w:type="dxa"/>
            <w:vAlign w:val="bottom"/>
          </w:tcPr>
          <w:p>
            <w:pPr>
              <w:spacing w:after="0"/>
              <w:rPr>
                <w:sz w:val="1"/>
                <w:szCs w:val="1"/>
                <w:color w:val="auto"/>
              </w:rPr>
            </w:pPr>
          </w:p>
        </w:tc>
      </w:tr>
      <w:tr>
        <w:trPr>
          <w:trHeight w:val="194"/>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(191,441)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(191,441)</w:t>
            </w:r>
          </w:p>
        </w:tc>
        <w:tc>
          <w:tcPr>
            <w:tcW w:w="0" w:type="dxa"/>
            <w:vAlign w:val="bottom"/>
          </w:tcPr>
          <w:p>
            <w:pPr>
              <w:spacing w:after="0"/>
              <w:rPr>
                <w:sz w:val="1"/>
                <w:szCs w:val="1"/>
                <w:color w:val="auto"/>
              </w:rPr>
            </w:pPr>
          </w:p>
        </w:tc>
      </w:tr>
      <w:tr>
        <w:trPr>
          <w:trHeight w:val="187"/>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$ 299,287</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$ 1,130,493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$ 7,525,653</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(6,938,744)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(324,141)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8,429</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1,761,591</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-1336675</wp:posOffset>
            </wp:positionV>
            <wp:extent cx="71151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-1088390</wp:posOffset>
            </wp:positionV>
            <wp:extent cx="711517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-847725</wp:posOffset>
            </wp:positionV>
            <wp:extent cx="711517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-607695</wp:posOffset>
            </wp:positionV>
            <wp:extent cx="711517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-281940</wp:posOffset>
            </wp:positionV>
            <wp:extent cx="711517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3040" w:space="100"/>
            <w:col w:w="8040"/>
          </w:cols>
          <w:pgMar w:left="360" w:top="1230" w:right="359" w:bottom="1440" w:gutter="0" w:footer="0" w:header="0"/>
          <w:type w:val="continuous"/>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7" w:name="page8"/>
    <w:bookmarkEnd w:id="7"/>
    <w:p>
      <w:pPr>
        <w:ind w:left="444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ind w:left="3060"/>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ind w:left="2960"/>
        <w:spacing w:after="0" w:line="215" w:lineRule="auto"/>
        <w:rPr>
          <w:sz w:val="20"/>
          <w:szCs w:val="20"/>
          <w:color w:val="auto"/>
        </w:rPr>
      </w:pPr>
      <w:r>
        <w:rPr>
          <w:rFonts w:ascii="Times New Roman" w:cs="Times New Roman" w:eastAsia="Times New Roman" w:hAnsi="Times New Roman"/>
          <w:sz w:val="17"/>
          <w:szCs w:val="17"/>
          <w:b w:val="1"/>
          <w:bCs w:val="1"/>
          <w:color w:val="auto"/>
        </w:rPr>
        <w:t>For the Nine Months Ended September 27, 2020 and September 29, 2019</w:t>
      </w:r>
    </w:p>
    <w:p>
      <w:pPr>
        <w:ind w:left="50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340"/>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Balance, December 31, 2019 </w:t>
      </w:r>
      <w:r>
        <w:rPr>
          <w:rFonts w:ascii="Times New Roman" w:cs="Times New Roman" w:eastAsia="Times New Roman" w:hAnsi="Times New Roman"/>
          <w:sz w:val="14"/>
          <w:szCs w:val="14"/>
          <w:color w:val="auto"/>
        </w:rPr>
        <w:t>Net income (loss)</w:t>
      </w:r>
    </w:p>
    <w:p>
      <w:pPr>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$2.350 per share</w:t>
      </w:r>
    </w:p>
    <w:p>
      <w:pPr>
        <w:spacing w:after="0" w:line="28" w:lineRule="exact"/>
        <w:rPr>
          <w:sz w:val="20"/>
          <w:szCs w:val="20"/>
          <w:color w:val="auto"/>
        </w:rPr>
      </w:pPr>
    </w:p>
    <w:p>
      <w:pPr>
        <w:ind w:right="460" w:firstLine="203"/>
        <w:spacing w:after="0" w:line="281" w:lineRule="auto"/>
        <w:rPr>
          <w:sz w:val="20"/>
          <w:szCs w:val="20"/>
          <w:color w:val="auto"/>
        </w:rPr>
      </w:pPr>
      <w:r>
        <w:rPr>
          <w:rFonts w:ascii="Times New Roman" w:cs="Times New Roman" w:eastAsia="Times New Roman" w:hAnsi="Times New Roman"/>
          <w:sz w:val="14"/>
          <w:szCs w:val="14"/>
          <w:color w:val="auto"/>
        </w:rPr>
        <w:t>Class B Common Stock, $2.135 per share Stock-based compensation</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1" w:lineRule="exact"/>
        <w:rPr>
          <w:sz w:val="20"/>
          <w:szCs w:val="20"/>
          <w:color w:val="auto"/>
        </w:rPr>
      </w:pPr>
    </w:p>
    <w:p>
      <w:pPr>
        <w:ind w:right="1300"/>
        <w:spacing w:after="0" w:line="382" w:lineRule="auto"/>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4"/>
          <w:szCs w:val="14"/>
          <w:b w:val="1"/>
          <w:bCs w:val="1"/>
          <w:color w:val="auto"/>
        </w:rPr>
        <w:t>Balance, September 27, 2020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2"/>
            <w:vMerge w:val="continue"/>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160,939</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1,142,210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1,290,461</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(591,036)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(323,966)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1,744,994</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984,083</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(348,186)</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(348,186)</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(129,410)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(129,410)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19,111</w:t>
            </w:r>
          </w:p>
        </w:tc>
        <w:tc>
          <w:tcPr>
            <w:tcW w:w="0" w:type="dxa"/>
            <w:vAlign w:val="bottom"/>
          </w:tcPr>
          <w:p>
            <w:pPr>
              <w:spacing w:after="0"/>
              <w:rPr>
                <w:sz w:val="1"/>
                <w:szCs w:val="1"/>
                <w:color w:val="auto"/>
              </w:rPr>
            </w:pPr>
          </w:p>
        </w:tc>
      </w:tr>
      <w:tr>
        <w:trPr>
          <w:trHeight w:val="194"/>
        </w:trPr>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(211,196)</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(211,196)</w:t>
            </w:r>
          </w:p>
        </w:tc>
        <w:tc>
          <w:tcPr>
            <w:tcW w:w="0" w:type="dxa"/>
            <w:vAlign w:val="bottom"/>
          </w:tcPr>
          <w:p>
            <w:pPr>
              <w:spacing w:after="0"/>
              <w:rPr>
                <w:sz w:val="1"/>
                <w:szCs w:val="1"/>
                <w:color w:val="auto"/>
              </w:rPr>
            </w:pPr>
          </w:p>
        </w:tc>
      </w:tr>
      <w:tr>
        <w:trPr>
          <w:trHeight w:val="187"/>
        </w:trPr>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$ 160,939</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$ 1,169,583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$ 1,800,186</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(773,161)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(352,307)</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2,068,813</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-1336675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-1087755</wp:posOffset>
            </wp:positionV>
            <wp:extent cx="711517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-847725</wp:posOffset>
            </wp:positionV>
            <wp:extent cx="711517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-607695</wp:posOffset>
            </wp:positionV>
            <wp:extent cx="711517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-281940</wp:posOffset>
            </wp:positionV>
            <wp:extent cx="711517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3060" w:space="100"/>
            <w:col w:w="802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320"/>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Balance, December 31, 2018 </w:t>
      </w:r>
      <w:r>
        <w:rPr>
          <w:rFonts w:ascii="Times New Roman" w:cs="Times New Roman" w:eastAsia="Times New Roman" w:hAnsi="Times New Roman"/>
          <w:sz w:val="14"/>
          <w:szCs w:val="14"/>
          <w:color w:val="auto"/>
        </w:rPr>
        <w:t>Net income (loss)</w:t>
      </w:r>
    </w:p>
    <w:p>
      <w:pPr>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$2.217 per share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Class B Common Stock, $2.014 per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Exercise of stock options and incentive-based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 of common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Impact of ASU 2016-02 related to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September 29, 2019</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2"/>
            <w:vMerge w:val="continue"/>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299,287</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982,205</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7,032,020</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(6,618,625)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(356,780)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8,545</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1,407,266</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942,505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942,334</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32,694</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(330,709)</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(122,076)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(122,076)</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38,711</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109,577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235,328</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(445,870)</w:t>
            </w:r>
          </w:p>
        </w:tc>
        <w:tc>
          <w:tcPr>
            <w:tcW w:w="0" w:type="dxa"/>
            <w:vAlign w:val="bottom"/>
          </w:tcPr>
          <w:p>
            <w:pPr>
              <w:spacing w:after="0"/>
              <w:rPr>
                <w:sz w:val="1"/>
                <w:szCs w:val="1"/>
                <w:color w:val="auto"/>
              </w:rPr>
            </w:pPr>
          </w:p>
        </w:tc>
      </w:tr>
      <w:tr>
        <w:trPr>
          <w:trHeight w:val="194"/>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0" w:type="dxa"/>
            <w:vAlign w:val="bottom"/>
          </w:tcPr>
          <w:p>
            <w:pPr>
              <w:spacing w:after="0"/>
              <w:rPr>
                <w:sz w:val="1"/>
                <w:szCs w:val="1"/>
                <w:color w:val="auto"/>
              </w:rPr>
            </w:pPr>
          </w:p>
        </w:tc>
      </w:tr>
      <w:tr>
        <w:trPr>
          <w:trHeight w:val="187"/>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$ 299,287</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$ 1,130,493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$ 7,525,653</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(6,938,744)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(324,141)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8,429</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1,761,591</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-1456690</wp:posOffset>
            </wp:positionV>
            <wp:extent cx="711517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-1207770</wp:posOffset>
            </wp:positionV>
            <wp:extent cx="711517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-967740</wp:posOffset>
            </wp:positionV>
            <wp:extent cx="711517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-728345</wp:posOffset>
            </wp:positionV>
            <wp:extent cx="711517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-401955</wp:posOffset>
            </wp:positionV>
            <wp:extent cx="711517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-161925</wp:posOffset>
            </wp:positionV>
            <wp:extent cx="711517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100"/>
            <w:col w:w="8040"/>
          </w:cols>
          <w:pgMar w:left="360" w:top="1230" w:right="359"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left="40" w:right="20"/>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38" w:lineRule="exact"/>
        <w:rPr>
          <w:sz w:val="20"/>
          <w:szCs w:val="20"/>
          <w:color w:val="auto"/>
        </w:rPr>
      </w:pPr>
    </w:p>
    <w:p>
      <w:pPr>
        <w:ind w:left="40" w:right="26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2" w:lineRule="exact"/>
        <w:rPr>
          <w:sz w:val="20"/>
          <w:szCs w:val="20"/>
          <w:color w:val="auto"/>
        </w:rPr>
      </w:pPr>
    </w:p>
    <w:p>
      <w:pPr>
        <w:ind w:left="40" w:right="20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September 27, 2020 may not be indicative of the results that may be expected for the year ending December 31, 2020 because of seasonal effects on our business. These financial statements should be read in conjunction with our Annual Report on Form 10-K for the year ended December 31, 2019 (our “2019 Annual Report on Form 10-K”), which provides a more complete understanding of our accounting policies, financial position, operating results and other matters.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94"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designated the novel coronavirus ("COVID-19") as a global pandemic. We continue to actively monitor COVID-19 and its potential impact on our operations and financial results. Employee health and safety remains our first priority while we continue our efforts to support community food supplies. To date, there has been minimal disruption to our supply chain network, and all our manufacturing plants are currently open. We are also working closely with our business units, contract manufacturers, distributors, contractors and other external business partners to minimize the potential impact on our business.</w:t>
      </w:r>
    </w:p>
    <w:p>
      <w:pPr>
        <w:spacing w:after="0" w:line="62"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8"/>
          <w:szCs w:val="18"/>
          <w:color w:val="auto"/>
        </w:rPr>
        <w:t>In late May and early June, many state governments began a phased reopening of their economies. These phased approaches promoted limited food service offerings, outdoor dining, increased travel and the reopening of retailing establishments while adhering to new guidelines and enhanced safety measures, including social distancing and face mask protocols. As a result, we experienced an increase in our net sales and earnings per share during the third quarter of 2020.</w:t>
      </w:r>
    </w:p>
    <w:p>
      <w:pPr>
        <w:spacing w:after="0" w:line="58" w:lineRule="exact"/>
        <w:rPr>
          <w:sz w:val="20"/>
          <w:szCs w:val="20"/>
          <w:color w:val="auto"/>
        </w:rPr>
      </w:pPr>
    </w:p>
    <w:p>
      <w:pPr>
        <w:ind w:left="40" w:right="100"/>
        <w:spacing w:after="0" w:line="266" w:lineRule="auto"/>
        <w:rPr>
          <w:sz w:val="20"/>
          <w:szCs w:val="20"/>
          <w:color w:val="auto"/>
        </w:rPr>
      </w:pPr>
      <w:r>
        <w:rPr>
          <w:rFonts w:ascii="Times New Roman" w:cs="Times New Roman" w:eastAsia="Times New Roman" w:hAnsi="Times New Roman"/>
          <w:sz w:val="18"/>
          <w:szCs w:val="18"/>
          <w:color w:val="auto"/>
        </w:rPr>
        <w:t>While recent reopening approaches have made a short-term positive impact on local and state economies and the United States unemployment rate, certain states have modified reopening plans as new cases of COVID-19 have been on the rise in recent weeks, leading to new trends in outbreaks and hotspots. Additionally, there are concerns regarding another new wave of COVID-19 as the weather gets cooler and gatherings begin to move indoors.</w:t>
      </w:r>
    </w:p>
    <w:p>
      <w:pPr>
        <w:spacing w:after="0" w:line="41"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18"/>
          <w:szCs w:val="18"/>
          <w:color w:val="auto"/>
        </w:rPr>
        <w:t>We believe the financial impacts from COVID-19 are temporary in nature and do not significantly affect our business model and growth strategy. Therefore, we do not consider COVID-19 to be a triggering event to accelerate our annual impairments tests. We evaluated our goodwill and indefinite-lived intangible assets and determined there were no interim triggering events as it was not more likely than not that the fair value of our reporting units and indefinite-lived intangible assets would be less than their respective carrying amounts. Additionally, we evaluated our long-lived assets, including our property, plant and equipment, lease right-of-use assets and other intangible assets, noting no indicators of impairment.</w:t>
      </w:r>
    </w:p>
    <w:p>
      <w:pPr>
        <w:spacing w:after="0" w:line="62" w:lineRule="exact"/>
        <w:rPr>
          <w:sz w:val="20"/>
          <w:szCs w:val="20"/>
          <w:color w:val="auto"/>
        </w:rPr>
      </w:pPr>
    </w:p>
    <w:p>
      <w:pPr>
        <w:ind w:left="40" w:right="100"/>
        <w:spacing w:after="0" w:line="282" w:lineRule="auto"/>
        <w:rPr>
          <w:sz w:val="20"/>
          <w:szCs w:val="20"/>
          <w:color w:val="auto"/>
        </w:rPr>
      </w:pPr>
      <w:r>
        <w:rPr>
          <w:rFonts w:ascii="Times New Roman" w:cs="Times New Roman" w:eastAsia="Times New Roman" w:hAnsi="Times New Roman"/>
          <w:sz w:val="18"/>
          <w:szCs w:val="18"/>
          <w:color w:val="auto"/>
        </w:rPr>
        <w:t>The ultimate impact that COVID-19 will have on our consolidated financial statements remains uncertain and ultimately will be dictated by the length and severity of the pandemic, as well as the economic recovery and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Hershey Company | Q3 2020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80645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state and local government actions taken in response. We will continue to evaluate the nature and extent of these potential impacts to our business and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2018-14,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Benefits—Defined Benefit Plans—General (Topic 715-20): Disclosure Framework—Changes to the Disclosure Requirements for Defined Benefit Plans</w:t>
      </w:r>
      <w:r>
        <w:rPr>
          <w:rFonts w:ascii="Times New Roman" w:cs="Times New Roman" w:eastAsia="Times New Roman" w:hAnsi="Times New Roman"/>
          <w:sz w:val="18"/>
          <w:szCs w:val="18"/>
          <w:color w:val="auto"/>
        </w:rPr>
        <w:t>, which modifies the disclosure requirements for defined benefit pension plans and other post-retirement plans. ASU 2018-14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ASU modifies the measurement of expected credit losses of certain financial instruments. ASU 2016-13 is effective for annual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2019 and interim 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This ASU modifies the disclosure requirements for fair value measurements by removing, modifying or adding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This ASU aligns the requirements for capitalizing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are currently evaluating the impact of the new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ASU is intended to provide temporary optional expedients and exceptions to the GAAP guidance on contract modifications and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3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ind w:right="70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AND DIVESTITURES 2020 Activity</w:t>
      </w:r>
    </w:p>
    <w:p>
      <w:pPr>
        <w:spacing w:after="0" w:line="1"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 xml:space="preserve">During the second quarter of 2020, we completed the divestitures of KRAVE Pure Foods, Inc.,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all of which were previously included within the North America segment results in our consolidated financial statements. Total proceeds from the divestitures and the impact on our Consolidated Statements of Income, both individually and on an aggregate basis, were immaterial.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Activity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Brands, LLC</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Times New Roman" w:cs="Times New Roman" w:eastAsia="Times New Roman" w:hAnsi="Times New Roman"/>
          <w:sz w:val="18"/>
          <w:szCs w:val="18"/>
          <w:i w:val="1"/>
          <w:iCs w:val="1"/>
          <w:color w:val="auto"/>
        </w:rPr>
        <w:t>ONE Bar</w:t>
      </w:r>
      <w:r>
        <w:rPr>
          <w:rFonts w:ascii="Times New Roman" w:cs="Times New Roman" w:eastAsia="Times New Roman" w:hAnsi="Times New Roman"/>
          <w:sz w:val="18"/>
          <w:szCs w:val="18"/>
          <w:color w:val="auto"/>
        </w:rPr>
        <w:t xml:space="preserve"> as its primary product. The purchase consideration for ONE Brands totaled $402,160 and consisted of cash on hand and short-term borrowings. Acquisition-related costs for the ONE Brands acquisition were immaterial.</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purchase and, accordingly, ONE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Initial Allocation (1)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Final Allocation</w:t>
            </w:r>
          </w:p>
        </w:tc>
      </w:tr>
      <w:tr>
        <w:trPr>
          <w:trHeight w:val="22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180,065</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206,800</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acquired, primarily current assets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w:t>
            </w:r>
          </w:p>
        </w:tc>
      </w:tr>
      <w:tr>
        <w:trPr>
          <w:trHeight w:val="23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assumed, primarily current liabilities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48"/>
        </w:trPr>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reported in the Company's 2019 Annual Report on Form 10-K.</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purchase price allocation presented above has been finalized as of the end of the first quarter of 2020. The measurement period adjustments to the initial allocation are based on more detailed information obtained about the specific assets acquired and liabilities assumed.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nine months ended September 27, 2020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 and Other</w:t>
            </w:r>
          </w:p>
        </w:tc>
        <w:tc>
          <w:tcPr>
            <w:tcW w:w="44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1,985,955</w:t>
            </w:r>
          </w:p>
        </w:tc>
      </w:tr>
      <w:tr>
        <w:trPr>
          <w:trHeight w:val="229"/>
        </w:trPr>
        <w:tc>
          <w:tcPr>
            <w:tcW w:w="5260" w:type="dxa"/>
            <w:vAlign w:val="bottom"/>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Measurement period adjustments (see </w:t>
            </w:r>
            <w:hyperlink w:anchor="page11">
              <w:r>
                <w:rPr>
                  <w:rFonts w:ascii="Times New Roman" w:cs="Times New Roman" w:eastAsia="Times New Roman" w:hAnsi="Times New Roman"/>
                  <w:sz w:val="18"/>
                  <w:szCs w:val="18"/>
                  <w:u w:val="single" w:color="auto"/>
                  <w:color w:val="0000FF"/>
                </w:rPr>
                <w:t>Note 2</w:t>
              </w:r>
            </w:hyperlink>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1,981,503</w:t>
            </w:r>
          </w:p>
        </w:tc>
      </w:tr>
      <w:tr>
        <w:trPr>
          <w:trHeight w:val="21"/>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80" w:type="dxa"/>
            <w:vAlign w:val="bottom"/>
          </w:tcPr>
          <w:p>
            <w:pPr>
              <w:spacing w:after="0"/>
              <w:rPr>
                <w:sz w:val="18"/>
                <w:szCs w:val="18"/>
                <w:color w:val="auto"/>
              </w:rPr>
            </w:pPr>
          </w:p>
        </w:tc>
        <w:tc>
          <w:tcPr>
            <w:tcW w:w="3040" w:type="dxa"/>
            <w:vAlign w:val="bottom"/>
            <w:gridSpan w:val="4"/>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58"/>
        </w:trPr>
        <w:tc>
          <w:tcPr>
            <w:tcW w:w="4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4"/>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1,208,552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1,212,172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(73,262)</w:t>
            </w:r>
          </w:p>
        </w:tc>
      </w:tr>
      <w:tr>
        <w:trPr>
          <w:trHeight w:val="230"/>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Customer-related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w:t>
            </w:r>
          </w:p>
        </w:tc>
      </w:tr>
      <w:tr>
        <w:trPr>
          <w:trHeight w:val="229"/>
        </w:trPr>
        <w:tc>
          <w:tcPr>
            <w:tcW w:w="4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(130,331)</w:t>
            </w:r>
          </w:p>
        </w:tc>
      </w:tr>
      <w:tr>
        <w:trPr>
          <w:trHeight w:val="270"/>
        </w:trPr>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Total amortization expense for the three months ended September 27, 2020 and September 29, 2019 was $11,618 and $12,684, respectively. Total amortization expense for the nine months ended September 27, 2020 and September 29, 2019 was $34,838 and $37,593,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customary representations, warranties and events of default. As of September 27, 2020, we were in compliance with all covenants pertaining to the credit agreement, and we had no significant compensating balance agreements that legally restricted these funds. For more information, refer to the Consolidated Financial Statements included in our 2019 Annual Report on Form 10-K.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We had short-term foreign bank</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loans against these lines of credit for $45,680 at September 27, 2020 and $32,282 at December 31, 2019. Commitment fees relating to our revolving credit facility and lines of credit are not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27, 2020 and December 31, 2019, we had no outstanding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2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24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2.900%</w:t>
            </w: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(1)</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2020</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8.800%</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3.100%</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2021</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2.625%</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1, 2023</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2023</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2.050%</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2024</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0.900%</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1, 2025</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3.200%</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21, 2025</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2026</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2027</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2029</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1, 2030</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2046</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2049</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(2)</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1, 2050</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shd w:val="clear" w:color="auto" w:fill="CCEEFF"/>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Finance lease obligations (see </w:t>
            </w:r>
            <w:hyperlink w:anchor="page18">
              <w:r>
                <w:rPr>
                  <w:rFonts w:ascii="Times New Roman" w:cs="Times New Roman" w:eastAsia="Times New Roman" w:hAnsi="Times New Roman"/>
                  <w:sz w:val="18"/>
                  <w:szCs w:val="18"/>
                  <w:u w:val="single" w:color="auto"/>
                  <w:color w:val="0000FF"/>
                </w:rPr>
                <w:t>Note 7</w:t>
              </w:r>
            </w:hyperlink>
            <w:r>
              <w:rPr>
                <w:rFonts w:ascii="Times New Roman" w:cs="Times New Roman" w:eastAsia="Times New Roman" w:hAnsi="Times New Roman"/>
                <w:sz w:val="18"/>
                <w:szCs w:val="18"/>
                <w:color w:val="auto"/>
              </w:rPr>
              <w:t>)</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hanging="31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we repaid $350,000 of 2.900% Notes due upon their maturity.</w:t>
      </w:r>
    </w:p>
    <w:p>
      <w:pPr>
        <w:spacing w:after="0" w:line="63" w:lineRule="exact"/>
        <w:rPr>
          <w:rFonts w:ascii="Times New Roman" w:cs="Times New Roman" w:eastAsia="Times New Roman" w:hAnsi="Times New Roman"/>
          <w:sz w:val="18"/>
          <w:szCs w:val="18"/>
          <w:color w:val="auto"/>
        </w:rPr>
      </w:pPr>
    </w:p>
    <w:p>
      <w:pPr>
        <w:ind w:left="500" w:hanging="31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2020, we issued $300,000 of 0.900% Notes due in 2025, $350,000 of 1.700% Notes due in 2030 and $350,000 of</w:t>
      </w:r>
    </w:p>
    <w:p>
      <w:pPr>
        <w:spacing w:after="0" w:line="27" w:lineRule="exact"/>
        <w:rPr>
          <w:rFonts w:ascii="Times New Roman" w:cs="Times New Roman" w:eastAsia="Times New Roman" w:hAnsi="Times New Roman"/>
          <w:sz w:val="18"/>
          <w:szCs w:val="18"/>
          <w:color w:val="auto"/>
        </w:rPr>
      </w:pPr>
    </w:p>
    <w:p>
      <w:pPr>
        <w:ind w:left="52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2.650% Notes due in 2050 (the "2020 Notes"). Proceeds from the issuance of the 2020 Notes, net of discounts and issuance costs, totaled $989,876. The 2020 Notes were issued under a shelf registration statement on Form S-3 filed in May 2018 that registered an indeterminate amount of debt securities.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60" w:type="dxa"/>
            <w:vAlign w:val="bottom"/>
            <w:gridSpan w:val="4"/>
          </w:tcPr>
          <w:p>
            <w:pPr>
              <w:ind w:left="11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119,496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114,751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111,592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Hershey Company | Q3 2020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80645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17" w:right="3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$594,041 as of September 27, 2020 and $589,662 as of December 31, 2019.</w:t>
      </w:r>
    </w:p>
    <w:p>
      <w:pPr>
        <w:spacing w:after="0" w:line="126" w:lineRule="exact"/>
        <w:rPr>
          <w:sz w:val="20"/>
          <w:szCs w:val="20"/>
          <w:color w:val="auto"/>
        </w:rPr>
      </w:pPr>
    </w:p>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6">
        <w:r>
          <w:rPr>
            <w:rFonts w:ascii="Times New Roman" w:cs="Times New Roman" w:eastAsia="Times New Roman" w:hAnsi="Times New Roman"/>
            <w:sz w:val="18"/>
            <w:szCs w:val="18"/>
            <w:u w:val="single" w:color="auto"/>
            <w:color w:val="0000FF"/>
          </w:rPr>
          <w:t>Note 13</w:t>
        </w:r>
      </w:hyperlink>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and Malaysian ringgit.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$106,753 at September 27, 2020 and $65,826 at December 31, 2019.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$35,488 at September 27, 2020 and $50,831 at December 31, 2019. The change in fair value on these instruments is recorded directly in cost of sales or selling, marketing and administrative expense, depending on the nature of the underlying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September 27, 2020 and December 31, 2019.</w:t>
      </w:r>
    </w:p>
    <w:p>
      <w:pPr>
        <w:spacing w:after="0" w:line="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September 27, 2020 and December 31, 2019 was $27,719 and $28,187,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September 27,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260" w:type="dxa"/>
            <w:vAlign w:val="bottom"/>
          </w:tcPr>
          <w:p>
            <w:pPr>
              <w:spacing w:after="0"/>
              <w:rPr>
                <w:sz w:val="20"/>
                <w:szCs w:val="20"/>
                <w:color w:val="auto"/>
              </w:rPr>
            </w:pPr>
          </w:p>
        </w:tc>
        <w:tc>
          <w:tcPr>
            <w:tcW w:w="29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70"/>
        </w:trPr>
        <w:tc>
          <w:tcPr>
            <w:tcW w:w="4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fair value hedging instruments: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500" w:right="740" w:hanging="330"/>
        <w:spacing w:after="0" w:line="281" w:lineRule="auto"/>
        <w:tabs>
          <w:tab w:leader="none" w:pos="4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80" w:hanging="330"/>
        <w:spacing w:after="0" w:line="258" w:lineRule="auto"/>
        <w:tabs>
          <w:tab w:leader="none" w:pos="4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27, 2020, amounts reflected on a net basis in liabilities were assets of $70,064 and liabilities of $74,530, which are associated with cash transfers receivable or payable on commodities futures contracts reflecting the change in quoted market prices on the last trading day for the period. The comparable amounts reflected on a net basis in assets at December 31, 2019 were assets of $46,075 and liabilities of $37,606. At September 27, 2020 and December 31, 2019, the remaining amount reflected in assets and liabilities related to the fair value of other non-exchange traded derivative instruments,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September 27, 2020 and September 29, 2019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26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20" w:type="dxa"/>
            <w:vAlign w:val="bottom"/>
          </w:tcPr>
          <w:p>
            <w:pPr>
              <w:spacing w:after="0"/>
              <w:rPr>
                <w:sz w:val="13"/>
                <w:szCs w:val="13"/>
                <w:color w:val="auto"/>
              </w:rPr>
            </w:pPr>
          </w:p>
        </w:tc>
        <w:tc>
          <w:tcPr>
            <w:tcW w:w="2400" w:type="dxa"/>
            <w:vAlign w:val="bottom"/>
            <w:gridSpan w:val="3"/>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3"/>
          </w:tcPr>
          <w:p>
            <w:pPr>
              <w:jc w:val="center"/>
              <w:ind w:right="3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20" w:type="dxa"/>
            <w:vAlign w:val="bottom"/>
          </w:tcPr>
          <w:p>
            <w:pPr>
              <w:spacing w:after="0"/>
              <w:rPr>
                <w:sz w:val="18"/>
                <w:szCs w:val="18"/>
                <w:color w:val="auto"/>
              </w:rPr>
            </w:pPr>
          </w:p>
        </w:tc>
        <w:tc>
          <w:tcPr>
            <w:tcW w:w="1560" w:type="dxa"/>
            <w:vAlign w:val="bottom"/>
            <w:gridSpan w:val="2"/>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w w:val="99"/>
              </w:rPr>
              <w:t>income (b)</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34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74,279</w:t>
            </w:r>
          </w:p>
        </w:tc>
        <w:tc>
          <w:tcPr>
            <w:tcW w:w="4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w:t>
            </w:r>
          </w:p>
        </w:tc>
        <w:tc>
          <w:tcPr>
            <w:tcW w:w="4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nine months ended September 27, 2020 and September 29, 2019 was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480" w:type="dxa"/>
            <w:vAlign w:val="bottom"/>
            <w:tcBorders>
              <w:top w:val="single" w:sz="8" w:color="auto"/>
            </w:tcBorders>
            <w:gridSpan w:val="4"/>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16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3"/>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3"/>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AOCI into income (b)</w:t>
            </w:r>
          </w:p>
        </w:tc>
        <w:tc>
          <w:tcPr>
            <w:tcW w:w="0" w:type="dxa"/>
            <w:vAlign w:val="bottom"/>
          </w:tcPr>
          <w:p>
            <w:pPr>
              <w:spacing w:after="0"/>
              <w:rPr>
                <w:sz w:val="1"/>
                <w:szCs w:val="1"/>
                <w:color w:val="auto"/>
              </w:rPr>
            </w:pPr>
          </w:p>
        </w:tc>
      </w:tr>
      <w:tr>
        <w:trPr>
          <w:trHeight w:val="343"/>
        </w:trPr>
        <w:tc>
          <w:tcPr>
            <w:tcW w:w="34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3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5,249</w:t>
            </w:r>
          </w:p>
        </w:tc>
        <w:tc>
          <w:tcPr>
            <w:tcW w:w="36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5,249</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340" w:right="20" w:hanging="332"/>
        <w:spacing w:after="0" w:line="266" w:lineRule="auto"/>
        <w:tabs>
          <w:tab w:leader="none" w:pos="3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20" w:hanging="332"/>
        <w:spacing w:after="0" w:line="312" w:lineRule="auto"/>
        <w:tabs>
          <w:tab w:leader="none" w:pos="3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amount of pretax net losses on derivative instruments, including interest rate swap agreements and foreign currency forward exchange contracts expected to be reclassified into earnings in the next 12 months was approximately $6,062 as of September 27, 2020. This amount is primarily associated with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Hedging Relationships</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Consolidated Balance Sheets related to cumulative basis adjustments for interest rate swap derivatives designated as fair value accounting hedges as of September 27, 2020 and December 31, 2019.</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Line Item in the Consolidated Balance</w:t>
            </w:r>
          </w:p>
        </w:tc>
        <w:tc>
          <w:tcPr>
            <w:tcW w:w="200" w:type="dxa"/>
            <w:vAlign w:val="bottom"/>
          </w:tcPr>
          <w:p>
            <w:pPr>
              <w:spacing w:after="0"/>
              <w:rPr>
                <w:sz w:val="16"/>
                <w:szCs w:val="16"/>
                <w:color w:val="auto"/>
              </w:rPr>
            </w:pPr>
          </w:p>
        </w:tc>
        <w:tc>
          <w:tcPr>
            <w:tcW w:w="392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Carrying Amount of the</w:t>
            </w:r>
          </w:p>
        </w:tc>
        <w:tc>
          <w:tcPr>
            <w:tcW w:w="3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Hedging Adjustment</w:t>
            </w:r>
          </w:p>
        </w:tc>
        <w:tc>
          <w:tcPr>
            <w:tcW w:w="0" w:type="dxa"/>
            <w:vAlign w:val="bottom"/>
          </w:tcPr>
          <w:p>
            <w:pPr>
              <w:spacing w:after="0"/>
              <w:rPr>
                <w:sz w:val="1"/>
                <w:szCs w:val="1"/>
                <w:color w:val="auto"/>
              </w:rPr>
            </w:pPr>
          </w:p>
        </w:tc>
      </w:tr>
      <w:tr>
        <w:trPr>
          <w:trHeight w:val="162"/>
        </w:trPr>
        <w:tc>
          <w:tcPr>
            <w:tcW w:w="3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Sheets in Which the Hedged Item is</w:t>
            </w:r>
          </w:p>
        </w:tc>
        <w:tc>
          <w:tcPr>
            <w:tcW w:w="200" w:type="dxa"/>
            <w:vAlign w:val="bottom"/>
          </w:tcPr>
          <w:p>
            <w:pPr>
              <w:spacing w:after="0"/>
              <w:rPr>
                <w:sz w:val="14"/>
                <w:szCs w:val="14"/>
                <w:color w:val="auto"/>
              </w:rPr>
            </w:pPr>
          </w:p>
        </w:tc>
        <w:tc>
          <w:tcPr>
            <w:tcW w:w="3920" w:type="dxa"/>
            <w:vAlign w:val="bottom"/>
            <w:gridSpan w:val="4"/>
            <w:vMerge w:val="continue"/>
          </w:tcPr>
          <w:p>
            <w:pPr>
              <w:spacing w:after="0"/>
              <w:rPr>
                <w:sz w:val="14"/>
                <w:szCs w:val="14"/>
                <w:color w:val="auto"/>
              </w:rPr>
            </w:pPr>
          </w:p>
        </w:tc>
        <w:tc>
          <w:tcPr>
            <w:tcW w:w="3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Included</w:t>
            </w:r>
          </w:p>
        </w:tc>
        <w:tc>
          <w:tcPr>
            <w:tcW w:w="200" w:type="dxa"/>
            <w:vAlign w:val="bottom"/>
          </w:tcPr>
          <w:p>
            <w:pPr>
              <w:spacing w:after="0"/>
              <w:rPr>
                <w:sz w:val="18"/>
                <w:szCs w:val="18"/>
                <w:color w:val="auto"/>
              </w:rPr>
            </w:pPr>
          </w:p>
        </w:tc>
        <w:tc>
          <w:tcPr>
            <w:tcW w:w="3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Hedged Liability</w:t>
            </w:r>
          </w:p>
        </w:tc>
        <w:tc>
          <w:tcPr>
            <w:tcW w:w="200" w:type="dxa"/>
            <w:vAlign w:val="bottom"/>
          </w:tcPr>
          <w:p>
            <w:pPr>
              <w:spacing w:after="0"/>
              <w:rPr>
                <w:sz w:val="18"/>
                <w:szCs w:val="18"/>
                <w:color w:val="auto"/>
              </w:rPr>
            </w:pPr>
          </w:p>
        </w:tc>
        <w:tc>
          <w:tcPr>
            <w:tcW w:w="3780" w:type="dxa"/>
            <w:vAlign w:val="bottom"/>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Included in the Carrying Amount Assets</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3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25"/>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5,098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27, 2020 and September 29, 2019, we recognized a net pretax benefit to interest expense of $1,389 and net incremental interest expense of $458, respectively, relating to our fixed-to-floating interest swap arrangements. For the nine months ended September 27, 2020 and September 29, 2019, we recognized a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pretax benefit to interest expense of $2,148 and net incremental interest expense of $1,672, respectively, relating to our fixed-to-floating interest swap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20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Assets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29"/>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 agreements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compensation derivatives (3)</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7,286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rate swap agreements (2)</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compensation derivatives (3)</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9,080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r>
      <w:tr>
        <w:trPr>
          <w:trHeight w:val="229"/>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30"/>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 futures and options (4)</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bl>
    <w:p>
      <w:pPr>
        <w:spacing w:after="0" w:line="90" w:lineRule="exact"/>
        <w:rPr>
          <w:sz w:val="20"/>
          <w:szCs w:val="20"/>
          <w:color w:val="auto"/>
        </w:rPr>
      </w:pPr>
    </w:p>
    <w:p>
      <w:pPr>
        <w:ind w:left="660" w:right="2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4"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62"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September 27, 2020 and December 31, 2019 because of the relatively short maturity of these instruments.</w:t>
      </w:r>
    </w:p>
    <w:p>
      <w:pPr>
        <w:spacing w:after="0" w:line="9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5"/>
          </w:tcPr>
          <w:p>
            <w:pPr>
              <w:ind w:left="1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368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703,390</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3,656,540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4,093,172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3,530,813</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4,234,203</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ended September 27, 2020, we recorded the following impairment charges, which use significant unobservable inputs,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as defined by the fair value hierarchy: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330"/>
        <w:spacing w:after="0" w:line="266"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our disposal group classified as held for sale, as discussed in </w:t>
      </w:r>
      <w:hyperlink w:anchor="page21">
        <w:r>
          <w:rPr>
            <w:rFonts w:ascii="Times New Roman" w:cs="Times New Roman" w:eastAsia="Times New Roman" w:hAnsi="Times New Roman"/>
            <w:sz w:val="18"/>
            <w:szCs w:val="18"/>
            <w:u w:val="single" w:color="auto"/>
            <w:color w:val="0000FF"/>
          </w:rPr>
          <w:t>Note 8</w:t>
        </w:r>
      </w:hyperlink>
      <w:r>
        <w:rPr>
          <w:rFonts w:ascii="Times New Roman" w:cs="Times New Roman" w:eastAsia="Times New Roman" w:hAnsi="Times New Roman"/>
          <w:sz w:val="18"/>
          <w:szCs w:val="18"/>
          <w:color w:val="auto"/>
        </w:rPr>
        <w:t>, during 2020, we recorded impairment charges to adjust long-lived asset values. The fair value of the disposal group was supported by potential sales prices with third-party buyers. We expect the sale of the disposal group to be completed during 2020.</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previous sale, the Company wrote-down certain receivables deemed uncollectible.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 Activity</w:t>
      </w:r>
    </w:p>
    <w:p>
      <w:pPr>
        <w:spacing w:after="0" w:line="1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2019, we recorded impairment charges totaling $4,741. These charges were predominantly comprised of select long-lived assets that had not yet met the held for sale criteria.</w:t>
      </w:r>
    </w:p>
    <w:p>
      <w:pPr>
        <w:spacing w:after="0" w:line="94" w:lineRule="exact"/>
        <w:rPr>
          <w:sz w:val="20"/>
          <w:szCs w:val="20"/>
          <w:color w:val="auto"/>
        </w:rPr>
      </w:pPr>
    </w:p>
    <w:p>
      <w:pPr>
        <w:jc w:val="both"/>
        <w:ind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acquisition of ONE Brands in the third quarter of 2019, as discussed in </w:t>
      </w:r>
      <w:hyperlink w:anchor="page11">
        <w:r>
          <w:rPr>
            <w:rFonts w:ascii="Times New Roman" w:cs="Times New Roman" w:eastAsia="Times New Roman" w:hAnsi="Times New Roman"/>
            <w:sz w:val="18"/>
            <w:szCs w:val="18"/>
            <w:u w:val="single" w:color="auto"/>
            <w:color w:val="0000FF"/>
          </w:rPr>
          <w:t>Note 2</w:t>
        </w:r>
      </w:hyperlink>
      <w:r>
        <w:rPr>
          <w:rFonts w:ascii="Times New Roman" w:cs="Times New Roman" w:eastAsia="Times New Roman" w:hAnsi="Times New Roman"/>
          <w:sz w:val="18"/>
          <w:szCs w:val="18"/>
          <w:color w:val="auto"/>
        </w:rPr>
        <w:t>,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a result of the impact of COVID-19 on our ability to operate certain parts of our business, during the nine months ended September 27, 2020, we received immaterial rent concessions primarily on select office space. We will continue to evaluate the nature and extent of potential COVID-19 impacts on our lease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September 27, 2020 and September 29, 2019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3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nine months ended September 27, 2020 and September 29, 2019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3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r>
      <w:tr>
        <w:trPr>
          <w:trHeight w:val="230"/>
        </w:trPr>
        <w:tc>
          <w:tcPr>
            <w:tcW w:w="3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80" w:hanging="31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5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5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0"/>
        </w:trPr>
        <w:tc>
          <w:tcPr>
            <w:tcW w:w="35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5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56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1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229,766</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220,678</w:t>
            </w:r>
          </w:p>
        </w:tc>
      </w:tr>
      <w:tr>
        <w:trPr>
          <w:trHeight w:val="49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101,142</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93,917</w:t>
            </w:r>
          </w:p>
        </w:tc>
      </w:tr>
      <w:tr>
        <w:trPr>
          <w:trHeight w:val="265"/>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314,595</w:t>
            </w:r>
          </w:p>
        </w:tc>
      </w:tr>
      <w:tr>
        <w:trPr>
          <w:trHeight w:val="21"/>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-659130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75,209</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75,564</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293,015</w:t>
            </w:r>
          </w:p>
        </w:tc>
      </w:tr>
      <w:tr>
        <w:trPr>
          <w:trHeight w:val="21"/>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17"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our lease liabilities as of September 27, 2020 were as follows: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(rest of year)</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50,385</w:t>
            </w: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34,896</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30"/>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173,371</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165,336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338,707</w:t>
            </w:r>
          </w:p>
        </w:tc>
      </w:tr>
      <w:tr>
        <w:trPr>
          <w:trHeight w:val="22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190,962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479,062</w:t>
            </w:r>
          </w:p>
        </w:tc>
      </w:tr>
      <w:tr>
        <w:trPr>
          <w:trHeight w:val="230"/>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111,341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176,535</w:t>
            </w:r>
          </w:p>
        </w:tc>
      </w:tr>
      <w:tr>
        <w:trPr>
          <w:trHeight w:val="248"/>
        </w:trPr>
        <w:tc>
          <w:tcPr>
            <w:tcW w:w="3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jc w:val="right"/>
              <w:ind w:right="12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Pr>
          <w:p>
            <w:pPr>
              <w:spacing w:after="0"/>
              <w:rPr>
                <w:sz w:val="18"/>
                <w:szCs w:val="18"/>
                <w:color w:val="auto"/>
              </w:rPr>
            </w:pPr>
          </w:p>
        </w:tc>
        <w:tc>
          <w:tcPr>
            <w:tcW w:w="17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1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29,054</w:t>
            </w: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70"/>
        </w:trPr>
        <w:tc>
          <w:tcPr>
            <w:tcW w:w="7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w:t>
            </w: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ASSETS AND LIABILITIES HELD FOR SALE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September 27, 2020, the following disposal group has been classified as held for sale and stated at the lower of net book value or estimated sales value less costs to sell:</w:t>
      </w:r>
    </w:p>
    <w:p>
      <w:pPr>
        <w:spacing w:after="0" w:line="108" w:lineRule="exact"/>
        <w:rPr>
          <w:sz w:val="20"/>
          <w:szCs w:val="20"/>
          <w:color w:val="auto"/>
        </w:rPr>
      </w:pPr>
    </w:p>
    <w:p>
      <w:pPr>
        <w:ind w:left="660" w:right="2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Lotte Shanghai Foods Co., Ltd. ("LSFC") joint venture, which was taken out of operation and classified as held for sale during the second quarter of 2018. In October 2020, we entered into a definitive agreement to divest LSFC. The transaction is subject to government approval and other customary closing conditions and is expected to close in the fourth quarter of 2020. Total proceeds from the sale of LSFC, net of cash divested, are expected to be immaterial.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classified as assets and liabilities held for sale at September 27, 2020 are not significant.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20" w:type="dxa"/>
            <w:vAlign w:val="bottom"/>
            <w:tcBorders>
              <w:bottom w:val="single" w:sz="8" w:color="auto"/>
            </w:tcBorders>
          </w:tcPr>
          <w:p>
            <w:pPr>
              <w:spacing w:after="0"/>
              <w:rPr>
                <w:sz w:val="18"/>
                <w:szCs w:val="18"/>
                <w:color w:val="auto"/>
              </w:rPr>
            </w:pPr>
          </w:p>
        </w:tc>
      </w:tr>
      <w:tr>
        <w:trPr>
          <w:trHeight w:val="211"/>
        </w:trPr>
        <w:tc>
          <w:tcPr>
            <w:tcW w:w="5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realignment costs (benefits)</w:t>
            </w: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three and nine months ended September 27, 2020 and September 29, 2019 related to these activities were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20" w:type="dxa"/>
            <w:vAlign w:val="bottom"/>
            <w:tcBorders>
              <w:bottom w:val="single" w:sz="8" w:color="auto"/>
            </w:tcBorders>
          </w:tcPr>
          <w:p>
            <w:pPr>
              <w:spacing w:after="0"/>
              <w:rPr>
                <w:sz w:val="18"/>
                <w:szCs w:val="18"/>
                <w:color w:val="auto"/>
              </w:rPr>
            </w:pPr>
          </w:p>
        </w:tc>
      </w:tr>
      <w:tr>
        <w:trPr>
          <w:trHeight w:val="211"/>
        </w:trPr>
        <w:tc>
          <w:tcPr>
            <w:tcW w:w="5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 for Growth Program:</w:t>
            </w: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30"/>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program costs</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nine months ended September 27, 2020:</w:t>
      </w:r>
    </w:p>
    <w:p>
      <w:pPr>
        <w:spacing w:after="0" w:line="52"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Total</w:t>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2020 business realignment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September 27, 2020 (reported within accrued liabilities)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3"/>
              </w:rPr>
              <w:t>9,118</w:t>
            </w:r>
          </w:p>
        </w:tc>
      </w:tr>
      <w:tr>
        <w:trPr>
          <w:trHeight w:val="229"/>
        </w:trPr>
        <w:tc>
          <w:tcPr>
            <w:tcW w:w="740" w:type="dxa"/>
            <w:vAlign w:val="bottom"/>
          </w:tcPr>
          <w:p>
            <w:pPr>
              <w:spacing w:after="0"/>
              <w:rPr>
                <w:sz w:val="19"/>
                <w:szCs w:val="19"/>
                <w:color w:val="auto"/>
              </w:rPr>
            </w:pPr>
          </w:p>
        </w:tc>
        <w:tc>
          <w:tcPr>
            <w:tcW w:w="11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2,170</w:t>
            </w:r>
          </w:p>
        </w:tc>
      </w:tr>
      <w:tr>
        <w:trPr>
          <w:trHeight w:val="234"/>
        </w:trPr>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(8,920)</w:t>
            </w:r>
          </w:p>
        </w:tc>
      </w:tr>
      <w:tr>
        <w:trPr>
          <w:trHeight w:val="223"/>
        </w:trPr>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8"/>
              </w:rPr>
              <w:t>2,368</w:t>
            </w:r>
          </w:p>
        </w:tc>
      </w:tr>
      <w:tr>
        <w:trPr>
          <w:trHeight w:val="21"/>
        </w:trPr>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20" w:space="720"/>
            <w:col w:w="1900"/>
          </w:cols>
          <w:pgMar w:left="320" w:top="117" w:right="339" w:bottom="1440" w:gutter="0" w:footer="0" w:header="0"/>
          <w:type w:val="continuous"/>
        </w:sectPr>
      </w:pP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The costs reflected in the liability roll-forward represent employee-related and certain third-party service provider charges.</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Margin for Growth Program</w:t>
      </w:r>
    </w:p>
    <w:p>
      <w:pPr>
        <w:spacing w:after="0" w:line="90"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In the first quarter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recognized total costs of $2,170 associated with the Margin for Growth Program for the six months ended June 28, 2020, at which time the program was completed. For the three and nine months ended September 29, 2019, we recognized total costs associated with the Margin for Growth Program of $1,606 and $8,468, respectively.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nine months ended September 27, 2020 and September 29, 2019 were 20.1% and 19.2%, respectively. Relative to the statutory rate, the 2020 effective tax rate was impacted by investment tax credits and the benefit of employee share-based payments, partially offset by state taxes.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Hershey and its subsidiaries file tax returns in the United States, including various state and local returns, and in other foreign jurisdictions. We are routinely audited by taxing authorities in our filing jurisdictions, and a number of these audits are currently underway, including multi-year audits at various stages of review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$3,236 within the next 12 months because of the expiration of statutes of limitations and settlements of tax audits.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Coronavirus Aid, Relief, and Economic Security Act</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three and nine months ended September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September 27, 2020 and September 29, 2019 were as follows:</w:t>
      </w:r>
    </w:p>
    <w:p>
      <w:pPr>
        <w:spacing w:after="0" w:line="52" w:lineRule="exact"/>
        <w:rPr>
          <w:sz w:val="20"/>
          <w:szCs w:val="20"/>
          <w:color w:val="auto"/>
        </w:rPr>
      </w:pPr>
    </w:p>
    <w:p>
      <w:pPr>
        <w:jc w:val="right"/>
        <w:ind w:right="120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43548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p>
      <w:pPr>
        <w:spacing w:after="0" w:line="46"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2143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36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September 27, 2020</w:t>
      </w:r>
      <w:r>
        <w:rPr>
          <w:sz w:val="20"/>
          <w:szCs w:val="20"/>
          <w:color w:val="auto"/>
        </w:rPr>
        <w:tab/>
      </w:r>
      <w:r>
        <w:rPr>
          <w:rFonts w:ascii="Times New Roman" w:cs="Times New Roman" w:eastAsia="Times New Roman" w:hAnsi="Times New Roman"/>
          <w:sz w:val="16"/>
          <w:szCs w:val="16"/>
          <w:b w:val="1"/>
          <w:bCs w:val="1"/>
          <w:color w:val="auto"/>
        </w:rPr>
        <w:t>September 29, 2019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September 27, 2020</w:t>
      </w:r>
      <w:r>
        <w:rPr>
          <w:sz w:val="20"/>
          <w:szCs w:val="20"/>
          <w:color w:val="auto"/>
        </w:rPr>
        <w:tab/>
      </w:r>
      <w:r>
        <w:rPr>
          <w:rFonts w:ascii="Times New Roman" w:cs="Times New Roman" w:eastAsia="Times New Roman" w:hAnsi="Times New Roman"/>
          <w:sz w:val="16"/>
          <w:szCs w:val="16"/>
          <w:b w:val="1"/>
          <w:bCs w:val="1"/>
          <w:color w:val="auto"/>
        </w:rPr>
        <w:t>September 29, 2019</w:t>
      </w:r>
    </w:p>
    <w:p>
      <w:pPr>
        <w:spacing w:after="0" w:line="28" w:lineRule="exact"/>
        <w:rPr>
          <w:sz w:val="20"/>
          <w:szCs w:val="20"/>
          <w:color w:val="auto"/>
        </w:rPr>
      </w:pPr>
    </w:p>
    <w:p>
      <w:pPr>
        <w:sectPr>
          <w:pgSz w:w="11900" w:h="16838" w:orient="portrait"/>
          <w:cols w:equalWidth="0" w:num="2">
            <w:col w:w="7460" w:space="380"/>
            <w:col w:w="3260"/>
          </w:cols>
          <w:pgMar w:left="320" w:top="117" w:right="47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made contributions of $748 and $3,157 to the pension plans and other benefits plans, respectively, during the third quarter of 2020. In the third quarter of 2019, we made contributions of $901 and $4,039 to our pension plans and other benefit plans, respectively. The contributions in 2020 and 2019 also included benefit payments from our non-qualified pension plans and post-retirement benefit plans.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nine months ended September 27, 2020 and September 29, 2019 were as follows:</w:t>
      </w:r>
    </w:p>
    <w:p>
      <w:pPr>
        <w:spacing w:after="0" w:line="52" w:lineRule="exact"/>
        <w:rPr>
          <w:sz w:val="20"/>
          <w:szCs w:val="20"/>
          <w:color w:val="auto"/>
        </w:rPr>
      </w:pPr>
    </w:p>
    <w:p>
      <w:pPr>
        <w:ind w:left="5340"/>
        <w:spacing w:after="0"/>
        <w:tabs>
          <w:tab w:leader="none" w:pos="886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4354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p>
      <w:pPr>
        <w:spacing w:after="0" w:line="46"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36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September 27, 2020</w:t>
      </w:r>
      <w:r>
        <w:rPr>
          <w:sz w:val="20"/>
          <w:szCs w:val="20"/>
          <w:color w:val="auto"/>
        </w:rPr>
        <w:tab/>
      </w:r>
      <w:r>
        <w:rPr>
          <w:rFonts w:ascii="Times New Roman" w:cs="Times New Roman" w:eastAsia="Times New Roman" w:hAnsi="Times New Roman"/>
          <w:sz w:val="16"/>
          <w:szCs w:val="16"/>
          <w:b w:val="1"/>
          <w:bCs w:val="1"/>
          <w:color w:val="auto"/>
        </w:rPr>
        <w:t>September 29, 2019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wp:posOffset>
            </wp:positionV>
            <wp:extent cx="2143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September 27, 2020</w:t>
      </w:r>
      <w:r>
        <w:rPr>
          <w:sz w:val="20"/>
          <w:szCs w:val="20"/>
          <w:color w:val="auto"/>
        </w:rPr>
        <w:tab/>
      </w:r>
      <w:r>
        <w:rPr>
          <w:rFonts w:ascii="Times New Roman" w:cs="Times New Roman" w:eastAsia="Times New Roman" w:hAnsi="Times New Roman"/>
          <w:sz w:val="16"/>
          <w:szCs w:val="16"/>
          <w:b w:val="1"/>
          <w:bCs w:val="1"/>
          <w:color w:val="auto"/>
        </w:rPr>
        <w:t>September 29, 2019</w:t>
      </w:r>
    </w:p>
    <w:p>
      <w:pPr>
        <w:spacing w:after="0" w:line="28" w:lineRule="exact"/>
        <w:rPr>
          <w:sz w:val="20"/>
          <w:szCs w:val="20"/>
          <w:color w:val="auto"/>
        </w:rPr>
      </w:pPr>
    </w:p>
    <w:p>
      <w:pPr>
        <w:sectPr>
          <w:pgSz w:w="11900" w:h="16838" w:orient="portrait"/>
          <w:cols w:equalWidth="0" w:num="2">
            <w:col w:w="7460" w:space="380"/>
            <w:col w:w="3260"/>
          </w:cols>
          <w:pgMar w:left="320" w:top="117" w:right="47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made contributions of $1,753 and $10,485 to the pension plans and other benefits plans, respectively, during the first nine months of 2020. In the first nine months of 2019, we made contributions of $2,071 and $11,788 to our pension plans and other benefit plans, respectively. The contributions in 2020 and 2019 also included benefit payments from our non-qualified pension plans and post-retirement benefit plans.</w:t>
      </w:r>
    </w:p>
    <w:p>
      <w:pPr>
        <w:spacing w:after="0" w:line="203" w:lineRule="exact"/>
        <w:rPr>
          <w:sz w:val="20"/>
          <w:szCs w:val="20"/>
          <w:color w:val="auto"/>
        </w:rPr>
      </w:pPr>
    </w:p>
    <w:p>
      <w:pPr>
        <w:jc w:val="both"/>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32">
        <w:r>
          <w:rPr>
            <w:rFonts w:ascii="Times New Roman" w:cs="Times New Roman" w:eastAsia="Times New Roman" w:hAnsi="Times New Roman"/>
            <w:sz w:val="18"/>
            <w:szCs w:val="18"/>
            <w:u w:val="single" w:color="auto"/>
            <w:color w:val="0000FF"/>
          </w:rPr>
          <w:t>Note 18</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The Hershey Company | Q3 2020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second and third quarters of 2020, we recognized pension settlement charges in our hourly retirement plan due to lump sum withdrawals by employees retiring or leaving the Company as a result of the Margin for Growth Program.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2020 settlements, the related plan assets and liabilities were remeasured using a discount rate as of the remeasurement date that was 78 basis points lower than the rate as of December 31, 2019 and an expected rate of return on plan assets of 5.3%.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780" w:type="dxa"/>
            <w:vAlign w:val="bottom"/>
            <w:gridSpan w:val="4"/>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3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39,579</w:t>
            </w:r>
          </w:p>
        </w:tc>
      </w:tr>
      <w:tr>
        <w:trPr>
          <w:trHeight w:val="234"/>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r>
    </w:tbl>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selling, marketing and administrative expense. As of September 27, 2020, total stock-based compensation expense related to non-vested awards not yet recognized was $61,679 and the weighted-average period over which this amount is expected to be recognized was approximately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September 27, 2020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2,420,461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(470,308)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(40,549)</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5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27, 2020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1,924,864</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exercisable as of September 27, 2020</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1,475,833</w:t>
            </w: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$98.02</w:t>
            </w:r>
          </w:p>
        </w:tc>
        <w:tc>
          <w:tcPr>
            <w:tcW w:w="15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4.4 years</w:t>
            </w:r>
          </w:p>
        </w:tc>
        <w:tc>
          <w:tcPr>
            <w:tcW w:w="42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61,246</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was $21.31 and $15.25 per share for the periods ended September 27, 2020 and September 29, 2019, respectively. The fair value was estimated on the date of grant using a Black-Scholes option-pricing model and the following weighted-average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4680" w:type="dxa"/>
            <w:vAlign w:val="bottom"/>
            <w:tcBorders>
              <w:bottom w:val="single" w:sz="8" w:color="auto"/>
            </w:tcBorders>
            <w:gridSpan w:val="3"/>
          </w:tcPr>
          <w:p>
            <w:pPr>
              <w:jc w:val="right"/>
              <w:ind w:right="15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6560" w:type="dxa"/>
            <w:vAlign w:val="bottom"/>
          </w:tcPr>
          <w:p>
            <w:pPr>
              <w:spacing w:after="0"/>
              <w:rPr>
                <w:sz w:val="18"/>
                <w:szCs w:val="18"/>
                <w:color w:val="auto"/>
              </w:rPr>
            </w:pPr>
          </w:p>
        </w:tc>
        <w:tc>
          <w:tcPr>
            <w:tcW w:w="24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yields</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$27,394 and $110,304 for the periods ended September 27, 2020 and September 29, 2019,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September 27, 2020 and September 29, 2019 can range from 0% to 250% of the targeted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3-year term. Compensation expenses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27, 2020 and September 29, 2019, we awarded RSUs to certain executive officers and other key employees under the EICP. We also awarded RSUs to non-employee directors.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September 27, 2020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 equity</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1076"/>
              <w:spacing w:after="0"/>
              <w:rPr>
                <w:sz w:val="20"/>
                <w:szCs w:val="20"/>
                <w:color w:val="auto"/>
              </w:rPr>
            </w:pPr>
            <w:r>
              <w:rPr>
                <w:rFonts w:ascii="Times New Roman" w:cs="Times New Roman" w:eastAsia="Times New Roman" w:hAnsi="Times New Roman"/>
                <w:sz w:val="16"/>
                <w:szCs w:val="16"/>
                <w:b w:val="1"/>
                <w:bCs w:val="1"/>
                <w:color w:val="auto"/>
              </w:rPr>
              <w:t>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1,089,916</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(350,776)</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September 27, 2020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899,030</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6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300" w:type="dxa"/>
            <w:vAlign w:val="bottom"/>
          </w:tcPr>
          <w:p>
            <w:pPr>
              <w:spacing w:after="0"/>
              <w:rPr>
                <w:sz w:val="18"/>
                <w:szCs w:val="18"/>
                <w:color w:val="auto"/>
              </w:rPr>
            </w:pPr>
          </w:p>
        </w:tc>
        <w:tc>
          <w:tcPr>
            <w:tcW w:w="2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32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340,526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478,145</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162.08</w:t>
            </w:r>
          </w:p>
        </w:tc>
        <w:tc>
          <w:tcPr>
            <w:tcW w:w="120" w:type="dxa"/>
            <w:vAlign w:val="bottom"/>
          </w:tcPr>
          <w:p>
            <w:pPr>
              <w:spacing w:after="0"/>
              <w:rPr>
                <w:sz w:val="20"/>
                <w:szCs w:val="20"/>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Estimated values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yields</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$52,181 and $48,355 for the periods ended September 27, 2020 and September 29, 2019, respectively.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251,246 units as of September 27, 2020. Each unit is equivalent to one share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91%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9" w:lineRule="exact"/>
        <w:rPr>
          <w:sz w:val="20"/>
          <w:szCs w:val="20"/>
          <w:color w:val="auto"/>
        </w:rPr>
      </w:pPr>
    </w:p>
    <w:p>
      <w:pPr>
        <w:ind w:left="660" w:right="20" w:hanging="328"/>
        <w:spacing w:after="0" w:line="26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as well as our grocery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16" w:lineRule="exact"/>
        <w:rPr>
          <w:rFonts w:ascii="Times New Roman" w:cs="Times New Roman" w:eastAsia="Times New Roman" w:hAnsi="Times New Roman"/>
          <w:sz w:val="18"/>
          <w:szCs w:val="18"/>
          <w:b w:val="1"/>
          <w:bCs w:val="1"/>
          <w:i w:val="1"/>
          <w:iCs w:val="1"/>
          <w:color w:val="auto"/>
        </w:rPr>
      </w:pPr>
    </w:p>
    <w:p>
      <w:pPr>
        <w:ind w:left="660" w:right="20" w:hanging="328"/>
        <w:spacing w:after="0" w:line="257"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and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and Other is a combination of all other operating segments that are not individually material,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9" w:lineRule="exact"/>
        <w:rPr>
          <w:sz w:val="20"/>
          <w:szCs w:val="20"/>
          <w:color w:val="auto"/>
        </w:rPr>
      </w:pPr>
    </w:p>
    <w:p>
      <w:pPr>
        <w:ind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in </w:t>
      </w:r>
      <w:hyperlink w:anchor="page13">
        <w:r>
          <w:rPr>
            <w:rFonts w:ascii="Times New Roman" w:cs="Times New Roman" w:eastAsia="Times New Roman" w:hAnsi="Times New Roman"/>
            <w:sz w:val="18"/>
            <w:szCs w:val="18"/>
            <w:u w:val="single" w:color="auto"/>
            <w:color w:val="0000FF"/>
          </w:rPr>
          <w:t>Note 5</w:t>
        </w:r>
      </w:hyperlink>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net sales and earnings were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3300" w:type="dxa"/>
            <w:vAlign w:val="bottom"/>
            <w:gridSpan w:val="4"/>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21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5,442,760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5,269,031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and 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649,096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2,134,422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5,964,475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5,918,127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1,606,047</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International and Other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1,762,763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1,687,678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378,162</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(gains) losses on</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Long-lived asset impairment charges (see </w:t>
            </w:r>
            <w:hyperlink w:anchor="page17">
              <w:r>
                <w:rPr>
                  <w:rFonts w:ascii="Times New Roman" w:cs="Times New Roman" w:eastAsia="Times New Roman" w:hAnsi="Times New Roman"/>
                  <w:sz w:val="18"/>
                  <w:szCs w:val="18"/>
                  <w:u w:val="single" w:color="auto"/>
                  <w:color w:val="0000FF"/>
                </w:rPr>
                <w:t>Note 6</w:t>
              </w:r>
            </w:hyperlink>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0" w:type="dxa"/>
            <w:vAlign w:val="bottom"/>
          </w:tcPr>
          <w:p>
            <w:pPr>
              <w:spacing w:after="0"/>
              <w:rPr>
                <w:sz w:val="1"/>
                <w:szCs w:val="1"/>
                <w:color w:val="auto"/>
              </w:rPr>
            </w:pPr>
          </w:p>
        </w:tc>
      </w:tr>
      <w:tr>
        <w:trPr>
          <w:trHeight w:val="176"/>
        </w:trPr>
        <w:tc>
          <w:tcPr>
            <w:tcW w:w="4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2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21">
              <w:r>
                <w:rPr>
                  <w:rFonts w:ascii="Times New Roman" w:cs="Times New Roman" w:eastAsia="Times New Roman" w:hAnsi="Times New Roman"/>
                  <w:sz w:val="18"/>
                  <w:szCs w:val="18"/>
                  <w:u w:val="single" w:color="auto"/>
                  <w:color w:val="0000FF"/>
                </w:rPr>
                <w:t>Note 9</w:t>
              </w:r>
            </w:hyperlink>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611,410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460,815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1,377,583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1,309,754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net (see </w:t>
            </w:r>
            <w:hyperlink w:anchor="page12">
              <w:r>
                <w:rPr>
                  <w:rFonts w:ascii="Times New Roman" w:cs="Times New Roman" w:eastAsia="Times New Roman" w:hAnsi="Times New Roman"/>
                  <w:sz w:val="18"/>
                  <w:szCs w:val="18"/>
                  <w:u w:val="single" w:color="auto"/>
                  <w:color w:val="0000FF"/>
                </w:rPr>
                <w:t>Note 4</w:t>
              </w:r>
            </w:hyperlink>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(income) expense, net (see </w:t>
            </w:r>
            <w:hyperlink w:anchor="page32">
              <w:r>
                <w:rPr>
                  <w:rFonts w:ascii="Times New Roman" w:cs="Times New Roman" w:eastAsia="Times New Roman" w:hAnsi="Times New Roman"/>
                  <w:sz w:val="18"/>
                  <w:szCs w:val="18"/>
                  <w:u w:val="single" w:color="auto"/>
                  <w:color w:val="0000FF"/>
                </w:rPr>
                <w:t>Note 18</w:t>
              </w:r>
            </w:hyperlink>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1,166,463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right="1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8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157"/>
        </w:trPr>
        <w:tc>
          <w:tcPr>
            <w:tcW w:w="51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(gains) losses on mark-to-market valuation of commodity</w:t>
            </w:r>
          </w:p>
        </w:tc>
        <w:tc>
          <w:tcPr>
            <w:tcW w:w="4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(74,279)</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positions recognized in income</w:t>
            </w:r>
          </w:p>
        </w:tc>
        <w:tc>
          <w:tcPr>
            <w:tcW w:w="4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gains on commodity derivative positions reclassified from</w:t>
            </w:r>
          </w:p>
        </w:tc>
        <w:tc>
          <w:tcPr>
            <w:tcW w:w="4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to segment income</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1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(gains) losses on mark-to-market valuation of commodity</w:t>
            </w: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positions recognized in unallocated derivative (gains)</w:t>
            </w: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losses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2020, the cumulative amount of mark-to-market gains on commodity derivatives that have been recognized in our consolidated cost of sales and not yet allocated to reportable segments was $58,484. Based on our forecasts of the timing of the recognition of the underlying hedged items, we expect to reclassify net pretax gains on commodity derivatives of $28,708 to segment operating results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00" w:type="dxa"/>
            <w:vAlign w:val="bottom"/>
            <w:gridSpan w:val="4"/>
          </w:tcPr>
          <w:p>
            <w:pPr>
              <w:jc w:val="right"/>
              <w:ind w:right="12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9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2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165,977</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and Other</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21,866</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30,998</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218,841</w:t>
            </w:r>
          </w:p>
        </w:tc>
      </w:tr>
      <w:tr>
        <w:trPr>
          <w:trHeight w:val="21"/>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20" w:type="dxa"/>
            <w:vAlign w:val="bottom"/>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1,914,316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5,185,858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5,019,119</w:t>
            </w:r>
          </w:p>
        </w:tc>
      </w:tr>
      <w:tr>
        <w:trPr>
          <w:trHeight w:val="230"/>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899,008</w:t>
            </w: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2,219,829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2,134,422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5,964,475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5,918,127</w:t>
            </w:r>
          </w:p>
        </w:tc>
      </w:tr>
      <w:tr>
        <w:trPr>
          <w:trHeight w:val="21"/>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3720" w:type="dxa"/>
            <w:vAlign w:val="bottom"/>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Confectionery and confectionery-based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2,078,582</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2,022,641</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5,578,997</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5,609,796</w:t>
            </w: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portfolio</w:t>
            </w:r>
          </w:p>
        </w:tc>
        <w:tc>
          <w:tcPr>
            <w:tcW w:w="20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Snacks portfolio</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2,219,829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2,134,422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5,964,475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5,918,127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21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Nine Months Ended September 27,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31"/>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in the open market under pre-approved share repurchase programs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951,138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5"/>
        </w:trPr>
        <w:tc>
          <w:tcPr>
            <w:tcW w:w="8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to replace Treasury Stock issued for stock options and incentive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repurchases</w:t>
            </w:r>
          </w:p>
        </w:tc>
        <w:tc>
          <w:tcPr>
            <w:tcW w:w="1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1,401,138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for stock options and incentive compensation</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702,501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2018, our Board of Directors approved a $500,000 share repurchase authorization to repurchase shares of our Common Stock. As of September 27, 2020, $260,000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NONCONTROLLING INTEREST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Subsidiary</w:t>
      </w:r>
    </w:p>
    <w:p>
      <w:pPr>
        <w:spacing w:after="0" w:line="108" w:lineRule="exact"/>
        <w:rPr>
          <w:sz w:val="20"/>
          <w:szCs w:val="20"/>
          <w:color w:val="auto"/>
        </w:rPr>
      </w:pPr>
    </w:p>
    <w:p>
      <w:pPr>
        <w:ind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currently own a 50% controlling interest in LSFC, a joint venture established in 2007 in China for the purpose of manufacturing and selling product to the joint venture partners. As discussed in </w:t>
      </w:r>
      <w:hyperlink w:anchor="page21">
        <w:r>
          <w:rPr>
            <w:rFonts w:ascii="Times New Roman" w:cs="Times New Roman" w:eastAsia="Times New Roman" w:hAnsi="Times New Roman"/>
            <w:sz w:val="18"/>
            <w:szCs w:val="18"/>
            <w:u w:val="single" w:color="auto"/>
            <w:color w:val="0000FF"/>
          </w:rPr>
          <w:t>Note 8</w:t>
        </w:r>
      </w:hyperlink>
      <w:r>
        <w:rPr>
          <w:rFonts w:ascii="Times New Roman" w:cs="Times New Roman" w:eastAsia="Times New Roman" w:hAnsi="Times New Roman"/>
          <w:sz w:val="18"/>
          <w:szCs w:val="18"/>
          <w:color w:val="auto"/>
        </w:rPr>
        <w:t>, in October 2020, we entered into a definitive agreement to divest LSFC.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showing the 2020 activity relating to the noncontrolling interest follows: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934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foreign currency translation adjustments</w:t>
            </w: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27, 2020</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1"/>
        </w:trPr>
        <w:tc>
          <w:tcPr>
            <w:tcW w:w="9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0"/>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2020 net loss attributable to the noncontrolling interest reflects the 50% allocation of LSFC-related business realignment and impairment costs (see </w:t>
      </w:r>
      <w:hyperlink w:anchor="page21">
        <w:r>
          <w:rPr>
            <w:rFonts w:ascii="Times New Roman" w:cs="Times New Roman" w:eastAsia="Times New Roman" w:hAnsi="Times New Roman"/>
            <w:sz w:val="18"/>
            <w:szCs w:val="18"/>
            <w:u w:val="single" w:color="auto"/>
            <w:color w:val="0000FF"/>
          </w:rPr>
          <w:t>Note 9</w:t>
        </w:r>
      </w:hyperlink>
      <w:r>
        <w:rPr>
          <w:rFonts w:ascii="Times New Roman" w:cs="Times New Roman" w:eastAsia="Times New Roman" w:hAnsi="Times New Roman"/>
          <w:sz w:val="18"/>
          <w:szCs w:val="18"/>
          <w:color w:val="000000"/>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26"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We compute basic and diluted earnings per share based on the weighted-average number of shares of Common Stock and Class B common stock outstanding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4"/>
                <w:szCs w:val="14"/>
                <w:color w:val="auto"/>
              </w:rPr>
            </w:pPr>
          </w:p>
        </w:tc>
        <w:tc>
          <w:tcPr>
            <w:tcW w:w="9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77,053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45,156</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87,707</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325,922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121,361</w:t>
            </w:r>
          </w:p>
        </w:tc>
        <w:tc>
          <w:tcPr>
            <w:tcW w:w="2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87,707</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 Common</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121,044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87,387</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stock options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September 27, 2020 excluded 15 stock options (in thousands) that would have been antidilutive. There were no antidilutive stock options for the three months ended September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300" w:type="dxa"/>
            <w:vAlign w:val="bottom"/>
          </w:tcPr>
          <w:p>
            <w:pPr>
              <w:spacing w:after="0"/>
              <w:rPr>
                <w:sz w:val="18"/>
                <w:szCs w:val="18"/>
                <w:color w:val="auto"/>
              </w:rPr>
            </w:pPr>
          </w:p>
        </w:tc>
        <w:tc>
          <w:tcPr>
            <w:tcW w:w="204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122,076</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132,036</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254,112</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719,692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267,629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688,393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254,112</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 Common</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266,975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253,331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stock options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nine months ended September 27, 2020 and September 29, 2019 excluded 15 and 1,476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Hershey Company | Q3 2020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(INCOME) EXPENSE, NET</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29, 2019</w:t>
            </w:r>
          </w:p>
        </w:tc>
        <w:tc>
          <w:tcPr>
            <w:tcW w:w="100" w:type="dxa"/>
            <w:vAlign w:val="bottom"/>
          </w:tcPr>
          <w:p>
            <w:pPr>
              <w:spacing w:after="0"/>
              <w:rPr>
                <w:sz w:val="19"/>
                <w:szCs w:val="19"/>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 2020</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29, 2019</w:t>
            </w: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Write-down of equity investments in partnership qualifying</w:t>
            </w:r>
          </w:p>
        </w:tc>
        <w:tc>
          <w:tcPr>
            <w:tcW w:w="4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w:t>
            </w: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historic and solar tax credits (see </w:t>
            </w:r>
            <w:hyperlink w:anchor="page22">
              <w:r>
                <w:rPr>
                  <w:rFonts w:ascii="Times New Roman" w:cs="Times New Roman" w:eastAsia="Times New Roman" w:hAnsi="Times New Roman"/>
                  <w:sz w:val="18"/>
                  <w:szCs w:val="18"/>
                  <w:u w:val="single" w:color="auto"/>
                  <w:color w:val="0000FF"/>
                </w:rPr>
                <w:t>Note 10</w:t>
              </w:r>
            </w:hyperlink>
            <w:r>
              <w:rPr>
                <w:rFonts w:ascii="Times New Roman" w:cs="Times New Roman" w:eastAsia="Times New Roman" w:hAnsi="Times New Roman"/>
                <w:sz w:val="18"/>
                <w:szCs w:val="18"/>
                <w:color w:val="auto"/>
              </w:rPr>
              <w:t>)</w:t>
            </w:r>
          </w:p>
        </w:tc>
        <w:tc>
          <w:tcPr>
            <w:tcW w:w="4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Non-service cost components of net periodic benefit cost</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relating to pension and other post-retirement benefit plans</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22">
              <w:r>
                <w:rPr>
                  <w:rFonts w:ascii="Times New Roman" w:cs="Times New Roman" w:eastAsia="Times New Roman" w:hAnsi="Times New Roman"/>
                  <w:sz w:val="18"/>
                  <w:szCs w:val="18"/>
                  <w:u w:val="single" w:color="auto"/>
                  <w:color w:val="0000FF"/>
                </w:rPr>
                <w:t>Note 11</w:t>
              </w:r>
            </w:hyperlink>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2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Hershey Company | Q3 2020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BALANCE SHEET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Consolidated Balance Sheet accounts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Raw materials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326,556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271,125</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Goods in process</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98,842</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614,698</w:t>
            </w:r>
          </w:p>
        </w:tc>
      </w:tr>
      <w:tr>
        <w:trPr>
          <w:trHeight w:val="212"/>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at FIFO</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984,665</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Adjustment to LIFO</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(175,204)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(169,414)</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958,483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815,251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84,058</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157,096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156,022</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213,211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240,080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105,627</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Buildings</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1,369,028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1,298,985</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3,120,003</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209,788</w:t>
            </w:r>
          </w:p>
        </w:tc>
      </w:tr>
      <w:tr>
        <w:trPr>
          <w:trHeight w:val="212"/>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4,838,592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4,734,403</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(2,655,216)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(2,581,264)</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2,183,376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2,153,139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175,138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153,842</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220,678</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149,207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137,480</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554,111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compensation and benefits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191,119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230,518</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Advertising, promotion and product allowances</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279,440</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29,209</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163,205</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730,947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702,372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Post-retirement benefits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211,206</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benefits liabilities</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58,773</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184,163</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204,587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201,635</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(83,704)</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benefit plans, net of tax</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(189,187)</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flow hedges, net of tax</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(51,075)</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(352,307)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Hershey Company | Q3 2020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4" w:name="page35"/>
    <w:bookmarkEnd w:id="34"/>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2019 Annual Report on Form 10-K, our Quarterly Report on Form 10-Q for the quarterly period ended March 29, 2020, and our Current Report on Form 8-K filed May 27, 2020 for information concerning the key risks to achieving future performance goals.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Overview</w:t>
        </w:r>
      </w:hyperlink>
    </w:p>
    <w:p>
      <w:pPr>
        <w:spacing w:after="0" w:line="63" w:lineRule="exact"/>
        <w:rPr>
          <w:rFonts w:ascii="Times New Roman" w:cs="Times New Roman" w:eastAsia="Times New Roman" w:hAnsi="Times New Roman"/>
          <w:sz w:val="18"/>
          <w:szCs w:val="18"/>
          <w:u w:val="single" w:color="auto"/>
          <w:color w:val="0000FF"/>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Trends Affecting Our Business</w:t>
        </w:r>
      </w:hyperlink>
    </w:p>
    <w:p>
      <w:pPr>
        <w:spacing w:after="0" w:line="63" w:lineRule="exact"/>
        <w:rPr>
          <w:rFonts w:ascii="Times New Roman" w:cs="Times New Roman" w:eastAsia="Times New Roman" w:hAnsi="Times New Roman"/>
          <w:sz w:val="18"/>
          <w:szCs w:val="18"/>
          <w:u w:val="single" w:color="auto"/>
          <w:color w:val="0000FF"/>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Consolidated Results of Operations</w:t>
        </w:r>
      </w:hyperlink>
    </w:p>
    <w:p>
      <w:pPr>
        <w:spacing w:after="0" w:line="63" w:lineRule="exact"/>
        <w:rPr>
          <w:rFonts w:ascii="Times New Roman" w:cs="Times New Roman" w:eastAsia="Times New Roman" w:hAnsi="Times New Roman"/>
          <w:sz w:val="18"/>
          <w:szCs w:val="18"/>
          <w:u w:val="single" w:color="auto"/>
          <w:color w:val="0000FF"/>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Segment Results</w:t>
        </w:r>
      </w:hyperlink>
    </w:p>
    <w:p>
      <w:pPr>
        <w:spacing w:after="0" w:line="63" w:lineRule="exact"/>
        <w:rPr>
          <w:rFonts w:ascii="Times New Roman" w:cs="Times New Roman" w:eastAsia="Times New Roman" w:hAnsi="Times New Roman"/>
          <w:sz w:val="18"/>
          <w:szCs w:val="18"/>
          <w:u w:val="single" w:color="auto"/>
          <w:color w:val="0000FF"/>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Liquidity and Capital Resources</w:t>
        </w:r>
      </w:hyperlink>
    </w:p>
    <w:p>
      <w:pPr>
        <w:spacing w:after="0" w:line="63" w:lineRule="exact"/>
        <w:rPr>
          <w:rFonts w:ascii="Times New Roman" w:cs="Times New Roman" w:eastAsia="Times New Roman" w:hAnsi="Times New Roman"/>
          <w:sz w:val="18"/>
          <w:szCs w:val="18"/>
          <w:u w:val="single" w:color="auto"/>
          <w:color w:val="0000FF"/>
        </w:rPr>
      </w:pPr>
    </w:p>
    <w:p>
      <w:pPr>
        <w:ind w:left="900" w:hanging="568"/>
        <w:spacing w:after="0"/>
        <w:tabs>
          <w:tab w:leader="none" w:pos="900" w:val="left"/>
        </w:tabs>
        <w:numPr>
          <w:ilvl w:val="0"/>
          <w:numId w:val="15"/>
        </w:numPr>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Safe Harbor Statement</w:t>
        </w:r>
      </w:hyperlink>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("U.S.") and a global leader in chocolate and non-chocolate confectionery. We market, sell and distribute our products under more than 80 brand names in approximately 85 countries worldwide.</w:t>
      </w:r>
    </w:p>
    <w:p>
      <w:pPr>
        <w:spacing w:after="0" w:line="122" w:lineRule="exact"/>
        <w:rPr>
          <w:rFonts w:ascii="Times New Roman" w:cs="Times New Roman" w:eastAsia="Times New Roman" w:hAnsi="Times New Roman"/>
          <w:sz w:val="18"/>
          <w:szCs w:val="18"/>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report our operations through two segments: North America and International and Other. The majority of our products are confectionery or confectionery-based and include chocolate and non-chocolate confectionery products, gum and mint refreshment products, spreads, snack bites and mixes, as well as pantry items such as baking ingredients, toppings and sundae syrups. The confectionery and confectionery-based portfolio is predominantly sold under the renowned brands of </w:t>
      </w:r>
      <w:r>
        <w:rPr>
          <w:rFonts w:ascii="Times New Roman" w:cs="Times New Roman" w:eastAsia="Times New Roman" w:hAnsi="Times New Roman"/>
          <w:sz w:val="18"/>
          <w:szCs w:val="18"/>
          <w:i w:val="1"/>
          <w:iCs w:val="1"/>
          <w:color w:val="auto"/>
        </w:rPr>
        <w:t>Hershey's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Kisses</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Kit Kat®, Jolly Rancher, Ice Breakers, Twizzlers, Heath, Payday, Cadbury</w:t>
      </w:r>
      <w:r>
        <w:rPr>
          <w:rFonts w:ascii="Times New Roman" w:cs="Times New Roman" w:eastAsia="Times New Roman" w:hAnsi="Times New Roman"/>
          <w:sz w:val="18"/>
          <w:szCs w:val="18"/>
          <w:color w:val="auto"/>
        </w:rPr>
        <w:t xml:space="preserve"> and a variety of other popular brands. Our snacks portfolio includes ready-to-eat popcorn, baked and trans fat free snacks, protein bars and other better-for-you snacks. The snacks portfolio is predominantly sold under the brands of </w:t>
      </w:r>
      <w:r>
        <w:rPr>
          <w:rFonts w:ascii="Times New Roman" w:cs="Times New Roman" w:eastAsia="Times New Roman" w:hAnsi="Times New Roman"/>
          <w:sz w:val="18"/>
          <w:szCs w:val="18"/>
          <w:i w:val="1"/>
          <w:iCs w:val="1"/>
          <w:color w:val="auto"/>
        </w:rPr>
        <w:t>SkinnyPop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Pirate's Booty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 Bar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Paqui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Oatmega</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73" w:lineRule="exact"/>
        <w:rPr>
          <w:rFonts w:ascii="Times New Roman" w:cs="Times New Roman" w:eastAsia="Times New Roman" w:hAnsi="Times New Roman"/>
          <w:sz w:val="18"/>
          <w:szCs w:val="18"/>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 xml:space="preserve">During the second quarter of 2020, we completed the divestitures of KRAVE Pure Foods, Inc. ("Krave")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Total proceeds from the divestitures and the impact on our Consolidated Statements of Income, both individually and on an aggregate basis, were immaterial.</w:t>
      </w:r>
    </w:p>
    <w:p>
      <w:pPr>
        <w:spacing w:after="0" w:line="21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2020, the World Health Organization designated the novel coronavirus ("COVID-19") as a global pandemic. COVID-19 was first detected in Wuhan City, Hubei Province, China and continued to spread, significantly impacting various markets around the world, including the U.S. Various policies and initiatives have been implemented to reduce the global transmission of COVID-19.</w:t>
      </w:r>
    </w:p>
    <w:p>
      <w:pPr>
        <w:spacing w:after="0" w:line="203" w:lineRule="exact"/>
        <w:rPr>
          <w:rFonts w:ascii="Times New Roman" w:cs="Times New Roman" w:eastAsia="Times New Roman" w:hAnsi="Times New Roman"/>
          <w:sz w:val="18"/>
          <w:szCs w:val="18"/>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Hershey Company | Q3 2020 Form 10-Q | Page 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ind w:right="60"/>
        <w:spacing w:after="0" w:line="266" w:lineRule="auto"/>
        <w:rPr>
          <w:sz w:val="20"/>
          <w:szCs w:val="20"/>
          <w:color w:val="auto"/>
        </w:rPr>
      </w:pPr>
      <w:r>
        <w:rPr>
          <w:rFonts w:ascii="Times New Roman" w:cs="Times New Roman" w:eastAsia="Times New Roman" w:hAnsi="Times New Roman"/>
          <w:sz w:val="18"/>
          <w:szCs w:val="18"/>
          <w:color w:val="auto"/>
        </w:rPr>
        <w:t>person-to-person interaction and increasing safety measures. At the onset of the pandemic, the Company temporarily closed all Hershey's Chocolate World stores in the U.S. (3 locations), Niagara Falls (Ontario) and Singapore; however, since July, all locations were re-opened on a limited capacity basis with increased safety measures and enforced social distancing.</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June, we commenced a phased 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our business units, contract manufacturers, distributors, contractors and other external business partners to minimize the potential impact on our business.</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we have sufficient liquidity to satisfy our cash needs; however, we continue to evaluate and take action, as necessary, to preserve adequate liquidity and ensure that our business can continue to operate during these uncertain times. Our most recent liquidity measures include the $1 billion Notes issuance in May 2020 with varying rates ranging from 0.900% to 2.650% and maturity dates ranging from 2025 to 2050. Additionally, we continue to limit discretionary spending across the organization and re-prioritize our capital projects amid the COVID-19 pandemic. We plan to move forward with our new global enterprise resource planning (“ERP”) system implementation and supply chain capacity projects, as these investments are of strategic importance to our long-term growth. However, as previously announced, we did selectively pause certain aspects of the ERP system implementation due to resource constraints and challenges associated with the critical design phase during these uncertain times. We expect this to delay our overall ERP implementation by approximately one year.</w:t>
      </w:r>
    </w:p>
    <w:p>
      <w:pPr>
        <w:spacing w:after="0" w:line="219" w:lineRule="exact"/>
        <w:rPr>
          <w:sz w:val="20"/>
          <w:szCs w:val="20"/>
          <w:color w:val="auto"/>
        </w:rPr>
      </w:pPr>
    </w:p>
    <w:p>
      <w:pPr>
        <w:ind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late May and early June, many state governments began a phased reopening of their economies. These phased approaches promoted limited food service offerings, outdoor dining, increased travel and the reopening of retailing establishments while adhering to new guidelines and enhanced safety measures, including social distancing and face mask protocols. As a result, we experienced an increase in our net sales and income during the three and nine months ended September 27, 2020. Unfavorable impacts from COVID-19 were primarily limited to our International and Other segment (see </w:t>
      </w:r>
      <w:hyperlink w:anchor="page40">
        <w:r>
          <w:rPr>
            <w:rFonts w:ascii="Times New Roman" w:cs="Times New Roman" w:eastAsia="Times New Roman" w:hAnsi="Times New Roman"/>
            <w:sz w:val="18"/>
            <w:szCs w:val="18"/>
            <w:u w:val="single" w:color="auto"/>
            <w:color w:val="0000FF"/>
          </w:rPr>
          <w:t>Segment Results</w:t>
        </w:r>
      </w:hyperlink>
      <w:r>
        <w:rPr>
          <w:rFonts w:ascii="Times New Roman" w:cs="Times New Roman" w:eastAsia="Times New Roman" w:hAnsi="Times New Roman"/>
          <w:sz w:val="18"/>
          <w:szCs w:val="18"/>
          <w:color w:val="auto"/>
        </w:rPr>
        <w:t xml:space="preserve"> included in this MD&amp;A). We believe the financial impacts from COVID-19 are temporary in nature and do not significantly affect our business model and growth strategy.</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recent reopening approaches have made a short-term positive impact on local and state economies and the U.S. unemployment rate, certain states have modified reopening plans as new cases of COVID-19 have been on the rise in recent weeks, leading to new trends in outbreaks and hotspots. Additionally, there are concerns regarding another new wave of COVID-19 as the weather gets cooler and gatherings begin to move indoors. Based on the length and severity of COVID-19, we may experience continued volatility in retail foot traffic, consumer shopping and consumption behavior. We will continue to evaluate the nature and extent of these potential impacts to our business, consolidated results of operations, segment results,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4"/>
                <w:szCs w:val="14"/>
                <w:color w:val="auto"/>
              </w:rPr>
            </w:pPr>
          </w:p>
        </w:tc>
        <w:tc>
          <w:tcPr>
            <w:tcW w:w="1100" w:type="dxa"/>
            <w:vAlign w:val="bottom"/>
          </w:tcPr>
          <w:p>
            <w:pPr>
              <w:jc w:val="right"/>
              <w:ind w:right="19"/>
              <w:spacing w:after="0" w:line="161"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4"/>
                <w:szCs w:val="14"/>
                <w:color w:val="auto"/>
              </w:rPr>
            </w:pPr>
          </w:p>
        </w:tc>
        <w:tc>
          <w:tcPr>
            <w:tcW w:w="1140" w:type="dxa"/>
            <w:vAlign w:val="bottom"/>
            <w:gridSpan w:val="2"/>
          </w:tcPr>
          <w:p>
            <w:pPr>
              <w:ind w:left="260"/>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4"/>
                <w:szCs w:val="14"/>
                <w:color w:val="auto"/>
              </w:rPr>
            </w:pPr>
          </w:p>
        </w:tc>
        <w:tc>
          <w:tcPr>
            <w:tcW w:w="12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4"/>
                <w:szCs w:val="14"/>
                <w:color w:val="auto"/>
              </w:rPr>
            </w:pPr>
          </w:p>
        </w:tc>
        <w:tc>
          <w:tcPr>
            <w:tcW w:w="1100" w:type="dxa"/>
            <w:vAlign w:val="bottom"/>
          </w:tcPr>
          <w:p>
            <w:pPr>
              <w:jc w:val="right"/>
              <w:ind w:right="19"/>
              <w:spacing w:after="0" w:line="161"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4"/>
                <w:szCs w:val="14"/>
                <w:color w:val="auto"/>
              </w:rPr>
            </w:pPr>
          </w:p>
        </w:tc>
        <w:tc>
          <w:tcPr>
            <w:tcW w:w="1040" w:type="dxa"/>
            <w:vAlign w:val="bottom"/>
          </w:tcPr>
          <w:p>
            <w:pPr>
              <w:jc w:val="right"/>
              <w:ind w:right="179"/>
              <w:spacing w:after="0" w:line="161"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5,918.1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1,191.1</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3,207.6</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44.2 %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45.8 %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SM&amp;A Expense</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22.6 %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23.5 %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92.8 %</w:t>
            </w:r>
          </w:p>
        </w:tc>
        <w:tc>
          <w:tcPr>
            <w:tcW w:w="0" w:type="dxa"/>
            <w:vAlign w:val="bottom"/>
          </w:tcPr>
          <w:p>
            <w:pPr>
              <w:spacing w:after="0"/>
              <w:rPr>
                <w:sz w:val="1"/>
                <w:szCs w:val="1"/>
                <w:color w:val="auto"/>
              </w:rPr>
            </w:pPr>
          </w:p>
        </w:tc>
      </w:tr>
      <w:tr>
        <w:trPr>
          <w:trHeight w:val="213"/>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Business Realignment Costs (Benefits)</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460.8</w:t>
            </w:r>
          </w:p>
        </w:tc>
        <w:tc>
          <w:tcPr>
            <w:tcW w:w="1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1,309.8</w:t>
            </w:r>
          </w:p>
        </w:tc>
        <w:tc>
          <w:tcPr>
            <w:tcW w:w="1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21.6 %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Net Income Including Noncontrolling Interest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3"/>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1,793.6 %</w:t>
            </w:r>
          </w:p>
        </w:tc>
        <w:tc>
          <w:tcPr>
            <w:tcW w:w="0" w:type="dxa"/>
            <w:vAlign w:val="bottom"/>
          </w:tcPr>
          <w:p>
            <w:pPr>
              <w:spacing w:after="0"/>
              <w:rPr>
                <w:sz w:val="1"/>
                <w:szCs w:val="1"/>
                <w:color w:val="auto"/>
              </w:rPr>
            </w:pPr>
          </w:p>
        </w:tc>
      </w:tr>
      <w:tr>
        <w:trPr>
          <w:trHeight w:val="237"/>
        </w:trPr>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Net Income Attributable to The Hershey Company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325.3</w:t>
            </w:r>
          </w:p>
        </w:tc>
        <w:tc>
          <w:tcPr>
            <w:tcW w:w="1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942.5</w:t>
            </w:r>
          </w:p>
        </w:tc>
        <w:tc>
          <w:tcPr>
            <w:tcW w:w="1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2020 vs. Third Quarter 2019</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4.0% in the third quarter of 2020 compared to the same period of 2019, reflecting a favorable price realization of 2.9% due to higher prices on certain products and a volume increase of 0.9% due to an increase in everyday core U.S. confection brands and our snacks portfolio, as well as a 0.8% benefit from net acquisitions and divestitures (predominantly driven by the 2019 acquisition of ONE Brands, LLC ("ONE Brands"), partially offset by the 2020 divestitures of Krave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The increases were partially offset by an unfavorable impact from foreign currency exchange rates of 0.6%.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jc w:val="both"/>
        <w:ind w:left="40" w:right="300"/>
        <w:spacing w:after="0" w:line="266" w:lineRule="auto"/>
        <w:rPr>
          <w:sz w:val="20"/>
          <w:szCs w:val="20"/>
          <w:color w:val="auto"/>
        </w:rPr>
      </w:pPr>
      <w:r>
        <w:rPr>
          <w:rFonts w:ascii="Times New Roman" w:cs="Times New Roman" w:eastAsia="Times New Roman" w:hAnsi="Times New Roman"/>
          <w:sz w:val="18"/>
          <w:szCs w:val="18"/>
          <w:color w:val="auto"/>
        </w:rPr>
        <w:t>For the third quarter of 2020, our total U.S. retail takeaway increased 6.4% in the expanded multi-outlet combined plus convenience store channels (IRI MULO + C-Stores), which includes candy, mint, gum, salty snacks, meat snacks and grocery items. Our U.S. candy, mint and gum ("CMG") consumer takeaway increased 6.4%, resulting in a CMG market share gain of approximately 185 basis points.</w:t>
      </w:r>
    </w:p>
    <w:p>
      <w:pPr>
        <w:spacing w:after="0" w:line="122"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Hershey Company | Q3 2020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80645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1" w:right="339" w:bottom="1440" w:gutter="0" w:footer="0" w:header="0"/>
        </w:sectPr>
      </w:pPr>
    </w:p>
    <w:bookmarkStart w:id="37" w:name="page38"/>
    <w:bookmarkEnd w:id="3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sales decreased 4.3% in the third quarter of 2020 compared to the same period of 2019. The decrease was driven by an incremental $83.3 million of favorable mark-to-market activity on our commodity derivative instruments, which are intended to economically hedge future years' commodity purchases. Additionally, the decrease in cost of sales was attributed to favorable supply chain productivity. These drivers were partially offset by higher freight and logistics costs, and additional plant costs, specifically, personal protective equipment ("PPE") costs and increased sanitation associated with COVID-19.</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margin increased by 450 basis points in the third quarter of 2020 compared to the same period of 2019. The increase was primarily due to a favorable year-over-year mark-to-market impact from commodity derivative instruments, favorable supply chain productivity and favorable price realization. These factors were partially offset by higher freight and logistics costs and additional plant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w:t>
      </w:r>
    </w:p>
    <w:p>
      <w:pPr>
        <w:spacing w:after="0" w:line="9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Selling, marketing and administrative (“SM&amp;A”) expenses decreased $12.7 million or 2.6% in the third quarter of 2020. Total advertising and related consumer marketing expenses decreased 4.6% driven by media cost efficiencies and select brand investment optimization related to COVID-19 in both the North America and International and Other segments. SM&amp;A expenses, excluding advertising and related consumer marketing, decreased approximately 1.5% in the third quarter of 2020 primarily due to savings in travel and meeting expenses related to COVID-19 travel restrictions and project timing shifts.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75" w:lineRule="exact"/>
        <w:rPr>
          <w:sz w:val="20"/>
          <w:szCs w:val="20"/>
          <w:color w:val="auto"/>
        </w:rPr>
      </w:pPr>
    </w:p>
    <w:p>
      <w:pPr>
        <w:ind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were no business realignment costs in the third quarter of 2020 versus costs of $1.1 million in the third quarter of 2019 related primarily to the Margin for Growth Program, which is discussed in more detail in </w:t>
      </w:r>
      <w:hyperlink w:anchor="page21">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profit increased 32.7% in the third quarter of 2020 compared to the same period of 2019 due primarily to higher gross profit and lower SM&amp;A expenses, as noted above. Operating profit margin increased to 27.5% in 2020 from 21.6% in 2019 driven by these same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interest expense was $1.8 million higher in the third quarter of 2020 compared to the same period of 2019. The increase was primarily due to higher long-term debt balances in 2020 versus 2019 (predominantly due to $1.0 billion of notes issued in October 2019 and $1.0 billion of notes issued in May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(income) expense, net totaled expense of $11.6 million in the third quarter of 2020 versus expense of $18.0 million in the third quarter of 2019. The decrease in the net expense was primarily due to lower non-service cost components of net periodic benefit cost relating to pension and other post-retirement benefit plans during 2020, partially offset by higher write-downs on equity investments qualifying for federal solar tax credits.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effective income tax rate was 20.5% for the third quarter of 2020 compared with 20.2% for the third quarter of 2019. Relative to the 21% statutory rate, the 2020 effective tax rate benefited from favorable foreign rate differential and investment tax credits, partially offset by state taxes. The 2019 effective tax rate, relative to the 21% statutory rate, was impacted by the benefit of employee share-based payments and investment tax credits, which were partially offset by state taxes.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 and Earnings Per Share-diluted</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income increased $122.0 million, or 37.5%, while EPS-diluted increased $0.60, or 39.0%, in the third quarter of 2020 compared to the same period of 2019. The increase in both net income and EPS-diluted was driven primarily by higher gross profit and lower SM&amp;A expenses, partially offset by higher income taxes, as noted above. Our 2020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ind w:right="680"/>
        <w:spacing w:after="0" w:line="282" w:lineRule="auto"/>
        <w:rPr>
          <w:sz w:val="20"/>
          <w:szCs w:val="20"/>
          <w:color w:val="auto"/>
        </w:rPr>
      </w:pPr>
      <w:r>
        <w:rPr>
          <w:rFonts w:ascii="Times New Roman" w:cs="Times New Roman" w:eastAsia="Times New Roman" w:hAnsi="Times New Roman"/>
          <w:sz w:val="18"/>
          <w:szCs w:val="18"/>
          <w:color w:val="auto"/>
        </w:rPr>
        <w:t>diluted also benefited from lower weighted-average shares outstanding as a result of share repurchases pursuant to our Board-approved repurchase programs.</w:t>
      </w:r>
    </w:p>
    <w:p>
      <w:pPr>
        <w:spacing w:after="0" w:line="185" w:lineRule="exact"/>
        <w:rPr>
          <w:sz w:val="20"/>
          <w:szCs w:val="20"/>
          <w:color w:val="auto"/>
        </w:rPr>
      </w:pPr>
    </w:p>
    <w:p>
      <w:pPr>
        <w:ind w:right="5500"/>
        <w:spacing w:after="0" w:line="40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Results of Operations - First Nine Months 2020 vs. First Nine Months 2019 </w:t>
      </w:r>
      <w:r>
        <w:rPr>
          <w:rFonts w:ascii="Times New Roman" w:cs="Times New Roman" w:eastAsia="Times New Roman" w:hAnsi="Times New Roman"/>
          <w:sz w:val="18"/>
          <w:szCs w:val="18"/>
          <w:b w:val="1"/>
          <w:bCs w:val="1"/>
          <w:color w:val="auto"/>
        </w:rPr>
        <w:t>Net Sales</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0.8% in the first nine months of 2020 compared to the same period of 2019, reflecting a favorable price realization of 3.0% due to higher prices on certain products and a 0.8% benefit from net acquisitions and divestitures (predominantly driven by the 2019 acquisition of ONE Brands, partially offset by the 2020 divestitures of Krave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These increases were partially offset by a volume decrease of 2.5% due to the impact of COVID-19 on sales in our international markets, as well as declines in owned retail and world travel retail and elasticity-driven impacts due to price increases on certain products and an unfavorable impact from foreign currency exchange rates of 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Cost of sales increased 0.6% in the first nine months of 2020 compared to the same period of 2019. The increase was driven by an incremental $20.0 million of unfavorable mark-to-market activity on our commodity derivative instruments. These derivative instruments are intended to economically hedge future years' commodity purchases; however, they were significantly impacted by financial market volatility during the first nine months of 2020. Additionally, the increase in cost of sales was attributed to higher freight and logistics costs and additional plant costs, specifically, PPE costs, increased sanitation and wage incentives associated with COVID-19. These drivers were partially offset by to favorable supply chain productivity and favorable price realization.</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margin increased by 10 basis points in in the first nine months of 2020 compared to the same period of 2019. The increase was primarily due to unfavorable year-over-year mark-to-market impact from commodity derivative instruments, the higher freight and logistics costs and additional plant costs. These factors were partially offset by favorable price realization and supply chain productivity.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Administrative</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SM&amp;A expenses decreased $35.8 million or 2.6% in the first nine months of 2020. Total advertising and related consumer marketing expenses decreased 4.5% driven by media cost efficiencies and select brand investment optimization related to COVID-19 in both the North America and International and Other segments. SM&amp;A expenses, excluding advertising and related consumer marketing, decreased approximately 1.5% in the first nine months of 2020 primarily due to savings in travel and meeting expenses related to COVID-19 travel restrictions and project timing shifts.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 Impairment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2020, we recorded the following impairment charges:</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8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5"/>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disposal group (1)</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 write-down (2)</w:t>
            </w: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8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500" w:right="140" w:hanging="330"/>
        <w:spacing w:after="0" w:line="252" w:lineRule="auto"/>
        <w:tabs>
          <w:tab w:leader="none" w:pos="4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our disposal group classified as held for sale, as discussed in </w:t>
      </w:r>
      <w:hyperlink w:anchor="page21">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 during the first nine months of 2020, we recorded impairment charges to adjust long-lived asset values. The fair value of the disposal group was supported by potential sales prices with third-party buyers. We expect the sale of the disposal group to be completed during 2020.</w:t>
      </w:r>
    </w:p>
    <w:p>
      <w:pPr>
        <w:spacing w:after="0" w:line="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previous sale, the Company wrote-down certain receivables deemed uncollectible.</w:t>
      </w:r>
    </w:p>
    <w:p>
      <w:pPr>
        <w:spacing w:after="0" w:line="104" w:lineRule="exact"/>
        <w:rPr>
          <w:sz w:val="20"/>
          <w:szCs w:val="20"/>
          <w:color w:val="auto"/>
        </w:rPr>
      </w:pPr>
    </w:p>
    <w:p>
      <w:pPr>
        <w:ind w:right="294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2019, we recorded long-lived asset impairment charges of $4.7 million, which were predominantly comprised of select land that had not yet met the held for sale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108" w:lineRule="exact"/>
        <w:rPr>
          <w:sz w:val="20"/>
          <w:szCs w:val="20"/>
          <w:color w:val="auto"/>
        </w:rPr>
      </w:pPr>
    </w:p>
    <w:p>
      <w:pPr>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realignment benefits of $0.5 million in the first nine months of 2020 versus costs of $7.3 million in the first nine months of 2019 related primarily to the Margin for Growth Program, which is discussed in more detail in </w:t>
      </w:r>
      <w:hyperlink w:anchor="page21">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Operating profit increased 5.2% in the first nine months of 2020 compared to the same period of 2019 due primarily to higher gross profit, lower SM&amp;A expenses and lower business realignment costs as noted above. Operating profit margin increased to 23.1% in 2020 from 22.1% in 2019 driven by these same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interest expense was $4.9 million higher in the first nine months of 2020 compared to the same period of 2019. The increase was primarily due to lower interest income in 2020 as we recognized a benefit in 2019 related to an international local tax settlement, as well as higher long debt balances in 2020 versus 2019 (predominantly due to $1.0 billion of notes issued in October 2019 and $1.0 billion of notes issued in May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Other (income) expense, net totaled expense of $34.4 million in the first nine months of 2020 versus expense of $36.6 million in the first nine months of 2019. The decrease in the net expense was primarily due to lower non-service cost components of net periodic benefit cost relating to pension and other post-retirement benefit plans during 2020, partially offset by higher write-downs on equity investments qualifying for federal solar tax credits.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20.1% for the first nine months of 2020 compared with 19.2% for the first nine months of 2019. Relative to the 21% statutory rate, the 2020 effective tax rate was favorably impacted by investment tax credits and the benefit of employee share-based payments, partially offset by state taxes. The 2019 effective tax rate, relative to the 21% statutory rate, was impacted by a change to foreign valuation allowances, the benefit of employee share-based payments and investment tax credits, which were partially offset by state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Hershey Company and Earnings Per Share-diluted</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income increased $44.8 million, or 4.8%, while EPS-diluted increased $0.24, or 5.4%, in the first nine months of 2020 compared to the same period of 2019. The increase in both net income and EPS-diluted was driven primarily by higher gross profit and lower SM&amp;A expenses, partially offset by higher taxes. Our 2020 EPS-diluted also benefited from lower weighted-average shares outstanding as a result of share repurchases pursuant to our Board-approved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0" w:type="dxa"/>
            <w:vAlign w:val="bottom"/>
          </w:tcPr>
          <w:p>
            <w:pPr>
              <w:spacing w:after="0"/>
              <w:rPr>
                <w:sz w:val="1"/>
                <w:szCs w:val="1"/>
                <w:color w:val="auto"/>
              </w:rPr>
            </w:pPr>
          </w:p>
        </w:tc>
      </w:tr>
      <w:tr>
        <w:trPr>
          <w:trHeight w:val="166"/>
        </w:trPr>
        <w:tc>
          <w:tcPr>
            <w:tcW w:w="45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and Other</w:t>
            </w: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5,918.1</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 and Other</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mark-to-market (gains) losses on commodity</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(2)</w:t>
            </w: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 impairment charges</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260" w:hanging="332"/>
        <w:spacing w:after="0" w:line="26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56" w:lineRule="exact"/>
        <w:rPr>
          <w:rFonts w:ascii="Times New Roman" w:cs="Times New Roman" w:eastAsia="Times New Roman" w:hAnsi="Times New Roman"/>
          <w:sz w:val="16"/>
          <w:szCs w:val="16"/>
          <w:color w:val="auto"/>
        </w:rPr>
      </w:pPr>
    </w:p>
    <w:p>
      <w:pPr>
        <w:ind w:left="340" w:right="280" w:hanging="332"/>
        <w:spacing w:after="0" w:line="280"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(gains) losses on mark-to-market valuation of commodity derivative positions recognized in unallocated derivative (gains) losses. See </w:t>
      </w:r>
      <w:hyperlink w:anchor="page26">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90.7% and 88.7% of our net sales for the three months ended September 27, 2020 and September 29, 2019, respectively,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2,014.1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1,894.0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5,442.8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5,269.0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1,726.3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1,606.0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31.7 %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2020 vs. Third Quarter 2019</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Net sales of our North America segment increased $120.1 million or 6.3% in the third quarter of 2020 compared to the same period of 2019, reflecting favorable price realization of 3.3% attributed to higher prices on certain products, a volume increase of 2.2% due to an increase in everyday core U.S. confection brands and our snacks portfolio, as well as a 0.9% benefit from net acquisitions and divestitures (predominantly driven by the 2019 acquisition of ONE Brands, partially offset by the 2020 divestitures of Krave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These increases were partially offset by unfavorable foreign currency exchange rates of 0.1%.</w:t>
      </w:r>
    </w:p>
    <w:p>
      <w:pPr>
        <w:spacing w:after="0" w:line="1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North America segment income increased $76.7 million or 13.4% in the third quarter of 2020 compared to the same period of 2019, primarily due to favorable price realization, volume increases and lower advertising, related consumer marketing and general and administrative expenses as a result of COVID-19, partially offset by higher supply chain-related costs, specifically, PPE costs and increased sanitation associated with COVID-19.</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2020 vs. First Nine Months 2019</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Net sales of our North America segment increased $173.8 million or 3.3% in the first nine months of 2020 compared to the same period of 2019, reflecting favorable price realization of 3.4% attributed to higher prices on certain products and a 0.9% benefit from net acquisitions and divestitures (predominantly driven by the 2019 acquisition of ONE Brands, partially offset by the 2020 divestitures of Krave and the </w:t>
      </w:r>
      <w:r>
        <w:rPr>
          <w:rFonts w:ascii="Times New Roman" w:cs="Times New Roman" w:eastAsia="Times New Roman" w:hAnsi="Times New Roman"/>
          <w:sz w:val="18"/>
          <w:szCs w:val="18"/>
          <w:i w:val="1"/>
          <w:iCs w:val="1"/>
          <w:color w:val="auto"/>
        </w:rPr>
        <w:t>Scharffen Berger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Dagoba</w:t>
      </w:r>
      <w:r>
        <w:rPr>
          <w:rFonts w:ascii="Times New Roman" w:cs="Times New Roman" w:eastAsia="Times New Roman" w:hAnsi="Times New Roman"/>
          <w:sz w:val="18"/>
          <w:szCs w:val="18"/>
          <w:color w:val="auto"/>
        </w:rPr>
        <w:t xml:space="preserve"> brands). These increases were partially offset by a volume decrease of 0.9%, which was primarily elasticity-driven due to the aforementioned price increases partially offset by an increase in everyday core U.S. confection brands and our snacks portfolio. Additionally, foreign currency exchange rates contributed an unfavorable impact of 0.1%.</w:t>
      </w:r>
    </w:p>
    <w:p>
      <w:pPr>
        <w:spacing w:after="0" w:line="1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North America segment income increased $120.3 million or 7.5% in the first nine months of 2020 compared to the same period of 2019, primarily due to favorable price realization and lower advertising and related consumer marketing expenses as a result of COVID-19, partially offset by higher supply chain-related costs, specifically, PPE costs, increased sanitation and wage incentives associated with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Hershey Company | Q3 2020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2" w:name="page43"/>
    <w:bookmarkEnd w:id="4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and Other</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9.3% and 11.3% of our net sales for the three months ended September 27, 2020 and September 29, 2019, respectively,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0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2019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11.9 %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Third Quarter 2020 vs. Third Quarter 2019</w:t>
      </w:r>
    </w:p>
    <w:p>
      <w:pPr>
        <w:spacing w:after="0" w:line="14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Net sales of our International and Other segment decreased $34.7 million or 14.4% in the third quarter of 2020 compared to the same period of 2019, reflecting a volume decrease of 9.6% and an unfavorable impact from foreign currency exchange rates of 5.1%. The volume decrease was attributed to significant sales declines in Mexico and China, where net sales declined by 35.6% and 11.8%, respectively, due to the implementation of quarantine protocols by local governments to mitigate the spread of COVID-19. The decreases were partially offset by a favorable price realization of 0.3%.</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International and Other segment also includes licensing, owned retail and world travel retail, where net sales declined approximately 35.4% during the third quarter of 2020. As of July, the Company operated all Hershey’s Chocolate World stores in the United States (3 locations), Niagara Falls (Ontario) and Singapore on a limited capacity basis with increased safety measures and enforced social distancing.</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International and Other segment generated income of $24.5 million in the third quarter of 2020 compared to income of $39.4 million in the third quarter of 2019. This decrease was driven by the lower level of net sales associated with the COVID-19 disruption.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Nine Months 2020 vs. First Nine Months 2019</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of our International and Other segment decreased $127.4 million or 19.6% in the first nine months of 2020 compared to the same period of 2019, reflecting a volume decrease of 15.5% and an unfavorable impact from foreign currency exchange rates of 4.1%. The volume decrease was attributed to significant sales declines in Mexico and China, where net sales declined by 29.5% and 28.1%, respectively, as well as reduced sales in our export markets, due to the implementation of quarantine protocols by local governments to mitigate the spread of COVID-19.</w:t>
      </w:r>
    </w:p>
    <w:p>
      <w:pPr>
        <w:spacing w:after="0" w:line="1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International and Other segment also includes licensing, owned retail and world travel retail, where net sales declined approximately 33.1% during the first nine months of 2020. At the onset of the pandemic, the Company temporarily closed all Hershey's Chocolate World stores in the U.S. (3 locations), Niagara Falls (Ontario) and Singapore; however, as of July, all locations were re-opened on a limited capacity basis with increased safety measures and enforced social distancing.</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International and Other segment generated income of $36.5 million in the first nine months of 2020 compared to $81.6 million in the first nine months of 2019. This decrease was driven by the lower level of net sales associated with the COVID-19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9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In the third quarter of 2020, unallocated corporate expense totaled $132.0 million, as compared to $135.2 million in the third quarter of 2019, primarily driven by savings in travel and meeting expenses related to COVID-19 travel restrictions. In the first nine months of 2020, unallocated corporate expense totaled $363.4 million, as compared to $378.1 million in the first nine months of 2019, primarily driven by savings in travel and meeting expenses related to COVID-19 travel restrictions and project timing shifts.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September 27, 2020, our cash and cash equivalents totaled $1.2 billion. At December 31, 2019, our cash and cash equivalents totaled $493.3 million. Our cash and cash equivalents during the first nine months of 2020 increased $712.6 million compared to the 2019 year-end balance. This increase was predominantly due to our $1 billion Notes issuance in May 2020 as we intend to mitigate any potential COVID-19 risks, partially offset by the repayment of $350 million Notes that matured in May 2020. Additional detail regarding the net sources of cash are outlined in the following discussion.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Approximately 35% of the balance of our cash and cash equivalents at September 27, 2020 was held by subsidiaries domiciled outside of the United States. During the first nine months of 2020,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including our cash needs in the 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ectPr>
          <w:pgSz w:w="11900" w:h="16838" w:orient="portrait"/>
          <w:cols w:equalWidth="0" w:num="1">
            <w:col w:w="11240"/>
          </w:cols>
          <w:pgMar w:left="320" w:top="1251" w:right="339" w:bottom="1440" w:gutter="0" w:footer="0" w:header="0"/>
        </w:sectPr>
      </w:pP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right="1700"/>
        <w:spacing w:after="0" w:line="30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 of exchange rate changes on cash and cash equivalents Less: Cash classified as assets held for sale (see </w:t>
      </w:r>
      <w:hyperlink w:anchor="page21">
        <w:r>
          <w:rPr>
            <w:rFonts w:ascii="Times New Roman" w:cs="Times New Roman" w:eastAsia="Times New Roman" w:hAnsi="Times New Roman"/>
            <w:sz w:val="17"/>
            <w:szCs w:val="17"/>
            <w:u w:val="single" w:color="auto"/>
            <w:color w:val="0000FF"/>
          </w:rPr>
          <w:t>Note 8</w:t>
        </w:r>
      </w:hyperlink>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27, 2020</w:t>
            </w:r>
          </w:p>
        </w:tc>
        <w:tc>
          <w:tcPr>
            <w:tcW w:w="2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September 29, 2019</w:t>
            </w:r>
          </w:p>
        </w:tc>
      </w:tr>
      <w:tr>
        <w:trPr>
          <w:trHeight w:val="449"/>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30"/>
        </w:trPr>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r>
      <w:tr>
        <w:trPr>
          <w:trHeight w:val="230"/>
        </w:trPr>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30"/>
        </w:trPr>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720"/>
            <w:col w:w="4380"/>
          </w:cols>
          <w:pgMar w:left="320" w:top="12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generated cash of $1,095.3 million from operating activities in the first nine months of 2020, an increase of $102.0 million compared to $993.3 million in the same period of 2019. This increase in net cash provided by operating activities was mainly driven by the following factors:</w:t>
      </w:r>
    </w:p>
    <w:p>
      <w:pPr>
        <w:spacing w:after="0" w:line="108" w:lineRule="exact"/>
        <w:rPr>
          <w:sz w:val="20"/>
          <w:szCs w:val="20"/>
          <w:color w:val="auto"/>
        </w:rPr>
      </w:pPr>
    </w:p>
    <w:p>
      <w:pPr>
        <w:ind w:left="340" w:right="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charges to operations (including depreciation, amortization, stock-based compensation, deferred income taxes, long-lived asset charges, a write-down of equity investments and other charges) resulted in $63.0 million of higher cash flow in 2020 relative to 2019.</w:t>
      </w:r>
    </w:p>
    <w:p>
      <w:pPr>
        <w:spacing w:after="0" w:line="107"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generated cash of $78.0 million in 2020, compared to $39.9 million in 2019. This $38.1 million fluctuation was primarily due to the variance in actual tax expense for 2020 relative to the timing of quarterly estimated tax payments. We paid cash of $165.2 million for income taxes during 2020 compared to $162.8 million in the same period of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used cash of $341.3 million for investing activities in the first nine months of 2020, a decrease of $356.3 million compared to $697.6 million in the same period of 2019. This decrease in net cash used in investing activities was mainly driven by the following factors:</w:t>
      </w:r>
    </w:p>
    <w:p>
      <w:pPr>
        <w:spacing w:after="0" w:line="106" w:lineRule="exact"/>
        <w:rPr>
          <w:sz w:val="20"/>
          <w:szCs w:val="20"/>
          <w:color w:val="auto"/>
        </w:rPr>
      </w:pPr>
    </w:p>
    <w:p>
      <w:pPr>
        <w:ind w:left="340" w:right="36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primarily to support capacity expansion, innovation and cost savings,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$292.1 million in the first nine months of 2020 compared to $236.6 million in the same period of 2019. For full year 2020, we expect capital expenditures, including capitalized software, to approximate $400 million to $450 million, as we continue to evaluate and re-prioritize our capital projects amid the COVID-19 pandemic.</w:t>
      </w:r>
    </w:p>
    <w:p>
      <w:pPr>
        <w:spacing w:after="0" w:line="125" w:lineRule="exact"/>
        <w:rPr>
          <w:rFonts w:ascii="Times New Roman" w:cs="Times New Roman" w:eastAsia="Times New Roman" w:hAnsi="Times New Roman"/>
          <w:sz w:val="18"/>
          <w:szCs w:val="18"/>
          <w:i w:val="1"/>
          <w:iCs w:val="1"/>
          <w:color w:val="auto"/>
        </w:rPr>
      </w:pPr>
    </w:p>
    <w:p>
      <w:pPr>
        <w:ind w:left="340" w:right="20" w:hanging="332"/>
        <w:spacing w:after="0" w:line="267"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energy tax credits. We invested approximately $46.4 million in the first nine months of 2020, compared to $52.7 million in the same period of 2019.</w:t>
      </w:r>
    </w:p>
    <w:p>
      <w:pPr>
        <w:spacing w:after="0" w:line="119" w:lineRule="exact"/>
        <w:rPr>
          <w:rFonts w:ascii="Times New Roman" w:cs="Times New Roman" w:eastAsia="Times New Roman" w:hAnsi="Times New Roman"/>
          <w:sz w:val="18"/>
          <w:szCs w:val="18"/>
          <w:color w:val="auto"/>
        </w:rPr>
      </w:pPr>
    </w:p>
    <w:p>
      <w:pPr>
        <w:ind w:left="340" w:right="140" w:hanging="332"/>
        <w:spacing w:after="0" w:line="284"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Acquisitions. </w:t>
      </w:r>
      <w:r>
        <w:rPr>
          <w:rFonts w:ascii="Times New Roman" w:cs="Times New Roman" w:eastAsia="Times New Roman" w:hAnsi="Times New Roman"/>
          <w:sz w:val="18"/>
          <w:szCs w:val="18"/>
          <w:color w:val="auto"/>
        </w:rPr>
        <w:t>We had no acquisition activity in 2020. In September 2019, we acquired ONE Brands, LLC for $401.5 million. Further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regarding our business acquisition activity are provided in </w:t>
      </w:r>
      <w:hyperlink w:anchor="page11">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used cash of $20.0 million for financing activities in the first nine months of 2020, a decrease of $562.8 million compared to $582.8 million in the same period of 2019. This decrease in net cash used by financing activities was mainly driven by the following factors:</w:t>
      </w:r>
    </w:p>
    <w:p>
      <w:pPr>
        <w:spacing w:after="0" w:line="106" w:lineRule="exact"/>
        <w:rPr>
          <w:sz w:val="20"/>
          <w:szCs w:val="20"/>
          <w:color w:val="auto"/>
        </w:rPr>
      </w:pPr>
    </w:p>
    <w:p>
      <w:pPr>
        <w:ind w:left="340" w:right="40" w:hanging="332"/>
        <w:spacing w:after="0" w:line="261" w:lineRule="auto"/>
        <w:tabs>
          <w:tab w:leader="none" w:pos="3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nine months of 2020, we generated cash flow of $13.4 million due to an increase in short-term foreign bank borrowings. During the first nine months of 2019, we generated cash flow of $80.7 million through the issuance of short-term commercial paper, partially offset by a reduction in short-term foreign borrowings.</w:t>
      </w:r>
    </w:p>
    <w:p>
      <w:pPr>
        <w:spacing w:after="0" w:line="125" w:lineRule="exact"/>
        <w:rPr>
          <w:rFonts w:ascii="Times New Roman" w:cs="Times New Roman" w:eastAsia="Times New Roman" w:hAnsi="Times New Roman"/>
          <w:sz w:val="18"/>
          <w:szCs w:val="18"/>
          <w:i w:val="1"/>
          <w:iCs w:val="1"/>
          <w:color w:val="auto"/>
        </w:rPr>
      </w:pPr>
    </w:p>
    <w:p>
      <w:pPr>
        <w:jc w:val="both"/>
        <w:ind w:left="340" w:right="20" w:hanging="332"/>
        <w:spacing w:after="0" w:line="258" w:lineRule="auto"/>
        <w:tabs>
          <w:tab w:leader="none" w:pos="3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nine months of 2020, we issued $300 million of 0.900% Notes due in 2025, $350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1.700% Notes due in 2030 and $350 million of 2.650% Notes due in 2050 (the "2020 Notes"). Proceeds from the issuance of the 2020 Notes, net of discounts and issuance costs, totaled $989.9 million. Additionally, in May 2020, we repaid $350 million of 2.900% Notes due upon their maturity.</w:t>
      </w: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first nine months of 2019, our long-term debt borrowings and repayments activity was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5" w:name="page46"/>
    <w:bookmarkEnd w:id="45"/>
    <w:p>
      <w:pPr>
        <w:jc w:val="both"/>
        <w:ind w:left="340" w:right="180" w:hanging="332"/>
        <w:spacing w:after="0" w:line="267"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$478.0 million during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2020, an increase of $24.8 million compared to $453.2 million in the same period of 2019. Details regarding our 2020 cash dividends paid to stockholders are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89"/>
        </w:trPr>
        <w:tc>
          <w:tcPr>
            <w:tcW w:w="4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29, 2020</w:t>
            </w:r>
          </w:p>
        </w:tc>
        <w:tc>
          <w:tcPr>
            <w:tcW w:w="340" w:type="dxa"/>
            <w:vAlign w:val="bottom"/>
          </w:tcPr>
          <w:p>
            <w:pPr>
              <w:spacing w:after="0"/>
              <w:rPr>
                <w:sz w:val="16"/>
                <w:szCs w:val="16"/>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28, 2020</w:t>
            </w:r>
          </w:p>
        </w:tc>
        <w:tc>
          <w:tcPr>
            <w:tcW w:w="280" w:type="dxa"/>
            <w:vAlign w:val="bottom"/>
          </w:tcPr>
          <w:p>
            <w:pPr>
              <w:spacing w:after="0"/>
              <w:rPr>
                <w:sz w:val="16"/>
                <w:szCs w:val="16"/>
                <w:color w:val="auto"/>
              </w:rPr>
            </w:pPr>
          </w:p>
        </w:tc>
        <w:tc>
          <w:tcPr>
            <w:tcW w:w="17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27, 2020</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0.804</w:t>
            </w:r>
          </w:p>
        </w:tc>
      </w:tr>
      <w:tr>
        <w:trPr>
          <w:trHeight w:val="23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0.731</w:t>
            </w:r>
          </w:p>
        </w:tc>
      </w:tr>
      <w:tr>
        <w:trPr>
          <w:trHeight w:val="229"/>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39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January 28, 2020</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April 21, 2020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July 8, 2020</w:t>
            </w: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21,</w:t>
            </w:r>
          </w:p>
        </w:tc>
        <w:tc>
          <w:tcPr>
            <w:tcW w:w="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2020</w:t>
            </w:r>
          </w:p>
        </w:tc>
        <w:tc>
          <w:tcPr>
            <w:tcW w:w="1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May 22,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w:t>
            </w: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2020</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June 15,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380" w:lineRule="exact"/>
        <w:rPr>
          <w:sz w:val="20"/>
          <w:szCs w:val="20"/>
          <w:color w:val="auto"/>
        </w:rPr>
      </w:pPr>
    </w:p>
    <w:p>
      <w:pPr>
        <w:ind w:left="340" w:right="180" w:hanging="332"/>
        <w:spacing w:after="0" w:line="267"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used cash for total share repurchases of $211.2 million and $445.9 million during the first nine months of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19" w:lineRule="exact"/>
        <w:rPr>
          <w:rFonts w:ascii="Times New Roman" w:cs="Times New Roman" w:eastAsia="Times New Roman" w:hAnsi="Times New Roman"/>
          <w:sz w:val="18"/>
          <w:szCs w:val="18"/>
          <w:color w:val="auto"/>
        </w:rPr>
      </w:pPr>
    </w:p>
    <w:p>
      <w:pPr>
        <w:ind w:left="340" w:right="220" w:hanging="332"/>
        <w:spacing w:after="0" w:line="267" w:lineRule="auto"/>
        <w:tabs>
          <w:tab w:leader="none" w:pos="3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Proceeds from the exercise of stock options, including tax benefits. </w:t>
      </w:r>
      <w:r>
        <w:rPr>
          <w:rFonts w:ascii="Times New Roman" w:cs="Times New Roman" w:eastAsia="Times New Roman" w:hAnsi="Times New Roman"/>
          <w:sz w:val="18"/>
          <w:szCs w:val="18"/>
          <w:color w:val="auto"/>
        </w:rPr>
        <w:t>We received $19.1 million from employee exercises of stock options,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taxes withheld from share-based awards, during the first nine months of 2020, a decrease of $216.2 million compared to $235.3 million in the same period of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hyperlink w:anchor="page9">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08" w:lineRule="exact"/>
        <w:rPr>
          <w:sz w:val="20"/>
          <w:szCs w:val="20"/>
          <w:color w:val="auto"/>
        </w:rPr>
      </w:pPr>
    </w:p>
    <w:p>
      <w:pPr>
        <w:ind w:left="260" w:right="640" w:hanging="252"/>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negatively impact our operating results;</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could affect future financial results;</w:t>
      </w:r>
    </w:p>
    <w:p>
      <w:pPr>
        <w:spacing w:after="0" w:line="171" w:lineRule="exact"/>
        <w:rPr>
          <w:rFonts w:ascii="Times New Roman" w:cs="Times New Roman" w:eastAsia="Times New Roman" w:hAnsi="Times New Roman"/>
          <w:sz w:val="18"/>
          <w:szCs w:val="18"/>
          <w:color w:val="auto"/>
        </w:rPr>
      </w:pPr>
    </w:p>
    <w:p>
      <w:pPr>
        <w:ind w:left="260" w:right="820" w:hanging="25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171"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could increase our costs and liabilities or impact demand for our products;</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could negatively impact our financial results;</w:t>
      </w:r>
    </w:p>
    <w:p>
      <w:pPr>
        <w:spacing w:after="0" w:line="17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workforce we need to drive our growth strategies;</w:t>
      </w:r>
    </w:p>
    <w:p>
      <w:pPr>
        <w:spacing w:after="0" w:line="171" w:lineRule="exact"/>
        <w:rPr>
          <w:rFonts w:ascii="Times New Roman" w:cs="Times New Roman" w:eastAsia="Times New Roman" w:hAnsi="Times New Roman"/>
          <w:sz w:val="18"/>
          <w:szCs w:val="18"/>
          <w:color w:val="auto"/>
        </w:rPr>
      </w:pPr>
    </w:p>
    <w:p>
      <w:pPr>
        <w:ind w:left="260" w:right="1140" w:hanging="25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07" w:lineRule="exact"/>
        <w:rPr>
          <w:rFonts w:ascii="Times New Roman" w:cs="Times New Roman" w:eastAsia="Times New Roman" w:hAnsi="Times New Roman"/>
          <w:sz w:val="18"/>
          <w:szCs w:val="18"/>
          <w:color w:val="auto"/>
        </w:rPr>
      </w:pPr>
    </w:p>
    <w:p>
      <w:pPr>
        <w:ind w:left="260" w:right="980" w:hanging="25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with the design or implementation of our new enterprise resource planning system could adversely impact our business and operations;</w:t>
      </w:r>
    </w:p>
    <w:p>
      <w:pPr>
        <w:spacing w:after="0" w:line="107" w:lineRule="exact"/>
        <w:rPr>
          <w:rFonts w:ascii="Times New Roman" w:cs="Times New Roman" w:eastAsia="Times New Roman" w:hAnsi="Times New Roman"/>
          <w:sz w:val="18"/>
          <w:szCs w:val="18"/>
          <w:color w:val="auto"/>
        </w:rPr>
      </w:pPr>
    </w:p>
    <w:p>
      <w:pPr>
        <w:ind w:left="260" w:hanging="252"/>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COVID-19 global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Hershey Company | Q3 2020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ind w:left="260" w:right="420" w:hanging="252"/>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2019 Annual Report on Form 10-K, our Quarterly Report on Form 10-Q for the quarterly period ended March 29, 2020, and our Current Report on Form 8-K filed May 27, 2020, which are amplified by the global COVID-19 pandemic that has caused and will continue to cause significant challenges, instability and uncertainty.</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total notional amount of interest rate swaps outstanding at September 27, 2020 and December 31, 2019 was $350 million. The notional amount relates to fixed-to-floating interest rate swaps which convert a comparable amount of fixed-rate debt to variable rate debt at September 27, 2020 and December 31, 2019. A hypothetical 100 basis point increase in interest rates applied to this now variable-rate debt as of September 27, 2020 would have increased interest expense by approximately $2.7 million for the first nine months of 2020 and $3.5 million for the full year 2019.</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total amount of short-term debt, net of cash, amounted to net cash positions of $1.2 billion and $461 million, respectively, at September 27, 2020 and December 31, 2019. A hypothetical 100 basis point increase in interest rates applied to this variable-rate short-term debt as of September 27, 2020 would have changed interest expense by approximately $6.0 million for the first nine months of 2020 and $4.3 million for the full year 2019.</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September 27, 2020 and December 31, 2019 by approximately $359 million and $246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potential decline in fair value of foreign currency forward exchange contracts resulting from a hypothetical near-term adverse change in market rates of 10% was $25.7 million as of September 27, 2020 and $55.4 million as of December 31, 2019, generally offset by a reduction in foreign exchange associated with our transactional activities.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$594.0 million as of September 27, 2020 and $589.7 million as of December 31, 2019. At the end of the second quarter 2020, the potential change in fair value of commodity derivative instruments, assuming a 10% decrease in the underlying commodity price, would have increased our net unrealized losses by $60.7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market risks have not changed significantly from those described in our 2019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8" w:name="page49"/>
    <w:bookmarkEnd w:id="48"/>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27, 2020. Based on this evaluation, our Chief Executive Officer and Chief Financial Officer concluded that our disclosure controls and procedures were effective as of September 27, 2020.</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27,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Hershey Company | Q3 2020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on legal proceedings is included in </w:t>
      </w:r>
      <w:hyperlink w:anchor="page30">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2019 Annual Report on Form 10-K, Part II, Item 1A, “Risk Factors,” of our Quarterly Report on Form 10-Q for the quarterly period ended March 29, 2020 (the “Q1 2020 Quarterly Report”), Item 8.01 of our Current Report on Form 8-K filed May 27, 2020 and the information contained in this Quarterly Report on Form 10-Q and our other reports and registration statements filed with the SEC. Except as described in our Q1 2020 Quarterly Report and our Current Report on Form 8-K filed on May 27, 2020, there have been no material changes with respect to the risk factors disclosed in our 2019 Annual Report on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during the three months ended September 27, 2020.</w:t>
      </w:r>
    </w:p>
    <w:p>
      <w:pPr>
        <w:spacing w:after="0" w:line="10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July 2018, our Board of Directors approved a $500 million share repurchase authorization. As of September 27, 2020, approximately $260 million remained available for repurchases of our Common Stock under this program. The share repurchase program does not have an expiration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Hershey Company | Q3 2020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50" w:name="page51"/>
    <w:bookmarkEnd w:id="50"/>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1180" w:type="dxa"/>
            <w:vAlign w:val="bottom"/>
            <w:tcBorders>
              <w:top w:val="single" w:sz="8" w:color="auto"/>
            </w:tcBorders>
            <w:shd w:val="clear" w:color="auto" w:fill="CCEEFF"/>
          </w:tcPr>
          <w:p>
            <w:pPr>
              <w:jc w:val="center"/>
              <w:spacing w:after="0" w:line="172" w:lineRule="exact"/>
              <w:rPr>
                <w:rFonts w:ascii="Times New Roman" w:cs="Times New Roman" w:eastAsia="Times New Roman" w:hAnsi="Times New Roman"/>
                <w:sz w:val="16"/>
                <w:szCs w:val="16"/>
                <w:u w:val="single" w:color="auto"/>
                <w:color w:val="0000FF"/>
                <w:w w:val="99"/>
              </w:rPr>
            </w:pPr>
            <w:hyperlink r:id="rId102">
              <w:r>
                <w:rPr>
                  <w:rFonts w:ascii="Times New Roman" w:cs="Times New Roman" w:eastAsia="Times New Roman" w:hAnsi="Times New Roman"/>
                  <w:sz w:val="16"/>
                  <w:szCs w:val="16"/>
                  <w:u w:val="single" w:color="auto"/>
                  <w:color w:val="0000FF"/>
                  <w:w w:val="99"/>
                </w:rPr>
                <w:t>3.1</w:t>
              </w:r>
            </w:hyperlink>
          </w:p>
        </w:tc>
        <w:tc>
          <w:tcPr>
            <w:tcW w:w="1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auto"/>
            </w:tcBorders>
            <w:gridSpan w:val="7"/>
            <w:shd w:val="clear" w:color="auto" w:fill="CCEEFF"/>
          </w:tcPr>
          <w:p>
            <w:pPr>
              <w:spacing w:after="0" w:line="17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The Company’s Restated Certificate of Incorporation, as amended, is incorporated by reference from Exhibit 3 to the Company’s Quarterly Report on</w:t>
              </w:r>
            </w:hyperlink>
          </w:p>
        </w:tc>
      </w:tr>
      <w:tr>
        <w:trPr>
          <w:trHeight w:val="163"/>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08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Form 10-Q for the quarter ended April 3, 2005.</w:t>
              </w:r>
            </w:hyperlink>
          </w:p>
        </w:tc>
        <w:tc>
          <w:tcPr>
            <w:tcW w:w="664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80" w:type="dxa"/>
            <w:vAlign w:val="bottom"/>
          </w:tcPr>
          <w:p>
            <w:pPr>
              <w:jc w:val="center"/>
              <w:spacing w:after="0" w:line="175" w:lineRule="exact"/>
              <w:rPr>
                <w:rFonts w:ascii="Times New Roman" w:cs="Times New Roman" w:eastAsia="Times New Roman" w:hAnsi="Times New Roman"/>
                <w:sz w:val="16"/>
                <w:szCs w:val="16"/>
                <w:u w:val="single" w:color="auto"/>
                <w:color w:val="0000FF"/>
                <w:w w:val="99"/>
              </w:rPr>
            </w:pPr>
            <w:hyperlink r:id="rId103">
              <w:r>
                <w:rPr>
                  <w:rFonts w:ascii="Times New Roman" w:cs="Times New Roman" w:eastAsia="Times New Roman" w:hAnsi="Times New Roman"/>
                  <w:sz w:val="16"/>
                  <w:szCs w:val="16"/>
                  <w:u w:val="single" w:color="auto"/>
                  <w:color w:val="0000FF"/>
                  <w:w w:val="99"/>
                </w:rPr>
                <w:t>3.2</w:t>
              </w:r>
            </w:hyperlink>
          </w:p>
        </w:tc>
        <w:tc>
          <w:tcPr>
            <w:tcW w:w="120" w:type="dxa"/>
            <w:vAlign w:val="bottom"/>
          </w:tcPr>
          <w:p>
            <w:pPr>
              <w:spacing w:after="0"/>
              <w:rPr>
                <w:sz w:val="15"/>
                <w:szCs w:val="15"/>
                <w:color w:val="auto"/>
              </w:rPr>
            </w:pPr>
          </w:p>
        </w:tc>
        <w:tc>
          <w:tcPr>
            <w:tcW w:w="9940" w:type="dxa"/>
            <w:vAlign w:val="bottom"/>
            <w:gridSpan w:val="7"/>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 Company's By-laws, as amended and restated as of February 21, 2017, are incorporated by reference from Exhibit 3.2 to the Company’s Annual</w:t>
              </w:r>
            </w:hyperlink>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4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180" w:type="dxa"/>
            <w:vAlign w:val="bottom"/>
            <w:shd w:val="clear" w:color="auto" w:fill="CCEEFF"/>
          </w:tcPr>
          <w:p>
            <w:pPr>
              <w:jc w:val="center"/>
              <w:spacing w:after="0"/>
              <w:rPr>
                <w:rFonts w:ascii="Times New Roman" w:cs="Times New Roman" w:eastAsia="Times New Roman" w:hAnsi="Times New Roman"/>
                <w:sz w:val="16"/>
                <w:szCs w:val="16"/>
                <w:u w:val="single" w:color="auto"/>
                <w:color w:val="0000FF"/>
                <w:w w:val="99"/>
              </w:rPr>
            </w:pPr>
            <w:hyperlink w:anchor="page53">
              <w:r>
                <w:rPr>
                  <w:rFonts w:ascii="Times New Roman" w:cs="Times New Roman" w:eastAsia="Times New Roman" w:hAnsi="Times New Roman"/>
                  <w:sz w:val="16"/>
                  <w:szCs w:val="16"/>
                  <w:u w:val="single" w:color="auto"/>
                  <w:color w:val="0000FF"/>
                  <w:w w:val="99"/>
                </w:rPr>
                <w:t>31.1</w:t>
              </w:r>
            </w:hyperlink>
          </w:p>
        </w:tc>
        <w:tc>
          <w:tcPr>
            <w:tcW w:w="120" w:type="dxa"/>
            <w:vAlign w:val="bottom"/>
            <w:shd w:val="clear" w:color="auto" w:fill="CCEEFF"/>
          </w:tcPr>
          <w:p>
            <w:pPr>
              <w:spacing w:after="0"/>
              <w:rPr>
                <w:sz w:val="18"/>
                <w:szCs w:val="18"/>
                <w:color w:val="auto"/>
              </w:rPr>
            </w:pPr>
          </w:p>
        </w:tc>
        <w:tc>
          <w:tcPr>
            <w:tcW w:w="9940" w:type="dxa"/>
            <w:vAlign w:val="bottom"/>
            <w:gridSpan w:val="7"/>
            <w:shd w:val="clear" w:color="auto" w:fill="CCEEFF"/>
          </w:tcPr>
          <w:p>
            <w:pPr>
              <w:spacing w:after="0"/>
              <w:rPr>
                <w:rFonts w:ascii="Times New Roman" w:cs="Times New Roman" w:eastAsia="Times New Roman" w:hAnsi="Times New Roman"/>
                <w:sz w:val="16"/>
                <w:szCs w:val="16"/>
                <w:color w:val="0000FF"/>
              </w:rPr>
            </w:pPr>
            <w:hyperlink w:anchor="page53">
              <w:r>
                <w:rPr>
                  <w:rFonts w:ascii="Times New Roman" w:cs="Times New Roman" w:eastAsia="Times New Roman" w:hAnsi="Times New Roman"/>
                  <w:sz w:val="16"/>
                  <w:szCs w:val="16"/>
                  <w:u w:val="single" w:color="auto"/>
                  <w:color w:val="0000FF"/>
                </w:rPr>
                <w:t>Certification of Michele G. Buck, Chief Executive Officer, pursuant to Section 302 of the Sarbanes-Oxley Act of 2002.</w:t>
              </w:r>
            </w:hyperlink>
            <w:r>
              <w:rPr>
                <w:rFonts w:ascii="Times New Roman" w:cs="Times New Roman" w:eastAsia="Times New Roman" w:hAnsi="Times New Roman"/>
                <w:sz w:val="16"/>
                <w:szCs w:val="16"/>
                <w:color w:val="000000"/>
              </w:rPr>
              <w:t>*</w:t>
            </w:r>
          </w:p>
        </w:tc>
      </w:tr>
      <w:tr>
        <w:trPr>
          <w:trHeight w:val="213"/>
        </w:trPr>
        <w:tc>
          <w:tcPr>
            <w:tcW w:w="118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54">
              <w:r>
                <w:rPr>
                  <w:rFonts w:ascii="Times New Roman" w:cs="Times New Roman" w:eastAsia="Times New Roman" w:hAnsi="Times New Roman"/>
                  <w:sz w:val="16"/>
                  <w:szCs w:val="16"/>
                  <w:u w:val="single" w:color="auto"/>
                  <w:color w:val="0000FF"/>
                  <w:w w:val="99"/>
                </w:rPr>
                <w:t>31.2</w:t>
              </w:r>
            </w:hyperlink>
          </w:p>
        </w:tc>
        <w:tc>
          <w:tcPr>
            <w:tcW w:w="120" w:type="dxa"/>
            <w:vAlign w:val="bottom"/>
          </w:tcPr>
          <w:p>
            <w:pPr>
              <w:spacing w:after="0"/>
              <w:rPr>
                <w:sz w:val="18"/>
                <w:szCs w:val="18"/>
                <w:color w:val="auto"/>
              </w:rPr>
            </w:pPr>
          </w:p>
        </w:tc>
        <w:tc>
          <w:tcPr>
            <w:tcW w:w="9940" w:type="dxa"/>
            <w:vAlign w:val="bottom"/>
            <w:gridSpan w:val="7"/>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u w:val="single" w:color="auto"/>
                  <w:color w:val="0000FF"/>
                </w:rPr>
                <w:t>Certification of Steven E. Voskuil, Chief Financial Officer, pursuant to Section 302 of the Sarbanes-Oxley Act of 2002.</w:t>
              </w:r>
            </w:hyperlink>
            <w:r>
              <w:rPr>
                <w:rFonts w:ascii="Times New Roman" w:cs="Times New Roman" w:eastAsia="Times New Roman" w:hAnsi="Times New Roman"/>
                <w:sz w:val="16"/>
                <w:szCs w:val="16"/>
                <w:color w:val="000000"/>
              </w:rPr>
              <w:t>*</w:t>
            </w:r>
          </w:p>
        </w:tc>
      </w:tr>
      <w:tr>
        <w:trPr>
          <w:trHeight w:val="178"/>
        </w:trPr>
        <w:tc>
          <w:tcPr>
            <w:tcW w:w="1180" w:type="dxa"/>
            <w:vAlign w:val="bottom"/>
            <w:shd w:val="clear" w:color="auto" w:fill="CCEEFF"/>
          </w:tcPr>
          <w:p>
            <w:pPr>
              <w:jc w:val="center"/>
              <w:spacing w:after="0" w:line="178" w:lineRule="exact"/>
              <w:rPr>
                <w:rFonts w:ascii="Times New Roman" w:cs="Times New Roman" w:eastAsia="Times New Roman" w:hAnsi="Times New Roman"/>
                <w:sz w:val="16"/>
                <w:szCs w:val="16"/>
                <w:u w:val="single" w:color="auto"/>
                <w:color w:val="0000FF"/>
                <w:w w:val="99"/>
              </w:rPr>
            </w:pPr>
            <w:hyperlink w:anchor="page55">
              <w:r>
                <w:rPr>
                  <w:rFonts w:ascii="Times New Roman" w:cs="Times New Roman" w:eastAsia="Times New Roman" w:hAnsi="Times New Roman"/>
                  <w:sz w:val="16"/>
                  <w:szCs w:val="16"/>
                  <w:u w:val="single" w:color="auto"/>
                  <w:color w:val="0000FF"/>
                  <w:w w:val="99"/>
                </w:rPr>
                <w:t>32.1</w:t>
              </w:r>
            </w:hyperlink>
          </w:p>
        </w:tc>
        <w:tc>
          <w:tcPr>
            <w:tcW w:w="120" w:type="dxa"/>
            <w:vAlign w:val="bottom"/>
            <w:shd w:val="clear" w:color="auto" w:fill="CCEEFF"/>
          </w:tcPr>
          <w:p>
            <w:pPr>
              <w:spacing w:after="0"/>
              <w:rPr>
                <w:sz w:val="15"/>
                <w:szCs w:val="15"/>
                <w:color w:val="auto"/>
              </w:rPr>
            </w:pPr>
          </w:p>
        </w:tc>
        <w:tc>
          <w:tcPr>
            <w:tcW w:w="9940" w:type="dxa"/>
            <w:vAlign w:val="bottom"/>
            <w:gridSpan w:val="7"/>
            <w:shd w:val="clear" w:color="auto" w:fill="CCEEFF"/>
          </w:tcPr>
          <w:p>
            <w:pPr>
              <w:spacing w:after="0" w:line="178"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Certification of Michele G. Buck, Chief Executive Officer, and Steven E. Voskuil, Chief Financial Officer, pursuant to Section 906 of the Sarbanes-</w:t>
              </w:r>
            </w:hyperlink>
          </w:p>
        </w:tc>
      </w:tr>
      <w:tr>
        <w:trPr>
          <w:trHeight w:val="142"/>
        </w:trPr>
        <w:tc>
          <w:tcPr>
            <w:tcW w:w="1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Oxley Act of 2002.</w:t>
              </w:r>
              <w:r>
                <w:rPr>
                  <w:rFonts w:ascii="Times New Roman" w:cs="Times New Roman" w:eastAsia="Times New Roman" w:hAnsi="Times New Roman"/>
                  <w:sz w:val="16"/>
                  <w:szCs w:val="16"/>
                  <w:color w:val="000000"/>
                </w:rPr>
                <w:t>**</w:t>
              </w:r>
            </w:hyperlink>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994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3"/>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32"/>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9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20"/>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26"/>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9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13"/>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21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9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bl>
    <w:p>
      <w:pPr>
        <w:spacing w:after="0" w:line="13" w:lineRule="exact"/>
        <w:rPr>
          <w:sz w:val="20"/>
          <w:szCs w:val="20"/>
          <w:color w:val="auto"/>
        </w:rPr>
      </w:pPr>
    </w:p>
    <w:p>
      <w:pPr>
        <w:ind w:left="1300" w:right="100" w:hanging="826"/>
        <w:spacing w:after="0" w:line="280" w:lineRule="auto"/>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September 27, 2020, formatted in Inline XBRL and contained in Exhibit 101.</w:t>
      </w:r>
    </w:p>
    <w:p>
      <w:pPr>
        <w:spacing w:after="0" w:line="259" w:lineRule="exact"/>
        <w:rPr>
          <w:sz w:val="20"/>
          <w:szCs w:val="20"/>
          <w:color w:val="auto"/>
        </w:rPr>
      </w:pPr>
    </w:p>
    <w:p>
      <w:pPr>
        <w:ind w:left="1300" w:hanging="745"/>
        <w:spacing w:after="0"/>
        <w:tabs>
          <w:tab w:leader="none" w:pos="1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Hershey Company | Q3 2020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56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56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30"/>
        </w:trPr>
        <w:tc>
          <w:tcPr>
            <w:tcW w:w="2560" w:type="dxa"/>
            <w:vAlign w:val="bottom"/>
          </w:tcPr>
          <w:p>
            <w:pPr>
              <w:spacing w:after="0"/>
              <w:rPr>
                <w:sz w:val="19"/>
                <w:szCs w:val="19"/>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tc>
      </w:tr>
      <w:tr>
        <w:trPr>
          <w:trHeight w:val="234"/>
        </w:trPr>
        <w:tc>
          <w:tcPr>
            <w:tcW w:w="2560" w:type="dxa"/>
            <w:vAlign w:val="bottom"/>
          </w:tcPr>
          <w:p>
            <w:pPr>
              <w:spacing w:after="0"/>
              <w:rPr>
                <w:sz w:val="20"/>
                <w:szCs w:val="20"/>
                <w:color w:val="auto"/>
              </w:rPr>
            </w:pPr>
          </w:p>
        </w:tc>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Hershey Company | Q3 2020 Form 10-Q | Page 51</w:t>
      </w:r>
    </w:p>
    <w:p>
      <w:pPr>
        <w:sectPr>
          <w:pgSz w:w="11900" w:h="16838" w:orient="portrait"/>
          <w:cols w:equalWidth="0" w:num="1">
            <w:col w:w="11220"/>
          </w:cols>
          <w:pgMar w:left="320" w:top="1251" w:right="3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3531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Michele G. Buck</w:t>
      </w:r>
    </w:p>
    <w:p>
      <w:pPr>
        <w:spacing w:after="0" w:line="1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November 6, 2020</w:t>
      </w:r>
    </w:p>
    <w:p>
      <w:pPr>
        <w:sectPr>
          <w:pgSz w:w="11900" w:h="16838" w:orient="portrait"/>
          <w:cols w:equalWidth="0" w:num="1">
            <w:col w:w="11200"/>
          </w:cols>
          <w:pgMar w:left="36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3531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1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November 6, 2020</w:t>
      </w:r>
    </w:p>
    <w:p>
      <w:pPr>
        <w:sectPr>
          <w:pgSz w:w="11900" w:h="16838" w:orient="portrait"/>
          <w:cols w:equalWidth="0" w:num="1">
            <w:col w:w="11200"/>
          </w:cols>
          <w:pgMar w:left="36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27,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2020</w:t>
            </w:r>
          </w:p>
        </w:tc>
        <w:tc>
          <w:tcPr>
            <w:tcW w:w="362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9"/>
              </w:rPr>
              <w:t>/s/ MICHELE G. BUCK</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Michele G. Buck</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49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2020</w:t>
            </w:r>
          </w:p>
        </w:tc>
        <w:tc>
          <w:tcPr>
            <w:tcW w:w="362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212"/>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bl>
    <w:p>
      <w:pPr>
        <w:spacing w:after="0" w:line="1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2" Type="http://schemas.openxmlformats.org/officeDocument/2006/relationships/hyperlink" Target="http://www.sec.gov/Archives/edgar/data/47111/000004711105000159/exhibit3.htm?_sm_byp=iVV7PRrr5tFtD2T5" TargetMode="External"/><Relationship Id="rId103"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2020-11-06T09:23:36Z</dcterms:created>
  <dcterms:modified xsi:type="dcterms:W3CDTF">2020-11-06T09:23:36Z</dcterms:modified>
</cp:coreProperties>
</file>