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126" w:lineRule="exact"/>
        <w:rPr>
          <w:sz w:val="24"/>
          <w:szCs w:val="24"/>
          <w:color w:val="auto"/>
        </w:rPr>
      </w:pPr>
    </w:p>
    <w:p>
      <w:pPr>
        <w:ind w:left="1160" w:hanging="335"/>
        <w:spacing w:after="0"/>
        <w:tabs>
          <w:tab w:leader="none" w:pos="11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29,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4" w:lineRule="exact"/>
        <w:rPr>
          <w:sz w:val="24"/>
          <w:szCs w:val="24"/>
          <w:color w:val="auto"/>
        </w:rPr>
      </w:pPr>
    </w:p>
    <w:p>
      <w:pPr>
        <w:ind w:left="1160" w:hanging="335"/>
        <w:spacing w:after="0"/>
        <w:tabs>
          <w:tab w:leader="none" w:pos="11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95" w:right="339" w:bottom="1440" w:gutter="0" w:footer="0" w:header="0"/>
        </w:sectPr>
      </w:pPr>
    </w:p>
    <w:p>
      <w:pPr>
        <w:spacing w:after="0" w:line="124"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23-0691590</w:t>
      </w:r>
    </w:p>
    <w:p>
      <w:pPr>
        <w:spacing w:after="0" w:line="90" w:lineRule="exact"/>
        <w:rPr>
          <w:sz w:val="24"/>
          <w:szCs w:val="24"/>
          <w:color w:val="auto"/>
        </w:rPr>
      </w:pPr>
    </w:p>
    <w:p>
      <w:pPr>
        <w:sectPr>
          <w:pgSz w:w="11900" w:h="16838" w:orient="portrait"/>
          <w:cols w:equalWidth="0" w:num="2">
            <w:col w:w="7500" w:space="720"/>
            <w:col w:w="3020"/>
          </w:cols>
          <w:pgMar w:left="320" w:top="795"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00" w:lineRule="exact"/>
        <w:rPr>
          <w:sz w:val="24"/>
          <w:szCs w:val="24"/>
          <w:color w:val="auto"/>
        </w:rPr>
      </w:pPr>
    </w:p>
    <w:p>
      <w:pPr>
        <w:sectPr>
          <w:pgSz w:w="11900" w:h="16838" w:orient="portrait"/>
          <w:cols w:equalWidth="0" w:num="2">
            <w:col w:w="6640" w:space="720"/>
            <w:col w:w="3880"/>
          </w:cols>
          <w:pgMar w:left="320" w:top="795" w:right="3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19 East Chocolate Avenue, Hershey, PA 17033</w:t>
      </w:r>
    </w:p>
    <w:p>
      <w:pPr>
        <w:jc w:val="center"/>
        <w:ind w:right="-39"/>
        <w:spacing w:after="0"/>
        <w:rPr>
          <w:sz w:val="20"/>
          <w:szCs w:val="20"/>
          <w:color w:val="auto"/>
        </w:rPr>
      </w:pPr>
      <w:r>
        <w:rPr>
          <w:rFonts w:ascii="Arial" w:cs="Arial" w:eastAsia="Arial" w:hAnsi="Arial"/>
          <w:sz w:val="18"/>
          <w:szCs w:val="18"/>
          <w:color w:val="auto"/>
        </w:rPr>
        <w:t>(Address of principal executive offices and Zip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(717) 534-4200</w:t>
      </w: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Title of each class</w:t>
            </w: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Trading Symbol(s)</w:t>
            </w:r>
          </w:p>
        </w:tc>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2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Common Stock, one dollar par value</w:t>
            </w: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HSY</w:t>
            </w: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2" w:lineRule="exact"/>
        <w:rPr>
          <w:sz w:val="24"/>
          <w:szCs w:val="24"/>
          <w:color w:val="auto"/>
        </w:rPr>
      </w:pPr>
    </w:p>
    <w:p>
      <w:pPr>
        <w:ind w:right="12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02" w:lineRule="exact"/>
        <w:rPr>
          <w:sz w:val="24"/>
          <w:szCs w:val="24"/>
          <w:color w:val="auto"/>
        </w:rPr>
      </w:pPr>
    </w:p>
    <w:p>
      <w:pPr>
        <w:ind w:right="32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440" w:type="dxa"/>
        <w:tblCellMar>
          <w:top w:w="0" w:type="dxa"/>
          <w:left w:w="0" w:type="dxa"/>
          <w:bottom w:w="0" w:type="dxa"/>
          <w:right w:w="0" w:type="dxa"/>
        </w:tblCellMar>
      </w:tblPr>
      <w:tr>
        <w:trPr>
          <w:trHeight w:val="249"/>
        </w:trPr>
        <w:tc>
          <w:tcPr>
            <w:tcW w:w="1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780" w:type="dxa"/>
            <w:vAlign w:val="bottom"/>
          </w:tcPr>
          <w:p>
            <w:pPr>
              <w:ind w:left="232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spacing w:after="0"/>
              <w:rPr>
                <w:sz w:val="21"/>
                <w:szCs w:val="21"/>
                <w:color w:val="auto"/>
              </w:rPr>
            </w:pPr>
          </w:p>
        </w:tc>
        <w:tc>
          <w:tcPr>
            <w:tcW w:w="29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280"/>
              <w:spacing w:after="0"/>
              <w:rPr>
                <w:sz w:val="20"/>
                <w:szCs w:val="20"/>
                <w:color w:val="auto"/>
              </w:rPr>
            </w:pPr>
            <w:r>
              <w:rPr>
                <w:rFonts w:ascii="Arial" w:cs="Arial" w:eastAsia="Arial" w:hAnsi="Arial"/>
                <w:sz w:val="18"/>
                <w:szCs w:val="18"/>
                <w:color w:val="auto"/>
              </w:rPr>
              <w:t>x</w:t>
            </w:r>
          </w:p>
        </w:tc>
        <w:tc>
          <w:tcPr>
            <w:tcW w:w="2780" w:type="dxa"/>
            <w:vAlign w:val="bottom"/>
          </w:tcPr>
          <w:p>
            <w:pPr>
              <w:ind w:left="460"/>
              <w:spacing w:after="0"/>
              <w:rPr>
                <w:sz w:val="20"/>
                <w:szCs w:val="20"/>
                <w:color w:val="auto"/>
              </w:rPr>
            </w:pPr>
            <w:r>
              <w:rPr>
                <w:rFonts w:ascii="Arial" w:cs="Arial" w:eastAsia="Arial" w:hAnsi="Arial"/>
                <w:sz w:val="18"/>
                <w:szCs w:val="18"/>
                <w:color w:val="auto"/>
              </w:rPr>
              <w:t>Accelerated filer</w:t>
            </w:r>
          </w:p>
        </w:tc>
        <w:tc>
          <w:tcPr>
            <w:tcW w:w="2080" w:type="dxa"/>
            <w:vAlign w:val="bottom"/>
          </w:tcPr>
          <w:p>
            <w:pPr>
              <w:ind w:left="320"/>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80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20" w:type="dxa"/>
            <w:vAlign w:val="bottom"/>
          </w:tcPr>
          <w:p>
            <w:pPr>
              <w:ind w:left="80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value—147,395,851 shares, as of April 17, 2020.</w:t>
      </w:r>
    </w:p>
    <w:p>
      <w:pPr>
        <w:ind w:left="660"/>
        <w:spacing w:after="0"/>
        <w:rPr>
          <w:sz w:val="20"/>
          <w:szCs w:val="20"/>
          <w:color w:val="auto"/>
        </w:rPr>
      </w:pPr>
      <w:r>
        <w:rPr>
          <w:rFonts w:ascii="Arial" w:cs="Arial" w:eastAsia="Arial" w:hAnsi="Arial"/>
          <w:sz w:val="18"/>
          <w:szCs w:val="18"/>
          <w:color w:val="auto"/>
        </w:rPr>
        <w:t>Class B Common Stock, one dollar par value—60,613,777 shares, as of April 17, 2020.</w:t>
      </w:r>
    </w:p>
    <w:p>
      <w:pPr>
        <w:sectPr>
          <w:pgSz w:w="11900" w:h="16838" w:orient="portrait"/>
          <w:cols w:equalWidth="0" w:num="1">
            <w:col w:w="11240"/>
          </w:cols>
          <w:pgMar w:left="320" w:top="79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March 29,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shd w:val="clear" w:color="auto" w:fill="CCEEFF"/>
          </w:tcPr>
          <w:p>
            <w:pPr>
              <w:spacing w:after="0"/>
              <w:rPr>
                <w:sz w:val="21"/>
                <w:szCs w:val="21"/>
                <w:color w:val="auto"/>
              </w:rPr>
            </w:pPr>
          </w:p>
        </w:tc>
        <w:tc>
          <w:tcPr>
            <w:tcW w:w="9460" w:type="dxa"/>
            <w:vAlign w:val="bottom"/>
            <w:gridSpan w:val="16"/>
            <w:shd w:val="clear" w:color="auto" w:fill="CCEEFF"/>
          </w:tcPr>
          <w:p>
            <w:pPr>
              <w:spacing w:after="0"/>
              <w:rPr>
                <w:sz w:val="20"/>
                <w:szCs w:val="20"/>
                <w:color w:val="auto"/>
              </w:rPr>
            </w:pPr>
            <w:r>
              <w:rPr>
                <w:rFonts w:ascii="Arial" w:cs="Arial" w:eastAsia="Arial" w:hAnsi="Arial"/>
                <w:sz w:val="16"/>
                <w:szCs w:val="16"/>
                <w:color w:val="0000EE"/>
              </w:rPr>
              <w:t>PART I. FINANCIAL INFORMATION</w:t>
            </w:r>
          </w:p>
        </w:tc>
        <w:tc>
          <w:tcPr>
            <w:tcW w:w="1740" w:type="dxa"/>
            <w:vAlign w:val="bottom"/>
            <w:shd w:val="clear" w:color="auto" w:fill="CCEEFF"/>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3</w:t>
              </w:r>
            </w:hyperlink>
          </w:p>
        </w:tc>
      </w:tr>
      <w:tr>
        <w:trPr>
          <w:trHeight w:val="203"/>
        </w:trPr>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gridSpan w:val="9"/>
          </w:tcPr>
          <w:p>
            <w:pPr>
              <w:ind w:left="20"/>
              <w:spacing w:after="0"/>
              <w:rPr>
                <w:sz w:val="20"/>
                <w:szCs w:val="20"/>
                <w:color w:val="auto"/>
              </w:rPr>
            </w:pPr>
            <w:r>
              <w:rPr>
                <w:rFonts w:ascii="Arial" w:cs="Arial" w:eastAsia="Arial" w:hAnsi="Arial"/>
                <w:sz w:val="16"/>
                <w:szCs w:val="16"/>
                <w:color w:val="0000EE"/>
              </w:rPr>
              <w:t>Item 1. Financial Statements</w:t>
            </w:r>
          </w:p>
        </w:tc>
        <w:tc>
          <w:tcPr>
            <w:tcW w:w="6880" w:type="dxa"/>
            <w:vAlign w:val="bottom"/>
            <w:tcBorders>
              <w:top w:val="single" w:sz="8" w:color="CCEEFF"/>
            </w:tcBorders>
            <w:gridSpan w:val="6"/>
          </w:tcPr>
          <w:p>
            <w:pPr>
              <w:spacing w:after="0"/>
              <w:rPr>
                <w:sz w:val="17"/>
                <w:szCs w:val="17"/>
                <w:color w:val="auto"/>
              </w:rPr>
            </w:pPr>
          </w:p>
        </w:tc>
        <w:tc>
          <w:tcPr>
            <w:tcW w:w="1740" w:type="dxa"/>
            <w:vAlign w:val="bottom"/>
            <w:tcBorders>
              <w:top w:val="single" w:sz="8" w:color="CCEEFF"/>
            </w:tcBorders>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3</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Consolidated Statements of Income for the Three Months Ended March 29, 2020 and March 31, 2019</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3</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Comprehensive Income for the Three Months Ended March 29, 2020 and March 31, 2019</w:t>
              </w:r>
            </w:hyperlink>
          </w:p>
        </w:tc>
        <w:tc>
          <w:tcPr>
            <w:tcW w:w="1740" w:type="dxa"/>
            <w:vAlign w:val="bottom"/>
          </w:tcPr>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4</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Balance Sheets as of March 29, 2020 and December 31, 2019</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5</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Cash Flows for the Three Months Ended March 29, 2020 and March 31, 2019</w:t>
              </w:r>
            </w:hyperlink>
          </w:p>
        </w:tc>
        <w:tc>
          <w:tcPr>
            <w:tcW w:w="1740" w:type="dxa"/>
            <w:vAlign w:val="bottom"/>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Statement of Stockholders' Equity for the Three Months Ended March 29, 2020 and March 31, 2019</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20" w:type="dxa"/>
            <w:vAlign w:val="bottom"/>
            <w:gridSpan w:val="14"/>
          </w:tcPr>
          <w:p>
            <w:pPr>
              <w:spacing w:after="0"/>
              <w:rPr>
                <w:sz w:val="20"/>
                <w:szCs w:val="20"/>
                <w:color w:val="auto"/>
              </w:rPr>
            </w:pPr>
            <w:r>
              <w:rPr>
                <w:rFonts w:ascii="Arial" w:cs="Arial" w:eastAsia="Arial" w:hAnsi="Arial"/>
                <w:sz w:val="16"/>
                <w:szCs w:val="16"/>
                <w:color w:val="0000EE"/>
              </w:rPr>
              <w:t>Notes to Unaudited Consolidated Financial Statements</w:t>
            </w:r>
          </w:p>
        </w:tc>
        <w:tc>
          <w:tcPr>
            <w:tcW w:w="1740" w:type="dxa"/>
            <w:vAlign w:val="bottom"/>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 1 - Summary of Significant Accounting Policies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 2 - Business Acquisition</w:t>
              </w:r>
            </w:hyperlink>
          </w:p>
        </w:tc>
        <w:tc>
          <w:tcPr>
            <w:tcW w:w="1740" w:type="dxa"/>
            <w:vAlign w:val="bottom"/>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9</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 3 - Goodwill and Intangible Assets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10</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Note 4 - Short and Long-Term Debt</w:t>
              </w:r>
            </w:hyperlink>
          </w:p>
        </w:tc>
        <w:tc>
          <w:tcPr>
            <w:tcW w:w="174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11</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Note 5 - Derivative Instruments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12</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Note 6 - Fair Value Measurements</w:t>
              </w:r>
            </w:hyperlink>
          </w:p>
        </w:tc>
        <w:tc>
          <w:tcPr>
            <w:tcW w:w="1740" w:type="dxa"/>
            <w:vAlign w:val="bottom"/>
          </w:tcPr>
          <w:p>
            <w:pPr>
              <w:jc w:val="right"/>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15</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Note 7 - Leases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17</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Note 8 - Assets and Liabilities Held for Sale</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20</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Note 9 - Business Realignment Activities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20</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Note 10 - Income Taxes</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21</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Note 11 - Pension and Other Post-Retirement Benefit Plans</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22</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Note 12 - Stock Compensation Plans</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22</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Note 13 - Segment Information</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24</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Note 14 - Treasury Stock Activity</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26</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Note 15 - Noncontrolling Interest</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26</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Note 16 - Contingencies</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27</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Note 17 - Earnings Per Share</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27</w:t>
              </w:r>
            </w:hyperlink>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20" w:type="dxa"/>
            <w:vAlign w:val="bottom"/>
            <w:gridSpan w:val="14"/>
          </w:tcPr>
          <w:p>
            <w:pPr>
              <w:ind w:left="32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Note 18 - Other (Income) Expense, Net</w:t>
              </w:r>
            </w:hyperlink>
          </w:p>
        </w:tc>
        <w:tc>
          <w:tcPr>
            <w:tcW w:w="1740" w:type="dxa"/>
            <w:vAlign w:val="bottom"/>
          </w:tcPr>
          <w:p>
            <w:pPr>
              <w:jc w:val="right"/>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28</w:t>
              </w:r>
            </w:hyperlink>
          </w:p>
        </w:tc>
      </w:tr>
      <w:tr>
        <w:trPr>
          <w:trHeight w:val="3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14"/>
            <w:shd w:val="clear" w:color="auto" w:fill="CCEEFF"/>
          </w:tcPr>
          <w:p>
            <w:pPr>
              <w:ind w:left="32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Note 19 - Supplemental Balance Sheet Information</w:t>
              </w:r>
            </w:hyperlink>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29</w:t>
              </w:r>
            </w:hyperlink>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15"/>
          </w:tcPr>
          <w:p>
            <w:pPr>
              <w:ind w:left="20"/>
              <w:spacing w:after="0"/>
              <w:rPr>
                <w:sz w:val="20"/>
                <w:szCs w:val="20"/>
                <w:color w:val="auto"/>
              </w:rPr>
            </w:pPr>
            <w:r>
              <w:rPr>
                <w:rFonts w:ascii="Arial" w:cs="Arial" w:eastAsia="Arial" w:hAnsi="Arial"/>
                <w:sz w:val="16"/>
                <w:szCs w:val="16"/>
                <w:color w:val="0000EE"/>
              </w:rPr>
              <w:t>Item 2. Management's Discussion and Analysis of Financial Condition and Results of Operations</w:t>
            </w:r>
          </w:p>
        </w:tc>
        <w:tc>
          <w:tcPr>
            <w:tcW w:w="1740" w:type="dxa"/>
            <w:vAlign w:val="bottom"/>
          </w:tcPr>
          <w:p>
            <w:pPr>
              <w:jc w:val="right"/>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30</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0000EE"/>
            </w:tcBorders>
            <w:gridSpan w:val="13"/>
            <w:shd w:val="clear" w:color="auto" w:fill="CCEEFF"/>
          </w:tcPr>
          <w:p>
            <w:pPr>
              <w:ind w:left="20"/>
              <w:spacing w:after="0"/>
              <w:rPr>
                <w:sz w:val="20"/>
                <w:szCs w:val="20"/>
                <w:color w:val="auto"/>
              </w:rPr>
            </w:pPr>
            <w:r>
              <w:rPr>
                <w:rFonts w:ascii="Arial" w:cs="Arial" w:eastAsia="Arial" w:hAnsi="Arial"/>
                <w:sz w:val="16"/>
                <w:szCs w:val="16"/>
                <w:color w:val="0000EE"/>
                <w:w w:val="93"/>
              </w:rPr>
              <w:t>Item 3. Quantitative and Qualitative Disclosures About Market Risk</w:t>
            </w:r>
          </w:p>
        </w:tc>
        <w:tc>
          <w:tcPr>
            <w:tcW w:w="4900" w:type="dxa"/>
            <w:vAlign w:val="bottom"/>
            <w:tcBorders>
              <w:bottom w:val="single" w:sz="8" w:color="CCEEFF"/>
            </w:tcBorders>
            <w:gridSpan w:val="2"/>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39</w:t>
              </w:r>
            </w:hyperlink>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15"/>
          </w:tcPr>
          <w:p>
            <w:pPr>
              <w:ind w:left="20"/>
              <w:spacing w:after="0"/>
              <w:rPr>
                <w:sz w:val="20"/>
                <w:szCs w:val="20"/>
                <w:color w:val="auto"/>
              </w:rPr>
            </w:pPr>
            <w:r>
              <w:rPr>
                <w:rFonts w:ascii="Arial" w:cs="Arial" w:eastAsia="Arial" w:hAnsi="Arial"/>
                <w:sz w:val="16"/>
                <w:szCs w:val="16"/>
                <w:color w:val="0000EE"/>
              </w:rPr>
              <w:t>Item 4. Controls and Procedures</w:t>
            </w:r>
          </w:p>
        </w:tc>
        <w:tc>
          <w:tcPr>
            <w:tcW w:w="1740" w:type="dxa"/>
            <w:vAlign w:val="bottom"/>
          </w:tcPr>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40</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6"/>
                <w:szCs w:val="16"/>
                <w:color w:val="0000EE"/>
                <w:w w:val="96"/>
              </w:rPr>
              <w:t>PART II. OTHER INFORMATION</w:t>
            </w:r>
          </w:p>
        </w:tc>
        <w:tc>
          <w:tcPr>
            <w:tcW w:w="7140" w:type="dxa"/>
            <w:vAlign w:val="bottom"/>
            <w:tcBorders>
              <w:bottom w:val="single" w:sz="8" w:color="CCEEFF"/>
            </w:tcBorders>
            <w:gridSpan w:val="7"/>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41</w:t>
              </w:r>
            </w:hyperlink>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15"/>
          </w:tcPr>
          <w:p>
            <w:pPr>
              <w:ind w:left="20"/>
              <w:spacing w:after="0"/>
              <w:rPr>
                <w:sz w:val="20"/>
                <w:szCs w:val="20"/>
                <w:color w:val="auto"/>
              </w:rPr>
            </w:pPr>
            <w:r>
              <w:rPr>
                <w:rFonts w:ascii="Arial" w:cs="Arial" w:eastAsia="Arial" w:hAnsi="Arial"/>
                <w:sz w:val="16"/>
                <w:szCs w:val="16"/>
                <w:color w:val="0000EE"/>
              </w:rPr>
              <w:t>Item 1. Legal Proceedings</w:t>
            </w:r>
          </w:p>
        </w:tc>
        <w:tc>
          <w:tcPr>
            <w:tcW w:w="1740" w:type="dxa"/>
            <w:vAlign w:val="bottom"/>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41</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34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0000EE"/>
              </w:rPr>
              <w:t>Item 1A. Risk Factors</w:t>
            </w:r>
          </w:p>
        </w:tc>
        <w:tc>
          <w:tcPr>
            <w:tcW w:w="1740" w:type="dxa"/>
            <w:vAlign w:val="bottom"/>
            <w:shd w:val="clear" w:color="auto" w:fill="CCEEFF"/>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15"/>
          </w:tcPr>
          <w:p>
            <w:pPr>
              <w:ind w:left="20"/>
              <w:spacing w:after="0"/>
              <w:rPr>
                <w:sz w:val="20"/>
                <w:szCs w:val="20"/>
                <w:color w:val="auto"/>
              </w:rPr>
            </w:pPr>
            <w:r>
              <w:rPr>
                <w:rFonts w:ascii="Arial" w:cs="Arial" w:eastAsia="Arial" w:hAnsi="Arial"/>
                <w:sz w:val="16"/>
                <w:szCs w:val="16"/>
                <w:color w:val="0000EE"/>
              </w:rPr>
              <w:t>Item 2. Unregistered Sales of Equity Securities and Use of Proceeds</w:t>
            </w:r>
          </w:p>
        </w:tc>
        <w:tc>
          <w:tcPr>
            <w:tcW w:w="1740" w:type="dxa"/>
            <w:vAlign w:val="bottom"/>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42</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34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0000EE"/>
              </w:rPr>
              <w:t>Item 3. Defaults Upon Senior Securities</w:t>
            </w:r>
          </w:p>
        </w:tc>
        <w:tc>
          <w:tcPr>
            <w:tcW w:w="1740" w:type="dxa"/>
            <w:vAlign w:val="bottom"/>
            <w:shd w:val="clear" w:color="auto" w:fill="CCEEFF"/>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42</w:t>
              </w:r>
            </w:hyperlink>
          </w:p>
        </w:tc>
      </w:tr>
      <w:tr>
        <w:trPr>
          <w:trHeight w:val="203"/>
        </w:trPr>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0" w:type="dxa"/>
            <w:vAlign w:val="bottom"/>
            <w:tcBorders>
              <w:top w:val="single" w:sz="8" w:color="0000EE"/>
            </w:tcBorders>
            <w:gridSpan w:val="10"/>
          </w:tcPr>
          <w:p>
            <w:pPr>
              <w:ind w:left="20"/>
              <w:spacing w:after="0"/>
              <w:rPr>
                <w:sz w:val="20"/>
                <w:szCs w:val="20"/>
                <w:color w:val="auto"/>
              </w:rPr>
            </w:pPr>
            <w:r>
              <w:rPr>
                <w:rFonts w:ascii="Arial" w:cs="Arial" w:eastAsia="Arial" w:hAnsi="Arial"/>
                <w:sz w:val="16"/>
                <w:szCs w:val="16"/>
                <w:color w:val="0000EE"/>
              </w:rPr>
              <w:t>Item 4. Mine Safety Disclosures</w:t>
            </w:r>
          </w:p>
        </w:tc>
        <w:tc>
          <w:tcPr>
            <w:tcW w:w="6740" w:type="dxa"/>
            <w:vAlign w:val="bottom"/>
            <w:tcBorders>
              <w:top w:val="single" w:sz="8" w:color="CCEEFF"/>
            </w:tcBorders>
            <w:gridSpan w:val="5"/>
          </w:tcPr>
          <w:p>
            <w:pPr>
              <w:spacing w:after="0"/>
              <w:rPr>
                <w:sz w:val="17"/>
                <w:szCs w:val="17"/>
                <w:color w:val="auto"/>
              </w:rPr>
            </w:pPr>
          </w:p>
        </w:tc>
        <w:tc>
          <w:tcPr>
            <w:tcW w:w="1740" w:type="dxa"/>
            <w:vAlign w:val="bottom"/>
            <w:tcBorders>
              <w:top w:val="single" w:sz="8" w:color="CCEEFF"/>
            </w:tcBorders>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42</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0000EE"/>
            </w:tcBorders>
            <w:gridSpan w:val="4"/>
            <w:shd w:val="clear" w:color="auto" w:fill="CCEEFF"/>
          </w:tcPr>
          <w:p>
            <w:pPr>
              <w:ind w:left="20"/>
              <w:spacing w:after="0"/>
              <w:rPr>
                <w:sz w:val="20"/>
                <w:szCs w:val="20"/>
                <w:color w:val="auto"/>
              </w:rPr>
            </w:pPr>
            <w:r>
              <w:rPr>
                <w:rFonts w:ascii="Arial" w:cs="Arial" w:eastAsia="Arial" w:hAnsi="Arial"/>
                <w:sz w:val="16"/>
                <w:szCs w:val="16"/>
                <w:color w:val="0000EE"/>
                <w:w w:val="93"/>
              </w:rPr>
              <w:t>Item 5. Other Information</w:t>
            </w:r>
          </w:p>
        </w:tc>
        <w:tc>
          <w:tcPr>
            <w:tcW w:w="7640" w:type="dxa"/>
            <w:vAlign w:val="bottom"/>
            <w:tcBorders>
              <w:bottom w:val="single" w:sz="8" w:color="CCEEFF"/>
            </w:tcBorders>
            <w:gridSpan w:val="11"/>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42</w:t>
              </w:r>
            </w:hyperlink>
          </w:p>
        </w:tc>
      </w:tr>
      <w:tr>
        <w:trPr>
          <w:trHeight w:val="203"/>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15"/>
          </w:tcPr>
          <w:p>
            <w:pPr>
              <w:ind w:left="20"/>
              <w:spacing w:after="0"/>
              <w:rPr>
                <w:sz w:val="20"/>
                <w:szCs w:val="20"/>
                <w:color w:val="auto"/>
              </w:rPr>
            </w:pPr>
            <w:r>
              <w:rPr>
                <w:rFonts w:ascii="Arial" w:cs="Arial" w:eastAsia="Arial" w:hAnsi="Arial"/>
                <w:sz w:val="16"/>
                <w:szCs w:val="16"/>
                <w:color w:val="0000EE"/>
              </w:rPr>
              <w:t>Item 6. Exhibits</w:t>
            </w:r>
          </w:p>
        </w:tc>
        <w:tc>
          <w:tcPr>
            <w:tcW w:w="1740" w:type="dxa"/>
            <w:vAlign w:val="bottom"/>
          </w:tcPr>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43</w:t>
              </w:r>
            </w:hyperlink>
          </w:p>
        </w:tc>
      </w:tr>
      <w:tr>
        <w:trPr>
          <w:trHeight w:val="48"/>
        </w:trPr>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9460" w:type="dxa"/>
            <w:vAlign w:val="bottom"/>
            <w:gridSpan w:val="16"/>
            <w:shd w:val="clear" w:color="auto" w:fill="CCEEFF"/>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Signature</w:t>
              </w:r>
            </w:hyperlink>
          </w:p>
        </w:tc>
        <w:tc>
          <w:tcPr>
            <w:tcW w:w="1740" w:type="dxa"/>
            <w:vAlign w:val="bottom"/>
            <w:shd w:val="clear" w:color="auto" w:fill="CCEEFF"/>
          </w:tcPr>
          <w:p>
            <w:pPr>
              <w:jc w:val="right"/>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44</w:t>
              </w:r>
            </w:hyperlink>
          </w:p>
        </w:tc>
      </w:tr>
      <w:tr>
        <w:trPr>
          <w:trHeight w:val="33"/>
        </w:trPr>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29, 2020</w:t>
            </w:r>
          </w:p>
        </w:tc>
        <w:tc>
          <w:tcPr>
            <w:tcW w:w="30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2,016,488</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1,170,695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1,123,984</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892,504</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475,384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453,573</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Business realignment costs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438,869</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37,458</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335,012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395,934</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92,053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268,783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303,881</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271,137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304,358</w:t>
            </w:r>
          </w:p>
        </w:tc>
      </w:tr>
      <w:tr>
        <w:trPr>
          <w:trHeight w:val="311"/>
        </w:trPr>
        <w:tc>
          <w:tcPr>
            <w:tcW w:w="6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0.722</w:t>
            </w: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0.702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0.656</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w:t>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w w:val="90"/>
              </w:rPr>
              <w:t>For the 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29, 2020</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3"/>
                <w:szCs w:val="13"/>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(Expense)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5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268,783</w:t>
            </w:r>
          </w:p>
        </w:tc>
        <w:tc>
          <w:tcPr>
            <w:tcW w:w="2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303,881</w:t>
            </w:r>
          </w:p>
        </w:tc>
        <w:tc>
          <w:tcPr>
            <w:tcW w:w="0" w:type="dxa"/>
            <w:vAlign w:val="bottom"/>
          </w:tcPr>
          <w:p>
            <w:pPr>
              <w:spacing w:after="0"/>
              <w:rPr>
                <w:sz w:val="1"/>
                <w:szCs w:val="1"/>
                <w:color w:val="auto"/>
              </w:rPr>
            </w:pPr>
          </w:p>
        </w:tc>
      </w:tr>
      <w:tr>
        <w:trPr>
          <w:trHeight w:val="258"/>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(loss) income, net of tax:</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80"/>
              <w:spacing w:after="0"/>
              <w:rPr>
                <w:sz w:val="20"/>
                <w:szCs w:val="20"/>
                <w:color w:val="auto"/>
              </w:rPr>
            </w:pPr>
            <w:r>
              <w:rPr>
                <w:rFonts w:ascii="Arial" w:cs="Arial" w:eastAsia="Arial" w:hAnsi="Arial"/>
                <w:sz w:val="14"/>
                <w:szCs w:val="14"/>
                <w:color w:val="auto"/>
              </w:rPr>
              <w:t>Foreign currency translation (losses) gains during period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(51,343)</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(51,343)</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3,428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80"/>
              <w:spacing w:after="0"/>
              <w:rPr>
                <w:sz w:val="20"/>
                <w:szCs w:val="20"/>
                <w:color w:val="auto"/>
              </w:rPr>
            </w:pPr>
            <w:r>
              <w:rPr>
                <w:rFonts w:ascii="Arial" w:cs="Arial" w:eastAsia="Arial" w:hAnsi="Arial"/>
                <w:sz w:val="14"/>
                <w:szCs w:val="14"/>
                <w:color w:val="auto"/>
              </w:rPr>
              <w:t>Reclassification to earnings</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4,755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4,207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276"/>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0" w:type="dxa"/>
            <w:vAlign w:val="bottom"/>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5,381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4,276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977</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82"/>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Total other comprehensive (loss) income, net of tax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(39,116)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(41,883)</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10,795</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8,815</w:t>
            </w:r>
          </w:p>
        </w:tc>
        <w:tc>
          <w:tcPr>
            <w:tcW w:w="0" w:type="dxa"/>
            <w:vAlign w:val="bottom"/>
          </w:tcPr>
          <w:p>
            <w:pPr>
              <w:spacing w:after="0"/>
              <w:rPr>
                <w:sz w:val="1"/>
                <w:szCs w:val="1"/>
                <w:color w:val="auto"/>
              </w:rPr>
            </w:pPr>
          </w:p>
        </w:tc>
      </w:tr>
      <w:tr>
        <w:trPr>
          <w:trHeight w:val="245"/>
        </w:trPr>
        <w:tc>
          <w:tcPr>
            <w:tcW w:w="5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comprehensive income including noncontrolling interest</w:t>
            </w: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226,900</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312,696</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attributable to The Hershey Company</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229,362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312,618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4</w:t>
      </w:r>
    </w:p>
    <w:p>
      <w:pPr>
        <w:sectPr>
          <w:pgSz w:w="11900" w:h="16838" w:orient="portrait"/>
          <w:cols w:equalWidth="0" w:num="1">
            <w:col w:w="11240"/>
          </w:cols>
          <w:pgMar w:left="320" w:top="553" w:right="33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March 29, 2020</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493,262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Accounts receivable—trade, net</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705,639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568,509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815,251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222,125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240,080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2,117,102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2,150,217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2,153,139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1,985,955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Other intangibles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1,324,797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1,341,166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512,000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31,033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8,855,443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531,928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550,828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702,372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788,692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703,390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2,008,793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3,453,525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3,530,813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655,777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197,045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200,018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7,180,902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6,395,401</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2020 and 2019</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w w:val="93"/>
              </w:rPr>
              <w:t>Common stock, shares issued: 160,939,248 at March 29, 2020 and December 31, 2019</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Class B common stock, shares issued: 60,613,777 at March 29, 2020 and December 31,</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1,153,130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1,142,210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1,290,461</w:t>
            </w:r>
          </w:p>
        </w:tc>
        <w:tc>
          <w:tcPr>
            <w:tcW w:w="0" w:type="dxa"/>
            <w:vAlign w:val="bottom"/>
          </w:tcPr>
          <w:p>
            <w:pPr>
              <w:spacing w:after="0"/>
              <w:rPr>
                <w:sz w:val="1"/>
                <w:szCs w:val="1"/>
                <w:color w:val="auto"/>
              </w:rPr>
            </w:pPr>
          </w:p>
        </w:tc>
      </w:tr>
      <w:tr>
        <w:trPr>
          <w:trHeight w:val="229"/>
        </w:trPr>
        <w:tc>
          <w:tcPr>
            <w:tcW w:w="6860" w:type="dxa"/>
            <w:vAlign w:val="bottom"/>
          </w:tcPr>
          <w:p>
            <w:pPr>
              <w:ind w:left="280"/>
              <w:spacing w:after="0"/>
              <w:rPr>
                <w:sz w:val="20"/>
                <w:szCs w:val="20"/>
                <w:color w:val="auto"/>
              </w:rPr>
            </w:pPr>
            <w:r>
              <w:rPr>
                <w:rFonts w:ascii="Arial" w:cs="Arial" w:eastAsia="Arial" w:hAnsi="Arial"/>
                <w:sz w:val="18"/>
                <w:szCs w:val="18"/>
                <w:color w:val="auto"/>
                <w:w w:val="92"/>
              </w:rPr>
              <w:t>Treasury—common stock shares, at cost: 13,390,995 at March 29, 2020 and 12,723,592</w:t>
            </w: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at December 31, 2019</w:t>
            </w:r>
          </w:p>
        </w:tc>
        <w:tc>
          <w:tcPr>
            <w:tcW w:w="3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(742,164)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(591,036)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(323,966)</w:t>
            </w:r>
          </w:p>
        </w:tc>
        <w:tc>
          <w:tcPr>
            <w:tcW w:w="0" w:type="dxa"/>
            <w:vAlign w:val="bottom"/>
          </w:tcPr>
          <w:p>
            <w:pPr>
              <w:spacing w:after="0"/>
              <w:rPr>
                <w:sz w:val="1"/>
                <w:szCs w:val="1"/>
                <w:color w:val="auto"/>
              </w:rPr>
            </w:pPr>
          </w:p>
        </w:tc>
      </w:tr>
      <w:tr>
        <w:trPr>
          <w:trHeight w:val="236"/>
        </w:trPr>
        <w:tc>
          <w:tcPr>
            <w:tcW w:w="6860" w:type="dxa"/>
            <w:vAlign w:val="bottom"/>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1,671,231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1,739,222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36"/>
        </w:trPr>
        <w:tc>
          <w:tcPr>
            <w:tcW w:w="686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1,674,541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1,744,994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8,855,443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8,140,395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5</w:t>
      </w:r>
    </w:p>
    <w:p>
      <w:pPr>
        <w:sectPr>
          <w:pgSz w:w="11900" w:h="16838" w:orient="portrait"/>
          <w:cols w:equalWidth="0" w:num="1">
            <w:col w:w="11240"/>
          </w:cols>
          <w:pgMar w:left="320" w:top="553" w:right="339" w:bottom="1440" w:gutter="0" w:footer="0" w:header="0"/>
          <w:type w:val="continuous"/>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29, 2020</w:t>
            </w:r>
          </w:p>
        </w:tc>
        <w:tc>
          <w:tcPr>
            <w:tcW w:w="220" w:type="dxa"/>
            <w:vAlign w:val="bottom"/>
          </w:tcPr>
          <w:p>
            <w:pPr>
              <w:spacing w:after="0"/>
              <w:rPr>
                <w:sz w:val="20"/>
                <w:szCs w:val="20"/>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268,783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303,881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6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70,624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72,329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10,556</w:t>
            </w:r>
          </w:p>
        </w:tc>
        <w:tc>
          <w:tcPr>
            <w:tcW w:w="0" w:type="dxa"/>
            <w:vAlign w:val="bottom"/>
          </w:tcPr>
          <w:p>
            <w:pPr>
              <w:spacing w:after="0"/>
              <w:rPr>
                <w:sz w:val="1"/>
                <w:szCs w:val="1"/>
                <w:color w:val="auto"/>
              </w:rPr>
            </w:pPr>
          </w:p>
        </w:tc>
      </w:tr>
      <w:tr>
        <w:trPr>
          <w:trHeight w:val="237"/>
        </w:trPr>
        <w:tc>
          <w:tcPr>
            <w:tcW w:w="7780" w:type="dxa"/>
            <w:vAlign w:val="bottom"/>
          </w:tcPr>
          <w:p>
            <w:pPr>
              <w:ind w:left="6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0"/>
              <w:spacing w:after="0"/>
              <w:rPr>
                <w:rFonts w:ascii="Arial" w:cs="Arial" w:eastAsia="Arial" w:hAnsi="Arial"/>
                <w:sz w:val="16"/>
                <w:szCs w:val="16"/>
                <w:color w:val="auto"/>
              </w:rPr>
            </w:pPr>
            <w:r>
              <w:rPr>
                <w:rFonts w:ascii="Arial" w:cs="Arial" w:eastAsia="Arial" w:hAnsi="Arial"/>
                <w:sz w:val="16"/>
                <w:szCs w:val="16"/>
                <w:color w:val="auto"/>
              </w:rPr>
              <w:t xml:space="preserve">Impairment of long-lived assets (see </w:t>
            </w:r>
            <w:hyperlink w:anchor="page15">
              <w:r>
                <w:rPr>
                  <w:rFonts w:ascii="Arial" w:cs="Arial" w:eastAsia="Arial" w:hAnsi="Arial"/>
                  <w:sz w:val="16"/>
                  <w:szCs w:val="16"/>
                  <w:u w:val="single" w:color="auto"/>
                  <w:color w:val="0000EE"/>
                </w:rPr>
                <w:t>Note 6</w:t>
              </w:r>
            </w:hyperlink>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600"/>
              <w:spacing w:after="0"/>
              <w:rPr>
                <w:sz w:val="20"/>
                <w:szCs w:val="20"/>
                <w:color w:val="auto"/>
              </w:rPr>
            </w:pPr>
            <w:r>
              <w:rPr>
                <w:rFonts w:ascii="Arial" w:cs="Arial" w:eastAsia="Arial" w:hAnsi="Arial"/>
                <w:sz w:val="16"/>
                <w:szCs w:val="16"/>
                <w:color w:val="auto"/>
              </w:rPr>
              <w:t>Write-down of equity investments</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37"/>
        </w:trPr>
        <w:tc>
          <w:tcPr>
            <w:tcW w:w="7780" w:type="dxa"/>
            <w:vAlign w:val="bottom"/>
          </w:tcPr>
          <w:p>
            <w:pPr>
              <w:ind w:left="600"/>
              <w:spacing w:after="0"/>
              <w:rPr>
                <w:sz w:val="20"/>
                <w:szCs w:val="20"/>
                <w:color w:val="auto"/>
              </w:rPr>
            </w:pPr>
            <w:r>
              <w:rPr>
                <w:rFonts w:ascii="Arial" w:cs="Arial" w:eastAsia="Arial" w:hAnsi="Arial"/>
                <w:sz w:val="16"/>
                <w:szCs w:val="16"/>
                <w:color w:val="auto"/>
              </w:rPr>
              <w:t>Changes in assets and liabilities, net of business acquisitions and divestitures: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receivable—trade, net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(99,991)</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(27,907)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(6,410)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(2,798)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56,282</w:t>
            </w:r>
          </w:p>
        </w:tc>
        <w:tc>
          <w:tcPr>
            <w:tcW w:w="0" w:type="dxa"/>
            <w:vAlign w:val="bottom"/>
          </w:tcPr>
          <w:p>
            <w:pPr>
              <w:spacing w:after="0"/>
              <w:rPr>
                <w:sz w:val="1"/>
                <w:szCs w:val="1"/>
                <w:color w:val="auto"/>
              </w:rPr>
            </w:pPr>
          </w:p>
        </w:tc>
      </w:tr>
      <w:tr>
        <w:trPr>
          <w:trHeight w:val="237"/>
        </w:trPr>
        <w:tc>
          <w:tcPr>
            <w:tcW w:w="7780" w:type="dxa"/>
            <w:vAlign w:val="bottom"/>
          </w:tcPr>
          <w:p>
            <w:pPr>
              <w:ind w:left="820"/>
              <w:spacing w:after="0"/>
              <w:rPr>
                <w:sz w:val="20"/>
                <w:szCs w:val="20"/>
                <w:color w:val="auto"/>
              </w:rPr>
            </w:pPr>
            <w:r>
              <w:rPr>
                <w:rFonts w:ascii="Arial" w:cs="Arial" w:eastAsia="Arial" w:hAnsi="Arial"/>
                <w:sz w:val="16"/>
                <w:szCs w:val="16"/>
                <w:color w:val="auto"/>
              </w:rPr>
              <w:t>Contributions to pension and other benefit plans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(4,661)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Other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246,093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329,960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Capital additions (including software)</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(92,814)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sales of property, plant and equipment and other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Equity investments in tax credit qualifying partnerships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(111,623)</w:t>
            </w:r>
          </w:p>
        </w:tc>
        <w:tc>
          <w:tcPr>
            <w:tcW w:w="0" w:type="dxa"/>
            <w:vAlign w:val="bottom"/>
          </w:tcPr>
          <w:p>
            <w:pPr>
              <w:spacing w:after="0"/>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(28,990)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Long-term borrowings, net of debt issuance costs</w:t>
            </w: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long-term debt and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(157,803)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(146,463)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34,573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(341,145)</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(decrease) in cash and cash equivalents, including cash classified as held for sale</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612,378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(122,033)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Increase in cash and cash equivalents classified as held for sale (see Note 8)</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(122,033)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493,262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587,998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465,965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35,271</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6"/>
                <w:szCs w:val="16"/>
                <w:color w:val="auto"/>
              </w:rPr>
              <w:t>Income taxes paid</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28,733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6</w:t>
      </w:r>
    </w:p>
    <w:p>
      <w:pPr>
        <w:sectPr>
          <w:pgSz w:w="11900" w:h="16838" w:orient="portrait"/>
          <w:cols w:equalWidth="0" w:num="1">
            <w:col w:w="11240"/>
          </w:cols>
          <w:pgMar w:left="320" w:top="553" w:right="339" w:bottom="1440" w:gutter="0" w:footer="0" w:header="0"/>
          <w:type w:val="continuous"/>
        </w:sectPr>
      </w:pPr>
    </w:p>
    <w:bookmarkStart w:id="6" w:name="page7"/>
    <w:bookmarkEnd w:id="6"/>
    <w:p>
      <w:pPr>
        <w:ind w:left="4440"/>
        <w:spacing w:after="0"/>
        <w:rPr>
          <w:sz w:val="20"/>
          <w:szCs w:val="20"/>
          <w:color w:val="auto"/>
        </w:rPr>
      </w:pPr>
      <w:r>
        <w:rPr>
          <w:rFonts w:ascii="Arial" w:cs="Arial" w:eastAsia="Arial" w:hAnsi="Arial"/>
          <w:sz w:val="18"/>
          <w:szCs w:val="18"/>
          <w:b w:val="1"/>
          <w:bCs w:val="1"/>
          <w:color w:val="auto"/>
        </w:rPr>
        <w:t>THE HERSHEY COMPANY</w:t>
      </w:r>
    </w:p>
    <w:p>
      <w:pPr>
        <w:ind w:left="306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60" w:top="5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$0.773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Class B Common Stock, $0.702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right="1040"/>
        <w:spacing w:after="0" w:line="54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March 29, 2020</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160,939</w:t>
            </w:r>
          </w:p>
        </w:tc>
        <w:tc>
          <w:tcPr>
            <w:tcW w:w="100" w:type="dxa"/>
            <w:vAlign w:val="bottom"/>
          </w:tcPr>
          <w:p>
            <w:pPr>
              <w:spacing w:after="0"/>
              <w:rPr>
                <w:sz w:val="20"/>
                <w:szCs w:val="20"/>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1,142,210</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1,290,461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(591,036)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5,772</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271,137</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268,783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(41,883)</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(114,594)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(114,594)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(42,551)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(42,551)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12,568</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12,568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18,048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16,400</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(169,176)</w:t>
            </w:r>
          </w:p>
        </w:tc>
        <w:tc>
          <w:tcPr>
            <w:tcW w:w="0" w:type="dxa"/>
            <w:vAlign w:val="bottom"/>
          </w:tcPr>
          <w:p>
            <w:pPr>
              <w:spacing w:after="0"/>
              <w:rPr>
                <w:sz w:val="1"/>
                <w:szCs w:val="1"/>
                <w:color w:val="auto"/>
              </w:rPr>
            </w:pPr>
          </w:p>
        </w:tc>
      </w:tr>
      <w:tr>
        <w:trPr>
          <w:trHeight w:val="236"/>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$160,939</w:t>
            </w:r>
          </w:p>
        </w:tc>
        <w:tc>
          <w:tcPr>
            <w:tcW w:w="100" w:type="dxa"/>
            <w:vAlign w:val="bottom"/>
          </w:tcPr>
          <w:p>
            <w:pPr>
              <w:spacing w:after="0"/>
              <w:rPr>
                <w:sz w:val="20"/>
                <w:szCs w:val="20"/>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w w:val="99"/>
              </w:rPr>
              <w:t>$ 60,614</w:t>
            </w:r>
          </w:p>
        </w:tc>
        <w:tc>
          <w:tcPr>
            <w:tcW w:w="10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$1,153,130</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$1,404,453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7"/>
              </w:rPr>
              <w:t>$ (742,164)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(365,741)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1,674,541</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-1782445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-1439545</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-1096645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-753745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-359410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2740" w:space="140"/>
            <w:col w:w="8320"/>
          </w:cols>
          <w:pgMar w:left="360" w:top="5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Common Stock, $0.722 per share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Class B Common Stock, $0.656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Impact of ASU 2016-02 related to leases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March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Stock</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Interests in</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299,287</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60,614</w:t>
            </w:r>
          </w:p>
        </w:tc>
        <w:tc>
          <w:tcPr>
            <w:tcW w:w="100" w:type="dxa"/>
            <w:vAlign w:val="bottom"/>
          </w:tcPr>
          <w:p>
            <w:pPr>
              <w:spacing w:after="0"/>
              <w:rPr>
                <w:sz w:val="20"/>
                <w:szCs w:val="20"/>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982,205</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7,032,020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(6,618,625)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1,407,266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304,358</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303,881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8,815</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(107,288)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(107,288)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(39,763)</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(39,763)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10,463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3,513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31,060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34,573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(198,500)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(198,500)</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36"/>
        </w:trPr>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$299,287</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$ 60,614</w:t>
            </w:r>
          </w:p>
        </w:tc>
        <w:tc>
          <w:tcPr>
            <w:tcW w:w="100" w:type="dxa"/>
            <w:vAlign w:val="bottom"/>
          </w:tcPr>
          <w:p>
            <w:pPr>
              <w:spacing w:after="0"/>
              <w:rPr>
                <w:sz w:val="20"/>
                <w:szCs w:val="20"/>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w w:val="96"/>
              </w:rPr>
              <w:t>$  996,181</w:t>
            </w:r>
          </w:p>
        </w:tc>
        <w:tc>
          <w:tcPr>
            <w:tcW w:w="100" w:type="dxa"/>
            <w:vAlign w:val="bottom"/>
          </w:tcPr>
          <w:p>
            <w:pPr>
              <w:spacing w:after="0"/>
              <w:rPr>
                <w:sz w:val="20"/>
                <w:szCs w:val="20"/>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$7,193,240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3"/>
              </w:rPr>
              <w:t>$ (6,786,065)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(348,520)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8,623</w:t>
            </w:r>
          </w:p>
        </w:tc>
        <w:tc>
          <w:tcPr>
            <w:tcW w:w="100" w:type="dxa"/>
            <w:vAlign w:val="bottom"/>
          </w:tcPr>
          <w:p>
            <w:pPr>
              <w:spacing w:after="0"/>
              <w:rPr>
                <w:sz w:val="20"/>
                <w:szCs w:val="20"/>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1,423,360</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-1953895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-1610995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-1268095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-925195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-530860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-187960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20"/>
            <w:col w:w="8380"/>
          </w:cols>
          <w:pgMar w:left="360" w:top="528"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Q1 2020 Form 10-Q | Page 7</w:t>
      </w:r>
    </w:p>
    <w:p>
      <w:pPr>
        <w:sectPr>
          <w:pgSz w:w="11900" w:h="16838" w:orient="portrait"/>
          <w:cols w:equalWidth="0" w:num="1">
            <w:col w:w="11200"/>
          </w:cols>
          <w:pgMar w:left="360" w:top="528"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results for the quarter ended March 29, 2020 may not be indicative of the results that may be expected for the year ending December 31, 2020 because of seasonal effects on our business. These financial statements should be read in conjunction with our Annual Report on Form 10-K for the year ended December 31, 2019 (our “2019 Annual Report on Form 10-K”), which provides a more complete understanding of our accounting policies, financial position, operating results and other matters. Additionally, based on the duration and severity of the novel coronavirus ("COVID-19") pandemic, including but not limited to stock market volatility, supply chain disruptions, reduced or eliminated food services, reduced travel, the closure of retailing establishments and the cancellation of major sporting and entertainment events, we are uncertain of the ultimate impact COVID-19 could have 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2018-14,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Benefits—Defined Benefit Plans—General (Topic 715-20): Disclosure Framework—Changes to the Disclosure Requirements for Defined Benefit Plans</w:t>
      </w:r>
      <w:r>
        <w:rPr>
          <w:rFonts w:ascii="Arial" w:cs="Arial" w:eastAsia="Arial" w:hAnsi="Arial"/>
          <w:sz w:val="17"/>
          <w:szCs w:val="17"/>
          <w:color w:val="auto"/>
        </w:rPr>
        <w:t>, which modifies the disclosure requirements for defined benefit pension plans and other post-retirement plans. ASU 2018-14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periods beginning after December 15, 2020, with early adoption permitted. The amendments in this ASU should be applied on a retrospective basis to all periods presented. We elected to early adopt the provisions of this ASU in the fourth quarter of 2019. Adoption of the new standard did not have a material impact on our consolidated financial statements.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This ASU modifies the measurement of expected credit losses of certain financial instruments. ASU 2016-13 is effective for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2019 and interim periods within those annual periods. The amendments in this ASU should be applied on a modified retrospective basis to all periods presented. We adopted the provisions of this ASU in the first quarter of 2020. Adoption of the new standard did not have a material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8</w:t>
      </w:r>
    </w:p>
    <w:p>
      <w:pPr>
        <w:sectPr>
          <w:pgSz w:w="11900" w:h="16838" w:orient="portrait"/>
          <w:cols w:equalWidth="0" w:num="1">
            <w:col w:w="11220"/>
          </w:cols>
          <w:pgMar w:left="320" w:top="12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This ASU modifies the disclosure requirements for fair value measurements by removing, modifying or adding</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adopted the provisions of this ASU in the first quarter of 2020. Adoption of the new standard did not have a material impact on our consolidated financial statements.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w:t>
      </w:r>
      <w:r>
        <w:rPr>
          <w:rFonts w:ascii="Arial" w:cs="Arial" w:eastAsia="Arial" w:hAnsi="Arial"/>
          <w:sz w:val="18"/>
          <w:szCs w:val="18"/>
          <w:color w:val="auto"/>
        </w:rPr>
        <w:t>. This ASU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adopted the provisions of this ASU in the first quarter of 2020 on a prospective basis. Adoption of the new standard did not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ASU is intended to simplify various aspects related to accounting for income taxes by removing 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are currently evaluating the impact of the new standard on our consolidated financial statements and related disclosures.</w:t>
      </w:r>
    </w:p>
    <w:p>
      <w:pPr>
        <w:spacing w:after="0" w:line="1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 Brands, LLC</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On September 23, 2019, we completed the acquisition of ONE Brands, LLC ("ONE Brands"), previously a privately held company that sells a line of low-sugar, high-protein nutrition bars to retailers and distributors in the United States, with the </w:t>
      </w:r>
      <w:r>
        <w:rPr>
          <w:rFonts w:ascii="Arial" w:cs="Arial" w:eastAsia="Arial" w:hAnsi="Arial"/>
          <w:sz w:val="18"/>
          <w:szCs w:val="18"/>
          <w:i w:val="1"/>
          <w:iCs w:val="1"/>
          <w:color w:val="auto"/>
        </w:rPr>
        <w:t>ONE Bar</w:t>
      </w:r>
      <w:r>
        <w:rPr>
          <w:rFonts w:ascii="Arial" w:cs="Arial" w:eastAsia="Arial" w:hAnsi="Arial"/>
          <w:sz w:val="18"/>
          <w:szCs w:val="18"/>
          <w:color w:val="auto"/>
        </w:rPr>
        <w:t xml:space="preserve"> as its primary product. The purchase consideration for ONE Brands totaled $402,160 and consisted of cash on hand and short-term borrowings. Acquisition-related costs for the ONE Brands acquisition were immaterial.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9</w:t>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acquisition has been accounted for as a purchase and, accordingly, ONE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Initial Allocation (1)</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Adjustments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72"/>
              <w:spacing w:after="0"/>
              <w:rPr>
                <w:sz w:val="20"/>
                <w:szCs w:val="20"/>
                <w:color w:val="auto"/>
              </w:rPr>
            </w:pPr>
            <w:r>
              <w:rPr>
                <w:rFonts w:ascii="Arial" w:cs="Arial" w:eastAsia="Arial" w:hAnsi="Arial"/>
                <w:sz w:val="16"/>
                <w:szCs w:val="16"/>
                <w:b w:val="1"/>
                <w:bCs w:val="1"/>
                <w:color w:val="auto"/>
              </w:rPr>
              <w:t>Final Allocation</w:t>
            </w:r>
          </w:p>
        </w:tc>
      </w:tr>
      <w:tr>
        <w:trPr>
          <w:trHeight w:val="33"/>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179,240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180,065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206,800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206,800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acquired, primarily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25,435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liabilities assumed, primarily current liabilities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(10,140)</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402,160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402,160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As reported in the Company's Annual Report on Form 10-K for the fiscal year ended December 31, 2019.</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purchase price allocation presented above has been finalized as of the end of the first quarter of 2020. The measurement period adjustments to the initial allocation are based on more detailed information obtained about the specific assets acquired and liabilities assumed.</w:t>
      </w:r>
    </w:p>
    <w:p>
      <w:pPr>
        <w:spacing w:after="0" w:line="14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ONE Brands products.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intangible assets include trademarks valued at $144,900, customer relationships valued at $58,800 and covenants not to compete valued at $3,100. Trademarks were assigned an estimated useful life of 33 years, customer relationships were assigned estimated useful lives ranging from 17 to 19 years and covenants not to compete were assigned an estimated useful life of 4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March 29, 2020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North America</w:t>
            </w:r>
          </w:p>
        </w:tc>
        <w:tc>
          <w:tcPr>
            <w:tcW w:w="16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40" w:type="dxa"/>
            <w:vAlign w:val="bottom"/>
          </w:tcPr>
          <w:p>
            <w:pPr>
              <w:spacing w:after="0"/>
              <w:rPr>
                <w:sz w:val="18"/>
                <w:szCs w:val="18"/>
                <w:color w:val="auto"/>
              </w:rPr>
            </w:pPr>
          </w:p>
        </w:tc>
        <w:tc>
          <w:tcPr>
            <w:tcW w:w="1460" w:type="dxa"/>
            <w:vAlign w:val="bottom"/>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33"/>
        </w:trPr>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1,967,466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1,985,955</w:t>
            </w:r>
          </w:p>
        </w:tc>
      </w:tr>
      <w:tr>
        <w:trPr>
          <w:trHeight w:val="243"/>
        </w:trPr>
        <w:tc>
          <w:tcPr>
            <w:tcW w:w="5300" w:type="dxa"/>
            <w:vAlign w:val="bottom"/>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Measurement period adjustments (see </w:t>
            </w:r>
            <w:hyperlink w:anchor="page9">
              <w:r>
                <w:rPr>
                  <w:rFonts w:ascii="Arial" w:cs="Arial" w:eastAsia="Arial" w:hAnsi="Arial"/>
                  <w:sz w:val="18"/>
                  <w:szCs w:val="18"/>
                  <w:u w:val="single" w:color="auto"/>
                  <w:color w:val="0000EE"/>
                </w:rPr>
                <w:t>Note 2</w:t>
              </w:r>
            </w:hyperlink>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825</w:t>
            </w:r>
          </w:p>
        </w:tc>
      </w:tr>
      <w:tr>
        <w:trPr>
          <w:trHeight w:val="27"/>
        </w:trPr>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Balance at March 29, 2020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1,960,607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1,976,699</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10</w:t>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880"/>
              <w:spacing w:after="0"/>
              <w:rPr>
                <w:sz w:val="20"/>
                <w:szCs w:val="20"/>
                <w:color w:val="auto"/>
              </w:rPr>
            </w:pPr>
            <w:r>
              <w:rPr>
                <w:rFonts w:ascii="Arial" w:cs="Arial" w:eastAsia="Arial" w:hAnsi="Arial"/>
                <w:sz w:val="16"/>
                <w:szCs w:val="16"/>
                <w:b w:val="1"/>
                <w:bCs w:val="1"/>
                <w:color w:val="auto"/>
              </w:rPr>
              <w:t>March 29, 2020</w:t>
            </w:r>
          </w:p>
        </w:tc>
        <w:tc>
          <w:tcPr>
            <w:tcW w:w="160" w:type="dxa"/>
            <w:vAlign w:val="bottom"/>
          </w:tcPr>
          <w:p>
            <w:pPr>
              <w:spacing w:after="0"/>
              <w:rPr>
                <w:sz w:val="18"/>
                <w:szCs w:val="18"/>
                <w:color w:val="auto"/>
              </w:rPr>
            </w:pPr>
          </w:p>
        </w:tc>
        <w:tc>
          <w:tcPr>
            <w:tcW w:w="298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1,208,653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(80,475)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1,212,172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(73,262)</w:t>
            </w: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(40,544)</w:t>
            </w:r>
          </w:p>
        </w:tc>
      </w:tr>
      <w:tr>
        <w:trPr>
          <w:trHeight w:val="243"/>
        </w:trPr>
        <w:tc>
          <w:tcPr>
            <w:tcW w:w="4860" w:type="dxa"/>
            <w:vAlign w:val="bottom"/>
          </w:tcPr>
          <w:p>
            <w:pPr>
              <w:ind w:left="36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(16,525)</w:t>
            </w: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1,436,632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(130,331)</w:t>
            </w:r>
          </w:p>
        </w:tc>
      </w:tr>
      <w:tr>
        <w:trPr>
          <w:trHeight w:val="324"/>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34,865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1,324,797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1,341,166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March 29, 2020 and March 31, 2019 was $11,640 and $12,238,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March 29, 2020, we were in compliance with all covenants pertaining to the credit agreement, and we had no significant compensating balance agreements that legally restricted these funds. For more information, refer to the Consolidated Financial Statements included in our 2019Annual Report on Form 10-K.</w:t>
      </w:r>
    </w:p>
    <w:p>
      <w:pPr>
        <w:spacing w:after="0" w:line="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29, 2020</w:t>
            </w:r>
          </w:p>
        </w:tc>
        <w:tc>
          <w:tcPr>
            <w:tcW w:w="280" w:type="dxa"/>
            <w:vAlign w:val="bottom"/>
          </w:tcPr>
          <w:p>
            <w:pPr>
              <w:spacing w:after="0"/>
              <w:rPr>
                <w:sz w:val="18"/>
                <w:szCs w:val="18"/>
                <w:color w:val="auto"/>
              </w:rPr>
            </w:pPr>
          </w:p>
        </w:tc>
        <w:tc>
          <w:tcPr>
            <w:tcW w:w="1860" w:type="dxa"/>
            <w:vAlign w:val="bottom"/>
          </w:tcPr>
          <w:p>
            <w:pPr>
              <w:jc w:val="right"/>
              <w:ind w:right="332"/>
              <w:spacing w:after="0"/>
              <w:rPr>
                <w:sz w:val="20"/>
                <w:szCs w:val="20"/>
                <w:color w:val="auto"/>
              </w:rPr>
            </w:pPr>
            <w:r>
              <w:rPr>
                <w:rFonts w:ascii="Arial" w:cs="Arial" w:eastAsia="Arial" w:hAnsi="Arial"/>
                <w:sz w:val="16"/>
                <w:szCs w:val="16"/>
                <w:b w:val="1"/>
                <w:bCs w:val="1"/>
                <w:color w:val="auto"/>
                <w:w w:val="98"/>
              </w:rPr>
              <w:t>December 31, 2019</w:t>
            </w:r>
          </w:p>
        </w:tc>
      </w:tr>
      <w:tr>
        <w:trPr>
          <w:trHeight w:val="33"/>
        </w:trPr>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foreign bank borrowings against lines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32,282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U.S. commercial paper</w:t>
            </w: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800,358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837,621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32,282</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1"/>
        </w:trPr>
        <w:tc>
          <w:tcPr>
            <w:tcW w:w="6780" w:type="dxa"/>
            <w:vAlign w:val="bottom"/>
          </w:tcPr>
          <w:p>
            <w:pPr>
              <w:ind w:left="40"/>
              <w:spacing w:after="0"/>
              <w:rPr>
                <w:sz w:val="20"/>
                <w:szCs w:val="20"/>
                <w:color w:val="auto"/>
              </w:rPr>
            </w:pPr>
            <w:r>
              <w:rPr>
                <w:rFonts w:ascii="Arial" w:cs="Arial" w:eastAsia="Arial" w:hAnsi="Arial"/>
                <w:sz w:val="18"/>
                <w:szCs w:val="18"/>
                <w:color w:val="auto"/>
              </w:rPr>
              <w:t>Weighted average interest rate on outstanding commercial paper</w:t>
            </w: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N/A</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11</w:t>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40" w:type="dxa"/>
            <w:vAlign w:val="bottom"/>
            <w:gridSpan w:val="2"/>
          </w:tcPr>
          <w:p>
            <w:pPr>
              <w:ind w:left="60"/>
              <w:spacing w:after="0"/>
              <w:rPr>
                <w:sz w:val="20"/>
                <w:szCs w:val="20"/>
                <w:color w:val="auto"/>
              </w:rPr>
            </w:pPr>
            <w:r>
              <w:rPr>
                <w:rFonts w:ascii="Arial" w:cs="Arial" w:eastAsia="Arial" w:hAnsi="Arial"/>
                <w:sz w:val="16"/>
                <w:szCs w:val="16"/>
                <w:b w:val="1"/>
                <w:bCs w:val="1"/>
                <w:color w:val="auto"/>
              </w:rPr>
              <w:t>Debt Type and Rate</w:t>
            </w:r>
          </w:p>
        </w:tc>
        <w:tc>
          <w:tcPr>
            <w:tcW w:w="2020" w:type="dxa"/>
            <w:vAlign w:val="bottom"/>
          </w:tcPr>
          <w:p>
            <w:pPr>
              <w:jc w:val="center"/>
              <w:ind w:left="51"/>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29, 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2.90% Notes</w:t>
            </w:r>
          </w:p>
        </w:tc>
        <w:tc>
          <w:tcPr>
            <w:tcW w:w="202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91"/>
              </w:rPr>
              <w:t>May 15, 2020</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4.125% Notes</w:t>
            </w:r>
          </w:p>
        </w:tc>
        <w:tc>
          <w:tcPr>
            <w:tcW w:w="2020" w:type="dxa"/>
            <w:vAlign w:val="bottom"/>
          </w:tcPr>
          <w:p>
            <w:pPr>
              <w:jc w:val="center"/>
              <w:ind w:left="11"/>
              <w:spacing w:after="0"/>
              <w:rPr>
                <w:sz w:val="20"/>
                <w:szCs w:val="20"/>
                <w:color w:val="auto"/>
              </w:rPr>
            </w:pPr>
            <w:r>
              <w:rPr>
                <w:rFonts w:ascii="Arial" w:cs="Arial" w:eastAsia="Arial" w:hAnsi="Arial"/>
                <w:sz w:val="18"/>
                <w:szCs w:val="18"/>
                <w:color w:val="auto"/>
                <w:w w:val="89"/>
              </w:rPr>
              <w:t>December 1, 2020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8.8% Debentures</w:t>
            </w:r>
          </w:p>
        </w:tc>
        <w:tc>
          <w:tcPr>
            <w:tcW w:w="2020" w:type="dxa"/>
            <w:vAlign w:val="bottom"/>
            <w:tcBorders>
              <w:bottom w:val="single" w:sz="8" w:color="CCEEFF"/>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February 15, 2021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3.10% Notes</w:t>
            </w:r>
          </w:p>
        </w:tc>
        <w:tc>
          <w:tcPr>
            <w:tcW w:w="2020" w:type="dxa"/>
            <w:vAlign w:val="bottom"/>
          </w:tcPr>
          <w:p>
            <w:pPr>
              <w:jc w:val="center"/>
              <w:ind w:left="11"/>
              <w:spacing w:after="0"/>
              <w:rPr>
                <w:sz w:val="20"/>
                <w:szCs w:val="20"/>
                <w:color w:val="auto"/>
              </w:rPr>
            </w:pPr>
            <w:r>
              <w:rPr>
                <w:rFonts w:ascii="Arial" w:cs="Arial" w:eastAsia="Arial" w:hAnsi="Arial"/>
                <w:sz w:val="18"/>
                <w:szCs w:val="18"/>
                <w:color w:val="auto"/>
                <w:w w:val="91"/>
              </w:rPr>
              <w:t>May 15, 2021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2.625% Notes</w:t>
            </w:r>
          </w:p>
        </w:tc>
        <w:tc>
          <w:tcPr>
            <w:tcW w:w="20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90"/>
              </w:rPr>
              <w:t>May 1, 2023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3.375% Notes</w:t>
            </w:r>
          </w:p>
        </w:tc>
        <w:tc>
          <w:tcPr>
            <w:tcW w:w="2020" w:type="dxa"/>
            <w:vAlign w:val="bottom"/>
          </w:tcPr>
          <w:p>
            <w:pPr>
              <w:jc w:val="center"/>
              <w:ind w:left="11"/>
              <w:spacing w:after="0"/>
              <w:rPr>
                <w:sz w:val="20"/>
                <w:szCs w:val="20"/>
                <w:color w:val="auto"/>
              </w:rPr>
            </w:pPr>
            <w:r>
              <w:rPr>
                <w:rFonts w:ascii="Arial" w:cs="Arial" w:eastAsia="Arial" w:hAnsi="Arial"/>
                <w:sz w:val="18"/>
                <w:szCs w:val="18"/>
                <w:color w:val="auto"/>
                <w:w w:val="91"/>
              </w:rPr>
              <w:t>May 15, 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2.050% Notes</w:t>
            </w:r>
          </w:p>
        </w:tc>
        <w:tc>
          <w:tcPr>
            <w:tcW w:w="20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November 15, 2024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3.20% Notes</w:t>
            </w:r>
          </w:p>
        </w:tc>
        <w:tc>
          <w:tcPr>
            <w:tcW w:w="2020" w:type="dxa"/>
            <w:vAlign w:val="bottom"/>
          </w:tcPr>
          <w:p>
            <w:pPr>
              <w:jc w:val="center"/>
              <w:ind w:left="31"/>
              <w:spacing w:after="0"/>
              <w:rPr>
                <w:sz w:val="20"/>
                <w:szCs w:val="20"/>
                <w:color w:val="auto"/>
              </w:rPr>
            </w:pPr>
            <w:r>
              <w:rPr>
                <w:rFonts w:ascii="Arial" w:cs="Arial" w:eastAsia="Arial" w:hAnsi="Arial"/>
                <w:sz w:val="18"/>
                <w:szCs w:val="18"/>
                <w:color w:val="auto"/>
                <w:w w:val="89"/>
              </w:rPr>
              <w:t>August 21, 2025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2.30% Notes</w:t>
            </w:r>
          </w:p>
        </w:tc>
        <w:tc>
          <w:tcPr>
            <w:tcW w:w="20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August 15, 2026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7.2% Debentures</w:t>
            </w:r>
          </w:p>
        </w:tc>
        <w:tc>
          <w:tcPr>
            <w:tcW w:w="2020" w:type="dxa"/>
            <w:vAlign w:val="bottom"/>
          </w:tcPr>
          <w:p>
            <w:pPr>
              <w:jc w:val="center"/>
              <w:ind w:left="31"/>
              <w:spacing w:after="0"/>
              <w:rPr>
                <w:sz w:val="20"/>
                <w:szCs w:val="20"/>
                <w:color w:val="auto"/>
              </w:rPr>
            </w:pPr>
            <w:r>
              <w:rPr>
                <w:rFonts w:ascii="Arial" w:cs="Arial" w:eastAsia="Arial" w:hAnsi="Arial"/>
                <w:sz w:val="18"/>
                <w:szCs w:val="18"/>
                <w:color w:val="auto"/>
                <w:w w:val="89"/>
              </w:rPr>
              <w:t>August 15, 2027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193,639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2.450% Notes</w:t>
            </w:r>
          </w:p>
        </w:tc>
        <w:tc>
          <w:tcPr>
            <w:tcW w:w="20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November 15, 2029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3.375% Notes</w:t>
            </w:r>
          </w:p>
        </w:tc>
        <w:tc>
          <w:tcPr>
            <w:tcW w:w="2020" w:type="dxa"/>
            <w:vAlign w:val="bottom"/>
          </w:tcPr>
          <w:p>
            <w:pPr>
              <w:jc w:val="center"/>
              <w:ind w:left="31"/>
              <w:spacing w:after="0"/>
              <w:rPr>
                <w:sz w:val="20"/>
                <w:szCs w:val="20"/>
                <w:color w:val="auto"/>
              </w:rPr>
            </w:pPr>
            <w:r>
              <w:rPr>
                <w:rFonts w:ascii="Arial" w:cs="Arial" w:eastAsia="Arial" w:hAnsi="Arial"/>
                <w:sz w:val="18"/>
                <w:szCs w:val="18"/>
                <w:color w:val="auto"/>
                <w:w w:val="89"/>
              </w:rPr>
              <w:t>August 15, 2046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3.125% Notes</w:t>
            </w:r>
          </w:p>
        </w:tc>
        <w:tc>
          <w:tcPr>
            <w:tcW w:w="202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November 15, 2049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17">
              <w:r>
                <w:rPr>
                  <w:rFonts w:ascii="Arial" w:cs="Arial" w:eastAsia="Arial" w:hAnsi="Arial"/>
                  <w:sz w:val="18"/>
                  <w:szCs w:val="18"/>
                  <w:u w:val="single" w:color="auto"/>
                  <w:color w:val="0000EE"/>
                </w:rPr>
                <w:t>Note 7</w:t>
              </w:r>
            </w:hyperlink>
            <w:r>
              <w:rPr>
                <w:rFonts w:ascii="Arial" w:cs="Arial" w:eastAsia="Arial" w:hAnsi="Arial"/>
                <w:sz w:val="18"/>
                <w:szCs w:val="18"/>
                <w:color w:val="auto"/>
              </w:rPr>
              <w: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81,094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79,643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impact of interest rate swaps, debt issuance costs and</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discounts</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c>
          <w:tcPr>
            <w:tcW w:w="0" w:type="dxa"/>
            <w:vAlign w:val="bottom"/>
          </w:tcPr>
          <w:p>
            <w:pPr>
              <w:spacing w:after="0"/>
              <w:rPr>
                <w:sz w:val="1"/>
                <w:szCs w:val="1"/>
                <w:color w:val="auto"/>
              </w:rPr>
            </w:pPr>
          </w:p>
        </w:tc>
      </w:tr>
      <w:tr>
        <w:trPr>
          <w:trHeight w:val="237"/>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4,242,217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4,234,203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2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788,692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703,390</w:t>
            </w:r>
          </w:p>
        </w:tc>
        <w:tc>
          <w:tcPr>
            <w:tcW w:w="0" w:type="dxa"/>
            <w:vAlign w:val="bottom"/>
          </w:tcPr>
          <w:p>
            <w:pPr>
              <w:spacing w:after="0"/>
              <w:rPr>
                <w:sz w:val="1"/>
                <w:szCs w:val="1"/>
                <w:color w:val="auto"/>
              </w:rPr>
            </w:pPr>
          </w:p>
        </w:tc>
      </w:tr>
      <w:tr>
        <w:trPr>
          <w:trHeight w:val="257"/>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Long-term portion</w:t>
            </w:r>
          </w:p>
        </w:tc>
        <w:tc>
          <w:tcPr>
            <w:tcW w:w="202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3,453,525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3,530,813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4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40" w:type="dxa"/>
            <w:vAlign w:val="bottom"/>
            <w:gridSpan w:val="2"/>
          </w:tcPr>
          <w:p>
            <w:pPr>
              <w:spacing w:after="0"/>
              <w:rPr>
                <w:sz w:val="20"/>
                <w:szCs w:val="20"/>
                <w:color w:val="auto"/>
              </w:rPr>
            </w:pPr>
            <w:r>
              <w:rPr>
                <w:rFonts w:ascii="Arial" w:cs="Arial" w:eastAsia="Arial" w:hAnsi="Arial"/>
                <w:sz w:val="18"/>
                <w:szCs w:val="18"/>
                <w:color w:val="auto"/>
              </w:rPr>
              <w:t>Net interest expense consists of the following:</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gridSpan w:val="5"/>
          </w:tcPr>
          <w:p>
            <w:pPr>
              <w:jc w:val="right"/>
              <w:ind w:right="13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March 29, 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451"/>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48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39,406</w:t>
            </w:r>
          </w:p>
        </w:tc>
        <w:tc>
          <w:tcPr>
            <w:tcW w:w="0" w:type="dxa"/>
            <w:vAlign w:val="bottom"/>
          </w:tcPr>
          <w:p>
            <w:pPr>
              <w:spacing w:after="0"/>
              <w:rPr>
                <w:sz w:val="1"/>
                <w:szCs w:val="1"/>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37,458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12</w:t>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$844,416 as of March 29, 2020 and $589,662 as of December 31, 2019.</w:t>
      </w:r>
    </w:p>
    <w:p>
      <w:pPr>
        <w:spacing w:after="0" w:line="95"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4">
        <w:r>
          <w:rPr>
            <w:rFonts w:ascii="Arial" w:cs="Arial" w:eastAsia="Arial" w:hAnsi="Arial"/>
            <w:sz w:val="18"/>
            <w:szCs w:val="18"/>
            <w:u w:val="single" w:color="auto"/>
            <w:color w:val="0000EE"/>
          </w:rPr>
          <w:t>Note 13</w:t>
        </w:r>
      </w:hyperlink>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and Malaysian ringgit.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$54,992 at March 29, 2020 and $65,826 at December 31, 2019.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$45,755 at March 29, 2020 and $50,831 at December 31, 2019. The change in fair value on these instruments is recorded directly in cost of sales or selling, marketing and administrative expense, depending on the nature of the underlying exposure.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March 29, 2020 and December 31, 2019.</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March 29, 2020 and December 31, 2019 was $28,600 and $28,187,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13</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March 29,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March 29, 2020</w:t>
            </w:r>
          </w:p>
        </w:tc>
        <w:tc>
          <w:tcPr>
            <w:tcW w:w="280" w:type="dxa"/>
            <w:vAlign w:val="bottom"/>
          </w:tcPr>
          <w:p>
            <w:pPr>
              <w:spacing w:after="0"/>
              <w:rPr>
                <w:sz w:val="20"/>
                <w:szCs w:val="20"/>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 (1)</w:t>
            </w:r>
          </w:p>
        </w:tc>
        <w:tc>
          <w:tcPr>
            <w:tcW w:w="2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Liabilities (1)</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Derivatives designated as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w w:val="97"/>
              </w:rPr>
              <w:t>Derivatives designated as fair value hedging instruments: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2,405</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12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Derivatives assets are classified on our Consolidated Balance Sheets within prepaid expenses and other as well as other assets. Derivative liabilities are classified on our Consolidated Balance Sheets within accrued liabilities and other long-term liabilities.</w:t>
      </w:r>
    </w:p>
    <w:p>
      <w:pPr>
        <w:spacing w:after="0" w:line="8" w:lineRule="exact"/>
        <w:rPr>
          <w:rFonts w:ascii="Arial" w:cs="Arial" w:eastAsia="Arial" w:hAnsi="Arial"/>
          <w:sz w:val="18"/>
          <w:szCs w:val="18"/>
          <w:color w:val="auto"/>
        </w:rPr>
      </w:pPr>
    </w:p>
    <w:p>
      <w:pPr>
        <w:ind w:left="500" w:right="100" w:hanging="330"/>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March 29, 2020, amounts reflected on a net basis in assets were assets of $126,740 and liabilities of $126,072, which are associated with cash transfers receivable or payable on commodities futures contracts reflecting the change in quoted market prices on the last trading day for the period. The comparable amounts reflected on a net basis in assets at December 31, 2019 were assets of $46,075 and liabilities of $37,606. At March 29, 2020 and December 31, 2019,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March 29, 2020 and March 31, 2019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60" w:type="dxa"/>
            <w:vAlign w:val="bottom"/>
            <w:gridSpan w:val="5"/>
          </w:tcPr>
          <w:p>
            <w:pPr>
              <w:ind w:left="2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2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w w:val="86"/>
              </w:rPr>
              <w:t>Gains (losses) reclassified from</w:t>
            </w: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left="514"/>
              <w:spacing w:after="0"/>
              <w:rPr>
                <w:sz w:val="20"/>
                <w:szCs w:val="20"/>
                <w:color w:val="auto"/>
              </w:rPr>
            </w:pPr>
            <w:r>
              <w:rPr>
                <w:rFonts w:ascii="Arial" w:cs="Arial" w:eastAsia="Arial" w:hAnsi="Arial"/>
                <w:sz w:val="16"/>
                <w:szCs w:val="16"/>
                <w:b w:val="1"/>
                <w:bCs w:val="1"/>
                <w:color w:val="auto"/>
                <w:w w:val="92"/>
              </w:rPr>
              <w:t>income (a)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comprehensive income (“OCI”)</w:t>
            </w: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w w:val="92"/>
              </w:rPr>
              <w:t>accumulated OCI into income (b)</w:t>
            </w:r>
          </w:p>
        </w:tc>
      </w:tr>
      <w:tr>
        <w:trPr>
          <w:trHeight w:val="3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19"/>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24"/>
                <w:szCs w:val="24"/>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r>
      <w:tr>
        <w:trPr>
          <w:trHeight w:val="33"/>
        </w:trPr>
        <w:tc>
          <w:tcPr>
            <w:tcW w:w="3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(77,092)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(3,322)</w:t>
            </w:r>
          </w:p>
        </w:tc>
        <w:tc>
          <w:tcPr>
            <w:tcW w:w="4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5,381</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931</w:t>
            </w:r>
          </w:p>
        </w:tc>
      </w:tr>
      <w:tr>
        <w:trPr>
          <w:trHeight w:val="27"/>
        </w:trPr>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(5,759)</w:t>
            </w:r>
          </w:p>
        </w:tc>
        <w:tc>
          <w:tcPr>
            <w:tcW w:w="4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(86,173)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14</w:t>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8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$4,789 as of March 29, 2020.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amounts that were recorded on the Consolidated Balance Sheets related to cumulative basis adjustments for interest rate swap derivatives designated as fair value accounting hedges as of March 29, 2020 and December 31, 2019.</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260" w:type="dxa"/>
            <w:vAlign w:val="bottom"/>
            <w:gridSpan w:val="2"/>
          </w:tcPr>
          <w:p>
            <w:pPr>
              <w:ind w:left="20"/>
              <w:spacing w:after="0"/>
              <w:rPr>
                <w:sz w:val="20"/>
                <w:szCs w:val="20"/>
                <w:color w:val="auto"/>
              </w:rPr>
            </w:pPr>
            <w:r>
              <w:rPr>
                <w:rFonts w:ascii="Arial" w:cs="Arial" w:eastAsia="Arial" w:hAnsi="Arial"/>
                <w:sz w:val="16"/>
                <w:szCs w:val="16"/>
                <w:b w:val="1"/>
                <w:bCs w:val="1"/>
                <w:color w:val="auto"/>
              </w:rPr>
              <w:t>Line Item in the Consolidated Balance</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260" w:type="dxa"/>
            <w:vAlign w:val="bottom"/>
            <w:gridSpan w:val="2"/>
          </w:tcPr>
          <w:p>
            <w:pPr>
              <w:ind w:left="20"/>
              <w:spacing w:after="0"/>
              <w:rPr>
                <w:sz w:val="20"/>
                <w:szCs w:val="20"/>
                <w:color w:val="auto"/>
              </w:rPr>
            </w:pPr>
            <w:r>
              <w:rPr>
                <w:rFonts w:ascii="Arial" w:cs="Arial" w:eastAsia="Arial" w:hAnsi="Arial"/>
                <w:sz w:val="16"/>
                <w:szCs w:val="16"/>
                <w:b w:val="1"/>
                <w:bCs w:val="1"/>
                <w:color w:val="auto"/>
              </w:rPr>
              <w:t>Sheets in Which the Hedged Item is</w:t>
            </w:r>
          </w:p>
        </w:tc>
        <w:tc>
          <w:tcPr>
            <w:tcW w:w="280" w:type="dxa"/>
            <w:vAlign w:val="bottom"/>
          </w:tcPr>
          <w:p>
            <w:pPr>
              <w:spacing w:after="0"/>
              <w:rPr>
                <w:sz w:val="17"/>
                <w:szCs w:val="17"/>
                <w:color w:val="auto"/>
              </w:rPr>
            </w:pPr>
          </w:p>
        </w:tc>
        <w:tc>
          <w:tcPr>
            <w:tcW w:w="3760" w:type="dxa"/>
            <w:vAlign w:val="bottom"/>
            <w:gridSpan w:val="4"/>
          </w:tcPr>
          <w:p>
            <w:pPr>
              <w:ind w:left="860"/>
              <w:spacing w:after="0"/>
              <w:rPr>
                <w:sz w:val="20"/>
                <w:szCs w:val="20"/>
                <w:color w:val="auto"/>
              </w:rPr>
            </w:pPr>
            <w:r>
              <w:rPr>
                <w:rFonts w:ascii="Arial" w:cs="Arial" w:eastAsia="Arial" w:hAnsi="Arial"/>
                <w:sz w:val="16"/>
                <w:szCs w:val="16"/>
                <w:b w:val="1"/>
                <w:bCs w:val="1"/>
                <w:color w:val="auto"/>
              </w:rPr>
              <w:t>Carrying Amount of the</w:t>
            </w:r>
          </w:p>
        </w:tc>
        <w:tc>
          <w:tcPr>
            <w:tcW w:w="3900" w:type="dxa"/>
            <w:vAlign w:val="bottom"/>
            <w:gridSpan w:val="4"/>
          </w:tcPr>
          <w:p>
            <w:pPr>
              <w:ind w:left="40"/>
              <w:spacing w:after="0"/>
              <w:rPr>
                <w:sz w:val="20"/>
                <w:szCs w:val="20"/>
                <w:color w:val="auto"/>
              </w:rPr>
            </w:pPr>
            <w:r>
              <w:rPr>
                <w:rFonts w:ascii="Arial" w:cs="Arial" w:eastAsia="Arial" w:hAnsi="Arial"/>
                <w:sz w:val="16"/>
                <w:szCs w:val="16"/>
                <w:b w:val="1"/>
                <w:bCs w:val="1"/>
                <w:color w:val="auto"/>
                <w:w w:val="93"/>
              </w:rPr>
              <w:t>Cumulative Amount of Fair Value Hedging Adjustment</w:t>
            </w: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6"/>
                <w:szCs w:val="16"/>
                <w:b w:val="1"/>
                <w:bCs w:val="1"/>
                <w:color w:val="auto"/>
              </w:rPr>
              <w:t>Included</w:t>
            </w:r>
          </w:p>
        </w:tc>
        <w:tc>
          <w:tcPr>
            <w:tcW w:w="280" w:type="dxa"/>
            <w:vAlign w:val="bottom"/>
          </w:tcPr>
          <w:p>
            <w:pPr>
              <w:spacing w:after="0"/>
              <w:rPr>
                <w:sz w:val="18"/>
                <w:szCs w:val="18"/>
                <w:color w:val="auto"/>
              </w:rPr>
            </w:pPr>
          </w:p>
        </w:tc>
        <w:tc>
          <w:tcPr>
            <w:tcW w:w="3760" w:type="dxa"/>
            <w:vAlign w:val="bottom"/>
            <w:gridSpan w:val="4"/>
          </w:tcPr>
          <w:p>
            <w:pPr>
              <w:ind w:left="860"/>
              <w:spacing w:after="0"/>
              <w:rPr>
                <w:sz w:val="20"/>
                <w:szCs w:val="20"/>
                <w:color w:val="auto"/>
              </w:rPr>
            </w:pPr>
            <w:r>
              <w:rPr>
                <w:rFonts w:ascii="Arial" w:cs="Arial" w:eastAsia="Arial" w:hAnsi="Arial"/>
                <w:sz w:val="16"/>
                <w:szCs w:val="16"/>
                <w:b w:val="1"/>
                <w:bCs w:val="1"/>
                <w:color w:val="auto"/>
              </w:rPr>
              <w:t>Hedged Asset/(Liability)</w:t>
            </w:r>
          </w:p>
        </w:tc>
        <w:tc>
          <w:tcPr>
            <w:tcW w:w="120" w:type="dxa"/>
            <w:vAlign w:val="bottom"/>
          </w:tcPr>
          <w:p>
            <w:pPr>
              <w:spacing w:after="0"/>
              <w:rPr>
                <w:sz w:val="18"/>
                <w:szCs w:val="18"/>
                <w:color w:val="auto"/>
              </w:rPr>
            </w:pPr>
          </w:p>
        </w:tc>
        <w:tc>
          <w:tcPr>
            <w:tcW w:w="3780" w:type="dxa"/>
            <w:vAlign w:val="bottom"/>
            <w:gridSpan w:val="3"/>
          </w:tcPr>
          <w:p>
            <w:pPr>
              <w:jc w:val="right"/>
              <w:ind w:right="35"/>
              <w:spacing w:after="0"/>
              <w:rPr>
                <w:sz w:val="20"/>
                <w:szCs w:val="20"/>
                <w:color w:val="auto"/>
              </w:rPr>
            </w:pPr>
            <w:r>
              <w:rPr>
                <w:rFonts w:ascii="Arial" w:cs="Arial" w:eastAsia="Arial" w:hAnsi="Arial"/>
                <w:sz w:val="16"/>
                <w:szCs w:val="16"/>
                <w:b w:val="1"/>
                <w:bCs w:val="1"/>
                <w:color w:val="auto"/>
                <w:w w:val="92"/>
              </w:rPr>
              <w:t>Included in the Carrying Amount Assets/(Liabilities)</w:t>
            </w:r>
          </w:p>
        </w:tc>
      </w:tr>
      <w:tr>
        <w:trPr>
          <w:trHeight w:val="33"/>
        </w:trPr>
        <w:tc>
          <w:tcPr>
            <w:tcW w:w="3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rPr>
              <w:t>March 29, 2020</w:t>
            </w:r>
          </w:p>
        </w:tc>
        <w:tc>
          <w:tcPr>
            <w:tcW w:w="26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20"/>
                <w:szCs w:val="20"/>
                <w:color w:val="auto"/>
              </w:rPr>
            </w:pPr>
          </w:p>
        </w:tc>
        <w:tc>
          <w:tcPr>
            <w:tcW w:w="1780" w:type="dxa"/>
            <w:vAlign w:val="bottom"/>
          </w:tcPr>
          <w:p>
            <w:pPr>
              <w:jc w:val="right"/>
              <w:ind w:right="336"/>
              <w:spacing w:after="0"/>
              <w:rPr>
                <w:sz w:val="20"/>
                <w:szCs w:val="20"/>
                <w:color w:val="auto"/>
              </w:rPr>
            </w:pPr>
            <w:r>
              <w:rPr>
                <w:rFonts w:ascii="Arial" w:cs="Arial" w:eastAsia="Arial" w:hAnsi="Arial"/>
                <w:sz w:val="16"/>
                <w:szCs w:val="16"/>
                <w:b w:val="1"/>
                <w:bCs w:val="1"/>
                <w:color w:val="auto"/>
              </w:rPr>
              <w:t>March 29, 2020</w:t>
            </w:r>
          </w:p>
        </w:tc>
        <w:tc>
          <w:tcPr>
            <w:tcW w:w="320" w:type="dxa"/>
            <w:vAlign w:val="bottom"/>
          </w:tcPr>
          <w:p>
            <w:pPr>
              <w:spacing w:after="0"/>
              <w:rPr>
                <w:sz w:val="20"/>
                <w:szCs w:val="20"/>
                <w:color w:val="auto"/>
              </w:rPr>
            </w:pPr>
          </w:p>
        </w:tc>
        <w:tc>
          <w:tcPr>
            <w:tcW w:w="1680" w:type="dxa"/>
            <w:vAlign w:val="bottom"/>
          </w:tcPr>
          <w:p>
            <w:pPr>
              <w:jc w:val="right"/>
              <w:ind w:right="215"/>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(343,818)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6,182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w:t>
            </w:r>
          </w:p>
        </w:tc>
      </w:tr>
      <w:tr>
        <w:trPr>
          <w:trHeight w:val="27"/>
        </w:trPr>
        <w:tc>
          <w:tcPr>
            <w:tcW w:w="3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months ended March 29, 2020 and March 31, 2019, we recognized a net pretax benefit to interest expense of $151 and net incremental interest expense of $630, respectively,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7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15</w:t>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March 29, 2020 and December 31, 2019:</w:t>
      </w:r>
    </w:p>
    <w:p>
      <w:pPr>
        <w:spacing w:after="0" w:line="130"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37465</wp:posOffset>
            </wp:positionV>
            <wp:extent cx="42862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29, 2020:</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5,613</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5,613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 (2)</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6,182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6,182</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2,862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2,862</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2,884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2,884</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 derivatives (3)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7,743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7,743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Interest rate swap agreements (2)</w:t>
            </w: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 derivatives (3)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9,080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9,080</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0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1,779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1,779</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4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March 29, 2020 and December 31, 2019 because of the relatively short maturity of these instruments.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16</w:t>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130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3540" w:type="dxa"/>
            <w:vAlign w:val="bottom"/>
            <w:gridSpan w:val="4"/>
          </w:tcPr>
          <w:p>
            <w:pPr>
              <w:jc w:val="right"/>
              <w:ind w:right="1252"/>
              <w:spacing w:after="0"/>
              <w:rPr>
                <w:sz w:val="20"/>
                <w:szCs w:val="20"/>
                <w:color w:val="auto"/>
              </w:rPr>
            </w:pPr>
            <w:r>
              <w:rPr>
                <w:rFonts w:ascii="Arial" w:cs="Arial" w:eastAsia="Arial" w:hAnsi="Arial"/>
                <w:sz w:val="16"/>
                <w:szCs w:val="16"/>
                <w:b w:val="1"/>
                <w:bCs w:val="1"/>
                <w:color w:val="auto"/>
              </w:rPr>
              <w:t>Carrying Value</w:t>
            </w:r>
          </w:p>
        </w:tc>
      </w:tr>
      <w:tr>
        <w:trPr>
          <w:trHeight w:val="33"/>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29, 2020</w:t>
            </w: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29, 2020</w:t>
            </w:r>
          </w:p>
        </w:tc>
        <w:tc>
          <w:tcPr>
            <w:tcW w:w="180" w:type="dxa"/>
            <w:vAlign w:val="bottom"/>
          </w:tcPr>
          <w:p>
            <w:pPr>
              <w:spacing w:after="0"/>
              <w:rPr>
                <w:sz w:val="20"/>
                <w:szCs w:val="20"/>
                <w:color w:val="auto"/>
              </w:rPr>
            </w:pPr>
          </w:p>
        </w:tc>
        <w:tc>
          <w:tcPr>
            <w:tcW w:w="166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703,390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3,498,522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3,656,540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3,453,525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3,530,813</w:t>
            </w: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4,295,022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4,369,403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4,242,217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4,234,203</w:t>
            </w: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Activity</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2020, we recorded the following impairment charges, which use significant unobservable inputs, or Level 3 inputs, as defined by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7"/>
        </w:trPr>
        <w:tc>
          <w:tcPr>
            <w:tcW w:w="9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disposal group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Other asset write-down (2)</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2,943</w:t>
            </w:r>
          </w:p>
        </w:tc>
      </w:tr>
      <w:tr>
        <w:trPr>
          <w:trHeight w:val="27"/>
        </w:trPr>
        <w:tc>
          <w:tcPr>
            <w:tcW w:w="9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7,543</w:t>
            </w:r>
          </w:p>
        </w:tc>
      </w:tr>
      <w:tr>
        <w:trPr>
          <w:trHeight w:val="20"/>
        </w:trPr>
        <w:tc>
          <w:tcPr>
            <w:tcW w:w="9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hanging="330"/>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connection with our disposal group classified as held for sale, as discussed in </w:t>
      </w:r>
      <w:hyperlink w:anchor="page20">
        <w:r>
          <w:rPr>
            <w:rFonts w:ascii="Arial" w:cs="Arial" w:eastAsia="Arial" w:hAnsi="Arial"/>
            <w:sz w:val="18"/>
            <w:szCs w:val="18"/>
            <w:u w:val="single" w:color="auto"/>
            <w:color w:val="0000EE"/>
          </w:rPr>
          <w:t>Note 8</w:t>
        </w:r>
      </w:hyperlink>
      <w:r>
        <w:rPr>
          <w:rFonts w:ascii="Arial" w:cs="Arial" w:eastAsia="Arial" w:hAnsi="Arial"/>
          <w:sz w:val="18"/>
          <w:szCs w:val="18"/>
          <w:color w:val="auto"/>
        </w:rPr>
        <w:t>, during 2020, we recorded impairment charges to adjust long-lived asset values. The fair value of the disposal group was supported by potential sales prices with third-party buyers. We expect the sale of the disposal group to be completed during 2020.</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Activity</w:t>
      </w:r>
    </w:p>
    <w:p>
      <w:pPr>
        <w:spacing w:after="0" w:line="144" w:lineRule="exact"/>
        <w:rPr>
          <w:sz w:val="20"/>
          <w:szCs w:val="20"/>
          <w:color w:val="auto"/>
        </w:rPr>
      </w:pPr>
    </w:p>
    <w:p>
      <w:pPr>
        <w:jc w:val="both"/>
        <w:ind w:right="22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In connection with the acquisition of ONE Brands in the third quarter of 2019, as discussed in </w:t>
      </w:r>
      <w:hyperlink w:anchor="page9">
        <w:r>
          <w:rPr>
            <w:rFonts w:ascii="Arial" w:cs="Arial" w:eastAsia="Arial" w:hAnsi="Arial"/>
            <w:sz w:val="16"/>
            <w:szCs w:val="16"/>
            <w:u w:val="single" w:color="auto"/>
            <w:color w:val="0000EE"/>
          </w:rPr>
          <w:t>Note 2</w:t>
        </w:r>
      </w:hyperlink>
      <w:r>
        <w:rPr>
          <w:rFonts w:ascii="Arial" w:cs="Arial" w:eastAsia="Arial" w:hAnsi="Arial"/>
          <w:sz w:val="16"/>
          <w:szCs w:val="16"/>
          <w:color w:val="auto"/>
        </w:rPr>
        <w:t>, we used various valuation techniques to determine fair value, with the primary techniques being discounted cash flow analysis, relief-from-royalty, a form of the multi-period excess earnings and the with-and-without valuation approaches, which use significant unobservable inputs, or Level 3 inputs, as defined by the fair value hierarchy.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8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2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17</w:t>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3"/>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280" w:type="dxa"/>
            <w:vAlign w:val="bottom"/>
            <w:gridSpan w:val="2"/>
          </w:tcPr>
          <w:p>
            <w:pPr>
              <w:spacing w:after="0"/>
              <w:rPr>
                <w:sz w:val="2"/>
                <w:szCs w:val="2"/>
                <w:color w:val="auto"/>
              </w:rPr>
            </w:pPr>
          </w:p>
        </w:tc>
        <w:tc>
          <w:tcPr>
            <w:tcW w:w="40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Lease expense</w:t>
            </w:r>
          </w:p>
        </w:tc>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Pr>
          <w:p>
            <w:pPr>
              <w:spacing w:after="0"/>
              <w:rPr>
                <w:sz w:val="20"/>
                <w:szCs w:val="20"/>
                <w:color w:val="auto"/>
              </w:rPr>
            </w:pPr>
          </w:p>
        </w:tc>
        <w:tc>
          <w:tcPr>
            <w:tcW w:w="1640" w:type="dxa"/>
            <w:vAlign w:val="bottom"/>
          </w:tcPr>
          <w:p>
            <w:pPr>
              <w:jc w:val="right"/>
              <w:ind w:right="333"/>
              <w:spacing w:after="0"/>
              <w:rPr>
                <w:sz w:val="20"/>
                <w:szCs w:val="20"/>
                <w:color w:val="auto"/>
              </w:rPr>
            </w:pPr>
            <w:r>
              <w:rPr>
                <w:rFonts w:ascii="Arial" w:cs="Arial" w:eastAsia="Arial" w:hAnsi="Arial"/>
                <w:sz w:val="16"/>
                <w:szCs w:val="16"/>
                <w:b w:val="1"/>
                <w:bCs w:val="1"/>
                <w:color w:val="auto"/>
              </w:rPr>
              <w:t>March 29, 2020</w:t>
            </w:r>
          </w:p>
        </w:tc>
        <w:tc>
          <w:tcPr>
            <w:tcW w:w="360" w:type="dxa"/>
            <w:vAlign w:val="bottom"/>
          </w:tcPr>
          <w:p>
            <w:pPr>
              <w:spacing w:after="0"/>
              <w:rPr>
                <w:sz w:val="20"/>
                <w:szCs w:val="20"/>
                <w:color w:val="auto"/>
              </w:rPr>
            </w:pPr>
          </w:p>
        </w:tc>
        <w:tc>
          <w:tcPr>
            <w:tcW w:w="164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10,214</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ROU assets</w:t>
            </w:r>
          </w:p>
        </w:tc>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2,030</w:t>
            </w: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r>
      <w:tr>
        <w:trPr>
          <w:trHeight w:val="24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1,122</w:t>
            </w:r>
          </w:p>
        </w:tc>
        <w:tc>
          <w:tcPr>
            <w:tcW w:w="3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1,101</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lease cost (2)</w:t>
            </w:r>
          </w:p>
        </w:tc>
        <w:tc>
          <w:tcPr>
            <w:tcW w:w="3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13,696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13,249</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right="2260" w:firstLine="170"/>
        <w:spacing w:after="0" w:line="277" w:lineRule="auto"/>
        <w:tabs>
          <w:tab w:leader="none" w:pos="486"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 Information regarding our lease terms and discount rates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080" w:type="dxa"/>
            <w:vAlign w:val="bottom"/>
            <w:gridSpan w:val="2"/>
          </w:tcPr>
          <w:p>
            <w:pPr>
              <w:ind w:left="460"/>
              <w:spacing w:after="0"/>
              <w:rPr>
                <w:sz w:val="20"/>
                <w:szCs w:val="20"/>
                <w:color w:val="auto"/>
              </w:rPr>
            </w:pPr>
            <w:r>
              <w:rPr>
                <w:rFonts w:ascii="Arial" w:cs="Arial" w:eastAsia="Arial" w:hAnsi="Arial"/>
                <w:sz w:val="16"/>
                <w:szCs w:val="16"/>
                <w:b w:val="1"/>
                <w:bCs w:val="1"/>
                <w:color w:val="auto"/>
              </w:rPr>
              <w:t>March 29, 2020</w:t>
            </w:r>
          </w:p>
        </w:tc>
        <w:tc>
          <w:tcPr>
            <w:tcW w:w="19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71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14.3</w:t>
            </w:r>
          </w:p>
        </w:tc>
      </w:tr>
      <w:tr>
        <w:trPr>
          <w:trHeight w:val="27"/>
        </w:trPr>
        <w:tc>
          <w:tcPr>
            <w:tcW w:w="7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w:t>
            </w:r>
          </w:p>
        </w:tc>
      </w:tr>
      <w:tr>
        <w:trPr>
          <w:trHeight w:val="324"/>
        </w:trPr>
        <w:tc>
          <w:tcPr>
            <w:tcW w:w="7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18</w:t>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185" w:lineRule="exact"/>
        <w:rPr>
          <w:sz w:val="20"/>
          <w:szCs w:val="20"/>
          <w:color w:val="auto"/>
        </w:rPr>
      </w:pPr>
    </w:p>
    <w:p>
      <w:pPr>
        <w:ind w:left="40"/>
        <w:spacing w:after="0"/>
        <w:tabs>
          <w:tab w:leader="none" w:pos="3520" w:val="left"/>
          <w:tab w:leader="none" w:pos="7720" w:val="left"/>
          <w:tab w:leader="none" w:pos="9620" w:val="left"/>
        </w:tabs>
        <w:rPr>
          <w:sz w:val="20"/>
          <w:szCs w:val="20"/>
          <w:color w:val="auto"/>
        </w:rPr>
      </w:pPr>
      <w:r>
        <w:rPr>
          <w:rFonts w:ascii="Arial" w:cs="Arial" w:eastAsia="Arial" w:hAnsi="Arial"/>
          <w:sz w:val="16"/>
          <w:szCs w:val="16"/>
          <w:b w:val="1"/>
          <w:bCs w:val="1"/>
          <w:color w:val="auto"/>
        </w:rPr>
        <w:t>Leases</w:t>
      </w:r>
      <w:r>
        <w:rPr>
          <w:sz w:val="20"/>
          <w:szCs w:val="20"/>
          <w:color w:val="auto"/>
        </w:rPr>
        <w:tab/>
      </w:r>
      <w:r>
        <w:rPr>
          <w:rFonts w:ascii="Arial" w:cs="Arial" w:eastAsia="Arial" w:hAnsi="Arial"/>
          <w:sz w:val="16"/>
          <w:szCs w:val="16"/>
          <w:b w:val="1"/>
          <w:bCs w:val="1"/>
          <w:color w:val="auto"/>
        </w:rPr>
        <w:t>Classification</w:t>
      </w:r>
      <w:r>
        <w:rPr>
          <w:sz w:val="20"/>
          <w:szCs w:val="20"/>
          <w:color w:val="auto"/>
        </w:rPr>
        <w:tab/>
      </w:r>
      <w:r>
        <w:rPr>
          <w:rFonts w:ascii="Arial" w:cs="Arial" w:eastAsia="Arial" w:hAnsi="Arial"/>
          <w:sz w:val="16"/>
          <w:szCs w:val="16"/>
          <w:b w:val="1"/>
          <w:bCs w:val="1"/>
          <w:color w:val="auto"/>
        </w:rPr>
        <w:t>March 29,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ROU assets</w:t>
      </w:r>
    </w:p>
    <w:p>
      <w:pPr>
        <w:spacing w:after="0" w:line="38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Finance lease ROU assets, at cost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amortization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Finance lease ROU assets, net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leased assets</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31750</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Property, 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53975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39370</wp:posOffset>
            </wp:positionV>
            <wp:extent cx="71323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433705</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828040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203200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31750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jc w:val="right"/>
              <w:ind w:right="650"/>
              <w:spacing w:after="0"/>
              <w:rPr>
                <w:sz w:val="20"/>
                <w:szCs w:val="20"/>
                <w:color w:val="auto"/>
              </w:rPr>
            </w:pPr>
            <w:r>
              <w:rPr>
                <w:rFonts w:ascii="Arial" w:cs="Arial" w:eastAsia="Arial" w:hAnsi="Arial"/>
                <w:sz w:val="18"/>
                <w:szCs w:val="18"/>
                <w:color w:val="auto"/>
              </w:rPr>
              <w:t>219,286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220,678</w:t>
            </w:r>
          </w:p>
        </w:tc>
      </w:tr>
      <w:tr>
        <w:trPr>
          <w:trHeight w:val="594"/>
        </w:trPr>
        <w:tc>
          <w:tcPr>
            <w:tcW w:w="2540" w:type="dxa"/>
            <w:vAlign w:val="bottom"/>
          </w:tcPr>
          <w:p>
            <w:pPr>
              <w:jc w:val="right"/>
              <w:ind w:right="650"/>
              <w:spacing w:after="0"/>
              <w:rPr>
                <w:sz w:val="20"/>
                <w:szCs w:val="20"/>
                <w:color w:val="auto"/>
              </w:rPr>
            </w:pPr>
            <w:r>
              <w:rPr>
                <w:rFonts w:ascii="Arial" w:cs="Arial" w:eastAsia="Arial" w:hAnsi="Arial"/>
                <w:sz w:val="18"/>
                <w:szCs w:val="18"/>
                <w:color w:val="auto"/>
              </w:rPr>
              <w:t>101,697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101,142</w:t>
            </w:r>
          </w:p>
        </w:tc>
      </w:tr>
      <w:tr>
        <w:trPr>
          <w:trHeight w:val="270"/>
        </w:trPr>
        <w:tc>
          <w:tcPr>
            <w:tcW w:w="2540" w:type="dxa"/>
            <w:vAlign w:val="bottom"/>
          </w:tcPr>
          <w:p>
            <w:pPr>
              <w:jc w:val="right"/>
              <w:ind w:right="590"/>
              <w:spacing w:after="0"/>
              <w:rPr>
                <w:sz w:val="20"/>
                <w:szCs w:val="20"/>
                <w:color w:val="auto"/>
              </w:rPr>
            </w:pPr>
            <w:r>
              <w:rPr>
                <w:rFonts w:ascii="Arial" w:cs="Arial" w:eastAsia="Arial" w:hAnsi="Arial"/>
                <w:sz w:val="18"/>
                <w:szCs w:val="18"/>
                <w:color w:val="auto"/>
              </w:rPr>
              <w:t>(4,914)</w:t>
            </w:r>
          </w:p>
        </w:tc>
        <w:tc>
          <w:tcPr>
            <w:tcW w:w="1380" w:type="dxa"/>
            <w:vAlign w:val="bottom"/>
          </w:tcPr>
          <w:p>
            <w:pPr>
              <w:jc w:val="right"/>
              <w:spacing w:after="0"/>
              <w:rPr>
                <w:sz w:val="20"/>
                <w:szCs w:val="20"/>
                <w:color w:val="auto"/>
              </w:rPr>
            </w:pPr>
            <w:r>
              <w:rPr>
                <w:rFonts w:ascii="Arial" w:cs="Arial" w:eastAsia="Arial" w:hAnsi="Arial"/>
                <w:sz w:val="18"/>
                <w:szCs w:val="18"/>
                <w:color w:val="auto"/>
              </w:rPr>
              <w:t>(7,225)</w:t>
            </w:r>
          </w:p>
        </w:tc>
      </w:tr>
      <w:tr>
        <w:trPr>
          <w:trHeight w:val="27"/>
        </w:trPr>
        <w:tc>
          <w:tcPr>
            <w:tcW w:w="2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540" w:type="dxa"/>
            <w:vAlign w:val="bottom"/>
          </w:tcPr>
          <w:p>
            <w:pPr>
              <w:jc w:val="right"/>
              <w:ind w:right="650"/>
              <w:spacing w:after="0"/>
              <w:rPr>
                <w:sz w:val="20"/>
                <w:szCs w:val="20"/>
                <w:color w:val="auto"/>
              </w:rPr>
            </w:pPr>
            <w:r>
              <w:rPr>
                <w:rFonts w:ascii="Arial" w:cs="Arial" w:eastAsia="Arial" w:hAnsi="Arial"/>
                <w:sz w:val="18"/>
                <w:szCs w:val="18"/>
                <w:color w:val="auto"/>
              </w:rPr>
              <w:t>96,783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93,917</w:t>
            </w:r>
          </w:p>
        </w:tc>
      </w:tr>
      <w:tr>
        <w:trPr>
          <w:trHeight w:val="351"/>
        </w:trPr>
        <w:tc>
          <w:tcPr>
            <w:tcW w:w="2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37"/>
        </w:trPr>
        <w:tc>
          <w:tcPr>
            <w:tcW w:w="2540" w:type="dxa"/>
            <w:vAlign w:val="bottom"/>
          </w:tcPr>
          <w:p>
            <w:pPr>
              <w:jc w:val="right"/>
              <w:ind w:right="650"/>
              <w:spacing w:after="0"/>
              <w:rPr>
                <w:sz w:val="20"/>
                <w:szCs w:val="20"/>
                <w:color w:val="auto"/>
              </w:rPr>
            </w:pPr>
            <w:r>
              <w:rPr>
                <w:rFonts w:ascii="Arial" w:cs="Arial" w:eastAsia="Arial" w:hAnsi="Arial"/>
                <w:sz w:val="18"/>
                <w:szCs w:val="18"/>
                <w:color w:val="auto"/>
              </w:rPr>
              <w:t>316,069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314,595</w:t>
            </w:r>
          </w:p>
        </w:tc>
      </w:tr>
      <w:tr>
        <w:trPr>
          <w:trHeight w:val="27"/>
        </w:trPr>
        <w:tc>
          <w:tcPr>
            <w:tcW w:w="2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jc w:val="right"/>
              <w:ind w:right="630"/>
              <w:spacing w:after="0"/>
              <w:rPr>
                <w:sz w:val="20"/>
                <w:szCs w:val="20"/>
                <w:color w:val="auto"/>
              </w:rPr>
            </w:pPr>
            <w:r>
              <w:rPr>
                <w:rFonts w:ascii="Arial" w:cs="Arial" w:eastAsia="Arial" w:hAnsi="Arial"/>
                <w:sz w:val="18"/>
                <w:szCs w:val="18"/>
                <w:color w:val="auto"/>
              </w:rPr>
              <w:t>27,810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29,209</w:t>
            </w:r>
          </w:p>
        </w:tc>
      </w:tr>
      <w:tr>
        <w:trPr>
          <w:trHeight w:val="270"/>
        </w:trPr>
        <w:tc>
          <w:tcPr>
            <w:tcW w:w="2520" w:type="dxa"/>
            <w:vAlign w:val="bottom"/>
          </w:tcPr>
          <w:p>
            <w:pPr>
              <w:jc w:val="right"/>
              <w:ind w:right="630"/>
              <w:spacing w:after="0"/>
              <w:rPr>
                <w:sz w:val="20"/>
                <w:szCs w:val="20"/>
                <w:color w:val="auto"/>
              </w:rPr>
            </w:pPr>
            <w:r>
              <w:rPr>
                <w:rFonts w:ascii="Arial" w:cs="Arial" w:eastAsia="Arial" w:hAnsi="Arial"/>
                <w:sz w:val="18"/>
                <w:szCs w:val="18"/>
                <w:color w:val="auto"/>
              </w:rPr>
              <w:t>4,634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4,079</w:t>
            </w:r>
          </w:p>
        </w:tc>
      </w:tr>
      <w:tr>
        <w:trPr>
          <w:trHeight w:val="540"/>
        </w:trPr>
        <w:tc>
          <w:tcPr>
            <w:tcW w:w="2520" w:type="dxa"/>
            <w:vAlign w:val="bottom"/>
          </w:tcPr>
          <w:p>
            <w:pPr>
              <w:jc w:val="right"/>
              <w:ind w:right="630"/>
              <w:spacing w:after="0"/>
              <w:rPr>
                <w:sz w:val="20"/>
                <w:szCs w:val="20"/>
                <w:color w:val="auto"/>
              </w:rPr>
            </w:pPr>
            <w:r>
              <w:rPr>
                <w:rFonts w:ascii="Arial" w:cs="Arial" w:eastAsia="Arial" w:hAnsi="Arial"/>
                <w:sz w:val="18"/>
                <w:szCs w:val="18"/>
                <w:color w:val="auto"/>
              </w:rPr>
              <w:t>183,335</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184,163</w:t>
            </w:r>
          </w:p>
        </w:tc>
      </w:tr>
      <w:tr>
        <w:trPr>
          <w:trHeight w:val="270"/>
        </w:trPr>
        <w:tc>
          <w:tcPr>
            <w:tcW w:w="2520" w:type="dxa"/>
            <w:vAlign w:val="bottom"/>
          </w:tcPr>
          <w:p>
            <w:pPr>
              <w:jc w:val="right"/>
              <w:ind w:right="630"/>
              <w:spacing w:after="0"/>
              <w:rPr>
                <w:sz w:val="20"/>
                <w:szCs w:val="20"/>
                <w:color w:val="auto"/>
              </w:rPr>
            </w:pPr>
            <w:r>
              <w:rPr>
                <w:rFonts w:ascii="Arial" w:cs="Arial" w:eastAsia="Arial" w:hAnsi="Arial"/>
                <w:sz w:val="18"/>
                <w:szCs w:val="18"/>
                <w:color w:val="auto"/>
              </w:rPr>
              <w:t>76,460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75,564</w:t>
            </w:r>
          </w:p>
        </w:tc>
      </w:tr>
      <w:tr>
        <w:trPr>
          <w:trHeight w:val="27"/>
        </w:trPr>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jc w:val="right"/>
              <w:ind w:right="630"/>
              <w:spacing w:after="0"/>
              <w:rPr>
                <w:sz w:val="20"/>
                <w:szCs w:val="20"/>
                <w:color w:val="auto"/>
              </w:rPr>
            </w:pPr>
            <w:r>
              <w:rPr>
                <w:rFonts w:ascii="Arial" w:cs="Arial" w:eastAsia="Arial" w:hAnsi="Arial"/>
                <w:sz w:val="18"/>
                <w:szCs w:val="18"/>
                <w:color w:val="auto"/>
              </w:rPr>
              <w:t>292,239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293,015</w:t>
            </w:r>
          </w:p>
        </w:tc>
      </w:tr>
      <w:tr>
        <w:trPr>
          <w:trHeight w:val="27"/>
        </w:trPr>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820" w:space="720"/>
            <w:col w:w="3060" w:space="720"/>
            <w:col w:w="3920"/>
          </w:cols>
          <w:pgMar w:left="320" w:top="121"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March 29, 2020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500" w:type="dxa"/>
            <w:vAlign w:val="bottom"/>
            <w:gridSpan w:val="2"/>
          </w:tcPr>
          <w:p>
            <w:pPr>
              <w:ind w:left="620"/>
              <w:spacing w:after="0"/>
              <w:rPr>
                <w:sz w:val="20"/>
                <w:szCs w:val="20"/>
                <w:color w:val="auto"/>
              </w:rPr>
            </w:pPr>
            <w:r>
              <w:rPr>
                <w:rFonts w:ascii="Arial" w:cs="Arial" w:eastAsia="Arial" w:hAnsi="Arial"/>
                <w:sz w:val="16"/>
                <w:szCs w:val="16"/>
                <w:b w:val="1"/>
                <w:bCs w:val="1"/>
                <w:color w:val="auto"/>
              </w:rPr>
              <w:t>Operating leases</w:t>
            </w:r>
          </w:p>
        </w:tc>
        <w:tc>
          <w:tcPr>
            <w:tcW w:w="2460" w:type="dxa"/>
            <w:vAlign w:val="bottom"/>
            <w:gridSpan w:val="2"/>
          </w:tcPr>
          <w:p>
            <w:pPr>
              <w:ind w:left="680"/>
              <w:spacing w:after="0"/>
              <w:rPr>
                <w:sz w:val="20"/>
                <w:szCs w:val="20"/>
                <w:color w:val="auto"/>
              </w:rPr>
            </w:pPr>
            <w:r>
              <w:rPr>
                <w:rFonts w:ascii="Arial" w:cs="Arial" w:eastAsia="Arial" w:hAnsi="Arial"/>
                <w:sz w:val="16"/>
                <w:szCs w:val="16"/>
                <w:b w:val="1"/>
                <w:bCs w:val="1"/>
                <w:color w:val="auto"/>
              </w:rPr>
              <w:t>Finance leases</w:t>
            </w:r>
          </w:p>
        </w:tc>
        <w:tc>
          <w:tcPr>
            <w:tcW w:w="234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33"/>
        </w:trPr>
        <w:tc>
          <w:tcPr>
            <w:tcW w:w="39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(rest of year)</w:t>
            </w:r>
          </w:p>
        </w:tc>
        <w:tc>
          <w:tcPr>
            <w:tcW w:w="2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26,486</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6,332</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2021</w:t>
            </w:r>
          </w:p>
        </w:tc>
        <w:tc>
          <w:tcPr>
            <w:tcW w:w="2380" w:type="dxa"/>
            <w:vAlign w:val="bottom"/>
          </w:tcPr>
          <w:p>
            <w:pPr>
              <w:jc w:val="right"/>
              <w:ind w:right="31"/>
              <w:spacing w:after="0"/>
              <w:rPr>
                <w:sz w:val="20"/>
                <w:szCs w:val="20"/>
                <w:color w:val="auto"/>
              </w:rPr>
            </w:pPr>
            <w:r>
              <w:rPr>
                <w:rFonts w:ascii="Arial" w:cs="Arial" w:eastAsia="Arial" w:hAnsi="Arial"/>
                <w:sz w:val="18"/>
                <w:szCs w:val="18"/>
                <w:color w:val="auto"/>
              </w:rPr>
              <w:t>32,970</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7,834</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40,804</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19,246</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2023</w:t>
            </w:r>
          </w:p>
        </w:tc>
        <w:tc>
          <w:tcPr>
            <w:tcW w:w="2380" w:type="dxa"/>
            <w:vAlign w:val="bottom"/>
          </w:tcPr>
          <w:p>
            <w:pPr>
              <w:jc w:val="right"/>
              <w:ind w:right="31"/>
              <w:spacing w:after="0"/>
              <w:rPr>
                <w:sz w:val="20"/>
                <w:szCs w:val="20"/>
                <w:color w:val="auto"/>
              </w:rPr>
            </w:pPr>
            <w:r>
              <w:rPr>
                <w:rFonts w:ascii="Arial" w:cs="Arial" w:eastAsia="Arial" w:hAnsi="Arial"/>
                <w:sz w:val="18"/>
                <w:szCs w:val="18"/>
                <w:color w:val="auto"/>
              </w:rPr>
              <w:t>14,155</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18,758</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13,457</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18,021</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380" w:type="dxa"/>
            <w:vAlign w:val="bottom"/>
          </w:tcPr>
          <w:p>
            <w:pPr>
              <w:jc w:val="right"/>
              <w:ind w:right="31"/>
              <w:spacing w:after="0"/>
              <w:rPr>
                <w:sz w:val="20"/>
                <w:szCs w:val="20"/>
                <w:color w:val="auto"/>
              </w:rPr>
            </w:pPr>
            <w:r>
              <w:rPr>
                <w:rFonts w:ascii="Arial" w:cs="Arial" w:eastAsia="Arial" w:hAnsi="Arial"/>
                <w:sz w:val="18"/>
                <w:szCs w:val="18"/>
                <w:color w:val="auto"/>
              </w:rPr>
              <w:t>172,705</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164,885</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337,590</w:t>
            </w:r>
          </w:p>
        </w:tc>
      </w:tr>
      <w:tr>
        <w:trPr>
          <w:trHeight w:val="27"/>
        </w:trPr>
        <w:tc>
          <w:tcPr>
            <w:tcW w:w="39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2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279,019</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194,471</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473,490</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380" w:type="dxa"/>
            <w:vAlign w:val="bottom"/>
          </w:tcPr>
          <w:p>
            <w:pPr>
              <w:jc w:val="right"/>
              <w:ind w:right="31"/>
              <w:spacing w:after="0"/>
              <w:rPr>
                <w:sz w:val="20"/>
                <w:szCs w:val="20"/>
                <w:color w:val="auto"/>
              </w:rPr>
            </w:pPr>
            <w:r>
              <w:rPr>
                <w:rFonts w:ascii="Arial" w:cs="Arial" w:eastAsia="Arial" w:hAnsi="Arial"/>
                <w:sz w:val="18"/>
                <w:szCs w:val="18"/>
                <w:color w:val="auto"/>
              </w:rPr>
              <w:t>67,874</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113,377</w:t>
            </w:r>
          </w:p>
        </w:tc>
        <w:tc>
          <w:tcPr>
            <w:tcW w:w="12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181,251</w:t>
            </w:r>
          </w:p>
        </w:tc>
      </w:tr>
      <w:tr>
        <w:trPr>
          <w:trHeight w:val="27"/>
        </w:trPr>
        <w:tc>
          <w:tcPr>
            <w:tcW w:w="39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2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211,145</w:t>
            </w:r>
          </w:p>
        </w:tc>
        <w:tc>
          <w:tcPr>
            <w:tcW w:w="1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81,094</w:t>
            </w:r>
          </w:p>
        </w:tc>
        <w:tc>
          <w:tcPr>
            <w:tcW w:w="1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292,239</w:t>
            </w:r>
          </w:p>
        </w:tc>
      </w:tr>
      <w:tr>
        <w:trPr>
          <w:trHeight w:val="20"/>
        </w:trPr>
        <w:tc>
          <w:tcPr>
            <w:tcW w:w="39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920" w:type="dxa"/>
            <w:vAlign w:val="bottom"/>
            <w:gridSpan w:val="2"/>
          </w:tcPr>
          <w:p>
            <w:pPr>
              <w:jc w:val="right"/>
              <w:ind w:right="11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3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320" w:type="dxa"/>
            <w:vAlign w:val="bottom"/>
          </w:tcPr>
          <w:p>
            <w:pPr>
              <w:spacing w:after="0"/>
              <w:rPr>
                <w:sz w:val="20"/>
                <w:szCs w:val="20"/>
                <w:color w:val="auto"/>
              </w:rPr>
            </w:pPr>
          </w:p>
        </w:tc>
        <w:tc>
          <w:tcPr>
            <w:tcW w:w="2120" w:type="dxa"/>
            <w:vAlign w:val="bottom"/>
          </w:tcPr>
          <w:p>
            <w:pPr>
              <w:jc w:val="right"/>
              <w:ind w:right="533"/>
              <w:spacing w:after="0"/>
              <w:rPr>
                <w:sz w:val="20"/>
                <w:szCs w:val="20"/>
                <w:color w:val="auto"/>
              </w:rPr>
            </w:pPr>
            <w:r>
              <w:rPr>
                <w:rFonts w:ascii="Arial" w:cs="Arial" w:eastAsia="Arial" w:hAnsi="Arial"/>
                <w:sz w:val="16"/>
                <w:szCs w:val="16"/>
                <w:b w:val="1"/>
                <w:bCs w:val="1"/>
                <w:color w:val="auto"/>
              </w:rPr>
              <w:t>March 29, 2020</w:t>
            </w:r>
          </w:p>
        </w:tc>
        <w:tc>
          <w:tcPr>
            <w:tcW w:w="180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73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120" w:type="dxa"/>
            <w:vAlign w:val="bottom"/>
          </w:tcPr>
          <w:p>
            <w:pPr>
              <w:jc w:val="right"/>
              <w:ind w:right="233"/>
              <w:spacing w:after="0"/>
              <w:rPr>
                <w:sz w:val="20"/>
                <w:szCs w:val="20"/>
                <w:color w:val="auto"/>
              </w:rPr>
            </w:pPr>
            <w:r>
              <w:rPr>
                <w:rFonts w:ascii="Arial" w:cs="Arial" w:eastAsia="Arial" w:hAnsi="Arial"/>
                <w:sz w:val="18"/>
                <w:szCs w:val="18"/>
                <w:color w:val="auto"/>
              </w:rPr>
              <w:t>11,356</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9,524</w:t>
            </w:r>
          </w:p>
        </w:tc>
      </w:tr>
      <w:tr>
        <w:trPr>
          <w:trHeight w:val="27"/>
        </w:trPr>
        <w:tc>
          <w:tcPr>
            <w:tcW w:w="7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1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1,123</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120" w:type="dxa"/>
            <w:vAlign w:val="bottom"/>
          </w:tcPr>
          <w:p>
            <w:pPr>
              <w:jc w:val="right"/>
              <w:ind w:right="233"/>
              <w:spacing w:after="0"/>
              <w:rPr>
                <w:sz w:val="20"/>
                <w:szCs w:val="20"/>
                <w:color w:val="auto"/>
              </w:rPr>
            </w:pPr>
            <w:r>
              <w:rPr>
                <w:rFonts w:ascii="Arial" w:cs="Arial" w:eastAsia="Arial" w:hAnsi="Arial"/>
                <w:sz w:val="18"/>
                <w:szCs w:val="18"/>
                <w:color w:val="auto"/>
              </w:rPr>
              <w:t>1,086</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994</w:t>
            </w:r>
          </w:p>
        </w:tc>
      </w:tr>
      <w:tr>
        <w:trPr>
          <w:trHeight w:val="27"/>
        </w:trPr>
        <w:tc>
          <w:tcPr>
            <w:tcW w:w="7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2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1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8,733</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120" w:type="dxa"/>
            <w:vAlign w:val="bottom"/>
          </w:tcPr>
          <w:p>
            <w:pPr>
              <w:jc w:val="right"/>
              <w:ind w:right="233"/>
              <w:spacing w:after="0"/>
              <w:rPr>
                <w:sz w:val="20"/>
                <w:szCs w:val="20"/>
                <w:color w:val="auto"/>
              </w:rPr>
            </w:pPr>
            <w:r>
              <w:rPr>
                <w:rFonts w:ascii="Arial" w:cs="Arial" w:eastAsia="Arial" w:hAnsi="Arial"/>
                <w:sz w:val="18"/>
                <w:szCs w:val="18"/>
                <w:color w:val="auto"/>
              </w:rPr>
              <w:t>1,914</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3,172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19</w:t>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ASSETS AND LIABILITIES HELD FOR SALE</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29, 2020, the following disposal group has been classified as held for sale and stated at the lower of net book value or estimated sales value less costs to sell:</w:t>
      </w:r>
    </w:p>
    <w:p>
      <w:pPr>
        <w:spacing w:after="0" w:line="116" w:lineRule="exact"/>
        <w:rPr>
          <w:sz w:val="20"/>
          <w:szCs w:val="20"/>
          <w:color w:val="auto"/>
        </w:rPr>
      </w:pPr>
    </w:p>
    <w:p>
      <w:pPr>
        <w:ind w:left="660" w:right="1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Lotte Shanghai Foods Co., Ltd. ("LSFC") joint venture and other select assets, which were taken out of operation and classified as held for sale during the second quarter of 2018. We sold a portion of the joint venture's equipment in the third and fourth quarters of 2018, and expect the sale of the remaining business to be completed during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March 29, 2020 are not 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52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March 29, 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2019</w:t>
            </w:r>
          </w:p>
        </w:tc>
        <w:tc>
          <w:tcPr>
            <w:tcW w:w="40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1520" w:type="dxa"/>
            <w:vAlign w:val="bottom"/>
            <w:tcBorders>
              <w:bottom w:val="single" w:sz="8" w:color="CCEEFF"/>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422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Business realignment costs</w:t>
            </w:r>
          </w:p>
        </w:tc>
        <w:tc>
          <w:tcPr>
            <w:tcW w:w="15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895</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7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152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895</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484</w:t>
            </w:r>
          </w:p>
        </w:tc>
      </w:tr>
      <w:tr>
        <w:trPr>
          <w:trHeight w:val="20"/>
        </w:trPr>
        <w:tc>
          <w:tcPr>
            <w:tcW w:w="7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three months ended March 29, 2020 and March 31, 2019 related to these activities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52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0"/>
        </w:trPr>
        <w:tc>
          <w:tcPr>
            <w:tcW w:w="7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March 29, 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2019</w:t>
            </w:r>
          </w:p>
        </w:tc>
        <w:tc>
          <w:tcPr>
            <w:tcW w:w="40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520" w:type="dxa"/>
            <w:vAlign w:val="bottom"/>
          </w:tcPr>
          <w:p>
            <w:pPr>
              <w:jc w:val="right"/>
              <w:ind w:right="1315"/>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757</w:t>
            </w:r>
          </w:p>
        </w:tc>
        <w:tc>
          <w:tcPr>
            <w:tcW w:w="120" w:type="dxa"/>
            <w:vAlign w:val="bottom"/>
          </w:tcPr>
          <w:p>
            <w:pPr>
              <w:spacing w:after="0"/>
              <w:rPr>
                <w:sz w:val="21"/>
                <w:szCs w:val="21"/>
                <w:color w:val="auto"/>
              </w:rPr>
            </w:pP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15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484</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ind w:right="131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895</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129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484</w:t>
            </w:r>
          </w:p>
        </w:tc>
      </w:tr>
      <w:tr>
        <w:trPr>
          <w:trHeight w:val="20"/>
        </w:trPr>
        <w:tc>
          <w:tcPr>
            <w:tcW w:w="7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three months ended March 29,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752"/>
              <w:spacing w:after="0"/>
              <w:rPr>
                <w:sz w:val="20"/>
                <w:szCs w:val="20"/>
                <w:color w:val="auto"/>
              </w:rPr>
            </w:pPr>
            <w:r>
              <w:rPr>
                <w:rFonts w:ascii="Arial" w:cs="Arial" w:eastAsia="Arial" w:hAnsi="Arial"/>
                <w:sz w:val="16"/>
                <w:szCs w:val="16"/>
                <w:b w:val="1"/>
                <w:bCs w:val="1"/>
                <w:color w:val="auto"/>
              </w:rPr>
              <w:t>Total</w:t>
            </w:r>
          </w:p>
        </w:tc>
      </w:tr>
      <w:tr>
        <w:trPr>
          <w:trHeight w:val="33"/>
        </w:trPr>
        <w:tc>
          <w:tcPr>
            <w:tcW w:w="9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9,118</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2020 business realignment charges (1)</w:t>
            </w:r>
          </w:p>
        </w:tc>
        <w:tc>
          <w:tcPr>
            <w:tcW w:w="4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895</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(3,026)</w:t>
            </w:r>
          </w:p>
        </w:tc>
      </w:tr>
      <w:tr>
        <w:trPr>
          <w:trHeight w:val="257"/>
        </w:trPr>
        <w:tc>
          <w:tcPr>
            <w:tcW w:w="9200" w:type="dxa"/>
            <w:vAlign w:val="bottom"/>
          </w:tcPr>
          <w:p>
            <w:pPr>
              <w:ind w:left="40"/>
              <w:spacing w:after="0"/>
              <w:rPr>
                <w:sz w:val="20"/>
                <w:szCs w:val="20"/>
                <w:color w:val="auto"/>
              </w:rPr>
            </w:pPr>
            <w:r>
              <w:rPr>
                <w:rFonts w:ascii="Arial" w:cs="Arial" w:eastAsia="Arial" w:hAnsi="Arial"/>
                <w:sz w:val="18"/>
                <w:szCs w:val="18"/>
                <w:color w:val="auto"/>
              </w:rPr>
              <w:t>Liability balance at March 29, 2020 (reported within accrued liabilities)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6,987</w:t>
            </w:r>
          </w:p>
        </w:tc>
      </w:tr>
      <w:tr>
        <w:trPr>
          <w:trHeight w:val="20"/>
        </w:trPr>
        <w:tc>
          <w:tcPr>
            <w:tcW w:w="9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The costs reflected in the liability roll-forward represent employee-related and certain third-party service provider charges.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20</w:t>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the next several months. To date, we have incurred pre-tax charges to execute the program totaling $346,429. This includes long-lived asset impairment charges of $208,712 related to the operations supporting our China business in 2017, as well as the $16,300 incremental impairment charge resulting from the sale of Shanghai Golden Monkey. In addition to the impairment charges, we have incurred employee separation costs of $53,867 and other business realignment costs of $67,550. We expect the remaining spending on this program to be minimal and completed in the first half of 2020. The cash portion of the total program charges is estimated to be $106,000. The Company reduced its global workforce by approximately 15% as a result of this program, with a majority of the reductions coming from hourly headcount positions outside of the United States.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29, 2020 and March 31, 2019, we recognized total costs associated with the Margin for Growth Program of $895 and $484, respectively. These charges include employee severance, largely relating to initiatives to improve the cost structure of our corporate operating model as part of optimizing the global supply chain. In addition, we incurred other program costs, which relate primarily to third-party charges in support of our initiative to improve global efficiency and effectiveness.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majority of our taxable income is generated in the U.S. and taxed at the U.S. statutory rate of 21%. The effective tax rates for the three months ended March 29, 2020 and March 31, 2019 were 19.8% and 23.2%, respectively. Relative to the statutory rate, the 2020 effective tax rate was impacted by investment tax credits and the benefit of ASU 2016-09 for accounting of employee share-based payment, partially offset by state taxes.</w:t>
      </w:r>
    </w:p>
    <w:p>
      <w:pPr>
        <w:spacing w:after="0" w:line="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Hershey and its subsidiaries file tax returns in the U.S., including various state and local returns, and in other foreign jurisdictions. We are routinely audited by taxing authorities in our filing jurisdictions, and a number of these audits are currently underway, including multi-year audits at various stages of review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$7,447 within the next 12 months because of the expiration of statutes of limitations and settlements of tax audits.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21</w:t>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three months ended March 29, 2020 and March 31, 2019 were as follows:</w:t>
      </w:r>
    </w:p>
    <w:p>
      <w:pPr>
        <w:sectPr>
          <w:pgSz w:w="11900" w:h="16838" w:orient="portrait"/>
          <w:cols w:equalWidth="0" w:num="1">
            <w:col w:w="11220"/>
          </w:cols>
          <w:pgMar w:left="320" w:top="121" w:right="359" w:bottom="1440" w:gutter="0" w:footer="0" w:header="0"/>
        </w:sectPr>
      </w:pPr>
    </w:p>
    <w:p>
      <w:pPr>
        <w:spacing w:after="0" w:line="208" w:lineRule="exact"/>
        <w:rPr>
          <w:sz w:val="20"/>
          <w:szCs w:val="20"/>
          <w:color w:val="auto"/>
        </w:rPr>
      </w:pPr>
    </w:p>
    <w:p>
      <w:pPr>
        <w:jc w:val="center"/>
        <w:ind w:left="424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37465</wp:posOffset>
            </wp:positionV>
            <wp:extent cx="2245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6" w:lineRule="exact"/>
        <w:rPr>
          <w:sz w:val="20"/>
          <w:szCs w:val="20"/>
          <w:color w:val="auto"/>
        </w:rPr>
      </w:pPr>
    </w:p>
    <w:p>
      <w:pPr>
        <w:jc w:val="center"/>
        <w:ind w:left="42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37465</wp:posOffset>
            </wp:positionV>
            <wp:extent cx="2245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ind w:left="4260"/>
        <w:spacing w:after="0"/>
        <w:tabs>
          <w:tab w:leader="none" w:pos="6060" w:val="left"/>
        </w:tabs>
        <w:rPr>
          <w:sz w:val="20"/>
          <w:szCs w:val="20"/>
          <w:color w:val="auto"/>
        </w:rPr>
      </w:pPr>
      <w:r>
        <w:rPr>
          <w:rFonts w:ascii="Arial" w:cs="Arial" w:eastAsia="Arial" w:hAnsi="Arial"/>
          <w:sz w:val="16"/>
          <w:szCs w:val="16"/>
          <w:b w:val="1"/>
          <w:bCs w:val="1"/>
          <w:color w:val="auto"/>
        </w:rPr>
        <w:t>March 29, 2020</w:t>
      </w:r>
      <w:r>
        <w:rPr>
          <w:sz w:val="20"/>
          <w:szCs w:val="20"/>
          <w:color w:val="auto"/>
        </w:rPr>
        <w:tab/>
      </w:r>
      <w:r>
        <w:rPr>
          <w:rFonts w:ascii="Arial" w:cs="Arial" w:eastAsia="Arial" w:hAnsi="Arial"/>
          <w:sz w:val="15"/>
          <w:szCs w:val="15"/>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37465</wp:posOffset>
            </wp:positionV>
            <wp:extent cx="2245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37465</wp:posOffset>
            </wp:positionV>
            <wp:extent cx="2245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6"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37465</wp:posOffset>
            </wp:positionV>
            <wp:extent cx="2245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b w:val="1"/>
          <w:bCs w:val="1"/>
          <w:color w:val="auto"/>
        </w:rPr>
        <w:t>March 29, 2020</w:t>
      </w:r>
      <w:r>
        <w:rPr>
          <w:sz w:val="20"/>
          <w:szCs w:val="20"/>
          <w:color w:val="auto"/>
        </w:rPr>
        <w:tab/>
      </w:r>
      <w:r>
        <w:rPr>
          <w:rFonts w:ascii="Arial" w:cs="Arial" w:eastAsia="Arial" w:hAnsi="Arial"/>
          <w:sz w:val="15"/>
          <w:szCs w:val="15"/>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37465</wp:posOffset>
            </wp:positionV>
            <wp:extent cx="2245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7180" w:space="720"/>
            <w:col w:w="33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20"/>
                <w:szCs w:val="20"/>
                <w:color w:val="auto"/>
              </w:rPr>
            </w:pP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Amortization of net loss (gain)</w:t>
            </w:r>
          </w:p>
        </w:tc>
        <w:tc>
          <w:tcPr>
            <w:tcW w:w="6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39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r>
      <w:tr>
        <w:trPr>
          <w:trHeight w:val="20"/>
        </w:trPr>
        <w:tc>
          <w:tcPr>
            <w:tcW w:w="3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28">
        <w:r>
          <w:rPr>
            <w:rFonts w:ascii="Arial" w:cs="Arial" w:eastAsia="Arial" w:hAnsi="Arial"/>
            <w:sz w:val="18"/>
            <w:szCs w:val="18"/>
            <w:u w:val="single" w:color="auto"/>
            <w:color w:val="0000EE"/>
          </w:rPr>
          <w:t>Note 18</w:t>
        </w:r>
      </w:hyperlink>
      <w:r>
        <w:rPr>
          <w:rFonts w:ascii="Arial" w:cs="Arial" w:eastAsia="Arial" w:hAnsi="Arial"/>
          <w:sz w:val="18"/>
          <w:szCs w:val="18"/>
          <w:color w:val="auto"/>
        </w:rPr>
        <w: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made contributions of $757 and $3,352 to the pension plans and other benefits plans, respectively, during the first quarter of 2020. In the first quarter of 2019, we made contributions of $898 and $3,763 to our pension plans and other benefit plans, respectively. The contributions in 2020 and 2019 also included benefit payments from our non-qualified pension plans and post-retirement benefit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have various stock-based compensation programs under which awards, including stock options, performance stock units (“PSUs”) and performance stock, stock appreciation rights, restricted stock units (“RSUs”) and restricted stock may be granted to employees, non-employee directors and certain service providers upon whom the successful conduct of our business is dependent. These programs and the accounting treatment related thereto are described in Note 10 to the Consolidated Financial Statements included in our 2019 Annual Report on Form 10-K.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66040</wp:posOffset>
            </wp:positionV>
            <wp:extent cx="2537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3"/>
          </w:tcPr>
          <w:p>
            <w:pPr>
              <w:jc w:val="right"/>
              <w:ind w:right="11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jc w:val="right"/>
              <w:ind w:right="355"/>
              <w:spacing w:after="0"/>
              <w:rPr>
                <w:sz w:val="20"/>
                <w:szCs w:val="20"/>
                <w:color w:val="auto"/>
              </w:rPr>
            </w:pPr>
            <w:r>
              <w:rPr>
                <w:rFonts w:ascii="Arial" w:cs="Arial" w:eastAsia="Arial" w:hAnsi="Arial"/>
                <w:sz w:val="16"/>
                <w:szCs w:val="16"/>
                <w:b w:val="1"/>
                <w:bCs w:val="1"/>
                <w:color w:val="auto"/>
              </w:rPr>
              <w:t>March 29, 2020</w:t>
            </w:r>
          </w:p>
        </w:tc>
        <w:tc>
          <w:tcPr>
            <w:tcW w:w="380" w:type="dxa"/>
            <w:vAlign w:val="bottom"/>
          </w:tcPr>
          <w:p>
            <w:pPr>
              <w:spacing w:after="0"/>
              <w:rPr>
                <w:sz w:val="20"/>
                <w:szCs w:val="20"/>
                <w:color w:val="auto"/>
              </w:rPr>
            </w:pPr>
          </w:p>
        </w:tc>
        <w:tc>
          <w:tcPr>
            <w:tcW w:w="16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7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10,556</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Related income tax benefit</w:t>
            </w:r>
          </w:p>
        </w:tc>
        <w:tc>
          <w:tcPr>
            <w:tcW w:w="28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2,402</w:t>
            </w:r>
          </w:p>
        </w:tc>
        <w:tc>
          <w:tcPr>
            <w:tcW w:w="3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2,322</w:t>
            </w:r>
          </w:p>
        </w:tc>
      </w:tr>
    </w:tbl>
    <w:p>
      <w:pPr>
        <w:spacing w:after="0" w:line="3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March 29, 2020, total stock-based compensation cost related to non-vested awards not yet recognized was $84,908 and the weighted-average period over which this amount is expected to be recognized was approximately 2.3 years.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22</w:t>
      </w:r>
    </w:p>
    <w:p>
      <w:pPr>
        <w:sectPr>
          <w:pgSz w:w="11900" w:h="16838" w:orient="portrait"/>
          <w:cols w:equalWidth="0" w:num="1">
            <w:col w:w="11220"/>
          </w:cols>
          <w:pgMar w:left="320" w:top="121" w:right="35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March 29, 2020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2,420,461</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 years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15,260</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$157.32</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(312,392)</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(35,127)</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$102.40</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29, 2020</w:t>
            </w: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2,088,202</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66,511</w:t>
            </w:r>
          </w:p>
        </w:tc>
      </w:tr>
      <w:tr>
        <w:trPr>
          <w:trHeight w:val="20"/>
        </w:trPr>
        <w:tc>
          <w:tcPr>
            <w:tcW w:w="4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Options exercisable as of March 29, 2020</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1,608,905</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$97.68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4.6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53,349</w:t>
            </w:r>
          </w:p>
        </w:tc>
      </w:tr>
      <w:tr>
        <w:trPr>
          <w:trHeight w:val="20"/>
        </w:trPr>
        <w:tc>
          <w:tcPr>
            <w:tcW w:w="4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840"/>
        <w:spacing w:after="0" w:line="263" w:lineRule="auto"/>
        <w:rPr>
          <w:sz w:val="20"/>
          <w:szCs w:val="20"/>
          <w:color w:val="auto"/>
        </w:rPr>
      </w:pPr>
      <w:r>
        <w:rPr>
          <w:rFonts w:ascii="Arial" w:cs="Arial" w:eastAsia="Arial" w:hAnsi="Arial"/>
          <w:sz w:val="18"/>
          <w:szCs w:val="18"/>
          <w:color w:val="auto"/>
        </w:rPr>
        <w:t>The weighted-average fair value of options granted was $21.31 and $15.25 per share for the periods ended March 29, 2020 and March 31, 2019, respectively. The fair value was estimated on the date of grant using a Black-Scholes option-pricing model and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74295</wp:posOffset>
            </wp:positionV>
            <wp:extent cx="2160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400" w:type="dxa"/>
            <w:vAlign w:val="bottom"/>
            <w:gridSpan w:val="2"/>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8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7840" w:type="dxa"/>
            <w:vAlign w:val="bottom"/>
          </w:tcPr>
          <w:p>
            <w:pPr>
              <w:spacing w:after="0"/>
              <w:rPr>
                <w:sz w:val="20"/>
                <w:szCs w:val="20"/>
                <w:color w:val="auto"/>
              </w:rPr>
            </w:pPr>
          </w:p>
        </w:tc>
        <w:tc>
          <w:tcPr>
            <w:tcW w:w="1820" w:type="dxa"/>
            <w:vAlign w:val="bottom"/>
          </w:tcPr>
          <w:p>
            <w:pPr>
              <w:jc w:val="right"/>
              <w:ind w:right="373"/>
              <w:spacing w:after="0"/>
              <w:rPr>
                <w:sz w:val="20"/>
                <w:szCs w:val="20"/>
                <w:color w:val="auto"/>
              </w:rPr>
            </w:pPr>
            <w:r>
              <w:rPr>
                <w:rFonts w:ascii="Arial" w:cs="Arial" w:eastAsia="Arial" w:hAnsi="Arial"/>
                <w:sz w:val="16"/>
                <w:szCs w:val="16"/>
                <w:b w:val="1"/>
                <w:bCs w:val="1"/>
                <w:color w:val="auto"/>
              </w:rPr>
              <w:t>March 29, 2020</w:t>
            </w:r>
          </w:p>
        </w:tc>
        <w:tc>
          <w:tcPr>
            <w:tcW w:w="158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78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8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15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8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6.7</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$20,740 and $17,598 for the periods ended March 29, 2020 and March 31, 2019,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March 29, 2020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Weighted-average grant date fair value for</w:t>
            </w:r>
          </w:p>
        </w:tc>
      </w:tr>
      <w:tr>
        <w:trPr>
          <w:trHeight w:val="210"/>
        </w:trPr>
        <w:tc>
          <w:tcPr>
            <w:tcW w:w="57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74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8"/>
                <w:szCs w:val="18"/>
                <w:color w:val="auto"/>
              </w:rPr>
            </w:pPr>
          </w:p>
        </w:tc>
        <w:tc>
          <w:tcPr>
            <w:tcW w:w="3540" w:type="dxa"/>
            <w:vAlign w:val="bottom"/>
          </w:tcPr>
          <w:p>
            <w:pPr>
              <w:jc w:val="right"/>
              <w:ind w:right="799"/>
              <w:spacing w:after="0"/>
              <w:rPr>
                <w:sz w:val="20"/>
                <w:szCs w:val="20"/>
                <w:color w:val="auto"/>
              </w:rPr>
            </w:pPr>
            <w:r>
              <w:rPr>
                <w:rFonts w:ascii="Arial" w:cs="Arial" w:eastAsia="Arial" w:hAnsi="Arial"/>
                <w:sz w:val="16"/>
                <w:szCs w:val="16"/>
                <w:b w:val="1"/>
                <w:bCs w:val="1"/>
                <w:color w:val="auto"/>
              </w:rPr>
              <w:t>equity awards (per unit)</w:t>
            </w:r>
          </w:p>
        </w:tc>
      </w:tr>
      <w:tr>
        <w:trPr>
          <w:trHeight w:val="33"/>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1,089,916</w:t>
            </w: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$112.52</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307,193</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$168.99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 (1)</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(13,849)</w:t>
            </w: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$111.78</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(258,859)</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$109.40</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(80,121)</w:t>
            </w: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$111.17</w:t>
            </w:r>
          </w:p>
        </w:tc>
      </w:tr>
      <w:tr>
        <w:trPr>
          <w:trHeight w:val="25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Outstanding as of March 29, 2020</w:t>
            </w:r>
          </w:p>
        </w:tc>
        <w:tc>
          <w:tcPr>
            <w:tcW w:w="17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1,044,280</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$131.49</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23</w:t>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8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53"/>
              <w:spacing w:after="0"/>
              <w:rPr>
                <w:sz w:val="20"/>
                <w:szCs w:val="20"/>
                <w:color w:val="auto"/>
              </w:rPr>
            </w:pPr>
            <w:r>
              <w:rPr>
                <w:rFonts w:ascii="Arial" w:cs="Arial" w:eastAsia="Arial" w:hAnsi="Arial"/>
                <w:sz w:val="16"/>
                <w:szCs w:val="16"/>
                <w:b w:val="1"/>
                <w:bCs w:val="1"/>
                <w:color w:val="auto"/>
              </w:rPr>
              <w:t>March 29, 2020</w:t>
            </w:r>
          </w:p>
        </w:tc>
        <w:tc>
          <w:tcPr>
            <w:tcW w:w="260" w:type="dxa"/>
            <w:vAlign w:val="bottom"/>
          </w:tcPr>
          <w:p>
            <w:pPr>
              <w:spacing w:after="0"/>
              <w:rPr>
                <w:sz w:val="20"/>
                <w:szCs w:val="20"/>
                <w:color w:val="auto"/>
              </w:rPr>
            </w:pPr>
          </w:p>
        </w:tc>
        <w:tc>
          <w:tcPr>
            <w:tcW w:w="142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March 31, 2019</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307,193</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433,109</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Weighted-average fair value at date of grant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ind w:right="153"/>
              <w:spacing w:after="0"/>
              <w:rPr>
                <w:sz w:val="20"/>
                <w:szCs w:val="20"/>
                <w:color w:val="auto"/>
              </w:rPr>
            </w:pPr>
            <w:r>
              <w:rPr>
                <w:rFonts w:ascii="Arial" w:cs="Arial" w:eastAsia="Arial" w:hAnsi="Arial"/>
                <w:sz w:val="18"/>
                <w:szCs w:val="18"/>
                <w:color w:val="auto"/>
              </w:rPr>
              <w:t>168.99</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92"/>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81"/>
        </w:trPr>
        <w:tc>
          <w:tcPr>
            <w:tcW w:w="77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3"/>
              <w:spacing w:after="0"/>
              <w:rPr>
                <w:sz w:val="20"/>
                <w:szCs w:val="20"/>
                <w:color w:val="auto"/>
              </w:rPr>
            </w:pPr>
            <w:r>
              <w:rPr>
                <w:rFonts w:ascii="Arial" w:cs="Arial" w:eastAsia="Arial" w:hAnsi="Arial"/>
                <w:sz w:val="18"/>
                <w:szCs w:val="18"/>
                <w:color w:val="auto"/>
              </w:rPr>
              <w:t>80.08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$39,405 and $36,003 for the periods ended March 29, 2020 and March 31, 2019, respectively.</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298,899 units as of March 29, 2020.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91%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hanging="328"/>
        <w:spacing w:after="0" w:line="266"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1" w:lineRule="exact"/>
        <w:rPr>
          <w:rFonts w:ascii="Arial" w:cs="Arial" w:eastAsia="Arial" w:hAnsi="Arial"/>
          <w:sz w:val="18"/>
          <w:szCs w:val="18"/>
          <w:b w:val="1"/>
          <w:bCs w:val="1"/>
          <w:i w:val="1"/>
          <w:iCs w:val="1"/>
          <w:color w:val="auto"/>
        </w:rPr>
      </w:pPr>
    </w:p>
    <w:p>
      <w:pPr>
        <w:ind w:left="660" w:right="20" w:hanging="328"/>
        <w:spacing w:after="0" w:line="294" w:lineRule="auto"/>
        <w:tabs>
          <w:tab w:leader="none" w:pos="66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2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2">
        <w:r>
          <w:rPr>
            <w:rFonts w:ascii="Arial" w:cs="Arial" w:eastAsia="Arial" w:hAnsi="Arial"/>
            <w:sz w:val="18"/>
            <w:szCs w:val="18"/>
            <w:u w:val="single" w:color="auto"/>
            <w:color w:val="0000EE"/>
          </w:rPr>
          <w:t>Note 5</w:t>
        </w:r>
      </w:hyperlink>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Q1 2020 Form 10-Q | Page 24</w:t>
      </w:r>
    </w:p>
    <w:p>
      <w:pPr>
        <w:sectPr>
          <w:pgSz w:w="11900" w:h="16838" w:orient="portrait"/>
          <w:cols w:equalWidth="0" w:num="1">
            <w:col w:w="11220"/>
          </w:cols>
          <w:pgMar w:left="320" w:top="121"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gridSpan w:val="4"/>
          </w:tcPr>
          <w:p>
            <w:pPr>
              <w:jc w:val="right"/>
              <w:ind w:right="11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29, 2020</w:t>
            </w:r>
          </w:p>
        </w:tc>
        <w:tc>
          <w:tcPr>
            <w:tcW w:w="300" w:type="dxa"/>
            <w:vAlign w:val="bottom"/>
          </w:tcPr>
          <w:p>
            <w:pPr>
              <w:spacing w:after="0"/>
              <w:rPr>
                <w:sz w:val="20"/>
                <w:szCs w:val="20"/>
                <w:color w:val="auto"/>
              </w:rPr>
            </w:pPr>
          </w:p>
        </w:tc>
        <w:tc>
          <w:tcPr>
            <w:tcW w:w="1680" w:type="dxa"/>
            <w:vAlign w:val="bottom"/>
          </w:tcPr>
          <w:p>
            <w:pPr>
              <w:jc w:val="right"/>
              <w:ind w:right="351"/>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1,844,821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1,806,958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209,530</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2,037,317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2,016,488</w:t>
            </w:r>
          </w:p>
        </w:tc>
      </w:tr>
      <w:tr>
        <w:trPr>
          <w:trHeight w:val="311"/>
        </w:trPr>
        <w:tc>
          <w:tcPr>
            <w:tcW w:w="7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564,761</w:t>
            </w:r>
          </w:p>
        </w:tc>
      </w:tr>
      <w:tr>
        <w:trPr>
          <w:trHeight w:val="243"/>
        </w:trPr>
        <w:tc>
          <w:tcPr>
            <w:tcW w:w="7200" w:type="dxa"/>
            <w:vAlign w:val="bottom"/>
          </w:tcPr>
          <w:p>
            <w:pPr>
              <w:ind w:left="20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16,004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20,243</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585,004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124,567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117,684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27,967</w:t>
            </w:r>
          </w:p>
        </w:tc>
      </w:tr>
      <w:tr>
        <w:trPr>
          <w:trHeight w:val="243"/>
        </w:trPr>
        <w:tc>
          <w:tcPr>
            <w:tcW w:w="7200" w:type="dxa"/>
            <w:vAlign w:val="bottom"/>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Long-lived asset impairment charges (see </w:t>
            </w:r>
            <w:hyperlink w:anchor="page15">
              <w:r>
                <w:rPr>
                  <w:rFonts w:ascii="Arial" w:cs="Arial" w:eastAsia="Arial" w:hAnsi="Arial"/>
                  <w:sz w:val="18"/>
                  <w:szCs w:val="18"/>
                  <w:u w:val="single" w:color="auto"/>
                  <w:color w:val="0000EE"/>
                </w:rPr>
                <w:t>Note 6</w:t>
              </w:r>
            </w:hyperlink>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Costs associated with business realignment activities (see </w:t>
            </w:r>
            <w:hyperlink w:anchor="page20">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438,869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11">
              <w:r>
                <w:rPr>
                  <w:rFonts w:ascii="Arial" w:cs="Arial" w:eastAsia="Arial" w:hAnsi="Arial"/>
                  <w:sz w:val="18"/>
                  <w:szCs w:val="18"/>
                  <w:u w:val="single" w:color="auto"/>
                  <w:color w:val="0000EE"/>
                </w:rPr>
                <w:t>Note 4</w:t>
              </w:r>
            </w:hyperlink>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37,458</w:t>
            </w:r>
          </w:p>
        </w:tc>
      </w:tr>
      <w:tr>
        <w:trPr>
          <w:trHeight w:val="243"/>
        </w:trPr>
        <w:tc>
          <w:tcPr>
            <w:tcW w:w="7200" w:type="dxa"/>
            <w:vAlign w:val="bottom"/>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28">
              <w:r>
                <w:rPr>
                  <w:rFonts w:ascii="Arial" w:cs="Arial" w:eastAsia="Arial" w:hAnsi="Arial"/>
                  <w:sz w:val="18"/>
                  <w:szCs w:val="18"/>
                  <w:u w:val="single" w:color="auto"/>
                  <w:color w:val="0000EE"/>
                </w:rPr>
                <w:t>Note 18</w:t>
              </w:r>
            </w:hyperlink>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11,533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5,477</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395,934</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16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3"/>
          </w:tcPr>
          <w:p>
            <w:pPr>
              <w:jc w:val="right"/>
              <w:ind w:right="11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334"/>
              <w:spacing w:after="0"/>
              <w:rPr>
                <w:sz w:val="20"/>
                <w:szCs w:val="20"/>
                <w:color w:val="auto"/>
              </w:rPr>
            </w:pPr>
            <w:r>
              <w:rPr>
                <w:rFonts w:ascii="Arial" w:cs="Arial" w:eastAsia="Arial" w:hAnsi="Arial"/>
                <w:sz w:val="16"/>
                <w:szCs w:val="16"/>
                <w:b w:val="1"/>
                <w:bCs w:val="1"/>
                <w:color w:val="auto"/>
              </w:rPr>
              <w:t>March 29, 2020</w:t>
            </w:r>
          </w:p>
        </w:tc>
        <w:tc>
          <w:tcPr>
            <w:tcW w:w="360" w:type="dxa"/>
            <w:vAlign w:val="bottom"/>
          </w:tcPr>
          <w:p>
            <w:pPr>
              <w:spacing w:after="0"/>
              <w:rPr>
                <w:sz w:val="20"/>
                <w:szCs w:val="20"/>
                <w:color w:val="auto"/>
              </w:rPr>
            </w:pPr>
          </w:p>
        </w:tc>
        <w:tc>
          <w:tcPr>
            <w:tcW w:w="164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losses on mark-to-market valuation of commodity derivative positions recognized in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77,092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w w:val="97"/>
              </w:rPr>
              <w:t>Net gains on commodity derivative positions reclassified from unallocated to segment income</w:t>
            </w:r>
          </w:p>
        </w:tc>
        <w:tc>
          <w:tcPr>
            <w:tcW w:w="28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4,662</w:t>
            </w:r>
          </w:p>
        </w:tc>
        <w:tc>
          <w:tcPr>
            <w:tcW w:w="3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on mark-to-market valuation of commodity derivative positions recognized in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81,754</w:t>
            </w:r>
          </w:p>
        </w:tc>
        <w:tc>
          <w:tcPr>
            <w:tcW w:w="3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27,967</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derivative (gains) losses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March 29, 2020, the cumulative amount of mark-to-market losses on commodity derivatives that have been recognized in our consolidated cost of sales and not yet allocated to reportable segments was $12,788. Based on our forecasts of the timing of the recognition of the underlying hedged items, we expect to reclassify net pretax gains on commodity derivatives of $1,644 to segment operating results in the next twelve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25</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7"/>
          </w:tcPr>
          <w:p>
            <w:pPr>
              <w:jc w:val="right"/>
              <w:ind w:right="12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29, 2020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53,702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53,945</w:t>
            </w: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International and Other</w:t>
            </w:r>
          </w:p>
        </w:tc>
        <w:tc>
          <w:tcPr>
            <w:tcW w:w="18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8"/>
                <w:szCs w:val="18"/>
                <w:color w:val="auto"/>
              </w:rPr>
              <w:t>7,209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9,713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11,034</w:t>
            </w:r>
          </w:p>
        </w:tc>
        <w:tc>
          <w:tcPr>
            <w:tcW w:w="0" w:type="dxa"/>
            <w:vAlign w:val="bottom"/>
          </w:tcPr>
          <w:p>
            <w:pPr>
              <w:spacing w:after="0"/>
              <w:rPr>
                <w:sz w:val="1"/>
                <w:szCs w:val="1"/>
                <w:color w:val="auto"/>
              </w:rPr>
            </w:pP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70,624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72,329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14. TREASURY STOCK ACTIVITY</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gridSpan w:val="2"/>
          </w:tcPr>
          <w:p>
            <w:pPr>
              <w:spacing w:after="0"/>
              <w:rPr>
                <w:sz w:val="20"/>
                <w:szCs w:val="20"/>
                <w:color w:val="auto"/>
              </w:rPr>
            </w:pPr>
            <w:r>
              <w:rPr>
                <w:rFonts w:ascii="Arial" w:cs="Arial" w:eastAsia="Arial" w:hAnsi="Arial"/>
                <w:sz w:val="18"/>
                <w:szCs w:val="18"/>
                <w:color w:val="auto"/>
              </w:rPr>
              <w:t>A summary of our treasury stock activity is as follows: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7"/>
          </w:tcPr>
          <w:p>
            <w:pPr>
              <w:jc w:val="right"/>
              <w:ind w:right="1020"/>
              <w:spacing w:after="0"/>
              <w:rPr>
                <w:sz w:val="20"/>
                <w:szCs w:val="20"/>
                <w:color w:val="auto"/>
              </w:rPr>
            </w:pPr>
            <w:r>
              <w:rPr>
                <w:rFonts w:ascii="Arial" w:cs="Arial" w:eastAsia="Arial" w:hAnsi="Arial"/>
                <w:sz w:val="16"/>
                <w:szCs w:val="16"/>
                <w:b w:val="1"/>
                <w:bCs w:val="1"/>
                <w:color w:val="auto"/>
                <w:w w:val="97"/>
              </w:rPr>
              <w:t>Three Months Ended March 29, 2020</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rPr>
              <w:t>Dollars</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w w:val="94"/>
              </w:rPr>
              <w:t>In thousands</w:t>
            </w:r>
          </w:p>
        </w:tc>
        <w:tc>
          <w:tcPr>
            <w:tcW w:w="0" w:type="dxa"/>
            <w:vAlign w:val="bottom"/>
          </w:tcPr>
          <w:p>
            <w:pPr>
              <w:spacing w:after="0"/>
              <w:rPr>
                <w:sz w:val="1"/>
                <w:szCs w:val="1"/>
                <w:color w:val="auto"/>
              </w:rPr>
            </w:pPr>
          </w:p>
        </w:tc>
      </w:tr>
      <w:tr>
        <w:trPr>
          <w:trHeight w:val="46"/>
        </w:trPr>
        <w:tc>
          <w:tcPr>
            <w:tcW w:w="6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repurchased in the open market under pre-approved share repurchase programs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951,138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Shares repurchased to replace Treasury Stock issued for stock options and incentive</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19,176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1,101,138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169,176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Shares issued for stock options and incentive compensation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667,403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151,128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380"/>
        <w:spacing w:after="0" w:line="257" w:lineRule="auto"/>
        <w:rPr>
          <w:sz w:val="20"/>
          <w:szCs w:val="20"/>
          <w:color w:val="auto"/>
        </w:rPr>
      </w:pPr>
      <w:r>
        <w:rPr>
          <w:rFonts w:ascii="Arial" w:cs="Arial" w:eastAsia="Arial" w:hAnsi="Arial"/>
          <w:sz w:val="18"/>
          <w:szCs w:val="18"/>
          <w:color w:val="auto"/>
        </w:rPr>
        <w:t>In July 2018, our Board of Directors approved a $500,000 share repurchase authorization to repurchase shares of our Common Stock. As of March 29, 2020, $260,000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currently own a 50% controlling interest in LSFC, a joint venture established in 2007 in China for the purpose of manufacturing and selling product to the joint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2020 activity relating to the noncontrolling interest follows:</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934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Noncontrolling Interest</w:t>
            </w:r>
          </w:p>
        </w:tc>
      </w:tr>
      <w:tr>
        <w:trPr>
          <w:trHeight w:val="27"/>
        </w:trPr>
        <w:tc>
          <w:tcPr>
            <w:tcW w:w="93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7"/>
        </w:trPr>
        <w:tc>
          <w:tcPr>
            <w:tcW w:w="9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 foreign currency translation adjustments</w:t>
            </w:r>
          </w:p>
        </w:tc>
        <w:tc>
          <w:tcPr>
            <w:tcW w:w="7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9340" w:type="dxa"/>
            <w:vAlign w:val="bottom"/>
          </w:tcPr>
          <w:p>
            <w:pPr>
              <w:ind w:left="40"/>
              <w:spacing w:after="0"/>
              <w:rPr>
                <w:sz w:val="20"/>
                <w:szCs w:val="20"/>
                <w:color w:val="auto"/>
              </w:rPr>
            </w:pPr>
            <w:r>
              <w:rPr>
                <w:rFonts w:ascii="Arial" w:cs="Arial" w:eastAsia="Arial" w:hAnsi="Arial"/>
                <w:sz w:val="18"/>
                <w:szCs w:val="18"/>
                <w:color w:val="auto"/>
              </w:rPr>
              <w:t>Balance, March 29, 2020</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3,310</w:t>
            </w:r>
          </w:p>
        </w:tc>
      </w:tr>
      <w:tr>
        <w:trPr>
          <w:trHeight w:val="20"/>
        </w:trPr>
        <w:tc>
          <w:tcPr>
            <w:tcW w:w="9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rFonts w:ascii="Arial" w:cs="Arial" w:eastAsia="Arial" w:hAnsi="Arial"/>
          <w:sz w:val="18"/>
          <w:szCs w:val="18"/>
          <w:color w:val="0000EE"/>
        </w:rPr>
      </w:pPr>
      <w:r>
        <w:rPr>
          <w:rFonts w:ascii="Arial" w:cs="Arial" w:eastAsia="Arial" w:hAnsi="Arial"/>
          <w:sz w:val="18"/>
          <w:szCs w:val="18"/>
          <w:color w:val="auto"/>
        </w:rPr>
        <w:t xml:space="preserve">The 2020 net loss attributable to the noncontrolling interest reflects the 50% allocation of LSFC-related business realignment and impairment costs (see </w:t>
      </w:r>
      <w:hyperlink w:anchor="page20">
        <w:r>
          <w:rPr>
            <w:rFonts w:ascii="Arial" w:cs="Arial" w:eastAsia="Arial" w:hAnsi="Arial"/>
            <w:sz w:val="18"/>
            <w:szCs w:val="18"/>
            <w:u w:val="single" w:color="auto"/>
            <w:color w:val="0000EE"/>
          </w:rPr>
          <w:t>Note 9</w:t>
        </w:r>
      </w:hyperlink>
      <w:r>
        <w:rPr>
          <w:rFonts w:ascii="Arial" w:cs="Arial" w:eastAsia="Arial" w:hAnsi="Arial"/>
          <w:sz w:val="18"/>
          <w:szCs w:val="18"/>
          <w:color w:val="000000"/>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26</w:t>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r>
      <w:tr>
        <w:trPr>
          <w:trHeight w:val="231"/>
        </w:trPr>
        <w:tc>
          <w:tcPr>
            <w:tcW w:w="6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29, 2020</w:t>
            </w:r>
          </w:p>
        </w:tc>
        <w:tc>
          <w:tcPr>
            <w:tcW w:w="160" w:type="dxa"/>
            <w:vAlign w:val="bottom"/>
          </w:tcPr>
          <w:p>
            <w:pPr>
              <w:spacing w:after="0"/>
              <w:rPr>
                <w:sz w:val="20"/>
                <w:szCs w:val="20"/>
                <w:color w:val="auto"/>
              </w:rPr>
            </w:pPr>
          </w:p>
        </w:tc>
        <w:tc>
          <w:tcPr>
            <w:tcW w:w="21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Class B</w:t>
            </w:r>
          </w:p>
        </w:tc>
      </w:tr>
      <w:tr>
        <w:trPr>
          <w:trHeight w:val="203"/>
        </w:trPr>
        <w:tc>
          <w:tcPr>
            <w:tcW w:w="6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Class B</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642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Stock</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 paid)</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39,763</w:t>
            </w: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Allocation of undistributed earnings</w:t>
            </w:r>
          </w:p>
        </w:tc>
        <w:tc>
          <w:tcPr>
            <w:tcW w:w="3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82,654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30,680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115,223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42,672</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197,906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82,435</w:t>
            </w:r>
          </w:p>
        </w:tc>
      </w:tr>
      <w:tr>
        <w:trPr>
          <w:trHeight w:val="189"/>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Total weighted-average shares—basic</w:t>
            </w:r>
          </w:p>
        </w:tc>
        <w:tc>
          <w:tcPr>
            <w:tcW w:w="3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148,298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60,614</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6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90"/>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Share—basic</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r>
      <w:tr>
        <w:trPr>
          <w:trHeight w:val="176"/>
        </w:trPr>
        <w:tc>
          <w:tcPr>
            <w:tcW w:w="6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Allocation of total earnings used in basic computation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197,906</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221,923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82,435</w:t>
            </w: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6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Common stock</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73,231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82,435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3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271,137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304,358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82,226</w:t>
            </w:r>
          </w:p>
        </w:tc>
      </w:tr>
      <w:tr>
        <w:trPr>
          <w:trHeight w:val="189"/>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3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148,298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60,614</w:t>
            </w: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Conversion of Class B common stock to Common shares outstanding</w:t>
            </w:r>
          </w:p>
        </w:tc>
        <w:tc>
          <w:tcPr>
            <w:tcW w:w="3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3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210,147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60,614</w:t>
            </w:r>
          </w:p>
        </w:tc>
      </w:tr>
      <w:tr>
        <w:trPr>
          <w:trHeight w:val="189"/>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earnings per share calculations for the three months ended March 29, 2020 and March 31, 2019 excluded 15 and 1,476 stock options (in thousands), respectively, that would have been antidilutive.</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Hershey Company | Q1 2020 Form 10-Q | Page 27</w:t>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gridSpan w:val="4"/>
          </w:tcPr>
          <w:p>
            <w:pPr>
              <w:jc w:val="right"/>
              <w:ind w:right="13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29, 2020</w:t>
            </w:r>
          </w:p>
        </w:tc>
        <w:tc>
          <w:tcPr>
            <w:tcW w:w="340" w:type="dxa"/>
            <w:vAlign w:val="bottom"/>
          </w:tcPr>
          <w:p>
            <w:pPr>
              <w:spacing w:after="0"/>
              <w:rPr>
                <w:sz w:val="20"/>
                <w:szCs w:val="20"/>
                <w:color w:val="auto"/>
              </w:rPr>
            </w:pPr>
          </w:p>
        </w:tc>
        <w:tc>
          <w:tcPr>
            <w:tcW w:w="1800" w:type="dxa"/>
            <w:vAlign w:val="bottom"/>
          </w:tcPr>
          <w:p>
            <w:pPr>
              <w:jc w:val="right"/>
              <w:ind w:right="452"/>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rFonts w:ascii="Arial" w:cs="Arial" w:eastAsia="Arial" w:hAnsi="Arial"/>
                <w:sz w:val="18"/>
                <w:szCs w:val="18"/>
                <w:color w:val="auto"/>
                <w:w w:val="97"/>
              </w:rPr>
            </w:pPr>
            <w:r>
              <w:rPr>
                <w:rFonts w:ascii="Arial" w:cs="Arial" w:eastAsia="Arial" w:hAnsi="Arial"/>
                <w:sz w:val="18"/>
                <w:szCs w:val="18"/>
                <w:color w:val="auto"/>
                <w:w w:val="97"/>
              </w:rPr>
              <w:t xml:space="preserve">Write-down of equity investments in partnerships qualifying for tax credits (see </w:t>
            </w:r>
            <w:hyperlink w:anchor="page21">
              <w:r>
                <w:rPr>
                  <w:rFonts w:ascii="Arial" w:cs="Arial" w:eastAsia="Arial" w:hAnsi="Arial"/>
                  <w:sz w:val="18"/>
                  <w:szCs w:val="18"/>
                  <w:u w:val="single" w:color="auto"/>
                  <w:color w:val="0000EE"/>
                  <w:w w:val="97"/>
                </w:rPr>
                <w:t>Note 10</w:t>
              </w:r>
            </w:hyperlink>
            <w:r>
              <w:rPr>
                <w:rFonts w:ascii="Arial" w:cs="Arial" w:eastAsia="Arial" w:hAnsi="Arial"/>
                <w:sz w:val="18"/>
                <w:szCs w:val="18"/>
                <w:color w:val="auto"/>
                <w:w w:val="97"/>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w w:val="93"/>
              </w:rPr>
              <w:t>Non-service cost components of net periodic benefit cost relating to pension and other post-</w:t>
            </w: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60" w:type="dxa"/>
            <w:vAlign w:val="bottom"/>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retirement benefit plans (see </w:t>
            </w:r>
            <w:hyperlink w:anchor="page22">
              <w:r>
                <w:rPr>
                  <w:rFonts w:ascii="Arial" w:cs="Arial" w:eastAsia="Arial" w:hAnsi="Arial"/>
                  <w:sz w:val="18"/>
                  <w:szCs w:val="18"/>
                  <w:u w:val="single" w:color="auto"/>
                  <w:color w:val="0000EE"/>
                </w:rPr>
                <w:t>Note 11</w:t>
              </w:r>
            </w:hyperlink>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4,337</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11,533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5,477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28</w:t>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29, 2020</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Raw materials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324,674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271,125</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98,842</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Finished goods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564,906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614,698</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1,007,398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984,665</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Adjustment to LIFO</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(175,205)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(169,414)</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832,193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815,251</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6"/>
        </w:trPr>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48,725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84,058</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156,022</w:t>
            </w:r>
          </w:p>
        </w:tc>
      </w:tr>
      <w:tr>
        <w:trPr>
          <w:trHeight w:val="283"/>
        </w:trPr>
        <w:tc>
          <w:tcPr>
            <w:tcW w:w="7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prepaid expenses and other</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222,125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240,080</w:t>
            </w:r>
          </w:p>
        </w:tc>
      </w:tr>
      <w:tr>
        <w:trPr>
          <w:trHeight w:val="176"/>
        </w:trPr>
        <w:tc>
          <w:tcPr>
            <w:tcW w:w="7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105,627</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Buildings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1,294,121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1,298,985</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3,134,201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3,120,003</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214,005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209,788</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gross</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4,748,656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4,734,403</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Accumulated depreciation</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(2,598,439)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(2,581,264)</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2,150,217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2,153,139</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6"/>
        </w:trPr>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Capitalized software, net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162,974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153,842</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ROU assets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220,678</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141,653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137,480</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523,913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512,000</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6"/>
        </w:trPr>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Payroll, compensation and benefits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128,442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230,518</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279,440</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27,810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29,209</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163,205</w:t>
            </w:r>
          </w:p>
        </w:tc>
      </w:tr>
      <w:tr>
        <w:trPr>
          <w:trHeight w:val="284"/>
        </w:trPr>
        <w:tc>
          <w:tcPr>
            <w:tcW w:w="7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accrued liabilities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673,285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702,372</w:t>
            </w:r>
          </w:p>
        </w:tc>
      </w:tr>
      <w:tr>
        <w:trPr>
          <w:trHeight w:val="176"/>
        </w:trPr>
        <w:tc>
          <w:tcPr>
            <w:tcW w:w="7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211,206</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Pension benefits liabilities</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56,517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58,773</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184,163</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189,041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201,635</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long-term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637,533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655,777</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76"/>
        </w:trPr>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(134,940)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(83,704)</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(189,187)</w:t>
            </w:r>
          </w:p>
        </w:tc>
      </w:tr>
      <w:tr>
        <w:trPr>
          <w:trHeight w:val="237"/>
        </w:trPr>
        <w:tc>
          <w:tcPr>
            <w:tcW w:w="7160" w:type="dxa"/>
            <w:vAlign w:val="bottom"/>
          </w:tcPr>
          <w:p>
            <w:pPr>
              <w:ind w:left="180"/>
              <w:spacing w:after="0"/>
              <w:rPr>
                <w:sz w:val="20"/>
                <w:szCs w:val="20"/>
                <w:color w:val="auto"/>
              </w:rPr>
            </w:pPr>
            <w:r>
              <w:rPr>
                <w:rFonts w:ascii="Arial" w:cs="Arial" w:eastAsia="Arial" w:hAnsi="Arial"/>
                <w:sz w:val="16"/>
                <w:szCs w:val="16"/>
                <w:color w:val="auto"/>
              </w:rPr>
              <w:t>Cash flow hedges, net of tax</w:t>
            </w:r>
          </w:p>
        </w:tc>
        <w:tc>
          <w:tcPr>
            <w:tcW w:w="3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(45,821)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(51,075)</w:t>
            </w:r>
          </w:p>
        </w:tc>
      </w:tr>
      <w:tr>
        <w:trPr>
          <w:trHeight w:val="33"/>
        </w:trPr>
        <w:tc>
          <w:tcPr>
            <w:tcW w:w="7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(323,966)</w:t>
            </w:r>
          </w:p>
        </w:tc>
      </w:tr>
      <w:tr>
        <w:trPr>
          <w:trHeight w:val="20"/>
        </w:trPr>
        <w:tc>
          <w:tcPr>
            <w:tcW w:w="7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Hershey Company | Q1 2020 Form 10-Q | Page 29</w:t>
      </w:r>
    </w:p>
    <w:p>
      <w:pPr>
        <w:sectPr>
          <w:pgSz w:w="11900" w:h="16838" w:orient="portrait"/>
          <w:cols w:equalWidth="0" w:num="1">
            <w:col w:w="11120"/>
          </w:cols>
          <w:pgMar w:left="320" w:top="121" w:right="459" w:bottom="421" w:gutter="0" w:footer="0" w:header="0"/>
        </w:sectPr>
      </w:pPr>
    </w:p>
    <w:bookmarkStart w:id="29" w:name="page30"/>
    <w:bookmarkEnd w:id="29"/>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2019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Overview</w:t>
        </w:r>
      </w:hyperlink>
    </w:p>
    <w:p>
      <w:pPr>
        <w:spacing w:after="0" w:line="6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Trends Affecting Our Business</w:t>
        </w:r>
      </w:hyperlink>
    </w:p>
    <w:p>
      <w:pPr>
        <w:spacing w:after="0" w:line="6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Consolidated Results of Operations</w:t>
        </w:r>
      </w:hyperlink>
    </w:p>
    <w:p>
      <w:pPr>
        <w:spacing w:after="0" w:line="6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Segment Results</w:t>
        </w:r>
      </w:hyperlink>
    </w:p>
    <w:p>
      <w:pPr>
        <w:spacing w:after="0" w:line="6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Liquidity and Capital Resources</w:t>
        </w:r>
      </w:hyperlink>
    </w:p>
    <w:p>
      <w:pPr>
        <w:spacing w:after="0" w:line="6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2"/>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Safe Harbor Statement</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rFonts w:ascii="Arial" w:cs="Arial" w:eastAsia="Arial" w:hAnsi="Arial"/>
          <w:sz w:val="18"/>
          <w:szCs w:val="18"/>
          <w:color w:val="auto"/>
        </w:rPr>
      </w:pPr>
    </w:p>
    <w:p>
      <w:pPr>
        <w:jc w:val="both"/>
        <w:ind w:right="180"/>
        <w:spacing w:after="0" w:line="311"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85 countries worldwide.</w:t>
      </w:r>
    </w:p>
    <w:p>
      <w:pPr>
        <w:spacing w:after="0" w:line="95"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snack items, such as ready-to-eat popcorn, baked and trans free snacks, spreads, meat snacks, bars and snack bites and mixes, protein bars and cookies; and pantry items such as baking ingredients, toppings and beverages.</w:t>
      </w:r>
    </w:p>
    <w:p>
      <w:pPr>
        <w:spacing w:after="0" w:line="20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rFonts w:ascii="Arial" w:cs="Arial" w:eastAsia="Arial" w:hAnsi="Arial"/>
          <w:sz w:val="18"/>
          <w:szCs w:val="18"/>
          <w:color w:val="auto"/>
        </w:rPr>
      </w:pPr>
    </w:p>
    <w:p>
      <w:pPr>
        <w:ind w:right="220"/>
        <w:spacing w:after="0" w:line="257" w:lineRule="auto"/>
        <w:rPr>
          <w:sz w:val="20"/>
          <w:szCs w:val="20"/>
          <w:color w:val="auto"/>
        </w:rPr>
      </w:pPr>
      <w:r>
        <w:rPr>
          <w:rFonts w:ascii="Arial" w:cs="Arial" w:eastAsia="Arial" w:hAnsi="Arial"/>
          <w:sz w:val="18"/>
          <w:szCs w:val="18"/>
          <w:color w:val="auto"/>
        </w:rPr>
        <w:t>On March 11, 2020, the World Health Organization designated the recent novel coronavirus ("COVID-19") as a global pandemic. COVID-19 was first detected in Wuhan City, Hubei Province, China and continued to spread, significantly impacting various markets around the world, including the United States. Various policies and initiatives have been implemented to reduce the global transmission of COVID-19, including reduced or eliminated food services, reduced travel, the closure of retailing establishments, the cancellation of major sporting and entertainment events, the promotion of social distancing and the adoption of remote working policies.</w:t>
      </w:r>
    </w:p>
    <w:p>
      <w:pPr>
        <w:spacing w:after="0" w:line="134" w:lineRule="exact"/>
        <w:rPr>
          <w:rFonts w:ascii="Arial" w:cs="Arial" w:eastAsia="Arial" w:hAnsi="Arial"/>
          <w:sz w:val="18"/>
          <w:szCs w:val="18"/>
          <w:color w:val="auto"/>
        </w:rPr>
      </w:pPr>
    </w:p>
    <w:p>
      <w:pPr>
        <w:ind w:right="40"/>
        <w:spacing w:after="0" w:line="273" w:lineRule="auto"/>
        <w:rPr>
          <w:sz w:val="20"/>
          <w:szCs w:val="20"/>
          <w:color w:val="auto"/>
        </w:rPr>
      </w:pPr>
      <w:r>
        <w:rPr>
          <w:rFonts w:ascii="Arial" w:cs="Arial" w:eastAsia="Arial" w:hAnsi="Arial"/>
          <w:sz w:val="17"/>
          <w:szCs w:val="17"/>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 person-to-person interaction and increasing safety measures. Additionally, the Company temporarily closed all Hershey’s Chocolate World stores in the United States (3 locations), Niagara Falls (Ontario) and Singapore.</w:t>
      </w:r>
    </w:p>
    <w:p>
      <w:pPr>
        <w:spacing w:after="0" w:line="124" w:lineRule="exact"/>
        <w:rPr>
          <w:rFonts w:ascii="Arial" w:cs="Arial" w:eastAsia="Arial" w:hAnsi="Arial"/>
          <w:sz w:val="18"/>
          <w:szCs w:val="18"/>
          <w:color w:val="auto"/>
        </w:rPr>
      </w:pPr>
    </w:p>
    <w:p>
      <w:pPr>
        <w:spacing w:after="0" w:line="257" w:lineRule="auto"/>
        <w:rPr>
          <w:sz w:val="20"/>
          <w:szCs w:val="20"/>
          <w:color w:val="auto"/>
        </w:rPr>
      </w:pPr>
      <w:r>
        <w:rPr>
          <w:rFonts w:ascii="Arial" w:cs="Arial" w:eastAsia="Arial" w:hAnsi="Arial"/>
          <w:sz w:val="18"/>
          <w:szCs w:val="18"/>
          <w:color w:val="auto"/>
        </w:rPr>
        <w:t>We have implemented other contingency plans, with office-based employees working remotely where possible. We have crisis management teams in place monitoring the rapidly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all of our business units, contract manufacturers, distributors, contractors and other external business partners.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6"/>
          <w:szCs w:val="16"/>
          <w:color w:val="auto"/>
        </w:rPr>
        <w:t>The Hershey Company | Q1 2020 Form 10-Q | Page 30</w:t>
      </w:r>
    </w:p>
    <w:p>
      <w:pPr>
        <w:sectPr>
          <w:pgSz w:w="11900" w:h="16838" w:orient="portrait"/>
          <w:cols w:equalWidth="0" w:num="1">
            <w:col w:w="11200"/>
          </w:cols>
          <w:pgMar w:left="320" w:top="796" w:right="379" w:bottom="1440" w:gutter="0" w:footer="0" w:header="0"/>
        </w:sectPr>
      </w:pPr>
    </w:p>
    <w:bookmarkStart w:id="30" w:name="page31"/>
    <w:bookmarkEnd w:id="30"/>
    <w:p>
      <w:pPr>
        <w:ind w:right="40"/>
        <w:spacing w:after="0" w:line="293"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 amid the COVID-19 pandemic. We plan to move forward with our new global enterprise resource planning (“ERP”) system implementation and supply chain capacity projects, as these investments are of strategic importance to our long-term growth. However, we did selectively pause certain aspects of the ERP system implementation due to resource constraints and challenges associated with the critical design phase during these uncertain times. We expect this to delay our overall ERP implementation by approximately one year.</w:t>
      </w:r>
    </w:p>
    <w:p>
      <w:pPr>
        <w:spacing w:after="0" w:line="11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three months ended March 29, 2020. We continue to monitor any effects that may result from the CARES Act.</w:t>
      </w:r>
    </w:p>
    <w:p>
      <w:pPr>
        <w:spacing w:after="0" w:line="133" w:lineRule="exact"/>
        <w:rPr>
          <w:sz w:val="20"/>
          <w:szCs w:val="20"/>
          <w:color w:val="auto"/>
        </w:rPr>
      </w:pPr>
    </w:p>
    <w:p>
      <w:pPr>
        <w:ind w:right="8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Further, the overall impact of COVID-19 on our consolidated results of operations for the three months ended March 29, 2020 was not material and primarily limited to our International and Other segment (see </w:t>
      </w:r>
      <w:hyperlink w:anchor="page33">
        <w:r>
          <w:rPr>
            <w:rFonts w:ascii="Arial" w:cs="Arial" w:eastAsia="Arial" w:hAnsi="Arial"/>
            <w:sz w:val="17"/>
            <w:szCs w:val="17"/>
            <w:u w:val="single" w:color="auto"/>
            <w:color w:val="0000EE"/>
          </w:rPr>
          <w:t>Segment Results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this MD&amp;A). However, the impact that COVID-19 will have on our consolidated results of operations throughout 2020 remains uncertain. We expect a decrease in our food service and world travel retail businesses as a result of known shelter-in-place restrictions. Based on the length and severity of COVID-19, we may experience continued volatility in retail foot traffic, consumer shopping and consumption behavior. We will continue to evaluate the nature and extent of these potential impacts to our business, consolidated results of operations, segment results, liquidity and capital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2020</w:t>
            </w:r>
          </w:p>
        </w:tc>
        <w:tc>
          <w:tcPr>
            <w:tcW w:w="17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20"/>
                <w:szCs w:val="20"/>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2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2,037.3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1,170.7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1,124.0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892.5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6"/>
                <w:szCs w:val="16"/>
                <w:i w:val="1"/>
                <w:iCs w:val="1"/>
                <w:color w:val="auto"/>
              </w:rPr>
              <w:t>Gross Margin</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42.5%</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44.3%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SM&amp;A Expense</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6"/>
                <w:szCs w:val="16"/>
                <w:i w:val="1"/>
                <w:iCs w:val="1"/>
                <w:color w:val="auto"/>
              </w:rPr>
              <w:t>SM&amp;A Expense as a percent of net sales</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23.3%</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22.5%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Long-Lived Asset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Business Realignment Costs</w:t>
            </w:r>
          </w:p>
        </w:tc>
        <w:tc>
          <w:tcPr>
            <w:tcW w:w="2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Profit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438.9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i w:val="1"/>
                <w:iCs w:val="1"/>
                <w:color w:val="auto"/>
              </w:rPr>
              <w:t>18.8%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21.8%</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110.6 %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19.8%</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23.2%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Net Income Including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Less: Net Loss Attributable to Noncontrolling Interest</w:t>
            </w:r>
          </w:p>
        </w:tc>
        <w:tc>
          <w:tcPr>
            <w:tcW w:w="28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393.5 %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Net Income Attributable to The Hershey Company</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Net Income Per Share—Diluted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31</w:t>
      </w:r>
    </w:p>
    <w:p>
      <w:pPr>
        <w:sectPr>
          <w:pgSz w:w="11900" w:h="16838" w:orient="portrait"/>
          <w:cols w:equalWidth="0" w:num="1">
            <w:col w:w="11240"/>
          </w:cols>
          <w:pgMar w:left="320" w:top="71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increased 1.0% in the first quarter of 2020 compared to the same period of 2019, reflecting a favorable price realization of 2.8% due to higher prices on certain products and a 0.8% benefit from the September 2019 acquisition of ONE Brands, LLC ("ONE Brands"). These increases were partially offset by a volume decrease of 2.3%, which was primarily elasticity-driven due to the aforementioned price increase, a shorter Easter season in 2020 versus 2019 and a decline in select international markets, as well as an unfavorable impact from foreign currency exchange rates of 0.3%. Excluding foreign currency, our first quarter of 2020 net sales increased 1.3%.</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For the first quarter of 2020, our total U.S. retail takeaway increased 5.0% in the expanded multi-outlet combined plus convenience store channels (IRI MULO + C-Stores), which includes candy, mint, gum, salty snacks, meat snacks and grocery items. Our U.S. candy, mint and gum ("CMG") consumer takeaway increased 4.9%, resulting in a CMG market share gain of approximately 76 basis points.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 of sales increased 4.2% in the first quarter of 2020 compared to the same period of 2019. The increase was driven by an incremental $50.4 million of mark-to-market losses on our commodity derivative instruments. These derivative instruments are intended to economically hedge future years' commodity purchases, however, were significantly impacted by financial market volatility during March 2020 amid COVID-19 fears. Additionally, the increase in cost of sales was attributed to higher freight and logistics costs, and additional plant costs. These drivers were partially offset by favorable supply chain productivity.</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Gross margin decreased by 180 basis points in in the first quarter of 2020 compared to the same period of 2019. The decrease was primarily due to unfavorable year-over-year mark-to-market impact from commodity derivative instruments, the higher freight and logistics costs and additional plant costs. These factors were partially offset by favorable price realization and supply chain productivity.</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Selling, marketing and administrative (“SM&amp;A”) expenses increased $21.8 million or 4.8% in the first quarter of 2020. Total advertising and related consumer marketing expenses increased 4.5% driven by advertising increases in North America. SM&amp;A expenses, excluding advertising and related consumer marketing, increased approximately 5.0% in the first quarter 2020 primarily due to compensation related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Long-Lived Asset Impairment Charges</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During the first quarter of 2020, we recorded the following impairment charges: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5"/>
        </w:trPr>
        <w:tc>
          <w:tcPr>
            <w:tcW w:w="26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50"/>
        </w:trPr>
        <w:tc>
          <w:tcPr>
            <w:tcW w:w="260" w:type="dxa"/>
            <w:vAlign w:val="bottom"/>
          </w:tcPr>
          <w:p>
            <w:pPr>
              <w:spacing w:after="0"/>
              <w:rPr>
                <w:sz w:val="21"/>
                <w:szCs w:val="21"/>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26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Other asset write-down (2)</w:t>
            </w:r>
          </w:p>
        </w:tc>
        <w:tc>
          <w:tcPr>
            <w:tcW w:w="9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260" w:type="dxa"/>
            <w:vAlign w:val="bottom"/>
          </w:tcPr>
          <w:p>
            <w:pPr>
              <w:spacing w:after="0"/>
              <w:rPr>
                <w:sz w:val="2"/>
                <w:szCs w:val="2"/>
                <w:color w:val="auto"/>
              </w:rPr>
            </w:pPr>
          </w:p>
        </w:tc>
        <w:tc>
          <w:tcPr>
            <w:tcW w:w="8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0"/>
        </w:trPr>
        <w:tc>
          <w:tcPr>
            <w:tcW w:w="2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40" w:hanging="330"/>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our disposal group classified as held for sale, during 2020, we recorded impairment charges to adjust long-lived asset values. The fair value of the disposal group was supported by potential sales prices with third-party buyers. We expect the sale of the disposal group to be completed during 2020.</w:t>
      </w:r>
    </w:p>
    <w:p>
      <w:pPr>
        <w:spacing w:after="0" w:line="21"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charges during the first quarter of 2019.</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32</w:t>
      </w:r>
    </w:p>
    <w:p>
      <w:pPr>
        <w:sectPr>
          <w:pgSz w:w="11900" w:h="16838" w:orient="portrait"/>
          <w:cols w:equalWidth="0" w:num="1">
            <w:col w:w="11240"/>
          </w:cols>
          <w:pgMar w:left="320" w:top="796"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14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In the first quarter of 2020 and 2019, we recorded business realignment costs of $0.8 million and $0.1 million, respectively. The costs related primarily to the Margin for Growth Program, which is discussed in more detail in </w:t>
      </w:r>
      <w:hyperlink w:anchor="page20">
        <w:r>
          <w:rPr>
            <w:rFonts w:ascii="Arial" w:cs="Arial" w:eastAsia="Arial" w:hAnsi="Arial"/>
            <w:sz w:val="17"/>
            <w:szCs w:val="17"/>
            <w:u w:val="single" w:color="auto"/>
            <w:color w:val="0000EE"/>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Operating profit decreased 12.8% in the first quarter of 2020 compared to the same period of 2019 due primarily to lower gross profit, higher SM&amp;A, and higher impairment charges, as noted above. Operating profit margin decreased to 18.8% in 2020 from 21.8% in 2019 driven by these same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interest expense was $1.2 million lower in the first quarter of 2020 compared to the same period of 2019. The decrease was due to a lower average short-term commercial paper debt balances in 2020 verses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expense, net totaled expense of $11.5 million in the first quarter of 2020 versus expense of $5.5 million in the first quarter of 2019. The increase in the net expense was primarily due to higher write-downs on equity investments qualifying for federal historic and energy tax credits; partially offset by lower non-service cost components of net periodic benefit cost relating to pension and other post-retirement benefit plans during 2020.</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effective income tax rate was 19.8% for the first quarter of 2020 compared with 23.2% for the first quarter of 2019. Relative to the 21% statutory rate, the 2020 effective tax rate was impacted by investment tax credits and the benefit of ASU 2016-09 for accounting of employee share-based payment, partially offset by state taxes.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decreased $33.2 million, or 10.9%, while EPS-diluted decreased $0.16, or 11.0%, in the first quarter of 2020 compared to the same period of 2019. The decrease in both net income and EPS-diluted was driven primarily by lower gross profit, higher SM&amp;A and higher impairment charges, partially offset by lower income taxes. Our 2020 EPS-diluted also benefited from lower weighted-average shares outstanding as a result of share repurchases pursuant to our Board-approved repurchase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Hershey Company | Q1 2020 Form 10-Q | Page 33</w:t>
      </w:r>
    </w:p>
    <w:p>
      <w:pPr>
        <w:sectPr>
          <w:pgSz w:w="11900" w:h="16838" w:orient="portrait"/>
          <w:cols w:equalWidth="0" w:num="1">
            <w:col w:w="11200"/>
          </w:cols>
          <w:pgMar w:left="320" w:top="796"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29, 2020</w:t>
            </w:r>
          </w:p>
        </w:tc>
        <w:tc>
          <w:tcPr>
            <w:tcW w:w="260" w:type="dxa"/>
            <w:vAlign w:val="bottom"/>
          </w:tcPr>
          <w:p>
            <w:pPr>
              <w:spacing w:after="0"/>
              <w:rPr>
                <w:sz w:val="20"/>
                <w:szCs w:val="20"/>
                <w:color w:val="auto"/>
              </w:rPr>
            </w:pPr>
          </w:p>
        </w:tc>
        <w:tc>
          <w:tcPr>
            <w:tcW w:w="1640" w:type="dxa"/>
            <w:vAlign w:val="bottom"/>
          </w:tcPr>
          <w:p>
            <w:pPr>
              <w:jc w:val="right"/>
              <w:ind w:right="331"/>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33"/>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3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1,844.8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1,807.0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2,037.3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Unallocated corporate expense (1)</w:t>
            </w: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mark-to-market losses on commodity derivatives (2)</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Long-lived asset impairment charges</w:t>
            </w: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right="260" w:hanging="332"/>
        <w:spacing w:after="0" w:line="286"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31" w:lineRule="exact"/>
        <w:rPr>
          <w:rFonts w:ascii="Arial" w:cs="Arial" w:eastAsia="Arial" w:hAnsi="Arial"/>
          <w:sz w:val="15"/>
          <w:szCs w:val="15"/>
          <w:color w:val="auto"/>
        </w:rPr>
      </w:pPr>
    </w:p>
    <w:p>
      <w:pPr>
        <w:ind w:left="340" w:right="560" w:hanging="332"/>
        <w:spacing w:after="0" w:line="27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Net losses (gains) losses on mark-to-market valuation of commodity derivative positions recognized in unallocated derivative losses (gains). See </w:t>
      </w:r>
      <w:hyperlink w:anchor="page24">
        <w:r>
          <w:rPr>
            <w:rFonts w:ascii="Arial" w:cs="Arial" w:eastAsia="Arial" w:hAnsi="Arial"/>
            <w:sz w:val="16"/>
            <w:szCs w:val="16"/>
            <w:u w:val="single" w:color="auto"/>
            <w:color w:val="0000EE"/>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Unaudited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90.6% and 89.6% of our net sales for the three months ended March 29, 2020 and March 31, 2019, respectively. North America results for the three months ended March 29, 2020 and March 31, 2019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right"/>
              <w:ind w:right="972"/>
              <w:spacing w:after="0"/>
              <w:rPr>
                <w:sz w:val="20"/>
                <w:szCs w:val="20"/>
                <w:color w:val="auto"/>
              </w:rPr>
            </w:pPr>
            <w:r>
              <w:rPr>
                <w:rFonts w:ascii="Arial" w:cs="Arial" w:eastAsia="Arial" w:hAnsi="Arial"/>
                <w:sz w:val="16"/>
                <w:szCs w:val="16"/>
                <w:b w:val="1"/>
                <w:bCs w:val="1"/>
                <w:color w:val="auto"/>
              </w:rPr>
              <w:t>Three Months Ended</w:t>
            </w:r>
          </w:p>
        </w:tc>
        <w:tc>
          <w:tcPr>
            <w:tcW w:w="1300" w:type="dxa"/>
            <w:vAlign w:val="bottom"/>
          </w:tcPr>
          <w:p>
            <w:pPr>
              <w:jc w:val="right"/>
              <w:ind w:right="255"/>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294"/>
              <w:spacing w:after="0"/>
              <w:rPr>
                <w:sz w:val="20"/>
                <w:szCs w:val="20"/>
                <w:color w:val="auto"/>
              </w:rPr>
            </w:pPr>
            <w:r>
              <w:rPr>
                <w:rFonts w:ascii="Arial" w:cs="Arial" w:eastAsia="Arial" w:hAnsi="Arial"/>
                <w:sz w:val="16"/>
                <w:szCs w:val="16"/>
                <w:b w:val="1"/>
                <w:bCs w:val="1"/>
                <w:color w:val="auto"/>
              </w:rPr>
              <w:t>March 29, 2020</w:t>
            </w:r>
          </w:p>
        </w:tc>
        <w:tc>
          <w:tcPr>
            <w:tcW w:w="300" w:type="dxa"/>
            <w:vAlign w:val="bottom"/>
          </w:tcPr>
          <w:p>
            <w:pPr>
              <w:spacing w:after="0"/>
              <w:rPr>
                <w:sz w:val="20"/>
                <w:szCs w:val="20"/>
                <w:color w:val="auto"/>
              </w:rPr>
            </w:pPr>
          </w:p>
        </w:tc>
        <w:tc>
          <w:tcPr>
            <w:tcW w:w="1520" w:type="dxa"/>
            <w:vAlign w:val="bottom"/>
          </w:tcPr>
          <w:p>
            <w:pPr>
              <w:jc w:val="right"/>
              <w:ind w:right="252"/>
              <w:spacing w:after="0"/>
              <w:rPr>
                <w:sz w:val="20"/>
                <w:szCs w:val="20"/>
                <w:color w:val="auto"/>
              </w:rPr>
            </w:pPr>
            <w:r>
              <w:rPr>
                <w:rFonts w:ascii="Arial" w:cs="Arial" w:eastAsia="Arial" w:hAnsi="Arial"/>
                <w:sz w:val="16"/>
                <w:szCs w:val="16"/>
                <w:b w:val="1"/>
                <w:bCs w:val="1"/>
                <w:color w:val="auto"/>
              </w:rPr>
              <w:t>March 31, 2019</w:t>
            </w:r>
          </w:p>
        </w:tc>
        <w:tc>
          <w:tcPr>
            <w:tcW w:w="1300" w:type="dxa"/>
            <w:vAlign w:val="bottom"/>
          </w:tcPr>
          <w:p>
            <w:pPr>
              <w:jc w:val="right"/>
              <w:ind w:right="23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1,844.8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1,807.0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581.6</w:t>
            </w:r>
          </w:p>
        </w:tc>
        <w:tc>
          <w:tcPr>
            <w:tcW w:w="3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564.8</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31.5%</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31.3%</w:t>
            </w: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2020 vs. First Quarter 2019</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sales of our North America segment increased $37.8 million or 2.1% in the first quarter of 2020 compared to the same period of 2019, reflecting a favorable price realization of 2.9% attributed to higher prices on certain products and a 0.9% benefit from the September 2019 acquisition of ONE Brands. These increases were partially offset by a volume decrease of 1.7%, which was primarily elasticity-driven due to the aforementioned price increases and a shorter Easter season in 2020 versus 2019. There was no foreign currency exchange rate impact during the period. Excluding the ONE Brands acquisition, our North America segment net sales increased 1.2%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34</w:t>
      </w:r>
    </w:p>
    <w:p>
      <w:pPr>
        <w:sectPr>
          <w:pgSz w:w="11900" w:h="16838" w:orient="portrait"/>
          <w:cols w:equalWidth="0" w:num="1">
            <w:col w:w="11240"/>
          </w:cols>
          <w:pgMar w:left="320" w:top="719" w:right="339" w:bottom="1440" w:gutter="0" w:footer="0" w:header="0"/>
        </w:sectPr>
      </w:pPr>
    </w:p>
    <w:bookmarkStart w:id="34" w:name="page35"/>
    <w:bookmarkEnd w:id="34"/>
    <w:p>
      <w:pPr>
        <w:ind w:right="340"/>
        <w:spacing w:after="0" w:line="277" w:lineRule="auto"/>
        <w:rPr>
          <w:sz w:val="20"/>
          <w:szCs w:val="20"/>
          <w:color w:val="auto"/>
        </w:rPr>
      </w:pPr>
      <w:r>
        <w:rPr>
          <w:rFonts w:ascii="Arial" w:cs="Arial" w:eastAsia="Arial" w:hAnsi="Arial"/>
          <w:sz w:val="18"/>
          <w:szCs w:val="18"/>
          <w:color w:val="auto"/>
        </w:rPr>
        <w:t>Our North America segment income increased $16.8 million or 3.0% in the first quarter of 2020 compared to the same period of 2019, primarily due to favorable price realization, partially offset by higher supply chain-related costs and unfavorable commodity costs.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9.4% and</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10.4% of our net sales for the three months ended March 29, 2020 and March 31, 2019, respectively. International and Other results for the three months ended March 29, 2020 and March 31, 2019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gridSpan w:val="3"/>
          </w:tcPr>
          <w:p>
            <w:pPr>
              <w:jc w:val="right"/>
              <w:ind w:right="972"/>
              <w:spacing w:after="0"/>
              <w:rPr>
                <w:sz w:val="20"/>
                <w:szCs w:val="20"/>
                <w:color w:val="auto"/>
              </w:rPr>
            </w:pPr>
            <w:r>
              <w:rPr>
                <w:rFonts w:ascii="Arial" w:cs="Arial" w:eastAsia="Arial" w:hAnsi="Arial"/>
                <w:sz w:val="16"/>
                <w:szCs w:val="16"/>
                <w:b w:val="1"/>
                <w:bCs w:val="1"/>
                <w:color w:val="auto"/>
              </w:rPr>
              <w:t>Three Months Ended</w:t>
            </w:r>
          </w:p>
        </w:tc>
        <w:tc>
          <w:tcPr>
            <w:tcW w:w="1340" w:type="dxa"/>
            <w:vAlign w:val="bottom"/>
          </w:tcPr>
          <w:p>
            <w:pPr>
              <w:jc w:val="right"/>
              <w:ind w:right="275"/>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294"/>
              <w:spacing w:after="0"/>
              <w:rPr>
                <w:sz w:val="20"/>
                <w:szCs w:val="20"/>
                <w:color w:val="auto"/>
              </w:rPr>
            </w:pPr>
            <w:r>
              <w:rPr>
                <w:rFonts w:ascii="Arial" w:cs="Arial" w:eastAsia="Arial" w:hAnsi="Arial"/>
                <w:sz w:val="16"/>
                <w:szCs w:val="16"/>
                <w:b w:val="1"/>
                <w:bCs w:val="1"/>
                <w:color w:val="auto"/>
              </w:rPr>
              <w:t>March 29, 2020</w:t>
            </w:r>
          </w:p>
        </w:tc>
        <w:tc>
          <w:tcPr>
            <w:tcW w:w="280" w:type="dxa"/>
            <w:vAlign w:val="bottom"/>
          </w:tcPr>
          <w:p>
            <w:pPr>
              <w:spacing w:after="0"/>
              <w:rPr>
                <w:sz w:val="20"/>
                <w:szCs w:val="20"/>
                <w:color w:val="auto"/>
              </w:rPr>
            </w:pPr>
          </w:p>
        </w:tc>
        <w:tc>
          <w:tcPr>
            <w:tcW w:w="1520" w:type="dxa"/>
            <w:vAlign w:val="bottom"/>
          </w:tcPr>
          <w:p>
            <w:pPr>
              <w:jc w:val="right"/>
              <w:ind w:right="252"/>
              <w:spacing w:after="0"/>
              <w:rPr>
                <w:sz w:val="20"/>
                <w:szCs w:val="20"/>
                <w:color w:val="auto"/>
              </w:rPr>
            </w:pPr>
            <w:r>
              <w:rPr>
                <w:rFonts w:ascii="Arial" w:cs="Arial" w:eastAsia="Arial" w:hAnsi="Arial"/>
                <w:sz w:val="16"/>
                <w:szCs w:val="16"/>
                <w:b w:val="1"/>
                <w:bCs w:val="1"/>
                <w:color w:val="auto"/>
              </w:rPr>
              <w:t>March 31, 2019</w:t>
            </w:r>
          </w:p>
        </w:tc>
        <w:tc>
          <w:tcPr>
            <w:tcW w:w="1340" w:type="dxa"/>
            <w:vAlign w:val="bottom"/>
          </w:tcPr>
          <w:p>
            <w:pPr>
              <w:jc w:val="right"/>
              <w:ind w:right="255"/>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6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209.5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20.2</w:t>
            </w:r>
          </w:p>
        </w:tc>
        <w:tc>
          <w:tcPr>
            <w:tcW w:w="134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9.6%</w:t>
            </w: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2020 vs. First Quarter 2019</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sales of our International and Other segment decreased $17.0 million or 8.1% in the first quarter of 2020 compared to the same period of 2019, reflecting a volume decrease of 7.2% and an unfavorable impact from foreign currency exchange rates of 2.3%, partially offset by a favorable price realization of 1.4%. Excluding the unfavorable foreign currency exchange rates, our International and Other segment net sales decreased 5.8%. The volume decrease was predominantly attributed to significant declines in our China business, as the Chinese government implemented a quarantine protocol for Wuhan and other major cities in its efforts to mitigate the spread of COVID-19 within the country. Other marketplaces such as India and AEMEA Markets also decreased 8.3% and 4.3%, respectively, due to volume, while Mexico and Brazil decreased 1.4% and 6.4%, respectively, due to an unfavorable impact from foreign currency exchange rates. The favorable net price realization was driven by decreased levels of trade promotional spending compared to the prior year.</w:t>
      </w:r>
    </w:p>
    <w:p>
      <w:pPr>
        <w:spacing w:after="0" w:line="19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Our International and Other segment also includes our licensing and world travel retail business. In March 2020, the Company temporarily closed all Hershey’s Chocolate World stores in the United States (3 locations), Niagara Falls (Ontario) and Singapore. This temporary closure did not have a significant impact on our first quarter of 2020 results.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and Other segment generated income of $16.0 million in the first quarter of 2020 compared to $20.2 million in the first quarter of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driven by the lower level of net sales associated with the COVID-19 disruption, particularly in China.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Unallocated corporate expense totaled $124.6 million in the first quarter of 2020 as compared to $117.7 million in the first quarter of 2019 primarily driven by compensation related expenses.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35</w:t>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5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At March 29, 2020, our cash and cash equivalents totaled $1.1 billion. At December 31, 2019, our cash and cash equivalents totaled $493.3 million. Our cash and cash equivalents during the first three months of 2020 increased $601.5 million compared to the 2019 year-end balance as a result of the net sources of cash outlined in the following discussion.</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Approximately 25% of the balance of our cash and cash equivalents at March 29, 2020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185"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37465</wp:posOffset>
            </wp:positionV>
            <wp:extent cx="2871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 millions of dollars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2300" w:val="left"/>
        </w:tabs>
        <w:rPr>
          <w:sz w:val="20"/>
          <w:szCs w:val="20"/>
          <w:color w:val="auto"/>
        </w:rPr>
      </w:pPr>
      <w:r>
        <w:rPr>
          <w:rFonts w:ascii="Arial" w:cs="Arial" w:eastAsia="Arial" w:hAnsi="Arial"/>
          <w:sz w:val="16"/>
          <w:szCs w:val="16"/>
          <w:b w:val="1"/>
          <w:bCs w:val="1"/>
          <w:color w:val="auto"/>
        </w:rPr>
        <w:t>March 29, 2020</w:t>
      </w:r>
      <w:r>
        <w:rPr>
          <w:sz w:val="20"/>
          <w:szCs w:val="20"/>
          <w:color w:val="auto"/>
        </w:rPr>
        <w:tab/>
      </w:r>
      <w:r>
        <w:rPr>
          <w:rFonts w:ascii="Arial" w:cs="Arial" w:eastAsia="Arial" w:hAnsi="Arial"/>
          <w:sz w:val="15"/>
          <w:szCs w:val="15"/>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37465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6560" w:space="720"/>
            <w:col w:w="3960"/>
          </w:cols>
          <w:pgMar w:left="320" w:top="796" w:right="3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Investing activities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111" w:lineRule="exact"/>
        <w:rPr>
          <w:sz w:val="20"/>
          <w:szCs w:val="20"/>
          <w:color w:val="auto"/>
        </w:rPr>
      </w:pPr>
    </w:p>
    <w:p>
      <w:pPr>
        <w:ind w:left="40"/>
        <w:spacing w:after="0"/>
        <w:rPr>
          <w:rFonts w:ascii="Arial" w:cs="Arial" w:eastAsia="Arial" w:hAnsi="Arial"/>
          <w:sz w:val="17"/>
          <w:szCs w:val="17"/>
          <w:color w:val="auto"/>
        </w:rPr>
      </w:pPr>
      <w:r>
        <w:rPr>
          <w:rFonts w:ascii="Arial" w:cs="Arial" w:eastAsia="Arial" w:hAnsi="Arial"/>
          <w:sz w:val="17"/>
          <w:szCs w:val="17"/>
          <w:color w:val="auto"/>
        </w:rPr>
        <w:t xml:space="preserve">Less: Cash classified as assets held for sale (see </w:t>
      </w:r>
      <w:hyperlink w:anchor="page20">
        <w:r>
          <w:rPr>
            <w:rFonts w:ascii="Arial" w:cs="Arial" w:eastAsia="Arial" w:hAnsi="Arial"/>
            <w:sz w:val="17"/>
            <w:szCs w:val="17"/>
            <w:u w:val="single" w:color="auto"/>
            <w:color w:val="0000EE"/>
          </w:rPr>
          <w:t>Note 8</w:t>
        </w:r>
      </w:hyperlink>
      <w:r>
        <w:rPr>
          <w:rFonts w:ascii="Arial" w:cs="Arial" w:eastAsia="Arial" w:hAnsi="Arial"/>
          <w:sz w:val="17"/>
          <w:szCs w:val="17"/>
          <w:color w:val="auto"/>
        </w:rPr>
        <w: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ind w:left="100"/>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40640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(110.7)</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495.6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40640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40640</wp:posOffset>
            </wp:positionV>
            <wp:extent cx="713232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0"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57785</wp:posOffset>
            </wp:positionV>
            <wp:extent cx="1405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329.9</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(111.6)</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(341.1)</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64770</wp:posOffset>
            </wp:positionV>
            <wp:extent cx="1397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3">
            <w:col w:w="6020" w:space="720"/>
            <w:col w:w="2140" w:space="180"/>
            <w:col w:w="2180"/>
          </w:cols>
          <w:pgMar w:left="320" w:top="796" w:right="3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We generated cash of $246.1 million for operating activities in the first three months of 2020, a decrease of $83.8 million compared to $329.9 million in the same period of 2019. This decrease in net cash provided by operating activities was mainly driven by the following factors:</w:t>
      </w:r>
    </w:p>
    <w:p>
      <w:pPr>
        <w:spacing w:after="0" w:line="116" w:lineRule="exact"/>
        <w:rPr>
          <w:sz w:val="20"/>
          <w:szCs w:val="20"/>
          <w:color w:val="auto"/>
        </w:rPr>
      </w:pPr>
    </w:p>
    <w:p>
      <w:pPr>
        <w:ind w:left="340" w:right="6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write-down of equity investments and other charges) resulted in $18.7 million of lower cash flow in 2020 relative to 2019.</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working capital (comprised of trade accounts receivable, inventory, accounts payable and accrued liabilities), consumed cash of $180.4 million in</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2020 and $109.2 million in 2019. This $71.2 million fluctuation was mainly driven by the following factors:</w:t>
      </w:r>
    </w:p>
    <w:p>
      <w:pPr>
        <w:spacing w:after="0" w:line="156" w:lineRule="exact"/>
        <w:rPr>
          <w:rFonts w:ascii="Arial" w:cs="Arial" w:eastAsia="Arial" w:hAnsi="Arial"/>
          <w:sz w:val="16"/>
          <w:szCs w:val="16"/>
          <w:color w:val="auto"/>
        </w:rPr>
      </w:pPr>
    </w:p>
    <w:p>
      <w:pPr>
        <w:ind w:left="980" w:right="22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$53.1 million increase in cash used by accounts receivable, primarily driven by an increase in sales of U.S. seasonal products, resulting in a higher investment in accounts receivable at the end of of the first quarter of 2020 compared to the same period of 2019.</w:t>
      </w:r>
    </w:p>
    <w:p>
      <w:pPr>
        <w:spacing w:after="0" w:line="92" w:lineRule="exact"/>
        <w:rPr>
          <w:rFonts w:ascii="Arial" w:cs="Arial" w:eastAsia="Arial" w:hAnsi="Arial"/>
          <w:sz w:val="17"/>
          <w:szCs w:val="17"/>
          <w:color w:val="auto"/>
        </w:rPr>
      </w:pPr>
    </w:p>
    <w:p>
      <w:pPr>
        <w:ind w:left="980" w:right="1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$21.5 million increase in cash used by inventories, due to a higher year-over-year build up of inventories to satisfy upcoming demand levels and seasonal core product requirements.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36</w:t>
      </w:r>
    </w:p>
    <w:p>
      <w:pPr>
        <w:sectPr>
          <w:pgSz w:w="11900" w:h="16838" w:orient="portrait"/>
          <w:cols w:equalWidth="0" w:num="1">
            <w:col w:w="11240"/>
          </w:cols>
          <w:pgMar w:left="320" w:top="79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used cash of $110.7 million for investing activities in the first three months of 2020, a decrease of $0.9 million compared to $111.6 million in the same period of 2019. This decrease in net cash used in investing activities was mainly driven by the following factors:</w:t>
      </w:r>
    </w:p>
    <w:p>
      <w:pPr>
        <w:spacing w:after="0" w:line="116" w:lineRule="exact"/>
        <w:rPr>
          <w:sz w:val="20"/>
          <w:szCs w:val="20"/>
          <w:color w:val="auto"/>
        </w:rPr>
      </w:pPr>
    </w:p>
    <w:p>
      <w:pPr>
        <w:ind w:left="340" w:right="180" w:hanging="332"/>
        <w:spacing w:after="0" w:line="279" w:lineRule="auto"/>
        <w:tabs>
          <w:tab w:leader="none" w:pos="3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were</w:t>
      </w:r>
      <w:r>
        <w:rPr>
          <w:rFonts w:ascii="Arial" w:cs="Arial" w:eastAsia="Arial" w:hAnsi="Arial"/>
          <w:sz w:val="17"/>
          <w:szCs w:val="17"/>
          <w:i w:val="1"/>
          <w:iCs w:val="1"/>
          <w:color w:val="auto"/>
        </w:rPr>
        <w:t xml:space="preserve"> </w:t>
      </w:r>
      <w:r>
        <w:rPr>
          <w:rFonts w:ascii="Arial" w:cs="Arial" w:eastAsia="Arial" w:hAnsi="Arial"/>
          <w:sz w:val="17"/>
          <w:szCs w:val="17"/>
          <w:color w:val="auto"/>
        </w:rPr>
        <w:t>$99.2 million in the first three months of 2020 compared to $92.8 million in the same period of 2019. For full year 2020, we now expect capital expenditures, including capitalized software, to approximate $400 million to $450 million, a reduction from our previously announced range of $475 million to $525 million, as we evaluate and re-prioritize our capital projects amid the COVID-19 pandemic.</w:t>
      </w:r>
    </w:p>
    <w:p>
      <w:pPr>
        <w:spacing w:after="0" w:line="117" w:lineRule="exact"/>
        <w:rPr>
          <w:rFonts w:ascii="Arial" w:cs="Arial" w:eastAsia="Arial" w:hAnsi="Arial"/>
          <w:sz w:val="17"/>
          <w:szCs w:val="17"/>
          <w:i w:val="1"/>
          <w:iCs w:val="1"/>
          <w:color w:val="auto"/>
        </w:rPr>
      </w:pPr>
    </w:p>
    <w:p>
      <w:pPr>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$11.5 million in the first three months of 2020, compared to $18.9 million in the same period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We generated cash of $495.6 million for financing activities in the first three months of 2020, an increase of $836.7 million compared to cash used of $341.1 million in the same period of 2019. This increase in net cash provided by financing activities was mainly driven by the following factors:</w:t>
      </w:r>
    </w:p>
    <w:p>
      <w:pPr>
        <w:spacing w:after="0" w:line="70" w:lineRule="exact"/>
        <w:rPr>
          <w:sz w:val="20"/>
          <w:szCs w:val="20"/>
          <w:color w:val="auto"/>
        </w:rPr>
      </w:pPr>
    </w:p>
    <w:p>
      <w:pPr>
        <w:ind w:left="340" w:right="240" w:hanging="332"/>
        <w:spacing w:after="0" w:line="257"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During the first three months of 2020, we generated cash flow of $807.3 million predominantly through the issuance of short-term commercial paper, as well as a minor increase in short-term foreign bank borrowings. During the first three months of 2019, we had a net reduction in short-term borrowings of $29.0 million primarily due to repayments on commercial paper, partially offset by increases in short-term foreign bank borrowings.</w:t>
      </w:r>
    </w:p>
    <w:p>
      <w:pPr>
        <w:spacing w:after="0" w:line="133" w:lineRule="exact"/>
        <w:rPr>
          <w:rFonts w:ascii="Arial" w:cs="Arial" w:eastAsia="Arial" w:hAnsi="Arial"/>
          <w:sz w:val="18"/>
          <w:szCs w:val="18"/>
          <w:i w:val="1"/>
          <w:iCs w:val="1"/>
          <w:color w:val="auto"/>
        </w:rPr>
      </w:pPr>
    </w:p>
    <w:p>
      <w:pPr>
        <w:ind w:left="340" w:right="140" w:hanging="332"/>
        <w:spacing w:after="0" w:line="277"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three months of 2020 and 2019, our long-term debt borrowings and repayments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were minimal.</w:t>
      </w:r>
    </w:p>
    <w:p>
      <w:pPr>
        <w:spacing w:after="0" w:line="116" w:lineRule="exact"/>
        <w:rPr>
          <w:sz w:val="20"/>
          <w:szCs w:val="20"/>
          <w:color w:val="auto"/>
        </w:rPr>
      </w:pPr>
    </w:p>
    <w:p>
      <w:pPr>
        <w:ind w:left="340" w:right="180" w:hanging="323"/>
        <w:spacing w:after="0" w:line="263" w:lineRule="auto"/>
        <w:rPr>
          <w:sz w:val="20"/>
          <w:szCs w:val="20"/>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$157.8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2020, an increase of $11.3 million compared to $146.5 million in the same period of 2019. Details regarding our 2020 cash dividends paid to shareholders are as follows: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March 29, 2020</w:t>
            </w:r>
          </w:p>
        </w:tc>
      </w:tr>
      <w:tr>
        <w:trPr>
          <w:trHeight w:val="249"/>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0.773</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0.702</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157.8</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Declaration date</w:t>
            </w:r>
          </w:p>
        </w:tc>
        <w:tc>
          <w:tcPr>
            <w:tcW w:w="34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January 28, 2020</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February 21, 2020</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Payment date</w:t>
            </w:r>
          </w:p>
        </w:tc>
        <w:tc>
          <w:tcPr>
            <w:tcW w:w="34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March 16, 2020</w:t>
            </w:r>
          </w:p>
        </w:tc>
      </w:tr>
    </w:tbl>
    <w:p>
      <w:pPr>
        <w:spacing w:after="0" w:line="175" w:lineRule="exact"/>
        <w:rPr>
          <w:sz w:val="20"/>
          <w:szCs w:val="20"/>
          <w:color w:val="auto"/>
        </w:rPr>
      </w:pPr>
    </w:p>
    <w:p>
      <w:pPr>
        <w:ind w:left="340" w:right="180" w:hanging="332"/>
        <w:spacing w:after="0" w:line="263"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$169.2 million and $198.5 million during the first three months of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shares issued for stock options and incentive compensation, as well as shares repurchased in the open market under pre-approved share repurchase programs.</w:t>
      </w:r>
    </w:p>
    <w:p>
      <w:pPr>
        <w:spacing w:after="0" w:line="129" w:lineRule="exact"/>
        <w:rPr>
          <w:rFonts w:ascii="Arial" w:cs="Arial" w:eastAsia="Arial" w:hAnsi="Arial"/>
          <w:sz w:val="18"/>
          <w:szCs w:val="18"/>
          <w:i w:val="1"/>
          <w:iCs w:val="1"/>
          <w:color w:val="auto"/>
        </w:rPr>
      </w:pPr>
    </w:p>
    <w:p>
      <w:pPr>
        <w:ind w:left="340" w:right="100" w:hanging="332"/>
        <w:spacing w:after="0" w:line="263"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$16.4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during the first three months of 2020, a decrease of $18.2 million compared to $34.6 million in the same period of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37</w:t>
      </w:r>
    </w:p>
    <w:p>
      <w:pPr>
        <w:sectPr>
          <w:pgSz w:w="11900" w:h="16838" w:orient="portrait"/>
          <w:cols w:equalWidth="0" w:num="1">
            <w:col w:w="11240"/>
          </w:cols>
          <w:pgMar w:left="320" w:top="71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8">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report. Many of the forward-looking statements contained in this report may be identified by the use of words such as “intend,” “believe,” “expect,” “anticipate,” “should,” “planned,” “projected,” “estimated,” and “potential,” among others.</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70" w:lineRule="exact"/>
        <w:rPr>
          <w:sz w:val="20"/>
          <w:szCs w:val="20"/>
          <w:color w:val="auto"/>
        </w:rPr>
      </w:pPr>
    </w:p>
    <w:p>
      <w:pPr>
        <w:ind w:left="260" w:right="200" w:hanging="252"/>
        <w:spacing w:after="0" w:line="263"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negatively impact our operating results;</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raw material and energy costs along with the availability of adequate supplies of raw materials could affect future financial results;</w:t>
      </w:r>
    </w:p>
    <w:p>
      <w:pPr>
        <w:spacing w:after="0" w:line="182" w:lineRule="exact"/>
        <w:rPr>
          <w:rFonts w:ascii="Arial" w:cs="Arial" w:eastAsia="Arial" w:hAnsi="Arial"/>
          <w:sz w:val="17"/>
          <w:szCs w:val="17"/>
          <w:color w:val="auto"/>
        </w:rPr>
      </w:pPr>
    </w:p>
    <w:p>
      <w:pPr>
        <w:ind w:left="260" w:right="24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171" w:lineRule="exact"/>
        <w:rPr>
          <w:rFonts w:ascii="Arial" w:cs="Arial" w:eastAsia="Arial" w:hAnsi="Arial"/>
          <w:sz w:val="18"/>
          <w:szCs w:val="18"/>
          <w:color w:val="auto"/>
        </w:rPr>
      </w:pPr>
    </w:p>
    <w:p>
      <w:pPr>
        <w:ind w:left="260" w:right="38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financial results may be adversely impacted by the failure to successfully execute or integrate acquisitions, divestitures and joint ventures;</w:t>
      </w:r>
    </w:p>
    <w:p>
      <w:pPr>
        <w:spacing w:after="0" w:line="182" w:lineRule="exact"/>
        <w:rPr>
          <w:rFonts w:ascii="Arial" w:cs="Arial" w:eastAsia="Arial" w:hAnsi="Arial"/>
          <w:sz w:val="17"/>
          <w:szCs w:val="17"/>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international operations may not achieve projected growth objectives, which could adversely impact our overall business and results of operations;</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failures or security breaches of our information technology infrastructure could have a negative impact on our operations;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171" w:lineRule="exact"/>
        <w:rPr>
          <w:rFonts w:ascii="Arial" w:cs="Arial" w:eastAsia="Arial" w:hAnsi="Arial"/>
          <w:sz w:val="18"/>
          <w:szCs w:val="18"/>
          <w:color w:val="auto"/>
        </w:rPr>
      </w:pPr>
    </w:p>
    <w:p>
      <w:pPr>
        <w:ind w:left="260" w:right="340" w:hanging="252"/>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Complications with the design or implementation of our new enterprise resource planning system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Q1 2020 Form 10-Q | Page 38</w:t>
      </w:r>
    </w:p>
    <w:p>
      <w:pPr>
        <w:sectPr>
          <w:pgSz w:w="11900" w:h="16838" w:orient="portrait"/>
          <w:cols w:equalWidth="0" w:num="1">
            <w:col w:w="11180"/>
          </w:cols>
          <w:pgMar w:left="320" w:top="715" w:right="399" w:bottom="1440" w:gutter="0" w:footer="0" w:header="0"/>
        </w:sectPr>
      </w:pPr>
    </w:p>
    <w:bookmarkStart w:id="38" w:name="page39"/>
    <w:bookmarkEnd w:id="38"/>
    <w:p>
      <w:pPr>
        <w:ind w:left="260" w:right="20" w:hanging="252"/>
        <w:spacing w:after="0" w:line="26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COVID-19 global pandemic; and</w:t>
      </w:r>
    </w:p>
    <w:p>
      <w:pPr>
        <w:spacing w:after="0" w:line="129" w:lineRule="exact"/>
        <w:rPr>
          <w:rFonts w:ascii="Arial" w:cs="Arial" w:eastAsia="Arial" w:hAnsi="Arial"/>
          <w:sz w:val="18"/>
          <w:szCs w:val="18"/>
          <w:color w:val="auto"/>
        </w:rPr>
      </w:pPr>
    </w:p>
    <w:p>
      <w:pPr>
        <w:ind w:left="260" w:right="240" w:hanging="252"/>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other matters as discussed in our 2019 Annual Report on Form 10-K and this Quarterly Report on Form 10-Q, including Part II, Item 1A, “Risk Factors.”</w:t>
      </w:r>
    </w:p>
    <w:p>
      <w:pPr>
        <w:spacing w:after="0" w:line="2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total notional amount of interest rate swaps outstanding at March 29, 2020 and December 31, 2019 was $350 million. The notional amount relates to fixed-to-floating interest rate swaps which convert a comparable amount of fixed-rate debt to variable rate debt at March 29, 2020 and December 31, 2019. A hypothetical 100 basis point increase in interest rates applied to this now variable-rate debt as of March 29, 2020 would have increased interest expense by approximately $0.9 million for the first three months of 2020 and $3.5 million for the full year 2019.</w:t>
      </w:r>
    </w:p>
    <w:p>
      <w:pPr>
        <w:spacing w:after="0" w:line="11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In addition, the total amount of short-term debt, net of cash, amounted to net cash positions of $257 million and $461 million, respectively, at March 29, 2020 and December 31, 2019. A hypothetical 100 basis point increase in interest rates applied to this variable-rate short-term debt as of March 29, 2020 would have increased interest expense by approximately $0.6 million for the first three months of 2020 and $4.3 million for the full year 2019.</w:t>
      </w:r>
    </w:p>
    <w:p>
      <w:pPr>
        <w:spacing w:after="0" w:line="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March 29, 2020 and December 31, 2019 by approximately $229 million and $246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$19.2 million as of March 29, 2020 and $55.4 million as of December 31, 2019, generally offset by a reduction in foreign exchange associated with our transactional activities.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open commodity derivative contracts had a notional value of $844.4 million as of March 29, 2020 and $589.7 million as of December 31, 2019. At the end of the first quarter 2020, the potential change in fair value of commodity derivative instruments, assuming a 10% decrease in the underlying commodity price, would have increased our net unrealized losses by $76.3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2019 Annual Report on Form 10-K.</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39</w:t>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29, 2020. Based on this evaluation, our Chief Executive Officer and Chief Financial Officer concluded that our disclosure controls and procedures were effective as of March 29, 2020.</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We have completed the implementation of certain processes, including our consolidated financial reporting platform in the second quarter of 2018, as well as our trade promotions and direct marketing systems in the first quarter of 2019. These transitions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29, 2020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Hershey Company | Q1 2020 Form 10-Q | Page 40</w:t>
      </w:r>
    </w:p>
    <w:p>
      <w:pPr>
        <w:sectPr>
          <w:pgSz w:w="11900" w:h="16838" w:orient="portrait"/>
          <w:cols w:equalWidth="0" w:num="1">
            <w:col w:w="11160"/>
          </w:cols>
          <w:pgMar w:left="320" w:top="796"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27">
        <w:r>
          <w:rPr>
            <w:rFonts w:ascii="Arial" w:cs="Arial" w:eastAsia="Arial" w:hAnsi="Arial"/>
            <w:sz w:val="18"/>
            <w:szCs w:val="18"/>
            <w:u w:val="single" w:color="auto"/>
            <w:color w:val="0000EE"/>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additional risk factor relating to COVID-19 should be read in conjunction with the risk factors previously disclosed in Part I, Item 1A, “Risk Factors,” of our 2019 Annual Report on Form 10-K (the "2019 Form 10-K") and the information contained in this Quarterly Report on Form 10-Q and our other reports and registration statements filed with the SEC. The developments described in this additional risk factor have heightened, or in some cases manifested, certain of the risks disclosed in the risk factor section of our 2019 Form 10-K, and such risk factors are further qualified by the information relating to COVID-19 that is described in this Quarterly Report on Form 10-Q, including in the additional risk factor below. Except as described herein, there have been no material changes with respect to the risk factors disclosed in our 2019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Risk Factor</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current novel coronavirus ("COVID-19") global pandemic.</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impacted by consumer spending levels, impulse purchases, the availability of our products at retail and our ability to manufacture, store and distribute products to our customers and consumers in an effective and efficient manner. The fear of exposure to or actual effects of a disease outbreak, epidemic, pandemic or similar widespread public health concern, such as the COVID-19, could negatively impact our overall business and financial results. Specific factors that may impact our operations, some of which have had an unfavorable impact on our operations as a result of COVID-19, include, but are not limited to:</w:t>
      </w:r>
    </w:p>
    <w:p>
      <w:pPr>
        <w:spacing w:after="0" w:line="188" w:lineRule="exact"/>
        <w:rPr>
          <w:sz w:val="20"/>
          <w:szCs w:val="20"/>
          <w:color w:val="auto"/>
        </w:rPr>
      </w:pPr>
    </w:p>
    <w:p>
      <w:pPr>
        <w:ind w:left="660" w:right="12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shifts in demand away from one or more of our products, or pantry-loading activity; if prolonged, such impacts may further increase the difficulty of planning for operations and may negatively impact our results;</w:t>
      </w:r>
    </w:p>
    <w:p>
      <w:pPr>
        <w:spacing w:after="0" w:line="18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reductions in the availability of one or more of our products as a result of retailers, common carriers or other shippers modifying restocking, fulfillment and shipping practices;</w:t>
      </w:r>
    </w:p>
    <w:p>
      <w:pPr>
        <w:spacing w:after="0" w:line="170"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meet our customers’ needs and achieve cost targets due to disruptions in our manufacturing operations or supply arrangements caused by the loss or disruption of essential manufacturing and supply elements such as raw materials or finished product components, transportation resources, workforce availability, or other manufacturing and distribution capability;</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effectively manage evolving health and welfare strategies, including but not limited to ongoing or not yet fully known costs related to operational adjustments to ensure continued employee and consumer safety and adherence to health guidelines as they are modified and supplemented;</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viewing and shopping habits due to the cancellation or postponement of major sporting and entertainment events, reduced in-store visits, travel restrictions and a shift in customer advertising priorities,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41</w:t>
      </w:r>
    </w:p>
    <w:p>
      <w:pPr>
        <w:sectPr>
          <w:pgSz w:w="11900" w:h="16838" w:orient="portrait"/>
          <w:cols w:equalWidth="0" w:num="1">
            <w:col w:w="11240"/>
          </w:cols>
          <w:pgMar w:left="320" w:top="553" w:right="339" w:bottom="1440" w:gutter="0" w:footer="0" w:header="0"/>
        </w:sectPr>
      </w:pPr>
    </w:p>
    <w:bookmarkStart w:id="41" w:name="page42"/>
    <w:bookmarkEnd w:id="41"/>
    <w:p>
      <w:pPr>
        <w:ind w:left="660" w:right="2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those third parties who supply our ingredients, packaging, capital equipment and other necessary operating materials, contract manufacturers, distributors, contractors, commercial banks and external business partners, to meet their obligations to the Company, or significant disruptions in their ability to do so, which may be caused by their own financial or operational difficulties and may negatively impact our operations; or</w:t>
      </w:r>
    </w:p>
    <w:p>
      <w:pPr>
        <w:spacing w:after="0" w:line="186"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changes in the political conditions in markets in which we manufacture, sell or distribute our products, including quarantines, governmental or regulatory actions, closures or other restrictions that limit or close our operating and manufacturing facilities, restrict our employees’ ability to travel or perform necessary business functions, or otherwise prevent our third-party partners, suppliers, or customers from sufficiently staffing operations, including operations necessary for the production, distribution, sale, and support of our products, which could negatively impact our results.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With respect to COVID-19, the situation remains dynamic and subject to rapid and possibly material change. The Company's efforts to manage and mitigate these factors may be unsuccessful, and the effectiveness of these efforts depends on factors beyond our control, including the duration and severity of any disease outbreak, as well as third-party actions taken to contain its spread and mitigate public health effects.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March 29, 2020:</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97"/>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ind w:left="14"/>
              <w:spacing w:after="0"/>
              <w:rPr>
                <w:sz w:val="20"/>
                <w:szCs w:val="20"/>
                <w:color w:val="auto"/>
              </w:rPr>
            </w:pPr>
            <w:r>
              <w:rPr>
                <w:rFonts w:ascii="Arial" w:cs="Arial" w:eastAsia="Arial" w:hAnsi="Arial"/>
                <w:sz w:val="16"/>
                <w:szCs w:val="16"/>
                <w:b w:val="1"/>
                <w:bCs w:val="1"/>
                <w:color w:val="auto"/>
                <w:w w:val="93"/>
              </w:rPr>
              <w:t>Total Number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 Price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as Part of Publicly</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97"/>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ind w:left="14"/>
              <w:spacing w:after="0"/>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Paid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Pr>
          <w:p>
            <w:pPr>
              <w:jc w:val="center"/>
              <w:ind w:right="97"/>
              <w:spacing w:after="0"/>
              <w:rPr>
                <w:sz w:val="20"/>
                <w:szCs w:val="20"/>
                <w:color w:val="auto"/>
              </w:rPr>
            </w:pPr>
            <w:r>
              <w:rPr>
                <w:rFonts w:ascii="Arial" w:cs="Arial" w:eastAsia="Arial" w:hAnsi="Arial"/>
                <w:sz w:val="16"/>
                <w:szCs w:val="16"/>
                <w:b w:val="1"/>
                <w:bCs w:val="1"/>
                <w:color w:val="auto"/>
                <w:w w:val="92"/>
              </w:rPr>
              <w:t>Under the Plans or</w:t>
            </w:r>
          </w:p>
        </w:tc>
      </w:tr>
      <w:tr>
        <w:trPr>
          <w:trHeight w:val="210"/>
        </w:trPr>
        <w:tc>
          <w:tcPr>
            <w:tcW w:w="3180" w:type="dxa"/>
            <w:vAlign w:val="bottom"/>
            <w:gridSpan w:val="2"/>
          </w:tcPr>
          <w:p>
            <w:pPr>
              <w:ind w:left="1300"/>
              <w:spacing w:after="0"/>
              <w:rPr>
                <w:sz w:val="20"/>
                <w:szCs w:val="20"/>
                <w:color w:val="auto"/>
              </w:rPr>
            </w:pPr>
            <w:r>
              <w:rPr>
                <w:rFonts w:ascii="Arial" w:cs="Arial" w:eastAsia="Arial" w:hAnsi="Arial"/>
                <w:sz w:val="16"/>
                <w:szCs w:val="16"/>
                <w:b w:val="1"/>
                <w:bCs w:val="1"/>
                <w:color w:val="auto"/>
              </w:rPr>
              <w:t>Period</w:t>
            </w:r>
          </w:p>
        </w:tc>
        <w:tc>
          <w:tcPr>
            <w:tcW w:w="1620" w:type="dxa"/>
            <w:vAlign w:val="bottom"/>
          </w:tcPr>
          <w:p>
            <w:pPr>
              <w:jc w:val="center"/>
              <w:ind w:left="14"/>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per Share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 (2)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center"/>
              <w:ind w:right="97"/>
              <w:spacing w:after="0"/>
              <w:rPr>
                <w:sz w:val="20"/>
                <w:szCs w:val="20"/>
                <w:color w:val="auto"/>
              </w:rPr>
            </w:pPr>
            <w:r>
              <w:rPr>
                <w:rFonts w:ascii="Arial" w:cs="Arial" w:eastAsia="Arial" w:hAnsi="Arial"/>
                <w:sz w:val="16"/>
                <w:szCs w:val="16"/>
                <w:b w:val="1"/>
                <w:bCs w:val="1"/>
                <w:color w:val="auto"/>
                <w:w w:val="93"/>
              </w:rPr>
              <w:t>Programs (2)</w:t>
            </w:r>
          </w:p>
        </w:tc>
      </w:tr>
      <w:tr>
        <w:trPr>
          <w:trHeight w:val="33"/>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8"/>
        </w:trPr>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tcPr>
          <w:p>
            <w:pPr>
              <w:jc w:val="right"/>
              <w:ind w:right="257"/>
              <w:spacing w:after="0"/>
              <w:rPr>
                <w:sz w:val="20"/>
                <w:szCs w:val="20"/>
                <w:color w:val="auto"/>
              </w:rPr>
            </w:pPr>
            <w:r>
              <w:rPr>
                <w:rFonts w:ascii="Arial" w:cs="Arial" w:eastAsia="Arial" w:hAnsi="Arial"/>
                <w:sz w:val="14"/>
                <w:szCs w:val="14"/>
                <w:b w:val="1"/>
                <w:bCs w:val="1"/>
                <w:color w:val="auto"/>
                <w:w w:val="94"/>
              </w:rPr>
              <w:t>(in thousands of dollars)</w:t>
            </w:r>
          </w:p>
        </w:tc>
      </w:tr>
      <w:tr>
        <w:trPr>
          <w:trHeight w:val="270"/>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26</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410,000</w:t>
            </w:r>
          </w:p>
        </w:tc>
      </w:tr>
      <w:tr>
        <w:trPr>
          <w:trHeight w:val="257"/>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January 27 through February 23</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455,000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22"/>
                <w:szCs w:val="22"/>
                <w:color w:val="auto"/>
              </w:rPr>
            </w:pPr>
          </w:p>
        </w:tc>
        <w:tc>
          <w:tcPr>
            <w:tcW w:w="1980" w:type="dxa"/>
            <w:vAlign w:val="bottom"/>
          </w:tcPr>
          <w:p>
            <w:pPr>
              <w:jc w:val="right"/>
              <w:ind w:right="35"/>
              <w:spacing w:after="0"/>
              <w:rPr>
                <w:sz w:val="20"/>
                <w:szCs w:val="20"/>
                <w:color w:val="auto"/>
              </w:rPr>
            </w:pPr>
            <w:r>
              <w:rPr>
                <w:rFonts w:ascii="Arial" w:cs="Arial" w:eastAsia="Arial" w:hAnsi="Arial"/>
                <w:sz w:val="18"/>
                <w:szCs w:val="18"/>
                <w:color w:val="auto"/>
              </w:rPr>
              <w:t>455,000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337,671</w:t>
            </w: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83"/>
        </w:trPr>
        <w:tc>
          <w:tcPr>
            <w:tcW w:w="3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23 through March 29</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526,138</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155.08</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496,138</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260,000</w:t>
            </w:r>
          </w:p>
        </w:tc>
      </w:tr>
      <w:tr>
        <w:trPr>
          <w:trHeight w:val="271"/>
        </w:trPr>
        <w:tc>
          <w:tcPr>
            <w:tcW w:w="31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981,138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156.88</w:t>
            </w:r>
          </w:p>
        </w:tc>
        <w:tc>
          <w:tcPr>
            <w:tcW w:w="100" w:type="dxa"/>
            <w:vAlign w:val="bottom"/>
          </w:tcPr>
          <w:p>
            <w:pPr>
              <w:spacing w:after="0"/>
              <w:rPr>
                <w:sz w:val="23"/>
                <w:szCs w:val="23"/>
                <w:color w:val="auto"/>
              </w:rPr>
            </w:pPr>
          </w:p>
        </w:tc>
        <w:tc>
          <w:tcPr>
            <w:tcW w:w="1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951,138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 months ended March 29, 2020, 30,000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440" w:firstLine="8"/>
        <w:spacing w:after="0" w:line="342"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July 2018, our Board of Directors approved a $500 million share repurchase authorization. As of March 29, 2020, approximately $260 million remained available for repurchases of our Common Stock under this program. The share repurchase program does not have an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Hershey Company | Q1 2020 Form 10-Q | Page 42</w:t>
      </w:r>
    </w:p>
    <w:p>
      <w:pPr>
        <w:sectPr>
          <w:pgSz w:w="11900" w:h="16838" w:orient="portrait"/>
          <w:cols w:equalWidth="0" w:num="1">
            <w:col w:w="11200"/>
          </w:cols>
          <w:pgMar w:left="320" w:top="557"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Exhibit</w:t>
            </w: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0"/>
        </w:trPr>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20" w:type="dxa"/>
            <w:vAlign w:val="bottom"/>
            <w:gridSpan w:val="2"/>
          </w:tcPr>
          <w:p>
            <w:pPr>
              <w:ind w:left="33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0"/>
        </w:trPr>
        <w:tc>
          <w:tcPr>
            <w:tcW w:w="114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FF"/>
                <w:w w:val="89"/>
              </w:rPr>
            </w:pPr>
            <w:hyperlink w:anchor="page45">
              <w:r>
                <w:rPr>
                  <w:rFonts w:ascii="Arial" w:cs="Arial" w:eastAsia="Arial" w:hAnsi="Arial"/>
                  <w:sz w:val="16"/>
                  <w:szCs w:val="16"/>
                  <w:u w:val="single" w:color="auto"/>
                  <w:color w:val="0000FF"/>
                  <w:w w:val="89"/>
                </w:rPr>
                <w:t>31.1</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960" w:type="dxa"/>
            <w:vAlign w:val="bottom"/>
            <w:tcBorders>
              <w:bottom w:val="single" w:sz="8" w:color="CCEEFF"/>
            </w:tcBorders>
            <w:gridSpan w:val="3"/>
            <w:shd w:val="clear" w:color="auto" w:fill="CCEEFF"/>
          </w:tcPr>
          <w:p>
            <w:pPr>
              <w:spacing w:after="0"/>
              <w:rPr>
                <w:rFonts w:ascii="Arial" w:cs="Arial" w:eastAsia="Arial" w:hAnsi="Arial"/>
                <w:sz w:val="16"/>
                <w:szCs w:val="16"/>
                <w:color w:val="0000FF"/>
              </w:rPr>
            </w:pPr>
            <w:hyperlink w:anchor="page45">
              <w:r>
                <w:rPr>
                  <w:rFonts w:ascii="Arial" w:cs="Arial" w:eastAsia="Arial" w:hAnsi="Arial"/>
                  <w:sz w:val="16"/>
                  <w:szCs w:val="16"/>
                  <w:u w:val="single" w:color="auto"/>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23"/>
        </w:trPr>
        <w:tc>
          <w:tcPr>
            <w:tcW w:w="1140" w:type="dxa"/>
            <w:vAlign w:val="bottom"/>
          </w:tcPr>
          <w:p>
            <w:pPr>
              <w:jc w:val="center"/>
              <w:spacing w:after="0"/>
              <w:rPr>
                <w:rFonts w:ascii="Arial" w:cs="Arial" w:eastAsia="Arial" w:hAnsi="Arial"/>
                <w:sz w:val="16"/>
                <w:szCs w:val="16"/>
                <w:u w:val="single" w:color="auto"/>
                <w:color w:val="0000FF"/>
                <w:w w:val="89"/>
              </w:rPr>
            </w:pPr>
            <w:hyperlink w:anchor="page46">
              <w:r>
                <w:rPr>
                  <w:rFonts w:ascii="Arial" w:cs="Arial" w:eastAsia="Arial" w:hAnsi="Arial"/>
                  <w:sz w:val="16"/>
                  <w:szCs w:val="16"/>
                  <w:u w:val="single" w:color="auto"/>
                  <w:color w:val="0000FF"/>
                  <w:w w:val="89"/>
                </w:rPr>
                <w:t>31.2</w:t>
              </w:r>
            </w:hyperlink>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960" w:type="dxa"/>
            <w:vAlign w:val="bottom"/>
            <w:gridSpan w:val="3"/>
          </w:tcPr>
          <w:p>
            <w:pPr>
              <w:spacing w:after="0"/>
              <w:rPr>
                <w:rFonts w:ascii="Arial" w:cs="Arial" w:eastAsia="Arial" w:hAnsi="Arial"/>
                <w:sz w:val="16"/>
                <w:szCs w:val="16"/>
                <w:color w:val="0000FF"/>
              </w:rPr>
            </w:pPr>
            <w:hyperlink w:anchor="page46">
              <w:r>
                <w:rPr>
                  <w:rFonts w:ascii="Arial" w:cs="Arial" w:eastAsia="Arial" w:hAnsi="Arial"/>
                  <w:sz w:val="16"/>
                  <w:szCs w:val="16"/>
                  <w:u w:val="single" w:color="auto"/>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47"/>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3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189"/>
        </w:trPr>
        <w:tc>
          <w:tcPr>
            <w:tcW w:w="1140" w:type="dxa"/>
            <w:vAlign w:val="bottom"/>
            <w:tcBorders>
              <w:bottom w:val="single" w:sz="8" w:color="CCEEFF"/>
            </w:tcBorders>
            <w:shd w:val="clear" w:color="auto" w:fill="CCEEFF"/>
          </w:tcPr>
          <w:p>
            <w:pPr>
              <w:jc w:val="center"/>
              <w:spacing w:after="0"/>
              <w:rPr>
                <w:rFonts w:ascii="Arial" w:cs="Arial" w:eastAsia="Arial" w:hAnsi="Arial"/>
                <w:sz w:val="16"/>
                <w:szCs w:val="16"/>
                <w:u w:val="single" w:color="auto"/>
                <w:color w:val="0000FF"/>
                <w:w w:val="89"/>
              </w:rPr>
            </w:pPr>
            <w:hyperlink w:anchor="page47">
              <w:r>
                <w:rPr>
                  <w:rFonts w:ascii="Arial" w:cs="Arial" w:eastAsia="Arial" w:hAnsi="Arial"/>
                  <w:sz w:val="16"/>
                  <w:szCs w:val="16"/>
                  <w:u w:val="single" w:color="auto"/>
                  <w:color w:val="0000FF"/>
                  <w:w w:val="89"/>
                </w:rPr>
                <w:t>32.1</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580" w:type="dxa"/>
            <w:vAlign w:val="bottom"/>
            <w:tcBorders>
              <w:bottom w:val="single" w:sz="8" w:color="0000FF"/>
            </w:tcBorders>
            <w:gridSpan w:val="2"/>
            <w:shd w:val="clear" w:color="auto" w:fill="CCEEFF"/>
          </w:tcPr>
          <w:p>
            <w:pPr>
              <w:spacing w:after="0"/>
              <w:rPr>
                <w:rFonts w:ascii="Arial" w:cs="Arial" w:eastAsia="Arial" w:hAnsi="Arial"/>
                <w:sz w:val="16"/>
                <w:szCs w:val="16"/>
                <w:color w:val="0000FF"/>
                <w:w w:val="93"/>
              </w:rPr>
            </w:pPr>
            <w:hyperlink w:anchor="page47">
              <w:r>
                <w:rPr>
                  <w:rFonts w:ascii="Arial" w:cs="Arial" w:eastAsia="Arial" w:hAnsi="Arial"/>
                  <w:sz w:val="16"/>
                  <w:szCs w:val="16"/>
                  <w:color w:val="0000FF"/>
                  <w:w w:val="93"/>
                </w:rPr>
                <w:t>Certification of Michele G. Buck, Chief Executive Officer, and Steven E. Voskuil, Chief Financial Officer, pursuant to Section 906 of the Sarbanes-</w:t>
              </w:r>
            </w:hyperlink>
          </w:p>
        </w:tc>
        <w:tc>
          <w:tcPr>
            <w:tcW w:w="380" w:type="dxa"/>
            <w:vAlign w:val="bottom"/>
            <w:tcBorders>
              <w:bottom w:val="single" w:sz="8" w:color="CCEEFF"/>
            </w:tcBorders>
            <w:shd w:val="clear" w:color="auto" w:fill="CCEEFF"/>
          </w:tcPr>
          <w:p>
            <w:pPr>
              <w:spacing w:after="0"/>
              <w:rPr>
                <w:sz w:val="16"/>
                <w:szCs w:val="16"/>
                <w:color w:val="auto"/>
              </w:rPr>
            </w:pPr>
          </w:p>
        </w:tc>
      </w:tr>
      <w:tr>
        <w:trPr>
          <w:trHeight w:val="183"/>
        </w:trPr>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960" w:type="dxa"/>
            <w:vAlign w:val="bottom"/>
            <w:gridSpan w:val="3"/>
            <w:shd w:val="clear" w:color="auto" w:fill="CCEEFF"/>
          </w:tcPr>
          <w:p>
            <w:pPr>
              <w:spacing w:after="0" w:line="183" w:lineRule="exact"/>
              <w:rPr>
                <w:rFonts w:ascii="Arial" w:cs="Arial" w:eastAsia="Arial" w:hAnsi="Arial"/>
                <w:sz w:val="16"/>
                <w:szCs w:val="16"/>
                <w:color w:val="0000FF"/>
              </w:rPr>
            </w:pPr>
            <w:hyperlink w:anchor="page47">
              <w:r>
                <w:rPr>
                  <w:rFonts w:ascii="Arial" w:cs="Arial" w:eastAsia="Arial" w:hAnsi="Arial"/>
                  <w:sz w:val="16"/>
                  <w:szCs w:val="16"/>
                  <w:color w:val="0000FF"/>
                </w:rPr>
                <w:t>Oxley Act of 2002.</w:t>
              </w:r>
              <w:r>
                <w:rPr>
                  <w:rFonts w:ascii="Arial" w:cs="Arial" w:eastAsia="Arial" w:hAnsi="Arial"/>
                  <w:sz w:val="16"/>
                  <w:szCs w:val="16"/>
                  <w:color w:val="000000"/>
                </w:rPr>
                <w:t>**</w:t>
              </w:r>
            </w:hyperlink>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8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20"/>
        </w:trPr>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101.INS</w:t>
            </w:r>
          </w:p>
        </w:tc>
        <w:tc>
          <w:tcPr>
            <w:tcW w:w="4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3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2"/>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9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r>
      <w:tr>
        <w:trPr>
          <w:trHeight w:val="224"/>
        </w:trPr>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4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46"/>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3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9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Taxonomy Extension Label Linkbase</w:t>
            </w:r>
          </w:p>
        </w:tc>
      </w:tr>
      <w:tr>
        <w:trPr>
          <w:trHeight w:val="224"/>
        </w:trPr>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40" w:type="dxa"/>
            <w:vAlign w:val="bottom"/>
          </w:tcPr>
          <w:p>
            <w:pPr>
              <w:spacing w:after="0"/>
              <w:rPr>
                <w:sz w:val="19"/>
                <w:szCs w:val="19"/>
                <w:color w:val="auto"/>
              </w:rPr>
            </w:pPr>
          </w:p>
        </w:tc>
        <w:tc>
          <w:tcPr>
            <w:tcW w:w="996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46"/>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3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24"/>
        </w:trPr>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101.DEF</w:t>
            </w:r>
          </w:p>
        </w:tc>
        <w:tc>
          <w:tcPr>
            <w:tcW w:w="40" w:type="dxa"/>
            <w:vAlign w:val="bottom"/>
            <w:shd w:val="clear" w:color="auto" w:fill="CCEEFF"/>
          </w:tcPr>
          <w:p>
            <w:pPr>
              <w:spacing w:after="0"/>
              <w:rPr>
                <w:sz w:val="19"/>
                <w:szCs w:val="19"/>
                <w:color w:val="auto"/>
              </w:rPr>
            </w:pPr>
          </w:p>
        </w:tc>
        <w:tc>
          <w:tcPr>
            <w:tcW w:w="9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46"/>
        </w:trPr>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83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ind w:left="1280" w:right="400" w:hanging="827"/>
        <w:spacing w:after="0" w:line="293" w:lineRule="auto"/>
        <w:tabs>
          <w:tab w:leader="none" w:pos="1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March 29, 2020, formatted in Inline XBRL and contained in Exhibit 101.</w:t>
      </w:r>
    </w:p>
    <w:p>
      <w:pPr>
        <w:spacing w:after="0" w:line="334" w:lineRule="exact"/>
        <w:rPr>
          <w:sz w:val="20"/>
          <w:szCs w:val="20"/>
          <w:color w:val="auto"/>
        </w:rPr>
      </w:pPr>
    </w:p>
    <w:p>
      <w:pPr>
        <w:ind w:left="1280" w:hanging="746"/>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280" w:hanging="786"/>
        <w:spacing w:after="0"/>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Hershey Company | Q1 2020 Form 10-Q | Page 43</w:t>
      </w:r>
    </w:p>
    <w:p>
      <w:pPr>
        <w:sectPr>
          <w:pgSz w:w="11900" w:h="16838" w:orient="portrait"/>
          <w:cols w:equalWidth="0" w:num="1">
            <w:col w:w="11240"/>
          </w:cols>
          <w:pgMar w:left="320" w:top="796"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32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THE HERSHEY COMPANY</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(Registrant)</w:t>
      </w:r>
    </w:p>
    <w:p>
      <w:pPr>
        <w:spacing w:after="0" w:line="391" w:lineRule="exact"/>
        <w:rPr>
          <w:sz w:val="20"/>
          <w:szCs w:val="20"/>
          <w:color w:val="auto"/>
        </w:rPr>
      </w:pPr>
    </w:p>
    <w:p>
      <w:pPr>
        <w:ind w:left="980"/>
        <w:spacing w:after="0"/>
        <w:tabs>
          <w:tab w:leader="none" w:pos="3680" w:val="left"/>
        </w:tabs>
        <w:rPr>
          <w:sz w:val="20"/>
          <w:szCs w:val="20"/>
          <w:color w:val="auto"/>
        </w:rPr>
      </w:pPr>
      <w:r>
        <w:rPr>
          <w:rFonts w:ascii="Arial" w:cs="Arial" w:eastAsia="Arial" w:hAnsi="Arial"/>
          <w:sz w:val="18"/>
          <w:szCs w:val="18"/>
          <w:color w:val="auto"/>
        </w:rPr>
        <w:t>Date: April 23, 2020</w:t>
      </w:r>
      <w:r>
        <w:rPr>
          <w:sz w:val="20"/>
          <w:szCs w:val="20"/>
          <w:color w:val="auto"/>
        </w:rPr>
        <w:tab/>
      </w:r>
      <w:r>
        <w:rPr>
          <w:rFonts w:ascii="Arial" w:cs="Arial" w:eastAsia="Arial" w:hAnsi="Arial"/>
          <w:sz w:val="16"/>
          <w:szCs w:val="16"/>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31750</wp:posOffset>
            </wp:positionV>
            <wp:extent cx="3591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Steven E. Voskuil</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Hershey Company | Q1 2020 Form 10-Q | Page 44</w:t>
      </w:r>
    </w:p>
    <w:p>
      <w:pPr>
        <w:sectPr>
          <w:pgSz w:w="11900" w:h="16838" w:orient="portrait"/>
          <w:cols w:equalWidth="0" w:num="1">
            <w:col w:w="11220"/>
          </w:cols>
          <w:pgMar w:left="320" w:top="553"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9"/>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right="280" w:hanging="439"/>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460" w:right="320" w:hanging="439"/>
        <w:spacing w:after="0" w:line="26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880" w:right="140" w:hanging="440"/>
        <w:spacing w:after="0" w:line="263"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880" w:right="460" w:hanging="440"/>
        <w:spacing w:after="0" w:line="263"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880" w:right="620" w:hanging="440"/>
        <w:spacing w:after="0" w:line="334" w:lineRule="auto"/>
        <w:tabs>
          <w:tab w:leader="none" w:pos="8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80" w:right="140" w:hanging="440"/>
        <w:spacing w:after="0" w:line="263"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right="20" w:hanging="439"/>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4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31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2"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6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660"/>
        <w:spacing w:after="0"/>
        <w:rPr>
          <w:sz w:val="20"/>
          <w:szCs w:val="20"/>
          <w:color w:val="auto"/>
        </w:rPr>
      </w:pPr>
      <w:r>
        <w:rPr>
          <w:rFonts w:ascii="Arial" w:cs="Arial" w:eastAsia="Arial" w:hAnsi="Arial"/>
          <w:sz w:val="14"/>
          <w:szCs w:val="14"/>
          <w:b w:val="1"/>
          <w:bCs w:val="1"/>
          <w:color w:val="auto"/>
        </w:rPr>
        <w:t>April 23, 2020</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90" w:lineRule="exact"/>
        <w:rPr>
          <w:sz w:val="20"/>
          <w:szCs w:val="20"/>
          <w:color w:val="auto"/>
        </w:rPr>
      </w:pPr>
    </w:p>
    <w:p>
      <w:pPr>
        <w:ind w:left="460" w:hanging="439"/>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jc w:val="both"/>
        <w:ind w:left="460" w:right="320" w:hanging="439"/>
        <w:spacing w:after="0" w:line="26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460" w:right="280" w:hanging="439"/>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460" w:right="320" w:hanging="439"/>
        <w:spacing w:after="0" w:line="26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880" w:right="140" w:hanging="440"/>
        <w:spacing w:after="0" w:line="263"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880" w:right="460" w:hanging="440"/>
        <w:spacing w:after="0" w:line="263"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880" w:right="620" w:hanging="440"/>
        <w:spacing w:after="0" w:line="334" w:lineRule="auto"/>
        <w:tabs>
          <w:tab w:leader="none" w:pos="8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80" w:right="140" w:hanging="440"/>
        <w:spacing w:after="0" w:line="263"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460" w:right="20" w:hanging="439"/>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4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31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Steven E. Voskuil</w:t>
      </w:r>
    </w:p>
    <w:p>
      <w:pPr>
        <w:spacing w:after="0" w:line="4" w:lineRule="exact"/>
        <w:rPr>
          <w:sz w:val="20"/>
          <w:szCs w:val="20"/>
          <w:color w:val="auto"/>
        </w:rPr>
      </w:pPr>
    </w:p>
    <w:p>
      <w:pPr>
        <w:jc w:val="center"/>
        <w:ind w:right="56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660"/>
        <w:spacing w:after="0"/>
        <w:rPr>
          <w:sz w:val="20"/>
          <w:szCs w:val="20"/>
          <w:color w:val="auto"/>
        </w:rPr>
      </w:pPr>
      <w:r>
        <w:rPr>
          <w:rFonts w:ascii="Arial" w:cs="Arial" w:eastAsia="Arial" w:hAnsi="Arial"/>
          <w:sz w:val="14"/>
          <w:szCs w:val="14"/>
          <w:b w:val="1"/>
          <w:bCs w:val="1"/>
          <w:color w:val="auto"/>
        </w:rPr>
        <w:t>April 23, 2020</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March 29, 2020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0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April 23, 2020</w:t>
            </w:r>
          </w:p>
        </w:tc>
        <w:tc>
          <w:tcPr>
            <w:tcW w:w="3680" w:type="dxa"/>
            <w:vAlign w:val="bottom"/>
          </w:tcPr>
          <w:p>
            <w:pPr>
              <w:jc w:val="center"/>
              <w:ind w:left="96"/>
              <w:spacing w:after="0"/>
              <w:rPr>
                <w:sz w:val="20"/>
                <w:szCs w:val="20"/>
                <w:color w:val="auto"/>
              </w:rPr>
            </w:pPr>
            <w:r>
              <w:rPr>
                <w:rFonts w:ascii="Arial" w:cs="Arial" w:eastAsia="Arial" w:hAnsi="Arial"/>
                <w:sz w:val="18"/>
                <w:szCs w:val="18"/>
                <w:color w:val="auto"/>
                <w:w w:val="97"/>
              </w:rPr>
              <w:t>/s/ MICHELE G. BUCK</w:t>
            </w:r>
          </w:p>
        </w:tc>
      </w:tr>
      <w:tr>
        <w:trPr>
          <w:trHeight w:val="27"/>
        </w:trPr>
        <w:tc>
          <w:tcPr>
            <w:tcW w:w="29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331"/>
        </w:trPr>
        <w:tc>
          <w:tcPr>
            <w:tcW w:w="29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29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2"/>
              </w:rPr>
              <w:t>Chief Executive Officer</w:t>
            </w:r>
          </w:p>
        </w:tc>
      </w:tr>
      <w:tr>
        <w:trPr>
          <w:trHeight w:val="546"/>
        </w:trPr>
        <w:tc>
          <w:tcPr>
            <w:tcW w:w="2980" w:type="dxa"/>
            <w:vAlign w:val="bottom"/>
          </w:tcPr>
          <w:p>
            <w:pPr>
              <w:spacing w:after="0"/>
              <w:rPr>
                <w:sz w:val="20"/>
                <w:szCs w:val="20"/>
                <w:color w:val="auto"/>
              </w:rPr>
            </w:pPr>
            <w:r>
              <w:rPr>
                <w:rFonts w:ascii="Arial" w:cs="Arial" w:eastAsia="Arial" w:hAnsi="Arial"/>
                <w:sz w:val="18"/>
                <w:szCs w:val="18"/>
                <w:color w:val="auto"/>
              </w:rPr>
              <w:t>Date: April 23, 2020</w:t>
            </w:r>
          </w:p>
        </w:tc>
        <w:tc>
          <w:tcPr>
            <w:tcW w:w="3680" w:type="dxa"/>
            <w:vAlign w:val="bottom"/>
          </w:tcPr>
          <w:p>
            <w:pPr>
              <w:jc w:val="center"/>
              <w:ind w:left="96"/>
              <w:spacing w:after="0"/>
              <w:rPr>
                <w:sz w:val="20"/>
                <w:szCs w:val="20"/>
                <w:color w:val="auto"/>
              </w:rPr>
            </w:pPr>
            <w:r>
              <w:rPr>
                <w:rFonts w:ascii="Arial" w:cs="Arial" w:eastAsia="Arial" w:hAnsi="Arial"/>
                <w:sz w:val="18"/>
                <w:szCs w:val="18"/>
                <w:color w:val="auto"/>
                <w:w w:val="96"/>
              </w:rPr>
              <w:t>/s/ STEVEN E. VOSKUIL</w:t>
            </w:r>
          </w:p>
        </w:tc>
      </w:tr>
      <w:tr>
        <w:trPr>
          <w:trHeight w:val="27"/>
        </w:trPr>
        <w:tc>
          <w:tcPr>
            <w:tcW w:w="29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331"/>
        </w:trPr>
        <w:tc>
          <w:tcPr>
            <w:tcW w:w="29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210"/>
        </w:trPr>
        <w:tc>
          <w:tcPr>
            <w:tcW w:w="29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2020-04-23T09:11:37Z</dcterms:created>
  <dcterms:modified xsi:type="dcterms:W3CDTF">2020-04-23T09:11:37Z</dcterms:modified>
</cp:coreProperties>
</file>