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21" w:lineRule="exact"/>
        <w:rPr>
          <w:sz w:val="24"/>
          <w:szCs w:val="24"/>
          <w:color w:val="auto"/>
        </w:rPr>
      </w:pPr>
    </w:p>
    <w:p>
      <w:pPr>
        <w:ind w:left="1200" w:hanging="348"/>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3" w:lineRule="exact"/>
        <w:rPr>
          <w:sz w:val="24"/>
          <w:szCs w:val="24"/>
          <w:color w:val="auto"/>
        </w:rPr>
      </w:pPr>
    </w:p>
    <w:p>
      <w:pPr>
        <w:ind w:left="1200" w:hanging="348"/>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457325"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HERSHEY COMPANY</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35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23-0691590</w:t>
            </w:r>
          </w:p>
        </w:tc>
        <w:tc>
          <w:tcPr>
            <w:tcW w:w="208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6900" w:type="dxa"/>
            <w:vAlign w:val="bottom"/>
            <w:gridSpan w:val="5"/>
          </w:tcPr>
          <w:p>
            <w:pPr>
              <w:jc w:val="center"/>
              <w:ind w:right="17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gridSpan w:val="2"/>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540" w:type="dxa"/>
            <w:vAlign w:val="bottom"/>
            <w:gridSpan w:val="5"/>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c>
          <w:tcPr>
            <w:tcW w:w="2080" w:type="dxa"/>
            <w:vAlign w:val="bottom"/>
          </w:tcPr>
          <w:p>
            <w:pPr>
              <w:spacing w:after="0"/>
              <w:rPr>
                <w:sz w:val="21"/>
                <w:szCs w:val="21"/>
                <w:color w:val="auto"/>
              </w:rPr>
            </w:pPr>
          </w:p>
        </w:tc>
      </w:tr>
      <w:tr>
        <w:trPr>
          <w:trHeight w:val="180"/>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540" w:type="dxa"/>
            <w:vAlign w:val="bottom"/>
            <w:gridSpan w:val="5"/>
          </w:tcPr>
          <w:p>
            <w:pPr>
              <w:jc w:val="center"/>
              <w:ind w:right="1370"/>
              <w:spacing w:after="0" w:line="180"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08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40" w:type="dxa"/>
            <w:vAlign w:val="bottom"/>
            <w:gridSpan w:val="3"/>
          </w:tcPr>
          <w:p>
            <w:pPr>
              <w:jc w:val="center"/>
              <w:ind w:left="7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76"/>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540" w:type="dxa"/>
            <w:vAlign w:val="bottom"/>
            <w:gridSpan w:val="5"/>
          </w:tcPr>
          <w:p>
            <w:pPr>
              <w:jc w:val="center"/>
              <w:ind w:right="1410"/>
              <w:spacing w:after="0" w:line="176" w:lineRule="exact"/>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80" w:type="dxa"/>
            <w:vAlign w:val="bottom"/>
          </w:tcPr>
          <w:p>
            <w:pPr>
              <w:spacing w:after="0"/>
              <w:rPr>
                <w:sz w:val="15"/>
                <w:szCs w:val="15"/>
                <w:color w:val="auto"/>
              </w:rPr>
            </w:pPr>
          </w:p>
        </w:tc>
      </w:tr>
      <w:tr>
        <w:trPr>
          <w:trHeight w:val="238"/>
        </w:trPr>
        <w:tc>
          <w:tcPr>
            <w:tcW w:w="6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5"/>
        </w:trPr>
        <w:tc>
          <w:tcPr>
            <w:tcW w:w="40" w:type="dxa"/>
            <w:vAlign w:val="bottom"/>
          </w:tcPr>
          <w:p>
            <w:pPr>
              <w:spacing w:after="0"/>
              <w:rPr>
                <w:sz w:val="24"/>
                <w:szCs w:val="24"/>
                <w:color w:val="auto"/>
              </w:rPr>
            </w:pPr>
          </w:p>
        </w:tc>
        <w:tc>
          <w:tcPr>
            <w:tcW w:w="35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0" w:type="dxa"/>
            <w:vAlign w:val="bottom"/>
          </w:tcPr>
          <w:p>
            <w:pPr>
              <w:spacing w:after="0"/>
              <w:rPr>
                <w:sz w:val="19"/>
                <w:szCs w:val="19"/>
                <w:color w:val="auto"/>
              </w:rPr>
            </w:pPr>
          </w:p>
        </w:tc>
        <w:tc>
          <w:tcPr>
            <w:tcW w:w="35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535"/>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Class B Common Stock, one dollar par value</w:t>
            </w:r>
          </w:p>
        </w:tc>
        <w:tc>
          <w:tcPr>
            <w:tcW w:w="2080" w:type="dxa"/>
            <w:vAlign w:val="bottom"/>
          </w:tcPr>
          <w:p>
            <w:pPr>
              <w:spacing w:after="0"/>
              <w:rPr>
                <w:sz w:val="24"/>
                <w:szCs w:val="24"/>
                <w:color w:val="auto"/>
              </w:rPr>
            </w:pPr>
          </w:p>
        </w:tc>
      </w:tr>
      <w:tr>
        <w:trPr>
          <w:trHeight w:val="364"/>
        </w:trPr>
        <w:tc>
          <w:tcPr>
            <w:tcW w:w="914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0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04"/>
        </w:trPr>
        <w:tc>
          <w:tcPr>
            <w:tcW w:w="91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08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jc w:val="both"/>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p>
      <w:pPr>
        <w:ind w:left="160"/>
        <w:spacing w:after="0" w:line="207" w:lineRule="exact"/>
        <w:tabs>
          <w:tab w:leader="none" w:pos="1960" w:val="left"/>
          <w:tab w:leader="none" w:pos="8780" w:val="left"/>
          <w:tab w:leader="none" w:pos="110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ind w:right="160"/>
        <w:spacing w:after="0" w:line="19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right="300"/>
        <w:spacing w:after="0" w:line="22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5" w:lineRule="exact"/>
        <w:rPr>
          <w:sz w:val="24"/>
          <w:szCs w:val="24"/>
          <w:color w:val="auto"/>
        </w:rPr>
      </w:pPr>
    </w:p>
    <w:p>
      <w:pPr>
        <w:ind w:right="100"/>
        <w:spacing w:after="0" w:line="20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As of June 28, 2024 (the last business day of the registrant’s most recently completed second fiscal quarter), the aggregate market value of the voting and non-voting common equity held by non-affiliates was $26,717,916,357.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held by non-affiliates were converted to Common Stock as of June 28, 2024. The market value indicated is calculated based on the closing price of the Common Stock on the New York Stock Exchange on June 28, 2024 ($183.83 per share).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value—147,797,121 shares, as of February 10, 2025.</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February 10, 2025.</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ind w:right="100"/>
        <w:spacing w:after="0" w:line="233" w:lineRule="auto"/>
        <w:rPr>
          <w:sz w:val="20"/>
          <w:szCs w:val="20"/>
          <w:color w:val="auto"/>
        </w:rPr>
      </w:pPr>
      <w:r>
        <w:rPr>
          <w:rFonts w:ascii="Times New Roman" w:cs="Times New Roman" w:eastAsia="Times New Roman" w:hAnsi="Times New Roman"/>
          <w:sz w:val="18"/>
          <w:szCs w:val="18"/>
          <w:color w:val="auto"/>
        </w:rPr>
        <w:t>Portions of the Company’s Proxy Statement for the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137" w:gutter="0" w:footer="0" w:header="0"/>
        </w:sectPr>
      </w:pPr>
    </w:p>
    <w:bookmarkStart w:id="1" w:name="page2"/>
    <w:bookmarkEnd w:id="1"/>
    <w:p>
      <w:pPr>
        <w:ind w:left="448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40" w:type="dxa"/>
            <w:vAlign w:val="bottom"/>
            <w:gridSpan w:val="14"/>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gridSpan w:val="5"/>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5"/>
            <w:shd w:val="clear" w:color="auto" w:fill="CCEEFF"/>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1060" w:type="dxa"/>
            <w:vAlign w:val="bottom"/>
            <w:gridSpan w:val="2"/>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1060" w:type="dxa"/>
            <w:vAlign w:val="bottom"/>
            <w:gridSpan w:val="2"/>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1060" w:type="dxa"/>
            <w:vAlign w:val="bottom"/>
            <w:gridSpan w:val="2"/>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1180" w:type="dxa"/>
            <w:vAlign w:val="bottom"/>
            <w:gridSpan w:val="4"/>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1180" w:type="dxa"/>
            <w:vAlign w:val="bottom"/>
            <w:gridSpan w:val="4"/>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Supplemental Item</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180" w:type="dxa"/>
            <w:vAlign w:val="bottom"/>
            <w:gridSpan w:val="4"/>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1180" w:type="dxa"/>
            <w:vAlign w:val="bottom"/>
            <w:gridSpan w:val="4"/>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7.</w:t>
            </w:r>
          </w:p>
        </w:tc>
        <w:tc>
          <w:tcPr>
            <w:tcW w:w="1180" w:type="dxa"/>
            <w:vAlign w:val="bottom"/>
            <w:gridSpan w:val="4"/>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8.</w:t>
            </w:r>
          </w:p>
        </w:tc>
        <w:tc>
          <w:tcPr>
            <w:tcW w:w="1180" w:type="dxa"/>
            <w:vAlign w:val="bottom"/>
            <w:gridSpan w:val="4"/>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1180" w:type="dxa"/>
            <w:vAlign w:val="bottom"/>
            <w:gridSpan w:val="4"/>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1060" w:type="dxa"/>
            <w:vAlign w:val="bottom"/>
            <w:gridSpan w:val="2"/>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80" w:type="dxa"/>
            <w:vAlign w:val="bottom"/>
            <w:gridSpan w:val="6"/>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9C.</w:t>
            </w:r>
          </w:p>
        </w:tc>
        <w:tc>
          <w:tcPr>
            <w:tcW w:w="1060" w:type="dxa"/>
            <w:vAlign w:val="bottom"/>
            <w:gridSpan w:val="2"/>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80" w:type="dxa"/>
            <w:vAlign w:val="bottom"/>
            <w:gridSpan w:val="6"/>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99</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1100" w:type="dxa"/>
            <w:vAlign w:val="bottom"/>
            <w:gridSpan w:val="3"/>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gridSpan w:val="7"/>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gridSpan w:val="7"/>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gridSpan w:val="7"/>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20" w:type="dxa"/>
            <w:vAlign w:val="bottom"/>
            <w:gridSpan w:val="27"/>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gridSpan w:val="7"/>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20" w:type="dxa"/>
            <w:vAlign w:val="bottom"/>
            <w:gridSpan w:val="27"/>
          </w:tcPr>
          <w:p>
            <w:pPr>
              <w:ind w:left="340"/>
              <w:spacing w:after="0" w:line="189" w:lineRule="exact"/>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740" w:type="dxa"/>
            <w:vAlign w:val="bottom"/>
            <w:gridSpan w:val="7"/>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6"/>
              </w:rPr>
              <w:t>107</w:t>
            </w:r>
          </w:p>
        </w:tc>
        <w:tc>
          <w:tcPr>
            <w:tcW w:w="20" w:type="dxa"/>
            <w:vAlign w:val="bottom"/>
          </w:tcPr>
          <w:p>
            <w:pPr>
              <w:spacing w:after="0"/>
              <w:rPr>
                <w:sz w:val="16"/>
                <w:szCs w:val="16"/>
                <w:color w:val="auto"/>
              </w:rPr>
            </w:pPr>
          </w:p>
        </w:tc>
      </w:tr>
      <w:tr>
        <w:trPr>
          <w:trHeight w:val="1593"/>
        </w:trPr>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the exhibits hereto and the information incorporated by reference herein, contains “forward-looking statements” within the meaning of the Private Securities Litigation Reform Act of 1995.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Forward-looking statements are predictions only and actual results could differ materially from management’s expectations due to a variety of factors, including those described below in Item 1A. “Risk Factors” and in Item 7. “Management’s Discussion and Analysis of Financial Condition and Results of Operations.” All forward-looking statements attributable to us or persons working on our behalf are expressly qualified in their entirety by such risk factors. Given these risks and uncertainties, you should not rely on forward-looking statements as a prediction of actual results.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681990</wp:posOffset>
            </wp:positionV>
            <wp:extent cx="1968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90 brand names in approximately 70 countries worldwide.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9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51" w:lineRule="exact"/>
        <w:rPr>
          <w:sz w:val="20"/>
          <w:szCs w:val="20"/>
          <w:color w:val="auto"/>
        </w:rPr>
      </w:pPr>
    </w:p>
    <w:p>
      <w:pPr>
        <w:ind w:left="660" w:right="100" w:hanging="328"/>
        <w:spacing w:after="0" w:line="259"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57" w:lineRule="exact"/>
        <w:rPr>
          <w:rFonts w:ascii="Times New Roman" w:cs="Times New Roman" w:eastAsia="Times New Roman" w:hAnsi="Times New Roman"/>
          <w:sz w:val="18"/>
          <w:szCs w:val="18"/>
          <w:b w:val="1"/>
          <w:bCs w:val="1"/>
          <w:i w:val="1"/>
          <w:iCs w:val="1"/>
          <w:color w:val="auto"/>
        </w:rPr>
      </w:pPr>
    </w:p>
    <w:p>
      <w:pPr>
        <w:ind w:left="660" w:right="58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33" w:lineRule="exact"/>
        <w:rPr>
          <w:rFonts w:ascii="Times New Roman" w:cs="Times New Roman" w:eastAsia="Times New Roman" w:hAnsi="Times New Roman"/>
          <w:sz w:val="18"/>
          <w:szCs w:val="18"/>
          <w:b w:val="1"/>
          <w:bCs w:val="1"/>
          <w:i w:val="1"/>
          <w:iCs w:val="1"/>
          <w:color w:val="auto"/>
        </w:rPr>
      </w:pPr>
    </w:p>
    <w:p>
      <w:pPr>
        <w:ind w:left="660" w:right="14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4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Financial and other information regarding our segments is provided in our Management’s Discussion and Analysis and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75" w:lineRule="exact"/>
        <w:rPr>
          <w:sz w:val="20"/>
          <w:szCs w:val="20"/>
          <w:color w:val="auto"/>
        </w:rPr>
      </w:pPr>
    </w:p>
    <w:p>
      <w:pPr>
        <w:ind w:right="2740"/>
        <w:spacing w:after="0" w:line="282"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 xml:space="preserve">SkinnyPop </w:t>
      </w:r>
      <w:r>
        <w:rPr>
          <w:rFonts w:ascii="Times New Roman" w:cs="Times New Roman" w:eastAsia="Times New Roman" w:hAnsi="Times New Roman"/>
          <w:sz w:val="18"/>
          <w:szCs w:val="18"/>
          <w:color w:val="auto"/>
        </w:rPr>
        <w:t>brand.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Brands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snack items such as popcorn, pretzels, spreads, snack bites and mixes; and pantry items, such as baking ingredients, toppings and beverages.</w:t>
      </w:r>
    </w:p>
    <w:p>
      <w:pPr>
        <w:spacing w:after="0" w:line="108" w:lineRule="exact"/>
        <w:rPr>
          <w:sz w:val="20"/>
          <w:szCs w:val="20"/>
          <w:color w:val="auto"/>
        </w:rPr>
      </w:pPr>
    </w:p>
    <w:p>
      <w:pPr>
        <w:jc w:val="both"/>
        <w:ind w:left="660" w:right="200" w:hanging="328"/>
        <w:spacing w:after="0" w:line="289"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our North America Confectionery segment, our product portfolio includes a wide variety of chocolate offerings marketed and sold under the renowned brands of </w:t>
      </w:r>
      <w:r>
        <w:rPr>
          <w:rFonts w:ascii="Times New Roman" w:cs="Times New Roman" w:eastAsia="Times New Roman" w:hAnsi="Times New Roman"/>
          <w:sz w:val="17"/>
          <w:szCs w:val="17"/>
          <w:i w:val="1"/>
          <w:iCs w:val="1"/>
          <w:color w:val="auto"/>
        </w:rPr>
        <w:t>Hershey’s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Reese’s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Kisses</w:t>
      </w:r>
      <w:r>
        <w:rPr>
          <w:rFonts w:ascii="Times New Roman" w:cs="Times New Roman" w:eastAsia="Times New Roman" w:hAnsi="Times New Roman"/>
          <w:sz w:val="17"/>
          <w:szCs w:val="17"/>
          <w:color w:val="auto"/>
        </w:rPr>
        <w:t xml:space="preserve">, along with other popular chocolate and non-chocolate confectionery brands such as </w:t>
      </w:r>
      <w:r>
        <w:rPr>
          <w:rFonts w:ascii="Times New Roman" w:cs="Times New Roman" w:eastAsia="Times New Roman" w:hAnsi="Times New Roman"/>
          <w:sz w:val="17"/>
          <w:szCs w:val="17"/>
          <w:i w:val="1"/>
          <w:iCs w:val="1"/>
          <w:color w:val="auto"/>
        </w:rPr>
        <w:t>Jolly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Rancher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Almond Joy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Brookside, barkTHINS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Cadbury, Good &amp; Plenty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Heath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Kit Kat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Payday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Rolo</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Twizzlers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Sour Strips, Whoppers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412115</wp:posOffset>
            </wp:positionV>
            <wp:extent cx="196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 w:name="page5"/>
    <w:bookmarkEnd w:id="4"/>
    <w:p>
      <w:pPr>
        <w:jc w:val="both"/>
        <w:ind w:left="660" w:right="100"/>
        <w:spacing w:after="0" w:line="267"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York</w:t>
      </w:r>
      <w:r>
        <w:rPr>
          <w:rFonts w:ascii="Times New Roman" w:cs="Times New Roman" w:eastAsia="Times New Roman" w:hAnsi="Times New Roman"/>
          <w:sz w:val="18"/>
          <w:szCs w:val="18"/>
          <w:color w:val="auto"/>
        </w:rPr>
        <w:t xml:space="preserve">. Our protein bar products include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bar and our gum and mint products include </w:t>
      </w:r>
      <w:r>
        <w:rPr>
          <w:rFonts w:ascii="Times New Roman" w:cs="Times New Roman" w:eastAsia="Times New Roman" w:hAnsi="Times New Roman"/>
          <w:sz w:val="18"/>
          <w:szCs w:val="18"/>
          <w:i w:val="1"/>
          <w:iCs w:val="1"/>
          <w:color w:val="auto"/>
        </w:rPr>
        <w:t>Ice Breakers</w:t>
      </w:r>
      <w:r>
        <w:rPr>
          <w:rFonts w:ascii="Times New Roman" w:cs="Times New Roman" w:eastAsia="Times New Roman" w:hAnsi="Times New Roman"/>
          <w:sz w:val="18"/>
          <w:szCs w:val="18"/>
          <w:color w:val="auto"/>
        </w:rPr>
        <w:t xml:space="preserve"> mints and chewing gum, </w:t>
      </w:r>
      <w:r>
        <w:rPr>
          <w:rFonts w:ascii="Times New Roman" w:cs="Times New Roman" w:eastAsia="Times New Roman" w:hAnsi="Times New Roman"/>
          <w:sz w:val="18"/>
          <w:szCs w:val="18"/>
          <w:i w:val="1"/>
          <w:iCs w:val="1"/>
          <w:color w:val="auto"/>
        </w:rPr>
        <w:t>Breath Savers</w:t>
      </w:r>
      <w:r>
        <w:rPr>
          <w:rFonts w:ascii="Times New Roman" w:cs="Times New Roman" w:eastAsia="Times New Roman" w:hAnsi="Times New Roman"/>
          <w:sz w:val="18"/>
          <w:szCs w:val="18"/>
          <w:color w:val="auto"/>
        </w:rPr>
        <w:t xml:space="preserve"> mints and </w:t>
      </w:r>
      <w:r>
        <w:rPr>
          <w:rFonts w:ascii="Times New Roman" w:cs="Times New Roman" w:eastAsia="Times New Roman" w:hAnsi="Times New Roman"/>
          <w:sz w:val="18"/>
          <w:szCs w:val="18"/>
          <w:i w:val="1"/>
          <w:iCs w:val="1"/>
          <w:color w:val="auto"/>
        </w:rPr>
        <w:t>Bubble Yum</w:t>
      </w:r>
      <w:r>
        <w:rPr>
          <w:rFonts w:ascii="Times New Roman" w:cs="Times New Roman" w:eastAsia="Times New Roman" w:hAnsi="Times New Roman"/>
          <w:sz w:val="18"/>
          <w:szCs w:val="18"/>
          <w:color w:val="auto"/>
        </w:rPr>
        <w:t xml:space="preserve"> bubble gum. We also have pantry items, including baking products, toppings and sundae syrups sold under the </w:t>
      </w:r>
      <w:r>
        <w:rPr>
          <w:rFonts w:ascii="Times New Roman" w:cs="Times New Roman" w:eastAsia="Times New Roman" w:hAnsi="Times New Roman"/>
          <w:sz w:val="18"/>
          <w:szCs w:val="18"/>
          <w:i w:val="1"/>
          <w:iCs w:val="1"/>
          <w:color w:val="auto"/>
        </w:rPr>
        <w:t>Hershey’s,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Reese’s, Heath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Lily’s </w:t>
      </w:r>
      <w:r>
        <w:rPr>
          <w:rFonts w:ascii="Times New Roman" w:cs="Times New Roman" w:eastAsia="Times New Roman" w:hAnsi="Times New Roman"/>
          <w:sz w:val="18"/>
          <w:szCs w:val="18"/>
          <w:color w:val="auto"/>
        </w:rPr>
        <w:t>brands, as well as</w:t>
      </w:r>
      <w:r>
        <w:rPr>
          <w:rFonts w:ascii="Times New Roman" w:cs="Times New Roman" w:eastAsia="Times New Roman" w:hAnsi="Times New Roman"/>
          <w:sz w:val="18"/>
          <w:szCs w:val="18"/>
          <w:i w:val="1"/>
          <w:iCs w:val="1"/>
          <w:color w:val="auto"/>
        </w:rPr>
        <w:t xml:space="preserve"> Hershey’s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Reese’s </w:t>
      </w:r>
      <w:r>
        <w:rPr>
          <w:rFonts w:ascii="Times New Roman" w:cs="Times New Roman" w:eastAsia="Times New Roman" w:hAnsi="Times New Roman"/>
          <w:sz w:val="18"/>
          <w:szCs w:val="18"/>
          <w:color w:val="auto"/>
        </w:rPr>
        <w:t>chocolate spreads and snack bites and mixes.</w:t>
      </w:r>
    </w:p>
    <w:p>
      <w:pPr>
        <w:spacing w:after="0" w:line="119" w:lineRule="exact"/>
        <w:rPr>
          <w:sz w:val="20"/>
          <w:szCs w:val="20"/>
          <w:color w:val="auto"/>
        </w:rPr>
      </w:pPr>
    </w:p>
    <w:p>
      <w:pPr>
        <w:ind w:left="660" w:right="14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our North America Salty Snacks segment, we have our salty snack items. This includes ready-to-eat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popcorn, baked and trans fat free </w:t>
      </w:r>
      <w:r>
        <w:rPr>
          <w:rFonts w:ascii="Times New Roman" w:cs="Times New Roman" w:eastAsia="Times New Roman" w:hAnsi="Times New Roman"/>
          <w:sz w:val="18"/>
          <w:szCs w:val="18"/>
          <w:i w:val="1"/>
          <w:iCs w:val="1"/>
          <w:color w:val="auto"/>
        </w:rPr>
        <w:t>Pirates Booty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w:t>
      </w:r>
    </w:p>
    <w:p>
      <w:pPr>
        <w:spacing w:after="0" w:line="106" w:lineRule="exact"/>
        <w:rPr>
          <w:rFonts w:ascii="Times New Roman" w:cs="Times New Roman" w:eastAsia="Times New Roman" w:hAnsi="Times New Roman"/>
          <w:sz w:val="18"/>
          <w:szCs w:val="18"/>
          <w:color w:val="auto"/>
        </w:rPr>
      </w:pPr>
    </w:p>
    <w:p>
      <w:pPr>
        <w:ind w:left="660" w:right="52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our International segment, we manufacture, market and sell many of these same brands, as well as other brands that are marketed regionally, such as </w:t>
      </w:r>
      <w:r>
        <w:rPr>
          <w:rFonts w:ascii="Times New Roman" w:cs="Times New Roman" w:eastAsia="Times New Roman" w:hAnsi="Times New Roman"/>
          <w:sz w:val="17"/>
          <w:szCs w:val="17"/>
          <w:i w:val="1"/>
          <w:iCs w:val="1"/>
          <w:color w:val="auto"/>
        </w:rPr>
        <w:t>Pelon Pelo Rico</w:t>
      </w:r>
      <w:r>
        <w:rPr>
          <w:rFonts w:ascii="Times New Roman" w:cs="Times New Roman" w:eastAsia="Times New Roman" w:hAnsi="Times New Roman"/>
          <w:sz w:val="17"/>
          <w:szCs w:val="17"/>
          <w:color w:val="auto"/>
        </w:rPr>
        <w:t xml:space="preserve"> confectionery products in Mexico, </w:t>
      </w:r>
      <w:r>
        <w:rPr>
          <w:rFonts w:ascii="Times New Roman" w:cs="Times New Roman" w:eastAsia="Times New Roman" w:hAnsi="Times New Roman"/>
          <w:sz w:val="17"/>
          <w:szCs w:val="17"/>
          <w:i w:val="1"/>
          <w:iCs w:val="1"/>
          <w:color w:val="auto"/>
        </w:rPr>
        <w:t>IO-IO</w:t>
      </w:r>
      <w:r>
        <w:rPr>
          <w:rFonts w:ascii="Times New Roman" w:cs="Times New Roman" w:eastAsia="Times New Roman" w:hAnsi="Times New Roman"/>
          <w:sz w:val="17"/>
          <w:szCs w:val="17"/>
          <w:color w:val="auto"/>
        </w:rPr>
        <w:t xml:space="preserve"> snack products in Brazil and </w:t>
      </w:r>
      <w:r>
        <w:rPr>
          <w:rFonts w:ascii="Times New Roman" w:cs="Times New Roman" w:eastAsia="Times New Roman" w:hAnsi="Times New Roman"/>
          <w:sz w:val="17"/>
          <w:szCs w:val="17"/>
          <w:i w:val="1"/>
          <w:iCs w:val="1"/>
          <w:color w:val="auto"/>
        </w:rPr>
        <w:t>Sofit</w:t>
      </w:r>
      <w:r>
        <w:rPr>
          <w:rFonts w:ascii="Times New Roman" w:cs="Times New Roman" w:eastAsia="Times New Roman" w:hAnsi="Times New Roman"/>
          <w:sz w:val="17"/>
          <w:szCs w:val="17"/>
          <w:color w:val="auto"/>
        </w:rPr>
        <w:t xml:space="preserve"> beverage products in 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Customers and Marketing Strategy</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2024, approximately 27% of our consolidated net sales were made to McLane Company, Inc., one of the largest wholesale distributors in the United States (“U.S.”) to convenience stores, drug stores, wholesale clubs and mass merchandisers and the primary distributor of our products to Wal-Mart Stores, Inc.</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732155</wp:posOffset>
            </wp:positionV>
            <wp:extent cx="1968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Pricing</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Adverse changes in climate or extreme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trading company in Switzerland performs all aspects of cocoa procurement, including price risk management, physical supply procurement and sustainable sourcing oversight. The trading company optimizes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use substantial quantities of sugar, corn products, Class II and IV dairy products, wheat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Many of our confectionery and salty snack brands enjoy wide consumer acceptance and are among the leading brands sold in the marketplace in North America and certain international markets. We sell our brands in highly competitive markets with many other global multinational, national, regional and local firms. Some of our competitors are large private companies, as well as large retailers, that have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We have also experienced increased competition from other snack items, and through innovation and acquisitions, we are continuing to expand the boundaries of our brands to capture new snacking occasions.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Seasonality and Backlog</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License Agreements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own various registered and unregistered trademarks and service marks. The trademarks covering our key product brands are of material importance to our business. Depending on the country, trademarks remain valid for as long as they are in use or their registration status is maintained. Trademark registrations generally are renewable for fixed terms.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Times New Roman" w:cs="Times New Roman" w:eastAsia="Times New Roman" w:hAnsi="Times New Roman"/>
          <w:sz w:val="18"/>
          <w:szCs w:val="18"/>
          <w:i w:val="1"/>
          <w:iCs w:val="1"/>
          <w:color w:val="auto"/>
        </w:rPr>
        <w:t>Hershey’s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brand names.</w:t>
      </w:r>
    </w:p>
    <w:p>
      <w:pPr>
        <w:spacing w:after="0" w:line="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Brand</w:t>
            </w:r>
          </w:p>
        </w:tc>
        <w:tc>
          <w:tcPr>
            <w:tcW w:w="1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Requirements</w:t>
            </w:r>
          </w:p>
        </w:tc>
        <w:tc>
          <w:tcPr>
            <w:tcW w:w="0" w:type="dxa"/>
            <w:vAlign w:val="bottom"/>
          </w:tcPr>
          <w:p>
            <w:pPr>
              <w:spacing w:after="0"/>
              <w:rPr>
                <w:sz w:val="1"/>
                <w:szCs w:val="1"/>
                <w:color w:val="auto"/>
              </w:rPr>
            </w:pPr>
          </w:p>
        </w:tc>
      </w:tr>
      <w:tr>
        <w:trPr>
          <w:trHeight w:val="21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Kraft Foods Ireland Intellectual Property Limited/Cadbury UK</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York</w:t>
            </w:r>
          </w:p>
        </w:tc>
        <w:tc>
          <w:tcPr>
            <w:tcW w:w="1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Worldwide</w:t>
            </w: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35"/>
        </w:trPr>
        <w:tc>
          <w:tcPr>
            <w:tcW w:w="4640" w:type="dxa"/>
            <w:vAlign w:val="bottom"/>
            <w:vMerge w:val="continue"/>
          </w:tcPr>
          <w:p>
            <w:pPr>
              <w:spacing w:after="0"/>
              <w:rPr>
                <w:sz w:val="11"/>
                <w:szCs w:val="11"/>
                <w:color w:val="auto"/>
              </w:rPr>
            </w:pPr>
          </w:p>
        </w:tc>
        <w:tc>
          <w:tcPr>
            <w:tcW w:w="2240" w:type="dxa"/>
            <w:vAlign w:val="bottom"/>
          </w:tcPr>
          <w:p>
            <w:pPr>
              <w:ind w:left="100"/>
              <w:spacing w:after="0" w:line="135" w:lineRule="exact"/>
              <w:rPr>
                <w:sz w:val="20"/>
                <w:szCs w:val="20"/>
                <w:color w:val="auto"/>
              </w:rPr>
            </w:pPr>
            <w:r>
              <w:rPr>
                <w:rFonts w:ascii="Times New Roman" w:cs="Times New Roman" w:eastAsia="Times New Roman" w:hAnsi="Times New Roman"/>
                <w:sz w:val="15"/>
                <w:szCs w:val="15"/>
                <w:i w:val="1"/>
                <w:iCs w:val="1"/>
                <w:color w:val="auto"/>
              </w:rPr>
              <w:t>Peter Paul Almond Joy</w:t>
            </w:r>
          </w:p>
        </w:tc>
        <w:tc>
          <w:tcPr>
            <w:tcW w:w="18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i w:val="1"/>
                <w:iCs w:val="1"/>
                <w:color w:val="auto"/>
              </w:rPr>
              <w:t>Peter Paul Mounds</w:t>
            </w: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6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vMerge w:val="continue"/>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Cadbury UK Limited</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Cadbury</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Minimum sales requirement</w:t>
            </w:r>
          </w:p>
        </w:tc>
        <w:tc>
          <w:tcPr>
            <w:tcW w:w="0" w:type="dxa"/>
            <w:vAlign w:val="bottom"/>
          </w:tcPr>
          <w:p>
            <w:pPr>
              <w:spacing w:after="0"/>
              <w:rPr>
                <w:sz w:val="1"/>
                <w:szCs w:val="1"/>
                <w:color w:val="auto"/>
              </w:rPr>
            </w:pPr>
          </w:p>
        </w:tc>
      </w:tr>
      <w:tr>
        <w:trPr>
          <w:trHeight w:val="236"/>
        </w:trPr>
        <w:tc>
          <w:tcPr>
            <w:tcW w:w="4640" w:type="dxa"/>
            <w:vAlign w:val="bottom"/>
            <w:vMerge w:val="continue"/>
          </w:tcPr>
          <w:p>
            <w:pPr>
              <w:spacing w:after="0"/>
              <w:rPr>
                <w:sz w:val="20"/>
                <w:szCs w:val="20"/>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Caramello</w:t>
            </w:r>
          </w:p>
        </w:tc>
        <w:tc>
          <w:tcPr>
            <w:tcW w:w="1860" w:type="dxa"/>
            <w:vAlign w:val="bottom"/>
          </w:tcPr>
          <w:p>
            <w:pPr>
              <w:spacing w:after="0"/>
              <w:rPr>
                <w:sz w:val="20"/>
                <w:szCs w:val="20"/>
                <w:color w:val="auto"/>
              </w:rPr>
            </w:pPr>
          </w:p>
        </w:tc>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exceeded in 2024</w:t>
            </w:r>
          </w:p>
        </w:tc>
        <w:tc>
          <w:tcPr>
            <w:tcW w:w="0" w:type="dxa"/>
            <w:vAlign w:val="bottom"/>
          </w:tcPr>
          <w:p>
            <w:pPr>
              <w:spacing w:after="0"/>
              <w:rPr>
                <w:sz w:val="1"/>
                <w:szCs w:val="1"/>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Société des Produits Nestlé SA</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Kit Kat</w:t>
            </w:r>
            <w:r>
              <w:rPr>
                <w:rFonts w:ascii="Times New Roman" w:cs="Times New Roman" w:eastAsia="Times New Roman" w:hAnsi="Times New Roman"/>
                <w:sz w:val="14"/>
                <w:szCs w:val="14"/>
                <w:i w:val="1"/>
                <w:iCs w:val="1"/>
                <w:color w:val="auto"/>
              </w:rPr>
              <w:t>®</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Minimum unit volume sales</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Rolo</w:t>
            </w:r>
            <w:r>
              <w:rPr>
                <w:rFonts w:ascii="Times New Roman" w:cs="Times New Roman" w:eastAsia="Times New Roman" w:hAnsi="Times New Roman"/>
                <w:sz w:val="14"/>
                <w:szCs w:val="14"/>
                <w:i w:val="1"/>
                <w:iCs w:val="1"/>
                <w:color w:val="auto"/>
              </w:rPr>
              <w:t>®</w:t>
            </w:r>
          </w:p>
        </w:tc>
        <w:tc>
          <w:tcPr>
            <w:tcW w:w="18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exceeded in 2024</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Good &amp; Plenty</w:t>
            </w: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Heath</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Iconic IP Interests, LLC</w:t>
            </w:r>
          </w:p>
        </w:tc>
        <w:tc>
          <w:tcPr>
            <w:tcW w:w="2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Jolly Rancher</w:t>
            </w:r>
          </w:p>
        </w:tc>
        <w:tc>
          <w:tcPr>
            <w:tcW w:w="1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Worldwide</w:t>
            </w: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2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Milk Duds</w:t>
            </w:r>
          </w:p>
        </w:tc>
        <w:tc>
          <w:tcPr>
            <w:tcW w:w="186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Payday</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Whoppers</w:t>
            </w:r>
          </w:p>
        </w:tc>
        <w:tc>
          <w:tcPr>
            <w:tcW w:w="1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engage in a variety of research and development activities in a number of countries, including the U.S., Mexico, Brazil, India and Malaysia.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Quality and Safety Regulation</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manufacture and sale of consumer food products is highly regulated. In the U.S.,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Considerations</w:t>
      </w:r>
    </w:p>
    <w:p>
      <w:pPr>
        <w:spacing w:after="0" w:line="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Beyond ordinary operating and capital expenditures that we make to comply with government regulations, including environmental laws and regulations, Hershey has made several voluntary commitments to drive long-term growth and business resilience and reduce our environmental impacts, including efforts to eliminate commodity-driven deforestation and reduce greenhouse gas (“GHG”) emissions across our own operations and supply chain. Our climate change related investments and expenditures primarily focus on our Scope 1 and 2 GHG emissions, Forest Land and Agriculture (“FLAG”) emissions and non-FLAG emissions consistent with global environmental standards. The annual operating and capital expenditures associated with ordinary course payments and additional climate change commitments are not material with respect to our results of operations, capital expenditures or competitive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commitment to sustainability started with our founder’s belief in responsible citizenship. He was a purpose-driven leader who believed we could use chocolate to Make More Moments of Goodness in the world for our consumers today and for many generations to come. This belief resulted in a strong investment in local communities and the establishment of Milton Hershey School for disadvantaged kids. We continue that legacy today through our global sustainability strategy: Our Shared Goodness Promise, which guides how we empower the remarkable people who make and sell our brands, interact with farming communities that grow our ingredients, deliver on our commitments to consumers, customers, and external stakeholders, protect the environment and support children and youth.</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To learn more about our Sustainability-related goals, progress and initiatives, as well as review our annual ESG Report and accompanying suite of Environmental, Social and Governance (“ESG”) reporting frameworks, policies, and disclosures, access the Sustainability section of our website at: </w:t>
      </w:r>
      <w:r>
        <w:rPr>
          <w:rFonts w:ascii="Times New Roman" w:cs="Times New Roman" w:eastAsia="Times New Roman" w:hAnsi="Times New Roman"/>
          <w:sz w:val="18"/>
          <w:szCs w:val="18"/>
          <w:u w:val="single" w:color="auto"/>
          <w:color w:val="auto"/>
        </w:rPr>
        <w:t>https://www.thehersheycompany.com/en_us/sustainability.html</w:t>
      </w:r>
      <w:r>
        <w:rPr>
          <w:rFonts w:ascii="Times New Roman" w:cs="Times New Roman" w:eastAsia="Times New Roman" w:hAnsi="Times New Roman"/>
          <w:sz w:val="18"/>
          <w:szCs w:val="18"/>
          <w:color w:val="auto"/>
        </w:rPr>
        <w:t>. Information found on the Company’s website is not part of this Annual Report on Form 10-K or any other report filed with the United States Securities and Exchange Commission (“SEC”).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by Geographic Area</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principal operations and markets are located in the United States. The percentage of total consolidated net sales for our businesses outside of the United States was 12.8% for 2024, 12.7% for 2023 and 12.5% for 2022. The percentage of total long-lived assets outside of the United States was 15.4% as of December 31, 2024 and 17.4%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employed approximately 18,540 full-time and 1,490 part-time employees worldwide. Collective bargaining agreements covered approximately 6,525 employees, or approximately 33% of the Company’s employees worldwide. During 2025, agreements are expected to be negotiated for certain employees at seven facilities, none of which are within the United States, comprising approximately 69% of total employees under collective bargaining agreements. We believe our efforts in managing our workforce have been effective, as evidenced by a strong culture and a good relationship between the Company and our employees.</w:t>
      </w:r>
    </w:p>
    <w:p>
      <w:pPr>
        <w:spacing w:after="0" w:line="62"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We are a purpose-driven company and for more than a century, our iconic brands have been built on a foundation of community investment and connections between people around the world. We could not have achieved this without our remarkable employees who make our purpose a reality. As a result, our human capital strategies are material to our operations and core to the long-term success of the Company.</w:t>
      </w:r>
    </w:p>
    <w:p>
      <w:pPr>
        <w:spacing w:after="0" w:line="3" w:lineRule="exact"/>
        <w:rPr>
          <w:sz w:val="20"/>
          <w:szCs w:val="20"/>
          <w:color w:val="auto"/>
        </w:rPr>
      </w:pPr>
    </w:p>
    <w:p>
      <w:pPr>
        <w:ind w:left="660" w:right="20" w:hanging="328"/>
        <w:spacing w:after="0" w:line="238"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People, Safety and Employee Engagement</w:t>
      </w:r>
      <w:r>
        <w:rPr>
          <w:rFonts w:ascii="Times New Roman" w:cs="Times New Roman" w:eastAsia="Times New Roman" w:hAnsi="Times New Roman"/>
          <w:sz w:val="17"/>
          <w:szCs w:val="17"/>
          <w:color w:val="auto"/>
        </w:rPr>
        <w:t>. Our employees are among our most important resources and are critical to our continued success.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provide a workplace that develops, supports and motivates our people. The overall well-being and safety of our employees remains one of our top priorities. We continue to invest in training, workplace resources and leading systems and processes to ensure the responsible management of all facilities. Additionally, continuous listening surveys are distributed throughout the year to all employees globally to hear their thoughts on the Company’s direction and their place in it. These continuous touchpoints allow for real-time feedback and action from the Company. These surveys are further supplemented with quarterly and informative enterprise summits and team “Ask Me Anything” meetings, which, in conjunction with the continuous listening surveys, generate stronger employee engagement with the Company’s strategy, initiatives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431800</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640" w:right="160" w:hanging="328"/>
        <w:spacing w:after="0" w:line="275"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Talent Acquisition, Development and Training</w:t>
      </w:r>
      <w:r>
        <w:rPr>
          <w:rFonts w:ascii="Times New Roman" w:cs="Times New Roman" w:eastAsia="Times New Roman" w:hAnsi="Times New Roman"/>
          <w:sz w:val="17"/>
          <w:szCs w:val="17"/>
          <w:color w:val="auto"/>
        </w:rPr>
        <w:t>. Hiring and developing our employees is critically important to our operations and we are focused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 creating experiences and programs that foster growth and performance. We provide all employees the chance to learn, grow and own their work. We have partnered with leading online content experts and increased internal learning development to expand our catalog of online and classroom courses. Additionally, we co-created a culture of development with the enthusiastic support of our employees. Through individual development plans, learning opportunities, feedback and coaching, employees can build careers at The Hershey Company, as evidenced by the fact that the majority of our executive officers were promoted from within the organization (see </w:t>
      </w:r>
      <w:r>
        <w:rPr>
          <w:rFonts w:ascii="Times New Roman" w:cs="Times New Roman" w:eastAsia="Times New Roman" w:hAnsi="Times New Roman"/>
          <w:sz w:val="17"/>
          <w:szCs w:val="17"/>
          <w:u w:val="single" w:color="auto"/>
          <w:color w:val="0000FF"/>
        </w:rPr>
        <w:t>Information about Our Executive Officers</w:t>
      </w:r>
      <w:r>
        <w:rPr>
          <w:rFonts w:ascii="Times New Roman" w:cs="Times New Roman" w:eastAsia="Times New Roman" w:hAnsi="Times New Roman"/>
          <w:sz w:val="17"/>
          <w:szCs w:val="17"/>
          <w:color w:val="auto"/>
        </w:rPr>
        <w:t>).</w:t>
      </w:r>
    </w:p>
    <w:p>
      <w:pPr>
        <w:spacing w:after="0" w:line="33" w:lineRule="exact"/>
        <w:rPr>
          <w:rFonts w:ascii="Times New Roman" w:cs="Times New Roman" w:eastAsia="Times New Roman" w:hAnsi="Times New Roman"/>
          <w:sz w:val="17"/>
          <w:szCs w:val="17"/>
          <w:color w:val="auto"/>
        </w:rPr>
      </w:pPr>
    </w:p>
    <w:p>
      <w:pPr>
        <w:ind w:left="640" w:hanging="328"/>
        <w:spacing w:after="0" w:line="25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Benefits and Wellness</w:t>
      </w:r>
      <w:r>
        <w:rPr>
          <w:rFonts w:ascii="Times New Roman" w:cs="Times New Roman" w:eastAsia="Times New Roman" w:hAnsi="Times New Roman"/>
          <w:sz w:val="18"/>
          <w:szCs w:val="18"/>
          <w:color w:val="auto"/>
        </w:rPr>
        <w:t>. In addition to offering competitive, fair and transparent compensation, we also offer a suite of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comprehensive health and meaningful retirement benefits to eligible employees, tying incentive compensation to both business and individual performance, offering parental leave and adoption benefits and maintaining an employee stock purchase plan. We also provide a number of innovative programs designed to promote physical and emotional well-being, including ergonomic workspaces, a state-of-the-art fitness center at our Hershey, Pennsylvania campus and private rooms designed for quiet reflection, prayer or wellness breaks. The Company also offers SmartFlex benefits which is our suite of policies that allows individuals to create their own balance between work and personal life, including flexing work time based on work priorities or personal commitments, such as caring for children or family members. We believe that this flexibility improves productivity, boosts job satisfaction and increases employee engagement. Additionally, the Company offers a “Best of Both” flexible work model for corporate and commercial employees to balance work and personal well-being. This model allows employees the option to work either remotely, in-office, or both, depending on individual needs, personal schedules and work demands. This offers the benefits of flexibility and in-person collaboration, while maintaining productivity and overall job satisfaction.</w:t>
      </w:r>
    </w:p>
    <w:p>
      <w:pPr>
        <w:spacing w:after="0" w:line="3" w:lineRule="exact"/>
        <w:rPr>
          <w:rFonts w:ascii="Times New Roman" w:cs="Times New Roman" w:eastAsia="Times New Roman" w:hAnsi="Times New Roman"/>
          <w:sz w:val="18"/>
          <w:szCs w:val="18"/>
          <w:color w:val="auto"/>
        </w:rPr>
      </w:pPr>
    </w:p>
    <w:p>
      <w:pPr>
        <w:ind w:left="640" w:right="100" w:hanging="328"/>
        <w:spacing w:after="0" w:line="23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Togetherness</w:t>
      </w:r>
      <w:r>
        <w:rPr>
          <w:rFonts w:ascii="Times New Roman" w:cs="Times New Roman" w:eastAsia="Times New Roman" w:hAnsi="Times New Roman"/>
          <w:sz w:val="18"/>
          <w:szCs w:val="18"/>
          <w:color w:val="auto"/>
        </w:rPr>
        <w:t>. We believe our business is stronger when we practice our Company value of Togetherness. Our people-focused programs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innovation, business growth and create a strong company culture that is fair, which enables us to delight consumers with beloved snacking brands. Our gender representation includes women occupying many of the top positions in the Company, including Chief Executive Officer and Chairman of the Board, Chief Accounting Officer and President, Salty Snacks, and approximately 50% representation across the Company. Additionally, four of our 10 Board members are women (40% representation). In 2024, we maintained fair and equitable pay achievements, including aggregate salary U.S. gender pay equity and aggregate U.S. salary people of color pay equity. Further, our eight employee-led Business Resource Groups, which include Abilities First, Black Heritage, Asian and Pacific Islander, GenH (Generations), Latino, Prism (LGBTQ), Veterans and Women’s, are open to all and play a critical role in providing mentoring and career development opportunities for all, delivering commercial business insights, and connecting people to the Company and the communities where we do business. In 2024, the Company was recognized among the World’s Most Ethical Companies as rated by Ethisphere, achieved global Great Place to Work certifications, and was recognized as a Best Place to Work for Disability Inclusion based on our Disability Equality Index score.</w:t>
      </w:r>
    </w:p>
    <w:p>
      <w:pPr>
        <w:spacing w:after="0" w:line="61" w:lineRule="exact"/>
        <w:rPr>
          <w:rFonts w:ascii="Times New Roman" w:cs="Times New Roman" w:eastAsia="Times New Roman" w:hAnsi="Times New Roman"/>
          <w:sz w:val="18"/>
          <w:szCs w:val="18"/>
          <w:color w:val="auto"/>
        </w:rPr>
      </w:pPr>
    </w:p>
    <w:p>
      <w:pPr>
        <w:ind w:left="640" w:right="20" w:hanging="328"/>
        <w:spacing w:after="0" w:line="25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and Social Impact</w:t>
      </w:r>
      <w:r>
        <w:rPr>
          <w:rFonts w:ascii="Times New Roman" w:cs="Times New Roman" w:eastAsia="Times New Roman" w:hAnsi="Times New Roman"/>
          <w:sz w:val="18"/>
          <w:szCs w:val="18"/>
          <w:color w:val="auto"/>
        </w:rPr>
        <w:t>. Our philanthropy and volunteerism efforts reflect how we live out the Company’s value of making a difference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purpose of Making More Moments of Goodness, from supporting causes our employees care about to investing in the long-term success of the communities where we live and work. We work closely with counterparts in each of our plant and office locations across the United States and globally to identify local community needs and craft tailored approaches to provide support. This work includes forging partnerships with local non-governmental organizations, providing grants and contributions and organizing volunteer service activities and employee fundraisers.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635000</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4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 and Strategic Initiatives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implement business realignment activities to support key strategic initiatives designed to maintain long-term growth. Further to such goal, in February 2024, the Board of Directors approved the Advancing Agility &amp; Automation Initiative, which is a multi-year productivity program to improve supply chain and manufacturing-related spend, optimize selling, general and administrative expenses, leverage new technology and business models to further simplify and automate processes, and generate long-term savings.</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2023, we completed our International Optimization Program, an initiative which began in the fourth quarter of 2020 and was designed to increase our operating effectiveness and efficiency, to reduce our costs and/or to generate savings that can be reinvested in other areas of our business.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website address is </w:t>
      </w:r>
      <w:r>
        <w:rPr>
          <w:rFonts w:ascii="Times New Roman" w:cs="Times New Roman" w:eastAsia="Times New Roman" w:hAnsi="Times New Roman"/>
          <w:sz w:val="18"/>
          <w:szCs w:val="18"/>
          <w:u w:val="single" w:color="auto"/>
          <w:color w:val="auto"/>
        </w:rPr>
        <w:t>www.thehersheycompany.com</w:t>
      </w:r>
      <w:r>
        <w:rPr>
          <w:rFonts w:ascii="Times New Roman" w:cs="Times New Roman" w:eastAsia="Times New Roman" w:hAnsi="Times New Roman"/>
          <w:sz w:val="18"/>
          <w:szCs w:val="18"/>
          <w:color w:val="auto"/>
        </w:rPr>
        <w:t xml:space="preserve">. We file or furnish annual, quarterly and current reports, proxy statements and other information, including amendments to these reports, with the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copies of the Company’s annual report will be made available, free of charge, on written request to the Company.</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at: </w:t>
      </w:r>
      <w:r>
        <w:rPr>
          <w:rFonts w:ascii="Times New Roman" w:cs="Times New Roman" w:eastAsia="Times New Roman" w:hAnsi="Times New Roman"/>
          <w:sz w:val="18"/>
          <w:szCs w:val="18"/>
          <w:u w:val="single" w:color="auto"/>
          <w:color w:val="auto"/>
        </w:rPr>
        <w:t>https://www.thehersheycompany.com/en_us/investors.html</w:t>
      </w:r>
      <w:r>
        <w:rPr>
          <w:rFonts w:ascii="Times New Roman" w:cs="Times New Roman" w:eastAsia="Times New Roman" w:hAnsi="Times New Roman"/>
          <w:sz w:val="18"/>
          <w:szCs w:val="18"/>
          <w:color w:val="auto"/>
        </w:rPr>
        <w:t>. If we change or waive any portion of the Code of Conduct that applies to any of our directors, executive officers or senior financial officers, we will post that information on our website. Information found on the Company’s website is not part of this Annual Report on Form 10-K or any other report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988060</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0" w:name="page11"/>
    <w:bookmarkEnd w:id="10"/>
    <w:p>
      <w:pPr>
        <w:spacing w:after="0" w:line="6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Operations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sell our iconic, branded products, we need to maintain a good reputation with our customers, consumers, suppliers, vendors and employees, among others. Issues related to the quality and safety of our products, ingredients or packaging could jeopardize our Company’s image and reputation. We have in the past recalled or removed certain products from store shelves, and may in the future need to do so again in the future. Negative publicity related to these types of concerns, or related to product contamination or product tampering, whether valid or not, could decrease demand for our products or cause production and delivery disruptions. In addition, negative publicity related to our environmental, social or governance practices could also impact our reputation with customers, consumers, suppliers and vendors.</w:t>
      </w:r>
    </w:p>
    <w:p>
      <w:pPr>
        <w:spacing w:after="0" w:line="6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have been in the past and in the future could potentially be subject to litigation or government actions as a result of issues or concerns relating to the quality and safety of our products, ingredients or packaging, human and workplace rights, and other environmental, social or governance matters, which could result in payments of fines or damages. Costs associated with these potential actions, as well as the potential impact on our reputation or ability to sell our products, could negatively affect our operating results.</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Approximately 74% of our manufacturing capacity is located in the United States. Disruption to our global manufacturing operations or our supply chain could result from, among other factors, the following:</w:t>
      </w:r>
    </w:p>
    <w:p>
      <w:pPr>
        <w:spacing w:after="0" w:line="4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coronavirus disease and/or other outbreak of disease;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severity of extreme weather;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or explosions;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or other acts of violence;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strikes or other labor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raw or packaging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service provider disruptions, such as cyber breaches or system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and/or financial instability of key suppliers, and other vendors or service providers;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Suboptimal production planning which could impact our ability to cost-effectively meet product demand.</w:t>
      </w:r>
    </w:p>
    <w:p>
      <w:pPr>
        <w:spacing w:after="0" w:line="2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mitigate or manage operational stability and business resiliency risks, particularly within our international markets and snacks portfolio, due to the potential impacts of such disruptive events on our manufacturing operations or supply chain, our financial condition and results of operations could be negatively impacted if such events were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676910</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hire, engage and retain the talented global human capital we need to drive our growth strategies.</w:t>
      </w:r>
    </w:p>
    <w:p>
      <w:pPr>
        <w:spacing w:after="0" w:line="108"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adversely impacted.</w:t>
      </w:r>
    </w:p>
    <w:p>
      <w:pPr>
        <w:spacing w:after="0" w:line="1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negatively impact our financial condition and results of operations.</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0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Climate-related changes can increase variability in, or otherwise impact, natural disasters, including weather patterns, with the potential for increased frequency and severity of significant weather events, natural hazards, rising mean temperature and sea levels, and long-term changes in precipitation patterns. Climate change or weather-related disruptions to our supply chain can impact the availability and cost of materials needed for manufacturing, which may increase insurance and other operating costs.</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Increased focus on climate change has led to legislative and regulatory efforts to combat both potential causes and adverse impacts of climate change, including regulation of GHG emissions. New or increasing laws and regulations related to GHG emissions and other climate change related concerns may adversely affect us, our suppliers and our customers, and may require the Company to invest in additional capital investments to maintain compliance. Our value chain faces similar challenges as our products rely on agricultural ingredients and a global supply chain. Climate change poses a significant and increasing risk to global food production systems and to the safety and resilience of the communities where we live, work and source our ingredients. The GHG impacts of land-use change are most pronounced in our cocoa supply chain, where we have already been working for several years to prevent deforestation and build climate resilience. Additionally, any non-compliance with legislative and regulatory requirements could negatively impact our reputation and ability to do business.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Investors, customers, advisory services, government regulators and other market participants may be focused on the environmental or sustainability practices, disclosures and performance of companies. We believe our sustainability practices, disclosures and performance are focused on the most material risks and opportunities to our business and support our environmental goals and continue to evolve to meet the growing needs of our stakeholders. However, if our environmental goals do not meet investor or other external stakeholder expectations and standards, our access to capital may be negatively impacted. An enforcement action for non-compliance with regulations or reporting requirements could harm our reputation, financial position and ability to grow. A failure to meet investor or other external stakeholder expectations or standards may adversely affect our results of operations, ability to manage our liquidity, or ability to implement our strategies.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publishes its environmental goals, with a particular focus on achieving an absolute reduction in our Scope 1 and 2 GHG emissions, Forest Land and Agriculture (FLAG) emissions, and non-FLAG emissions consistent with global environmental standards. The costs of our voluntary commitments may be greater than expected, and there can be no assurance the Company will achieve its goals, or meet the evolving sustainability expectations and standards of our investors or other external stakeholders. Any failure to achieve our goals, a perception of our failure to act responsibly with respect to the environment, or failure to respond to new or evolving legal and regulatory requirements or other sustainability concerns could adversely affect our business, reputation and increase risk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422275</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 w:name="page13"/>
    <w:bookmarkEnd w:id="12"/>
    <w:p>
      <w:pPr>
        <w:ind w:right="480"/>
        <w:spacing w:after="0" w:line="282" w:lineRule="auto"/>
        <w:rPr>
          <w:sz w:val="20"/>
          <w:szCs w:val="20"/>
          <w:color w:val="auto"/>
        </w:rPr>
      </w:pPr>
      <w:r>
        <w:rPr>
          <w:rFonts w:ascii="Times New Roman" w:cs="Times New Roman" w:eastAsia="Times New Roman" w:hAnsi="Times New Roman"/>
          <w:sz w:val="18"/>
          <w:szCs w:val="18"/>
          <w:color w:val="auto"/>
        </w:rPr>
        <w:t>The effects and costs of climate change, or any failure to meet related requirements and expectations, could have a negative impact on our reputation,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Industry in Which We Operate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raw material and energy costs along with the availability of adequate supplies of raw materials could affect future financial results.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use many different commodities for our business, including cocoa products, sugar, corn products, dairy products, wheat products, peanuts, almonds, natural gas and diesel fuel.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Commodities are subject to price volatility and changes in supply caused by numerous factors, including:</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market fluctuations;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between supply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levels of inflation and interest rates related to domestic and global economic conditions or supply chain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extreme weather on crop yield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influences;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agreements among producing and consuming 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compliance with commitments;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requirements for raw materials and finished goods;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in 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living income premiums or similar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agricultural programs and energy policies; and</w:t>
      </w:r>
    </w:p>
    <w:p>
      <w:pPr>
        <w:spacing w:after="0" w:line="9" w:lineRule="exact"/>
        <w:rPr>
          <w:rFonts w:ascii="Times New Roman" w:cs="Times New Roman" w:eastAsia="Times New Roman" w:hAnsi="Times New Roman"/>
          <w:sz w:val="18"/>
          <w:szCs w:val="18"/>
          <w:color w:val="auto"/>
        </w:rPr>
      </w:pPr>
    </w:p>
    <w:p>
      <w:pPr>
        <w:ind w:left="660" w:right="62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 such as the impacts on the business or supply chain arising from the ongoing conflict between Russia and Ukraine.</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use forward contracts and commodity futures and options contracts to hedge commodity prices where possible, commodity price increases ultimately result in corresponding increases in our raw material and energy costs. For example, our cost of sales during the year ended 2024 compared to the same period of 2023 experienced an incremental $563.0 million of favorable mark-to-market activity on our commodity derivative instruments intended to economically hedge future years’ commodity purchases, more than offsetting higher commodity costs. During the year ended 2024, market prices for the majority of our exchange traded commodities increased, including cocoa, which has increased approximately 130% since the beginning of the year.</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continue to monitor and use our risk management strategy where possible to hedge commodity prices in order to mitigate corresponding increases in our raw materials and energy costs, however, if we are unable to offset cost increases for major raw materials and energy, there could be a negative impact on our financial condition and results of operations.</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(including if inflation outpaces our pricing elasticity) sufficiently, or in a timely manner, to offset increased raw material, energy or other input costs, including packaging, freight, tariffs, direct labor, overhead and employee benefits, or if our sales volume decreases significantly, there could be a negative impact on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new and existing products could decline.</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retail execution;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advertising campaigns and marketing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shelf space at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sustainable innovation and maintain a strong pipeline of new products in the confectionery and broader snacking categories;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react to changes in product category consumption;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 to consumer demographics and trends, including but not limited to, trends relating to store trips and the impact of the growing digital commerce channel; and</w:t>
      </w:r>
    </w:p>
    <w:p>
      <w:pPr>
        <w:ind w:left="660" w:right="74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health and wellness concerns, including weight management (i.e., use of medications, dieting) and the consumption of certain ingredients.</w:t>
      </w:r>
    </w:p>
    <w:p>
      <w:pPr>
        <w:spacing w:after="0" w:line="2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27% of our consolidated net sales in 2024. McLane Company, Inc. is one of the largest wholesale distributors in the United States to convenience stores, drug stores, wholesale clubs and mass merchandisers, including Wal-Mart Stores,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marketplace competition could hurt our business.</w:t>
      </w:r>
    </w:p>
    <w:p>
      <w:pPr>
        <w:spacing w:after="0" w:line="9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global confectionery and snacks packaged goods industry is intensely competitive and consolidation in this industry continues. Some of our competitors are large private companies, as well as large retailers,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Strategic Initiatives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impacted by the failure to successfully execute or integrate acquisitions, divestitures and joint ventures.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6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2024, we completed the acquisition of the Sour Strips brand from Actual Candy, LLC. Sour Strips is an emerging sour candy brand. In 2023, we completed the acquisition of certain assets that provide additional manufacturing capacity from Weaver Popcorn, a manufacturer of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popcorn, which helped us strengthen our supply chain capabilities. While we believe significant operating synergies can be obtained in connection with these acquisitions, achievement of these synergies will be driven by our ability to successfully leverage Hershey’s resources, expertise, capability-building, distribution locations and customer base. In addition, the acquisitions of Dot’s and Pretzels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2021 were important steps in our journey to expand our breadth in snacking, as they should enable us to bring scale and category management capabilities to a key sub-segment of the warehouse snack aisle. If we are unable to successfully couple Hershey’s scale and expertise in brand building with the existing operations of our acquired brands, it may impact our ability to expand our snacking footprint at our desired pace.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not achieve projected growth objectives, which could adversely impact our overall business and results of operations.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2024, 2023 and 2022, respectively, we derived approximately 12.8%, 12.7% and 12.5% of our net sales from customers located outside of the United States. Additionally, approximately 15% of our total long-lived assets were located outside of the United States as of December 31, 2024. As part of our strategy, we have made investments outside of the United States, particularly in Canada, Malaysia, Mexico, Brazil and India. As a result, we are subject to risks and uncertainties relating to international sales and operations, including:</w:t>
      </w:r>
    </w:p>
    <w:p>
      <w:pPr>
        <w:spacing w:after="0" w:line="58" w:lineRule="exact"/>
        <w:rPr>
          <w:sz w:val="20"/>
          <w:szCs w:val="20"/>
          <w:color w:val="auto"/>
        </w:rPr>
      </w:pPr>
    </w:p>
    <w:p>
      <w:pPr>
        <w:ind w:left="660" w:right="4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manage operational stability and business resiliency within our international markets due to unforeseen global economic and environmental changes resulting in business interruption, supply constraints, inflation, deflation or decreased demand;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develop and achieve market acceptance of our global brands in international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compliance and enforcement of remedies under a wide variety of complex laws, treaties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environments;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the possibility of civil unrest, terrorism, mass violence or armed conflict;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of our properties by foreign governments;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that may exceed those in the United States and earnings that may be subject to withholding requirements and incremental taxes upon repatriation;</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on U.S. imports and retaliatory tariffs in response, quotas, trade barriers, other trade protection measures and import or export licensing requirements;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disruptions in shipping or reduced availability of freight transportation;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exchange rate fluctuations between the U.S. dollar and foreign currencies;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gain sufficient profitable scale in certain international markets resulting in an inability to cover manufacturing fixed costs or resulting in losses from impairment or sale of assets;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recruit, retain and build a talented and engaged global workforce.</w:t>
      </w:r>
    </w:p>
    <w:p>
      <w:pPr>
        <w:spacing w:after="0" w:line="23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fully realize the expected cost savings and/or operating efficiencies associated with our strategic initiatives or restructuring programs, which may have an adverse impact on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depend on our ability to evolve and grow, and as changes in our business environment occur, we may adjust our business plans by introducing new strategic initiatives or restructuring programs to meet these changes. Recently introduced strategic initiatives include our efforts to continue to expand our presence in digital commerce, to transform our manufacturing, commercial and corporate operations through digital technologies and to enhance our data analytics capabilities to develop new commercial insights. If we are not able to capture our share of the expanding digital commerce market, if we do not adequately leverage technology to improve operating efficiencies or if we are unable to develop the data analytics capabilities needed to generate actionable commercial insights, our business performance may be impacted, which may negatively impact our financial condition and results of operations.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from time to time we implement business realignment activities to support key strategic initiatives designed to maintain long-term sustainable growth, such as the International Optimization Program, which we commenced in the fourth quarter of 2020 and completed in 2023. This program was intended to increase our operating effectiveness and efficiency, to reduce our costs and/or to generate savings that can be reinvested in other areas of our business. Additionally, in February 2024, the Board of Directors approved the Advancing Agility &amp;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5" w:name="page16"/>
    <w:bookmarkEnd w:id="15"/>
    <w:p>
      <w:pPr>
        <w:ind w:right="60"/>
        <w:spacing w:after="0" w:line="258" w:lineRule="auto"/>
        <w:rPr>
          <w:sz w:val="20"/>
          <w:szCs w:val="20"/>
          <w:color w:val="auto"/>
        </w:rPr>
      </w:pPr>
      <w:r>
        <w:rPr>
          <w:rFonts w:ascii="Times New Roman" w:cs="Times New Roman" w:eastAsia="Times New Roman" w:hAnsi="Times New Roman"/>
          <w:sz w:val="18"/>
          <w:szCs w:val="18"/>
          <w:color w:val="auto"/>
        </w:rPr>
        <w:t>Initiative, which is a multi-year productivity program to improve supply chain and manufacturing-related spend, optimize selling, general and administrative expenses, leverage new technology and business models to further simplify and automate processes, and generate long-term savings.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and Regulatory Changes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governmental laws, regulations and policies could increase our costs and liabilities or impact demand for our products.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Changes in U.S. and non-U.S. laws, regulations and policies and the manner in which they are interpreted or applied may alter our business environment. These negative impacts could result from changes in food and drug laws, laws related to advertising and marketing practices, accounting standards, taxation compliance and requirements, tariffs on U.S. imports and retaliatory tariffs in response, competition laws, employment laws, import/export requirements and environmental laws, among others. For example, the European Union’s Deforestation Regulation (“EUDR”) will require the Company to conduct extensive diligence on seven commodities, including cocoa, palm oil and soy, as well as products derived from these commodities, such as chocolate, and the value chain, to ensure the goods do not result from recent deforestation, forest degradation, or breaches of local laws in order to sell such products in the European Union market or exported from it. The EUDR is scheduled to be effective in December 2025, following a one-year postponement. The EUDR, and other current or proposed regulations in markets in which we operate, are likely to increase our compliance costs, could depress sales in such markets if our products are not in compliance by applicable effective dates, and could result in fines and penalties or reputational harm if we do not fully comply. It is possible that we could become subject to additional liabilities in the future resulting from changes in laws and regulations that could result in an adverse effect on our financial condition and results of operations.</w:t>
      </w:r>
    </w:p>
    <w:p>
      <w:pPr>
        <w:spacing w:after="0" w:line="13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economic and/or financial market conditions, including impacts on our business arising from the ongoing conflict between Russia and Ukraine, could negatively impact our financial results.</w:t>
      </w:r>
    </w:p>
    <w:p>
      <w:pPr>
        <w:spacing w:after="0" w:line="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broad political instability, rising unemployment, pandemic, or other outbreak of disease, climate change, weather, natural and other disasters, changing consumer demand, and declines in personal spending could adversely impact our revenues, profitability and financial condition.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in February 2022, Russia invaded Ukraine and this conflict is still ongoing. In response, the U.S. and other countries have imposed sanctions on Russia and may impose further sanctions that could damage or disrupt international commerce and the global economy. With respect to the conflict between Russia and Ukraine, the situation remains dynamic and subject to rapid and possibly material change. The Company’s efforts to manage and mitigate any direct or indirect effects from this conflict may ultimately be unsuccessful, and the effectiveness of these efforts depends on factors beyond our control, including the duration of the conflict and potential governmental actions. The potential effects of the ongoing conflict between Russia and Ukraine may also impact many of the other risk factors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687705</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Digital Transformation, Cybersecurity and Data Privacy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failures or security breaches of our information technology infrastructure could have a negative impact on our operations.</w:t>
      </w:r>
    </w:p>
    <w:p>
      <w:pPr>
        <w:spacing w:after="0" w:line="108"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 third parties.</w:t>
      </w:r>
    </w:p>
    <w:p>
      <w:pPr>
        <w:spacing w:after="0" w:line="12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are regularly the target of cyber, ransomware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resiliency preparedness. We also have processes in place to prevent disruptions resulting from our implementation of new software and systems. Employees are trained annually on cybersecurity wellness and our acceptable use policy and we have implemented phishing simulations to increase awareness and compliance. We also currently maintain a cyber insurance policy that provides coverage for security breaches; however, such insurance may not be sufficient in type or amount to cover us against claims related to security breaches, cyber-attacks and other related breaches.</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been subject to cyber attacks, ransomware and other security breaches, though these incidents historically have not had a significant impact on our business operations. The techniques that are used to obtain unauthorized access, disable or degrade service or sabotage systems change frequently and may be difficult to detect for long periods of time, and the sophistication of efforts by hackers to gain unauthorized access to information systems has continued to increase in recent years and may continue to do so. Despite continued vigilance in these areas, disruptions in or failures of information technology systems are possible and could have a negative impact on our operations or business reputation. Failure of our systems, including failures due to cyber attacks, ransomware or other security breaches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ransomware or other security breach could be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Complications with the design or implementation of our new enterprise resource planning system could adversely impact our business and operations.</w:t>
      </w:r>
    </w:p>
    <w:p>
      <w:pPr>
        <w:spacing w:after="0" w:line="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manage our business and summarize operating results. We are in the process of a multi-year implementation of a new global enterprise resource planning (“ERP”) system; specifically, in April 2024, we operationalized the final phase of our project by implementing our new ERP system in the North America Confectionery segment and select business units included in our International segment. This ERP system replaces our legacy operating and financial systems and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as we support post-implementation efforts and system functionality. We may not be able to successfully support post-implementation efforts without experiencing delays, increased costs and other difficulties. Any disruptions or difficulties in using our ERP system could result in harm to our business, including our ability to forecast, manufacture or facilitate the shipment of our product, record net sales and collect our outstanding receivables. If we are unable to successfully manage post-implementation efforts related to our new ERP system as planned, our financial positions, results of operations and cash flows could be negatively impacted. Additionally, if the ERP system does not operate as intended,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433705</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 w:name="page18"/>
    <w:bookmarkEnd w:id="17"/>
    <w:p>
      <w:pPr>
        <w:ind w:right="140"/>
        <w:spacing w:after="0" w:line="282" w:lineRule="auto"/>
        <w:rPr>
          <w:sz w:val="20"/>
          <w:szCs w:val="20"/>
          <w:color w:val="auto"/>
        </w:rPr>
      </w:pPr>
      <w:r>
        <w:rPr>
          <w:rFonts w:ascii="Times New Roman" w:cs="Times New Roman" w:eastAsia="Times New Roman" w:hAnsi="Times New Roman"/>
          <w:sz w:val="18"/>
          <w:szCs w:val="18"/>
          <w:color w:val="auto"/>
        </w:rPr>
        <w:t>effectiveness of our internal control over financial reporting could be adversely affected or our ability to assess those controls adequately could be further delayed.</w:t>
      </w:r>
    </w:p>
    <w:p>
      <w:pPr>
        <w:spacing w:after="0" w:line="185"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Information technology is important to our business operations, and we are committed to protecting the privacy, security and integrity of our data, as well as our employee and customer data. The Company has a comprehensive cybersecurity program in place for assessing, identifying and managing cybersecurity risks that is designed to protect its systems and data from unauthorized access, use or other security impact, that is aligned with the National Institute of Standards and Technology (“NIST”). This program is integrated into the Company’s overall Enterprise Risk Management and Resiliency process.</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continuously monitor and update our information technology networks and infrastructure to prevent, detect, address and mitigate risks associated with unauthorized access, misuse, computer viruses and other events that could have a security impact. We invest in industry standard security technology to protect the Company’s data and business processes against risk of cybersecurity incidents. Our data security management program includes identity, trust, vulnerability and threat management business processes, as well as adoption of standard data protection policies. We measure our data security effectiveness by benchmarking against industry-accepted methods and we work to remediate any significant findings. We maintain and routinely test backup systems and disaster recovery and also have processes in place to prevent disruptions resulting from our implementation of new software and systems.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a comprehensive incident response plan to address cybersecurity incidents. The Company’s incident response plan includes procedures for identifying, containing and responding to cybersecurity incidents and is subject to regular review and assessment to ensure that it is effective in protecting the Company’s information technology. To date, the Company believes that its cybersecurity program has been effective in protecting the confidentiality, integrity, and availability of its information; however, the Company cannot guarantee that its cybersecurity program will be successful in preventing all cybersecurity incidents. Further, we currently maintain a cyber insurance policy that provides coverage for security breaches; however, such insurance may not be sufficient in type or amount to cover us against claims related to security breaches, cyber-attacks and other related breaches.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engages external parties, including consultants, computer security firms and risk management and governance experts, to enhance its cybersecurity oversight. In order to oversee and identify risks from cybersecurity threats associated with the Company’s use of third-party service providers, we also have a third-party risk management program designed to help protect against the misuse of information technology by third parties and business partners, which includes certification of our major technology suppliers and any outsourced services through accepted security certification standards.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are regularly subject to cybersecurity attacks, ransomware and other security breaches, the Company has not experienced any material cybersecurity incidents or a series of related unauthorized occurrences for the year ended December 31, 2024. The Company does not believe that there are currently any known risks from cybersecurity threats that have materially affected or are reasonably likely to materially affect the Company or its business strategy, results of operations or financial condition. However, as discussed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specifically the risks titled “Disruptions, failures or security breaches of our information technology infrastructure could have a negative impact on our operations,” the sophistication of cyber, ransomware and other security threats continues to increase, and the preventative actions we take to reduce the risk of these incidents and protect our systems and information may be insufficient. Accordingly, no matter how well designed or implemented our controls are, we will not be able to anticipate all cybersecurity attacks, ransomware and other security breaches and we may not be able to implement effective preventive measures against such security breaches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680085</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 and Oversight</w:t>
      </w:r>
    </w:p>
    <w:p>
      <w:pPr>
        <w:spacing w:after="0" w:line="10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 mix of experiences, skills, qualifications and backgrounds to support strategy and risk oversight, including expertise in cybersecurity and oversight of cybersecurity matters. This oversight is achieved through the Company’s Finance and Risk Management (“F&amp;RM”) Committee, which is comprised of five members of our Board of Directors, and one Board member who serves in an ex-officio capacity. The F&amp;RM Committee is responsible for reviewing key enterprise risks identified through our Enterprise Risk Management and Resiliency process, which includes information security strategies and risks, as well as data privacy and protection risks and mitigation strategies (collectively, “Information Security”). At each regularly scheduled F&amp;RM Committee meeting, management, through the Company’s Chief Information Security Officer (“CISO”), reports on Information Security controls, audits, guidelines and developments and the F&amp;RM Committee is notified between such updates regarding significant new cybersecurity threats or incidents.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CISO, who reports to the Chief Technology Officer (“CTO”), oversees a dedicated Information Security team that is supported by the Privacy Center of Excellence, and works in partnership with internal audit to review certain information technology-related internal controls with our independent auditors as part of the overall internal controls process. The Chief Information Officer (“CIO”), who also reports to the CTO, focuses on our technology modernization priorities, integrating innovative technology solutions to support our business goals, and leading enterprise-wide IT transformation initiatives. Our CTO, who reports to the Chief Executive Officer, has oversight of our Information Security team and leads the company’s global technology strategy, architecting and deploying digital capabilities that are innovative, flexible and prepared to meet the changing needs of our consumers, retail partners and employees.</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The CISO’s cybersecurity experience includes over thirty years of Information Technology experience, including twenty years within the Information Security field. The CISO’s Information Security roles have included security engineering, security architecture, strategy development and execution, risk and compliance management and identity and access management and incident response. The Company’s CIO has over twenty years of experience, including leading digital transformation and global information technology governance. The Company’s CTO has over twenty years of experience, including deep expertise in developing cutting-edge automated systems, supply chain planning, optimization and simulation, artificial intelligence and predictive analytics. Additional experience held by the CTO is described further under </w:t>
      </w:r>
      <w:r>
        <w:rPr>
          <w:rFonts w:ascii="Times New Roman" w:cs="Times New Roman" w:eastAsia="Times New Roman" w:hAnsi="Times New Roman"/>
          <w:sz w:val="18"/>
          <w:szCs w:val="18"/>
          <w:u w:val="single" w:color="auto"/>
          <w:color w:val="0000FF"/>
        </w:rPr>
        <w:t>Information about Our Executive Officers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ensure our employees are educated on potential cybersecurity threats or actions, we train our executive officers and global workforce on an ongoing basis in the event of a potential cyber threat or cybersecurity incident. Our Company-wide Information Security training program includes security awareness training, including regular phishing simulations, acceptable use training, cyber wellness trainings and other targeted trainings throughout the year. Additional training mechanisms we may use to assess, identify, and manage risks from cybersecurity threats, include simulations, tabletop exercises and response readiness tests to test our preparedness and incident response process. These trainings provide employees the opportunity to gain an understanding of the various forms of cybersecurity incidents and enable our employees to handle and report any suspicious activity or threat.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576580</wp:posOffset>
            </wp:positionV>
            <wp:extent cx="1968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9" w:name="page20"/>
    <w:bookmarkEnd w:id="19"/>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include the following:</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64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160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0" w:type="dxa"/>
            <w:vAlign w:val="bottom"/>
          </w:tcPr>
          <w:p>
            <w:pPr>
              <w:spacing w:after="0"/>
              <w:rPr>
                <w:sz w:val="1"/>
                <w:szCs w:val="1"/>
                <w:color w:val="auto"/>
              </w:rPr>
            </w:pPr>
          </w:p>
        </w:tc>
      </w:tr>
      <w:tr>
        <w:trPr>
          <w:trHeight w:val="183"/>
        </w:trPr>
        <w:tc>
          <w:tcPr>
            <w:tcW w:w="15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Hershey, Pennsylvania</w:t>
            </w:r>
          </w:p>
        </w:tc>
        <w:tc>
          <w:tcPr>
            <w:tcW w:w="100" w:type="dxa"/>
            <w:vAlign w:val="bottom"/>
            <w:tcBorders>
              <w:top w:val="single" w:sz="8" w:color="CCEEFF"/>
            </w:tcBorders>
            <w:shd w:val="clear" w:color="auto" w:fill="CCEEFF"/>
          </w:tcPr>
          <w:p>
            <w:pPr>
              <w:spacing w:after="0"/>
              <w:rPr>
                <w:sz w:val="15"/>
                <w:szCs w:val="15"/>
                <w:color w:val="auto"/>
              </w:rPr>
            </w:pPr>
          </w:p>
        </w:tc>
        <w:tc>
          <w:tcPr>
            <w:tcW w:w="55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principal plants)</w:t>
            </w:r>
          </w:p>
        </w:tc>
        <w:tc>
          <w:tcPr>
            <w:tcW w:w="5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Lancaster, Pennsylvania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Hazleton, Pennsylvania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Robinson, Illinois</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Stuarts Draft, Virginia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Edgerton, Kansas</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Bluffton, Indiana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Plymouth, Indiana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Lawrence, Kansas</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Whitestown, Indiana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Manufacturing—salty snack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Annville, Pennsylvania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Palmyra, Pennsylvania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Edwardsville, Illinois</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Ogden, Utah</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Kennesaw, Georgia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Whitestown, Indiana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Hershey, Pennsylvania</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administrative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Brantford, Ontario</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 Salto, Mexico</w:t>
            </w: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 and pantry items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r>
        <w:trPr>
          <w:trHeight w:val="234"/>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Johor, Malaysia</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Manufacturing—confectionery products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regularly improve our facilities to incorporate the latest technologies. The largest facilities are located in Hershey, Lancaster and Hazleton, Pennsylvania; Monterrey and El Salto, Mexico; and Stuarts Draft, Virginia. The U.S., Canada and Mexico facilities in the table above primarily support our North America Confectionery and North America Salty Snacks segments, while the Malaysia facility primarily serves our International segment.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 we do not manage our assets on a segment basis given the integration of certain manufacturing, warehousing, distribution and other activities in support of our global operations.</w:t>
      </w:r>
    </w:p>
    <w:p>
      <w:pPr>
        <w:spacing w:after="0" w:line="225"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Consolidated Financial Statements.</w:t>
      </w:r>
    </w:p>
    <w:p>
      <w:pPr>
        <w:spacing w:after="0" w:line="262"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ITEM. INFORMATION ABOUT OUR EXECUTIVE OFFICERS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of the Company, their positions and, as of February 10, 2025, their ages are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Positions Held During the Last Five Years</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r>
      <w:tr>
        <w:trPr>
          <w:trHeight w:val="26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Andrew Archambault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22"/>
                <w:szCs w:val="22"/>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U.S. Confection (February 2025)</w:t>
            </w: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Deepak Bhatia </w:t>
            </w:r>
            <w:r>
              <w:rPr>
                <w:rFonts w:ascii="Times New Roman" w:cs="Times New Roman" w:eastAsia="Times New Roman" w:hAnsi="Times New Roman"/>
                <w:sz w:val="23"/>
                <w:szCs w:val="23"/>
                <w:color w:val="auto"/>
                <w:vertAlign w:val="superscript"/>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3"/>
                <w:szCs w:val="23"/>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Technology Officer (October 2023)</w:t>
            </w: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Michele G. Buck</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 (October 2019)</w:t>
            </w: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Rohit Grover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International (April 2019)</w:t>
            </w: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176"/>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Jennifer L. McCalman </w:t>
            </w:r>
            <w:r>
              <w:rPr>
                <w:rFonts w:ascii="Times New Roman" w:cs="Times New Roman" w:eastAsia="Times New Roman" w:hAnsi="Times New Roman"/>
                <w:sz w:val="20"/>
                <w:szCs w:val="20"/>
                <w:color w:val="auto"/>
                <w:vertAlign w:val="superscript"/>
              </w:rPr>
              <w:t>(3)</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Vice President, Chief Accounting Officer (February 2021);</w:t>
            </w:r>
          </w:p>
        </w:tc>
      </w:tr>
      <w:tr>
        <w:trPr>
          <w:trHeight w:val="243"/>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Director, Global Controller (March 2019)</w:t>
            </w: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R. Reiman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Supply Chain Officer (June 2019)</w:t>
            </w: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M. Scalia</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Human Resources Officer (January 2020);</w:t>
            </w:r>
          </w:p>
        </w:tc>
      </w:tr>
      <w:tr>
        <w:trPr>
          <w:trHeight w:val="241"/>
        </w:trPr>
        <w:tc>
          <w:tcPr>
            <w:tcW w:w="2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Global Human Resources (March 2018)</w:t>
            </w:r>
          </w:p>
        </w:tc>
      </w:tr>
      <w:tr>
        <w:trPr>
          <w:trHeight w:val="176"/>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James Turoff</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General Counsel and Secretary (May 2021);</w:t>
            </w:r>
          </w:p>
        </w:tc>
      </w:tr>
      <w:tr>
        <w:trPr>
          <w:trHeight w:val="175"/>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Acting General Counsel (December 2020);</w:t>
            </w:r>
          </w:p>
        </w:tc>
      </w:tr>
      <w:tr>
        <w:trPr>
          <w:trHeight w:val="239"/>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Deputy General Counsel (March 2019)</w:t>
            </w: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Veronica Villasenor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Salty Snacks (February 2025);</w:t>
            </w:r>
          </w:p>
        </w:tc>
      </w:tr>
      <w:tr>
        <w:trPr>
          <w:trHeight w:val="216"/>
        </w:trPr>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General Manager Salty Snacks (April 2023);</w:t>
            </w:r>
          </w:p>
        </w:tc>
      </w:tr>
      <w:tr>
        <w:trPr>
          <w:trHeight w:val="216"/>
        </w:trPr>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General Manager Dot’s and Pretzels, Inc. (August 2022);</w:t>
            </w:r>
          </w:p>
        </w:tc>
      </w:tr>
      <w:tr>
        <w:trPr>
          <w:trHeight w:val="216"/>
        </w:trPr>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Marketing US Confection (July 2021);</w:t>
            </w:r>
          </w:p>
        </w:tc>
      </w:tr>
      <w:tr>
        <w:trPr>
          <w:trHeight w:val="241"/>
        </w:trPr>
        <w:tc>
          <w:tcPr>
            <w:tcW w:w="2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Marketing Chocolate (February 2020)</w:t>
            </w: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E. Voskuil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(February 2021);</w:t>
            </w:r>
          </w:p>
        </w:tc>
      </w:t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Chief Accounting Officer (November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above-named officers of our Company.</w:t>
      </w:r>
    </w:p>
    <w:p>
      <w:pPr>
        <w:spacing w:after="0" w:line="239" w:lineRule="exact"/>
        <w:rPr>
          <w:sz w:val="20"/>
          <w:szCs w:val="20"/>
          <w:color w:val="auto"/>
        </w:rPr>
      </w:pPr>
    </w:p>
    <w:p>
      <w:pPr>
        <w:ind w:left="460" w:right="40" w:hanging="412"/>
        <w:spacing w:after="0" w:line="244" w:lineRule="auto"/>
        <w:tabs>
          <w:tab w:leader="none" w:pos="3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Archambault was appointed President, U.S. Confection effective February 3, 2025. Prior to joining our Company he was President, U.S. Refreshment Beverages (November 2023), President, Commercial &amp; Beverage Concentrates (August 2022), Chief Customer Officer (October 2018), and Senior Vice President of Commercial Strategy (December 2017) for Keurig Dr. Pepper (formerly Keurig Green Mountain), a beverage and coffeemaker company.</w:t>
      </w:r>
    </w:p>
    <w:p>
      <w:pPr>
        <w:ind w:left="460" w:right="180" w:hanging="412"/>
        <w:spacing w:after="0" w:line="247" w:lineRule="auto"/>
        <w:tabs>
          <w:tab w:leader="none" w:pos="3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Bhatia was appointed Senior Vice President, Chief Technology Officer effective October 23, 2023. Prior to joining our Company he was the Vice President of Supply Chain Optimization Technologies (August 2021) and Vice President of Technology, Inventory Planning &amp; Control in Supply Chain Optimization Technologies (March 2019) at Amazon.com, Inc., a multinational technology company.</w:t>
      </w:r>
    </w:p>
    <w:p>
      <w:pPr>
        <w:spacing w:after="0" w:line="4" w:lineRule="exact"/>
        <w:rPr>
          <w:rFonts w:ascii="Times New Roman" w:cs="Times New Roman" w:eastAsia="Times New Roman" w:hAnsi="Times New Roman"/>
          <w:sz w:val="18"/>
          <w:szCs w:val="18"/>
          <w:color w:val="auto"/>
        </w:rPr>
      </w:pPr>
    </w:p>
    <w:p>
      <w:pPr>
        <w:ind w:left="460" w:right="200" w:hanging="412"/>
        <w:spacing w:after="0" w:line="312" w:lineRule="auto"/>
        <w:tabs>
          <w:tab w:leader="none" w:pos="44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McCalman was appointed Vice President, Chief Accounting Officer effective February 23, 2021. Prior to joining our Company she was Senior Director and Assistant Controller for Keurig Dr. Pepper (formerly Keurig Green Mountain) (May 2017), a beverage and coffeemaker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generally appointed each year at the organization meeting of the Board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760" w:right="300" w:hanging="850"/>
        <w:spacing w:after="0" w:line="28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1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principally on the New York Stock Exchange under the ticker symbol “HSY.” The Class B Common Stock (“Class B Stock”) is not publicly traded.</w:t>
      </w:r>
    </w:p>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closing price of our Common Stock on December 31, 2024 (the last business day of the of the fiscal year) was $169.35. There were 23,068 stockholders of record of our Common Stock and 5 stockholders of record of our Class B Stock as of December 31, 2024.</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paid $1,084.8 million in cash dividends on our Common Stock and Class B Stock in 2024 and $889.1 million in 2023. The annual dividend rate on our Common Stock in 2024 was $5.480 per share.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5, 2025, our Board declared a quarterly dividend of $1.370 per share of Common Stock payable on March 14, 2025, to stockholders of record as of February 17, 2025. It is the Company’s 380th consecutive quarterly Common Stock dividend. A quarterly dividend of $1.245 per share of Class B Stock also was declared.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purchases of shares of Common Stock made by or on behalf of Hershey, or any “affiliated purchaser” (as defined in Rule 10b-18(a)(3) under the Securities Exchange Act of 1934, as amended) of Hershey, for each fiscal month in the three months ended December 31, 2024.</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July 2018, our Board of Directors approved a $500 million share repurchase authorization to repurchase shares of our Common Stock. As a result of the February 2023 Stock Purchase Agreement with Hershey Trust Company, as trustee for the Milton Hershey School Trust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School Trust, pursuant to which the Company purchased 1,000,000 shares of the Company’s Common Stock from the School Trust at a price equal to $239.91 per share, for a total purchase price of $239.9 million.</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 Stock Purchase Agreement with Hershey Trust Company, as trustee for the School Trust, pursuant to which the Company purchased 1,000,000 shares of the Company’s Common Stock from the School Trust at a price equal to $203.35 per share, for a total purchase price of $203.4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2" w:name="page23"/>
    <w:bookmarkEnd w:id="22"/>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500 Packaged Foods Index.</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S&amp;P 500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051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Company/Index</w:t>
            </w: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Hershey Company</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457200</wp:posOffset>
            </wp:positionV>
            <wp:extent cx="19685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68"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Business Model and Growth Strategy</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Critical Accounting Policies and Estimates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AND GROWTH STRATEGY</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producer of quality chocolate in North America, a leading snack maker in the United States and a global leader in chocolate and non-chocolate confectionery. We report our operations through three segments: (i) North America Confectionery, (ii) North America Salty Snacks and (iii) International,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vision is to be a leading snacking powerhouse. We aspire to be a leader in meeting consumers’ evolving snacking needs while strengthening the capabilities that drive our growth. We are focused on four strategic imperatives to ensure the Company’s success now and in the future:</w:t>
      </w:r>
    </w:p>
    <w:p>
      <w:pPr>
        <w:spacing w:after="0" w:line="187" w:lineRule="exact"/>
        <w:rPr>
          <w:sz w:val="20"/>
          <w:szCs w:val="20"/>
          <w:color w:val="auto"/>
        </w:rPr>
      </w:pPr>
    </w:p>
    <w:p>
      <w:pPr>
        <w:ind w:left="340" w:right="120" w:hanging="332"/>
        <w:spacing w:after="0" w:line="258"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 Core Confection Business and Broaden Participation in Snacking</w:t>
      </w:r>
      <w:r>
        <w:rPr>
          <w:rFonts w:ascii="Times New Roman" w:cs="Times New Roman" w:eastAsia="Times New Roman" w:hAnsi="Times New Roman"/>
          <w:sz w:val="18"/>
          <w:szCs w:val="18"/>
          <w:color w:val="auto"/>
        </w:rPr>
        <w:t>. We continue to be the undisputed leader in U.S. confection by taking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deepen our consumer connections and utilize our beloved brands to deliver meaningful innovation, while also diversifying our portfolio to capture profitable and incremental growth across the broader snacking continuum.</w:t>
      </w:r>
    </w:p>
    <w:p>
      <w:pPr>
        <w:ind w:left="980" w:right="40" w:hanging="324"/>
        <w:spacing w:after="0" w:line="250" w:lineRule="auto"/>
        <w:tabs>
          <w:tab w:leader="none" w:pos="9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frequently play an important role in special moments among family and friends. Seasons are an important part of our business model and for consumers, as they are highly anticipated, cherished times, centered around traditions. For us, it’s an opportunity for our brands to be part of many connections during the year when family and friends gather.</w:t>
      </w:r>
    </w:p>
    <w:p>
      <w:pPr>
        <w:spacing w:after="0" w:line="1" w:lineRule="exact"/>
        <w:rPr>
          <w:rFonts w:ascii="Times New Roman" w:cs="Times New Roman" w:eastAsia="Times New Roman" w:hAnsi="Times New Roman"/>
          <w:sz w:val="18"/>
          <w:szCs w:val="18"/>
          <w:color w:val="auto"/>
        </w:rPr>
      </w:pPr>
    </w:p>
    <w:p>
      <w:pPr>
        <w:ind w:left="980" w:right="600" w:hanging="324"/>
        <w:spacing w:after="0" w:line="250" w:lineRule="auto"/>
        <w:tabs>
          <w:tab w:leader="none" w:pos="9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is an important lever in this variety-seeking category and we are leveraging work from our proprietary demand landscape analytical tool to shape our future innovation and make it more impactful. We are becoming more disciplined in our focus on platform innovation, which should enable sustainable growth over time and significant extensions to our core.</w:t>
      </w:r>
    </w:p>
    <w:p>
      <w:pPr>
        <w:spacing w:after="0" w:line="1"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expand our breadth in snacking and become a leading snacking powerhouse, we are focused on continuing to expand the boundaries of our core confection brands to capture new snacking occasions and increasing our exposure into new snack categories through acquisitions.</w:t>
      </w:r>
    </w:p>
    <w:p>
      <w:pPr>
        <w:spacing w:after="0" w:line="206"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 Profitable International Growth</w:t>
      </w:r>
      <w:r>
        <w:rPr>
          <w:rFonts w:ascii="Times New Roman" w:cs="Times New Roman" w:eastAsia="Times New Roman" w:hAnsi="Times New Roman"/>
          <w:sz w:val="18"/>
          <w:szCs w:val="18"/>
          <w:color w:val="auto"/>
        </w:rPr>
        <w:t>. We are focused on ensuring that we efficiently allocate our resources to the areas with the highest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profitable growth. We have reset our international investment strategy, while holding fast to our belief that our targeted emerging market strategy will deliver long-term, profitable growth. The uncertain macroeconomic environment in many of these markets is expected to continue and we aim to ensure our investments in these international markets are appropriate relative to the size of the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581025</wp:posOffset>
            </wp:positionV>
            <wp:extent cx="1968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left="340" w:right="80" w:hanging="332"/>
        <w:spacing w:after="0" w:line="258"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Competitive Advantage through Differentiated Capabilities</w:t>
      </w:r>
      <w:r>
        <w:rPr>
          <w:rFonts w:ascii="Times New Roman" w:cs="Times New Roman" w:eastAsia="Times New Roman" w:hAnsi="Times New Roman"/>
          <w:sz w:val="18"/>
          <w:szCs w:val="18"/>
          <w:color w:val="auto"/>
        </w:rPr>
        <w:t>. In order to generate actionable insights, we must acquire, integrate, access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vast sources of the right data in an effective manner. We are working to leverage our advanced data and analytical techniques to gain a deep understanding of our consumers, our customers, our shoppers, our end-to-end supply chain, our retail environment and key economic drivers at both a macro and precision level, including digital transformation and new media models. In addition, we are in the process of transforming our supply chain capabilities and enterprise resource planning system, which will enable employees to work more efficiently and effectively.</w:t>
      </w:r>
    </w:p>
    <w:p>
      <w:pPr>
        <w:spacing w:after="0" w:line="210" w:lineRule="exact"/>
        <w:rPr>
          <w:rFonts w:ascii="Times New Roman" w:cs="Times New Roman" w:eastAsia="Times New Roman" w:hAnsi="Times New Roman"/>
          <w:sz w:val="18"/>
          <w:szCs w:val="18"/>
          <w:i w:val="1"/>
          <w:iCs w:val="1"/>
          <w:color w:val="auto"/>
        </w:rPr>
      </w:pPr>
    </w:p>
    <w:p>
      <w:pPr>
        <w:ind w:left="340" w:right="180" w:hanging="332"/>
        <w:spacing w:after="0" w:line="256"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Responsibly Manage Our Operations to Ensure the Long-Term Sustainability of Our Business, Our Planet and Our People</w:t>
      </w:r>
      <w:r>
        <w:rPr>
          <w:rFonts w:ascii="Times New Roman" w:cs="Times New Roman" w:eastAsia="Times New Roman" w:hAnsi="Times New Roman"/>
          <w:sz w:val="18"/>
          <w:szCs w:val="18"/>
          <w:color w:val="auto"/>
        </w:rPr>
        <w:t>. We are a purpose-driven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for more than a century, our iconic brands have been built on a foundation of community investment and connections between people around the world. We could not have achieved this without our remarkable employees who make our purpose a reality. We believe our long-standing values make our Company a special place to work.</w:t>
      </w:r>
    </w:p>
    <w:p>
      <w:pPr>
        <w:spacing w:after="0" w:line="1" w:lineRule="exact"/>
        <w:rPr>
          <w:rFonts w:ascii="Times New Roman" w:cs="Times New Roman" w:eastAsia="Times New Roman" w:hAnsi="Times New Roman"/>
          <w:sz w:val="18"/>
          <w:szCs w:val="18"/>
          <w:i w:val="1"/>
          <w:iCs w:val="1"/>
          <w:color w:val="auto"/>
        </w:rPr>
      </w:pPr>
    </w:p>
    <w:p>
      <w:pPr>
        <w:ind w:left="980" w:right="80" w:hanging="324"/>
        <w:spacing w:after="0" w:line="250" w:lineRule="auto"/>
        <w:tabs>
          <w:tab w:leader="none" w:pos="9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utilize continuous listening surveys that are distributed throughout the year to all employees globally to hear their thoughts on the Company’s direction and their place in it. These continuous touchpoints allow for real-time feedback and action from the Company. These surveys are further supplemented with quarterly and informative enterprise summits and team “Ask Me Anything” meetings, which, in conjunction with the continuous listening surveys, generate stronger employee engagement with the Company’s strategy, initiatives and leadership.</w:t>
      </w:r>
    </w:p>
    <w:p>
      <w:pPr>
        <w:spacing w:after="0" w:line="1"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diverse and inclusive culture makes the difference across all areas of the business. Our gender representation includes women occupying many of the top positions in the Company, including Chief Executive Officer and Chairman of the Board, Chief Accounting Officer and President, Salty Snacks, and approximately 50% representation across the Company. Additionally, four of our 10 Board members are women (40% representation). In 2024, we maintained fair and equitable pay achievements, including aggregate salary U.S. gender pay equity and aggregate U.S. salary people of color pay equity.</w:t>
      </w:r>
    </w:p>
    <w:p>
      <w:pPr>
        <w:spacing w:after="0" w:line="1" w:lineRule="exact"/>
        <w:rPr>
          <w:rFonts w:ascii="Times New Roman" w:cs="Times New Roman" w:eastAsia="Times New Roman" w:hAnsi="Times New Roman"/>
          <w:sz w:val="18"/>
          <w:szCs w:val="18"/>
          <w:color w:val="auto"/>
        </w:rPr>
      </w:pPr>
    </w:p>
    <w:p>
      <w:pPr>
        <w:ind w:left="980" w:right="160" w:hanging="324"/>
        <w:spacing w:after="0" w:line="253" w:lineRule="auto"/>
        <w:tabs>
          <w:tab w:leader="none" w:pos="9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make progress on our ESG priorities and continue to elevate these ESG initiatives for a greater global impact. Through our focus on sustainability and social impact across our value chain, we continue to improve and focus on the lives of cocoa farmers and cocoa communities, the environmental priorities of climate change and the role of packaging in our business, responsibly and sustainably sourcing the inputs to our products and increasing investments in human rights and diversity initiatives and growing diverse representation across the organization.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90 brand names in approximately 70 countries worldwide.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62" w:lineRule="exact"/>
        <w:rPr>
          <w:sz w:val="20"/>
          <w:szCs w:val="20"/>
          <w:color w:val="auto"/>
        </w:rPr>
      </w:pPr>
    </w:p>
    <w:p>
      <w:pPr>
        <w:ind w:right="2740"/>
        <w:spacing w:after="0" w:line="282"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w:t>
      </w:r>
    </w:p>
    <w:p>
      <w:pPr>
        <w:spacing w:after="0" w:line="9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 xml:space="preserve">SkinnyPop </w:t>
      </w:r>
      <w:r>
        <w:rPr>
          <w:rFonts w:ascii="Times New Roman" w:cs="Times New Roman" w:eastAsia="Times New Roman" w:hAnsi="Times New Roman"/>
          <w:sz w:val="18"/>
          <w:szCs w:val="18"/>
          <w:color w:val="auto"/>
        </w:rPr>
        <w:t>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694055</wp:posOffset>
            </wp:positionV>
            <wp:extent cx="1968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Throughout 2024, U.S. consumer behavior continued to shift and evolve, as cost fatigue and labor markets restrict income growth and constrain consumer spending and purchasing patterns. As a result, consumer behavior related to our products has shifted. As such, for the year ended December 31, 2024,we continued to experience a dynamic macroeconomic environment, including price volatility related to select commodities, resulting in corresponding incremental costs and gross margin pressures, and net sales and net income declines. Despite specific actions taken to mitigate these gross margin pressures, we continue to experience overall declines in consumer demands for our products, and higher prices for direct materials used to manufacture our products were, and continue to be, the primary incremental cost to our business (see </w:t>
      </w:r>
      <w:r>
        <w:rPr>
          <w:rFonts w:ascii="Times New Roman" w:cs="Times New Roman" w:eastAsia="Times New Roman" w:hAnsi="Times New Roman"/>
          <w:sz w:val="18"/>
          <w:szCs w:val="18"/>
          <w:u w:val="single" w:color="auto"/>
          <w:color w:val="0000FF"/>
        </w:rPr>
        <w:t>Consolidated Results of Operations</w:t>
      </w:r>
      <w:r>
        <w:rPr>
          <w:rFonts w:ascii="Times New Roman" w:cs="Times New Roman" w:eastAsia="Times New Roman" w:hAnsi="Times New Roman"/>
          <w:sz w:val="18"/>
          <w:szCs w:val="18"/>
          <w:color w:val="auto"/>
        </w:rPr>
        <w:t xml:space="preserve"> included in this MD&amp;A). We utilize many exchange traded commodities for our business that are subject to price volatility, specifically cocoa products, which experienced a market price increase of approximately 70% throughout 2024 (see </w:t>
      </w:r>
      <w:r>
        <w:rPr>
          <w:rFonts w:ascii="Times New Roman" w:cs="Times New Roman" w:eastAsia="Times New Roman" w:hAnsi="Times New Roman"/>
          <w:sz w:val="18"/>
          <w:szCs w:val="18"/>
          <w:u w:val="single" w:color="auto"/>
          <w:color w:val="0000FF"/>
        </w:rPr>
        <w:t>Item 7A - Quantitative and Qualitative Disclosures about Market Risk</w:t>
      </w:r>
      <w:r>
        <w:rPr>
          <w:rFonts w:ascii="Times New Roman" w:cs="Times New Roman" w:eastAsia="Times New Roman" w:hAnsi="Times New Roman"/>
          <w:sz w:val="18"/>
          <w:szCs w:val="18"/>
          <w:color w:val="auto"/>
        </w:rPr>
        <w:t xml:space="preserve"> included in this Annual Report on Form 10-K).</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certain geopolitical events, specifically the conflict between Russia and Ukraine, as well as the imposition of tariffs on U.S. imports and retaliatory tariffs in response, have increased global economic and political uncertainty. For the year ended December 31, 2024, neither the conflict between Russia and Ukraine, nor the imposition of tariffs on U.S. imports and retaliatory tariffs, had a material impact on our commodity prices or supply availability. However, we are continuing to monitor each of these events for any significant escalation or expansion of economic or supply chain disruptions or broader inflationary costs, which may result in material adverse effects on our results of operations.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the possibility of a recession, changes in consumer shopping and consumption behavior, and changes in geopolitical events, including the ongoing conflict between Russia and Ukraine, we may experience increasing supply chain costs, higher inflation and other impacts to our business.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571500</wp:posOffset>
            </wp:positionV>
            <wp:extent cx="196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9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3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93"/>
        </w:trPr>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10,419.3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5,901.4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6,167.2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5,920.5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5,300.9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4,997.8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4,498.8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8"/>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43.2 %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Selling, Marketing &amp; Administrative (“SM&amp;A”)</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2,373.6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2,236.0</w:t>
            </w: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21.5%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costs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NM</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272.3</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1,861.8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Note: Percentage changes may not compute directly as shown due to rounding of amounts presented above.</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18"/>
          <w:szCs w:val="18"/>
          <w:color w:val="auto"/>
        </w:rPr>
        <w:t>Net sales were $11,202.3 million in 2024 compared to $11,165.0 million in 2023, an increase of $37.3 million, or 0.3%. The net sales increase reflects a favorable price realization of approximately 3% primarily due to higher list prices in the North America Confectionery and International segments, partially offset by declines in North America Salty Snacks. The increase was partially offset by a volume decrease of approximately 2% due to declines in the North America Confectionery and International segments, partially offset by an increase in North America Salty Snacks. The increase was further offset by a minimal unfavorable impact from foreign currency exchange rates.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06" w:lineRule="exact"/>
        <w:rPr>
          <w:sz w:val="20"/>
          <w:szCs w:val="20"/>
          <w:color w:val="auto"/>
        </w:rPr>
      </w:pPr>
    </w:p>
    <w:p>
      <w:pPr>
        <w:jc w:val="both"/>
        <w:ind w:left="40" w:right="200"/>
        <w:spacing w:after="0" w:line="289" w:lineRule="auto"/>
        <w:rPr>
          <w:sz w:val="20"/>
          <w:szCs w:val="20"/>
          <w:color w:val="auto"/>
        </w:rPr>
      </w:pPr>
      <w:r>
        <w:rPr>
          <w:rFonts w:ascii="Times New Roman" w:cs="Times New Roman" w:eastAsia="Times New Roman" w:hAnsi="Times New Roman"/>
          <w:sz w:val="17"/>
          <w:szCs w:val="17"/>
          <w:color w:val="auto"/>
        </w:rPr>
        <w:t>Net sales were $11,165.0 million in 2023 compared to $10,419.3 million in 2022, an increase of $745.7 million, or 7.2%. The net sales increase reflects a favorable price realization of 8.3% due to higher list prices across all segments and by a favorable impact from foreign currency exchange rates of 0.2%. The increase was slightly offset by a volume decrease of 1.3% due to a decrease in consumer demand primarily in everyday core U.S. confection brands.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8"/>
          <w:szCs w:val="18"/>
          <w:color w:val="auto"/>
        </w:rPr>
        <w:t>For the full year 2024, our total U.S. retail takeaway increased 0.8% in the expanded multi-outlet combined plus convenience store channels (MULO+ w/ Convenience), which includes candy, mint, gum, salty snacks and grocery items. Our U.S. candy, mint and gum (“CMG”) consumer takeaway increased</w:t>
      </w:r>
    </w:p>
    <w:p>
      <w:pPr>
        <w:ind w:left="40" w:right="100"/>
        <w:spacing w:after="0" w:line="260" w:lineRule="auto"/>
        <w:rPr>
          <w:sz w:val="20"/>
          <w:szCs w:val="20"/>
          <w:color w:val="auto"/>
        </w:rPr>
      </w:pPr>
      <w:r>
        <w:rPr>
          <w:rFonts w:ascii="Times New Roman" w:cs="Times New Roman" w:eastAsia="Times New Roman" w:hAnsi="Times New Roman"/>
          <w:sz w:val="18"/>
          <w:szCs w:val="18"/>
          <w:color w:val="auto"/>
        </w:rPr>
        <w:t>0.1% and experienced a CMG market share decline of 59 basis points. Our Salty consumer takeaway increased 4.2% and experienced a Salty market share increase of 11 basis points.</w:t>
      </w:r>
    </w:p>
    <w:p>
      <w:pPr>
        <w:spacing w:after="0" w:line="127" w:lineRule="exact"/>
        <w:rPr>
          <w:sz w:val="20"/>
          <w:szCs w:val="20"/>
          <w:color w:val="auto"/>
        </w:rPr>
      </w:pPr>
    </w:p>
    <w:p>
      <w:pPr>
        <w:ind w:left="40" w:right="200"/>
        <w:spacing w:after="0" w:line="266" w:lineRule="auto"/>
        <w:rPr>
          <w:sz w:val="20"/>
          <w:szCs w:val="20"/>
          <w:color w:val="auto"/>
        </w:rPr>
      </w:pPr>
      <w:r>
        <w:rPr>
          <w:rFonts w:ascii="Times New Roman" w:cs="Times New Roman" w:eastAsia="Times New Roman" w:hAnsi="Times New Roman"/>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414655</wp:posOffset>
            </wp:positionV>
            <wp:extent cx="1968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440" w:right="339" w:bottom="1440" w:gutter="0" w:footer="0" w:header="0"/>
        </w:sectPr>
      </w:pPr>
    </w:p>
    <w:bookmarkStart w:id="27" w:name="page28"/>
    <w:bookmarkEnd w:id="27"/>
    <w:p>
      <w:pPr>
        <w:ind w:left="40" w:right="240"/>
        <w:spacing w:after="0" w:line="282" w:lineRule="auto"/>
        <w:rPr>
          <w:sz w:val="20"/>
          <w:szCs w:val="20"/>
          <w:color w:val="auto"/>
        </w:rPr>
      </w:pPr>
      <w:r>
        <w:rPr>
          <w:rFonts w:ascii="Times New Roman" w:cs="Times New Roman" w:eastAsia="Times New Roman" w:hAnsi="Times New Roman"/>
          <w:sz w:val="18"/>
          <w:szCs w:val="18"/>
          <w:color w:val="auto"/>
        </w:rPr>
        <w:t>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ind w:left="40" w:right="40"/>
        <w:spacing w:after="0" w:line="256" w:lineRule="auto"/>
        <w:rPr>
          <w:sz w:val="20"/>
          <w:szCs w:val="20"/>
          <w:color w:val="auto"/>
        </w:rPr>
      </w:pPr>
      <w:r>
        <w:rPr>
          <w:rFonts w:ascii="Times New Roman" w:cs="Times New Roman" w:eastAsia="Times New Roman" w:hAnsi="Times New Roman"/>
          <w:sz w:val="18"/>
          <w:szCs w:val="18"/>
          <w:color w:val="auto"/>
        </w:rPr>
        <w:t xml:space="preserve">Cost of sales were $5,901.4 million in 2024 compared to $6,167.2 million in 2023, a decrease of $265.8 million, or 4.3%. The decrease included $637.9 million of favorable costs, driven by an incremental $563.0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Item 7A - Quantitative and Qualitative Disclosures About Market Risk</w:t>
      </w:r>
      <w:r>
        <w:rPr>
          <w:rFonts w:ascii="Times New Roman" w:cs="Times New Roman" w:eastAsia="Times New Roman" w:hAnsi="Times New Roman"/>
          <w:sz w:val="18"/>
          <w:szCs w:val="18"/>
          <w:color w:val="auto"/>
        </w:rPr>
        <w:t xml:space="preserve"> for more information) and lower costs, primarily related to lower sales volume, in line with the declines in net sales noted above. The decrease was partially offset by $372.1 million of higher costs, primarily driven by higher commodity costs from cocoa, higher supply chain costs, unfavorable mix and incremental business realignment costs.</w:t>
      </w:r>
    </w:p>
    <w:p>
      <w:pPr>
        <w:spacing w:after="0" w:line="66"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Gross margin was 47.3% in 2024 compared with 44.8% in 2023, an increase of 250 basis points. The increase was driven by favorable year-over-year mark-to-market impact from commodity derivative instruments, favorable price realization and volume declines. The increase was partially offset by higher commodity costs, unfavorable product mix and increased business realignment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92" w:lineRule="exact"/>
        <w:rPr>
          <w:sz w:val="20"/>
          <w:szCs w:val="20"/>
          <w:color w:val="auto"/>
        </w:rPr>
      </w:pPr>
    </w:p>
    <w:p>
      <w:pPr>
        <w:ind w:left="40" w:right="60"/>
        <w:spacing w:after="0" w:line="258" w:lineRule="auto"/>
        <w:rPr>
          <w:sz w:val="20"/>
          <w:szCs w:val="20"/>
          <w:color w:val="auto"/>
        </w:rPr>
      </w:pPr>
      <w:r>
        <w:rPr>
          <w:rFonts w:ascii="Times New Roman" w:cs="Times New Roman" w:eastAsia="Times New Roman" w:hAnsi="Times New Roman"/>
          <w:sz w:val="18"/>
          <w:szCs w:val="18"/>
          <w:color w:val="auto"/>
        </w:rPr>
        <w:t>Cost of sales were $6,167.2 million in 2023 compared with $5,920.5 million in 2022, an increase of $246.7 million, or 4.2%. The increase included $356.2 million of unfavorable costs driven by higher supply chain costs, including higher labor costs partially offset by lower logistics costs, and unfavorable mix. The increase was further driven by an incremental $97.7 million of unfavorable mark-to-market activity on our commodity derivative instruments intended to economically hedge future years’ commodity purchases. These increases were partially offset by $207.2 million of favorable supply chain productivity and price realization.</w:t>
      </w:r>
    </w:p>
    <w:p>
      <w:pPr>
        <w:spacing w:after="0" w:line="129" w:lineRule="exact"/>
        <w:rPr>
          <w:sz w:val="20"/>
          <w:szCs w:val="20"/>
          <w:color w:val="auto"/>
        </w:rPr>
      </w:pPr>
    </w:p>
    <w:p>
      <w:pPr>
        <w:ind w:left="40" w:right="20"/>
        <w:spacing w:after="0" w:line="261" w:lineRule="auto"/>
        <w:rPr>
          <w:sz w:val="20"/>
          <w:szCs w:val="20"/>
          <w:color w:val="auto"/>
        </w:rPr>
      </w:pPr>
      <w:r>
        <w:rPr>
          <w:rFonts w:ascii="Times New Roman" w:cs="Times New Roman" w:eastAsia="Times New Roman" w:hAnsi="Times New Roman"/>
          <w:sz w:val="18"/>
          <w:szCs w:val="18"/>
          <w:color w:val="auto"/>
        </w:rPr>
        <w:t>Gross margin was 44.8% in 2023 compared with 43.2% in 2022, an increase of 160 basis points. The increase was driven by favorable price realization and increased supply chain productivity. The increase was partially offset by unfavorable activity on our mark-to-market impact from commodity derivative instruments, higher supply chain costs, including higher labor costs and increased waste. The increase was further driven by unfavorable mix and foreign exchange 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92"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Selling, marketing and administrative (“SM&amp;A”) expenses were $2,373.6 million in 2024 compared to $2,436.5 million in 2023, a decrease of $62.9 million, or 2.6%. The decrease was driven by lower corporate expenses. Total advertising and related consumer marketing expenses declined 0.1%% driven by North America Confectionery, significantly offset by increased spending in North America Salty Snacks. SM&amp;A expenses, excluding advertising and related consumer marketing, decreased approximately 3.8% in 2024 driven by lower compensation and benefit costs across segments.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92" w:lineRule="exact"/>
        <w:rPr>
          <w:sz w:val="20"/>
          <w:szCs w:val="20"/>
          <w:color w:val="auto"/>
        </w:rPr>
      </w:pPr>
    </w:p>
    <w:p>
      <w:pPr>
        <w:ind w:left="40" w:right="100"/>
        <w:spacing w:after="0" w:line="261" w:lineRule="auto"/>
        <w:rPr>
          <w:sz w:val="20"/>
          <w:szCs w:val="20"/>
          <w:color w:val="auto"/>
        </w:rPr>
      </w:pPr>
      <w:r>
        <w:rPr>
          <w:rFonts w:ascii="Times New Roman" w:cs="Times New Roman" w:eastAsia="Times New Roman" w:hAnsi="Times New Roman"/>
          <w:sz w:val="18"/>
          <w:szCs w:val="18"/>
          <w:color w:val="auto"/>
        </w:rPr>
        <w:t>SM&amp;A expenses were $2,436.5 million in 2023 compared to $2,236.0 million in 2022, an increase of $200.5 million, or 9.0%. The increase was driven by increased corporate expenses. Total advertising and related consumer marketing expenses increased 12.2% driven by North America Confectionery and North America Salty Snacks. SM&amp;A expenses, excluding advertising and related consumer marketing, increased approximately 7.5% in 2023 driven by higher compensation costs and investments in capabilities and technology across segments.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75" w:lineRule="exact"/>
        <w:rPr>
          <w:sz w:val="20"/>
          <w:szCs w:val="20"/>
          <w:color w:val="auto"/>
        </w:rPr>
      </w:pPr>
    </w:p>
    <w:p>
      <w:pPr>
        <w:ind w:left="40" w:right="280"/>
        <w:spacing w:after="0" w:line="266"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 In 2024, 2023 and 2022, we recorded business realignment costs of $29.1 million, $0.4 million and $2.0 million, respectively. The 2024 costs related primarily to the Advancing Agility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414655</wp:posOffset>
            </wp:positionV>
            <wp:extent cx="1968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417" w:right="339" w:bottom="1440" w:gutter="0" w:footer="0" w:header="0"/>
        </w:sectPr>
      </w:pPr>
    </w:p>
    <w:bookmarkStart w:id="28" w:name="page29"/>
    <w:bookmarkEnd w:id="28"/>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Automation Initiative that the Board of Directors approved in February 2024. The Advancing Agility &amp; Automation Initiative, which is a multi-year productivity program to improve supply chain and manufacturing-related spend, optimize selling, general and administrative expenses, leverage new technology and business models to further simplify and automate processes, and generate long-term savings. The 2023 and 2022 costs related primarily to the International Optimization Program, a program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profit was $2,898.2 million in 2024 compared to $2,560.9 million in 2023, an increase of $337.3 million, or 13.2%. The increase was predominantly due to higher gross profit and lower SM&amp;A expenses partially offset by higher business realignment costs, as noted above. Operating profit margin increased to 25.9% in 2024 from 22.9% in 2023 by the same factors noted above in gross margin.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0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Operating profit was $2,560.9 million in 2023 compared to $2,260.8 million in 2022, an increase of $300.1 million, or 13.3%. The increase was predominantly due to higher gross profit, partially offset by higher SM&amp;A expenses, as noted above. Operating profit margin decreased to 22.9% in 2023 from 21.7% in 2022 by the same factors noted above in gross margin.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interest expense was $165.7 million in 2024 compared to $151.8 million in 2023, an increase of $13.9 million, or 9.1%. The increase was primarily due to higher short-term debt balances in 2024 compared to 2023, specifically related to outstanding commercial paper. The increase in the expense was partially offset by a decrease in short-term foreign bank borrowings and an increase in interest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9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Net interest expense was $151.8 million in 2023 compared to $137.6 million in 2022, an increase of $14.2 million, or 10.3%. The increase was primarily due to higher rates on short-term debt balances in 2023 versus 2022, specifically related to outstanding commercial paper borrowings, and higher rates on long-term debt balances, specifically related to the $350 million 4.25% Notes due in May 2028 and $400 million 4.50% Notes due in May 2033, each of which were issued in May 2023. The increase in the expense was partially offset by an increase in interest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totaled an expense of $258.6 million in 2024 versus an expense of $237.2 million in 2023, an increase of $21.4 million, or</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9.0%. The increase in the net expense was primarily driven by an increase of $32.8 million of higher write-downs on equity investments qualifying for tax credits in 2024 versus 2023, partially offset by a decrease of $10.6 million of lower non-service cost components of net periodic benefit cost relating to pension and other post-retirement benefit plans.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totaled an expense of $237.2 million in 2023 versus an expense of $206.1 million in 2022, an increase of $31.1 million, or</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15.1%. The increase in the net expense was primarily driven by an increase of $22.2 million of higher write-downs on equity investments qualifying for tax credits in 2023 versus 2022 and an increase of $9.5 million of higher non-service cost components of net periodic benefit cost relating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421005</wp:posOffset>
            </wp:positionV>
            <wp:extent cx="1968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10.2% for 2024 compared with 14.3% for 2023. Relative to the 21% statutory rate, the 2024 effective tax rate benefited from investment tax credits, partially offset by state taxes. The 2023 effective rate, relative to the 21% statutory rate, benefited from investment tax credits, partially offset by state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effective income tax rate was 14.3% for 2023 compared with 14.2% for 2022. Relative to the 21% statutory rate, the 2023 effective tax rate benefited from investment tax credits, partially offset by state taxes. The 2022 effective rate, relative to the 21% statutory rate, benefited from investment tax credits, partially offset by state taxes.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Net income was $2,221.2 million in 2024 compared to $1,861.8 million in 2023, an increase of $359.4 million, or 19.3%. Earnings Per Share (“EPS”)-diluted was $10.92 in 2024 compared to $9.06 in 2023, an increase of $1.86, or 20.5%. The increase in both net income and EPS-diluted was driven primarily by higher gross profit, lower SM&amp;A expenses and lower income taxes, partially offset by higher business realignment costs and higher other income and expenses. Our 2024 EPS-diluted benefited from lower weighted-average shares outstanding as a result of share repurchases pursuant to our Board-approved repurchase programs.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9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Net income was $1,861.8 million in 2023 compared to $1,644.8 million in 2022, an increase of $217.0 million, or 13.2%. EPS-diluted was $9.06 in 2023 compared to $7.96 in 2022, an increase of $1.1, or 13.8%. The increase in both net income and EPS-diluted was driven primarily by higher gross profit, partially offset by higher SM&amp;A expenses, higher income taxes, and higher other income and expenses. Our 2023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 w:name="page31"/>
    <w:bookmarkEnd w:id="3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 xml:space="preserve">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our Chief Operating Decision Maker, Michele Buck, Chairman of the Board, President, and Chief Executive Officer,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Refer to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Segment Information in our audited consolidated financial statements for reconciliations of net sales for our reportable segments to consolidated total net sales and of segment operating income to consolidated income before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3"/>
        </w:trPr>
        <w:tc>
          <w:tcPr>
            <w:tcW w:w="6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8,536.5</w:t>
            </w:r>
          </w:p>
        </w:tc>
      </w:tr>
      <w:tr>
        <w:trPr>
          <w:trHeight w:val="229"/>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r>
      <w:tr>
        <w:trPr>
          <w:trHeight w:val="229"/>
        </w:trPr>
        <w:tc>
          <w:tcPr>
            <w:tcW w:w="6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2,811.1</w:t>
            </w:r>
          </w:p>
        </w:tc>
      </w:tr>
      <w:tr>
        <w:trPr>
          <w:trHeight w:val="230"/>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9"/>
        </w:trPr>
        <w:tc>
          <w:tcPr>
            <w:tcW w:w="6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losses on commodity derivatives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1,917.0</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40" w:right="260" w:hanging="332"/>
        <w:spacing w:after="0" w:line="272"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9" w:lineRule="exact"/>
        <w:rPr>
          <w:rFonts w:ascii="Times New Roman" w:cs="Times New Roman" w:eastAsia="Times New Roman" w:hAnsi="Times New Roman"/>
          <w:sz w:val="16"/>
          <w:szCs w:val="16"/>
          <w:color w:val="auto"/>
        </w:rPr>
      </w:pPr>
    </w:p>
    <w:p>
      <w:pPr>
        <w:ind w:left="340" w:right="100" w:hanging="332"/>
        <w:spacing w:after="0" w:line="29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395605</wp:posOffset>
            </wp:positionV>
            <wp:extent cx="1968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accounted for 81.4%, 81.7% and 81.9% of our net sales in 2024, 2023 and 2022, respectively. North America Confectionery results for the years ended December 31, 2024, 2023 and 2022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5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9,118.6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9,123.1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8,536.5</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2,811.1</w:t>
            </w:r>
          </w:p>
        </w:tc>
        <w:tc>
          <w:tcPr>
            <w:tcW w:w="12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$9,118.6 million in 2024 compared to $9,123.1 million in 2023, a decrease of $4.5 million. The decrease was driven by volume declines of approximately 4% driven by a decrease in everyday core U.S. confection brands. The decrease was partially offset by a favorable price realization of approximately 4% due to price increases on certain products across our portfolio, and a minimal benefit from the 2024 acquisition of Sour Strips. There was no impact from foreign currency exchange rates.</w:t>
      </w:r>
    </w:p>
    <w:p>
      <w:pPr>
        <w:spacing w:after="0" w:line="4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3.5% during 2024 compared to 2023.</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$2,945.7 million in 2024 compared to $3,117.0 million in 2023, a decrease of $171.3 million, or 5.5%. The decrease was primarily due to higher commodity costs, higher supply chain costs, and unfavorable product mix. The decrease was partially offset by favorable price realization, lower volume, and lower advertising and related consumer marketing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$9,123.1 million in 2023 compared to $8,536.5 million in 2022, an increase of $586.6 million, or 6.9%. The increase reflected a favorable price realization of 9.0% due to price increases on certain products across our portfolio. The increases were partially offset by a volume decrease of 1.9% driven by a decrease in everyday core U.S. confection brands, and an unfavorable impact from foreign currency exchange rates of 0.2%.</w:t>
      </w:r>
    </w:p>
    <w:p>
      <w:pPr>
        <w:spacing w:after="0" w:line="4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12.1% during 2023 compared to 2022.</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$3,117.0 million in 2023 compared to $2,811.1 million in 2022, an increase of $305.9 million, or 10.9%. The increase was primarily due to favorable price realization and supply chain productivity, partially offset by higher supply chain costs, including higher labor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843280</wp:posOffset>
            </wp:positionV>
            <wp:extent cx="1968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accounted for 10.1%, 9.8% and 9.9% of our net sales in 2024, 2023 and 2022, respectively. North America Salty Snacks results for the years ended December 31, 2024, 2023 and 2022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5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192"/>
        </w:trPr>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3.9 %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26.0 %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Net sales for our North America Salty Snacks segment were $1,135.7 million in 2024 compared to $1,092.7 million in 2023, an increase of $43.0 million, or 3.9%. The increase reflected a volume increase of approximately 5%, primarily related to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 The increase was partially offset by unfavorable price realization of approximately 1% driven primarily by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 xml:space="preserve"> snacks.</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was $199.4 million in 2024 compared to $158.3 million in 2023 an increase of $41.1 million, or 26.0%. The increase was primarily driven by higher volume, favorable commodity costs, and lower supply chain costs. The increase was partially offset by higher advertising and related consumer marketing costs and unfavorable price realization.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Net sales for our North America Salty Snacks segment was $1,092.7 million in 2023 compared to $1,029.4 million in 2022, an increase of $63.3 million, or 6.1%. The increase reflected a favorable price realization of 5.4% due to price increases on products across our portfolio, primarily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Homestyle Pretzels </w:t>
      </w:r>
      <w:r>
        <w:rPr>
          <w:rFonts w:ascii="Times New Roman" w:cs="Times New Roman" w:eastAsia="Times New Roman" w:hAnsi="Times New Roman"/>
          <w:sz w:val="18"/>
          <w:szCs w:val="18"/>
          <w:color w:val="auto"/>
        </w:rPr>
        <w:t>snacks, and a volume increase of 0.7%, primarily related to</w:t>
      </w:r>
      <w:r>
        <w:rPr>
          <w:rFonts w:ascii="Times New Roman" w:cs="Times New Roman" w:eastAsia="Times New Roman" w:hAnsi="Times New Roman"/>
          <w:sz w:val="18"/>
          <w:szCs w:val="18"/>
          <w:i w:val="1"/>
          <w:iCs w:val="1"/>
          <w:color w:val="auto"/>
        </w:rPr>
        <w:t xml:space="preserve"> Dot’s Homestyle Pretzels </w:t>
      </w:r>
      <w:r>
        <w:rPr>
          <w:rFonts w:ascii="Times New Roman" w:cs="Times New Roman" w:eastAsia="Times New Roman" w:hAnsi="Times New Roman"/>
          <w:sz w:val="18"/>
          <w:szCs w:val="18"/>
          <w:color w:val="auto"/>
        </w:rPr>
        <w:t>snacks.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Our North America Salty Snacks segment income was $158.3 million in 2023 compared to $159.9 million in 2022, a decrease of $1.6 million, or 1.0%. The decrease was primarily due to increased advertising and related consumer marketing costs and costs related to the voluntary removal of certain </w:t>
      </w:r>
      <w:r>
        <w:rPr>
          <w:rFonts w:ascii="Times New Roman" w:cs="Times New Roman" w:eastAsia="Times New Roman" w:hAnsi="Times New Roman"/>
          <w:sz w:val="18"/>
          <w:szCs w:val="18"/>
          <w:i w:val="1"/>
          <w:iCs w:val="1"/>
          <w:color w:val="auto"/>
        </w:rPr>
        <w:t>Paqui</w:t>
      </w:r>
      <w:r>
        <w:rPr>
          <w:rFonts w:ascii="Times New Roman" w:cs="Times New Roman" w:eastAsia="Times New Roman" w:hAnsi="Times New Roman"/>
          <w:sz w:val="18"/>
          <w:szCs w:val="18"/>
          <w:color w:val="auto"/>
        </w:rPr>
        <w:t xml:space="preserve"> branded items in 2023. The decrease was partially offset by favorable price realization and 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3" w:name="page34"/>
    <w:bookmarkEnd w:id="33"/>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(“MEA”) and other regions. International results, which accounted for 8.5%, 8.5% and 8.2% of our net sales in 2024, 2023 and 2022, respectively. International results for the years ended December 31, 2024, 2023 and 2022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5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853.4</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06"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Net sales of our International segment were $948.0 million in 2024 compared to $949.2 million in 2023, a decrease of $1.2 million, or 0.1%. The decrease reflected an unfavorable impact from foreign currency exchange rates of approximately 1%, primarily driven by Mexico and Brazil, and a volume decrease of approximately 1%. The decline was partially offset by a favorable price realization of approximately 2%, driven by price increases across the segment.</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net sales decrease was primarily attributable Mexico, Brazil and Latin America, where sales declined 5.7%, partially offset by net sales increases in Europe, MEA, and World Travel Retail, where net sales increased 13.1%.</w:t>
      </w:r>
    </w:p>
    <w:p>
      <w:pPr>
        <w:spacing w:after="0" w:line="10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Our International segment income was $111.5 million in 2024 compared to $148.3 million in 2023, a decrease of $36.8 million, or 24.8%, primarily resulting from higher commodity costs and unfavorable foreign currency exchange rates, partially offset by favorable price realization and decreased supply chain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$949.2 million in 2023 compared to $853.4 million in 2022, an increase of $95.8 million, or 11.2%. The increase reflected a favorable price realization of 4.7%, driven by price increases across the segment, a favorable impact from foreign currency exchange rates of 3.4%, primarily driven by Mexico, and a volume increase of 3.1%. The net sales increase was primarily attributable to World Travel Retail, Mexico and Brazil &amp; Latin America, where net sales increased 15.6%, 14.3% and 13.0%, respectively.</w:t>
      </w:r>
    </w:p>
    <w:p>
      <w:pPr>
        <w:spacing w:after="0" w:line="5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International segment income was $148.3 million in 2023 compared to $107.9 million in 2022, an increase of $40.4 million, or 37.4%, primarily resulting from favorable price realization, favorable foreign currency exchange rates, and minimal volume increases, partially offset by increased supply chain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14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Unallocated corporate expense totaled $701.2 million in 2024 as compared to $800.4 million in 2023, a decrease of $99.2 or, or 12.4%. The decrease was primarily driven by lower compensation and benefit costs, decreased investments in capabilities and technology, as a result of the completion of the upgrade of a new ERP system across the enterprise in 2024, and lower acquisition and integration related costs.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Unallocated corporate expense totaled $800.4 million in 2023 as compared to $735.5 million in 2022, an increase of $64.9 million, or 8.8%. The increase was primarily driven by incremental investments in capabilities and technology, higher compensation costs, and an increase in acquisition and integration related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amounts of cash from operations and remain in a strong financial position, with sufficient liquidity available for capital reinvestment, strategic acquisitions and the payment of dividends.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2,327.8</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1"/>
        </w:trPr>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26"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We generated cash of $2.5 billion from operating activities in 2024, an increase of $208.4 million compared to $2.3 billion in 2023. The increase in net cash provided by operating activities was mainly driven by the following factors:</w:t>
      </w:r>
    </w:p>
    <w:p>
      <w:pPr>
        <w:ind w:left="340" w:right="60" w:hanging="332"/>
        <w:spacing w:after="0" w:line="238"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generated cash of $102.2 million in 2024, compared to consuming cash of $209.0 million in 2023. This $311.2 million fluctuation was mainly driven by a decrease in cash used by accounts receivable due to a decrease in sales of everyday core U.S. confection brands, a decrease in accounts payable and accrued liabilities due to the timing of vendor and supplier payments, and lower inventory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686435</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340" w:right="6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contributed to a decrease in operating cash of $17.1 million in 2024, compared to a decrease of $32.5 million in 2023. This $15.4 million fluctuation was primarily due to the variance in actual tax expense for 2024 relative to the timing of quarterly estimated tax payments. We paid cash of $201.8 million for income taxes during 2024, compared to $303.9 million in the same period of 2023.</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cash provided by operating activities was partially offset by the following net cash outflows:</w:t>
      </w:r>
    </w:p>
    <w:p>
      <w:pPr>
        <w:spacing w:after="0" w:line="171" w:lineRule="exact"/>
        <w:rPr>
          <w:rFonts w:ascii="Times New Roman" w:cs="Times New Roman" w:eastAsia="Times New Roman" w:hAnsi="Times New Roman"/>
          <w:sz w:val="18"/>
          <w:szCs w:val="18"/>
          <w:color w:val="auto"/>
        </w:rPr>
      </w:pPr>
    </w:p>
    <w:p>
      <w:pPr>
        <w:jc w:val="both"/>
        <w:ind w:left="980" w:right="220" w:hanging="324"/>
        <w:spacing w:after="0" w:line="266" w:lineRule="auto"/>
        <w:tabs>
          <w:tab w:leader="none" w:pos="9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write-down of equity investments, unrealized gains and losses on derivative contracts and other charges) resulted in $92.4 million of lower cash flow in 2024 relative to 2023.</w:t>
      </w:r>
    </w:p>
    <w:p>
      <w:pPr>
        <w:spacing w:after="0" w:line="12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consumed cash of $138.2 million in 2024, compared to $100.4 million in 2023. This $37.8 million fluctuation was primarily due to our 2023 purchase of an irrevocable group annuity contract to settle a portion of our post retirement benefit obligation, partially offset by the timing of certain prepaid expenses and other current assets.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generated cash of $2.32 billion from operating activities in 2023, an increase of $4.6 million compared to $2.33 billion in 2022. The decrease in net cash provided by operating activities was mainly driven by the following factors:</w:t>
      </w:r>
    </w:p>
    <w:p>
      <w:pPr>
        <w:spacing w:after="0" w:line="108" w:lineRule="exact"/>
        <w:rPr>
          <w:sz w:val="20"/>
          <w:szCs w:val="20"/>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$209.0 million in 2023, compared to $8.6 million in 2022. This $200.4 million fluctuation was mainly driven by mainly driven by an increase in cash used by accounts receivable due to an increase in sales of U.S. seasonal products and the timing of vendor and supplier payments.</w:t>
      </w:r>
    </w:p>
    <w:p>
      <w:pPr>
        <w:spacing w:after="0" w:line="12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contributed to a decrease in operating cash of $32.5 million in 2023, compared to an increase of $5.0 million in 2022. This $37.5 million fluctuation was primarily due to the variance in actual tax expense for 2023 relative to the timing of quarterly estimated tax payments. We paid cash of $303.9 million for income taxes during 2023 compared to $221.3 million in the same period of 2022.</w:t>
      </w:r>
    </w:p>
    <w:p>
      <w:pPr>
        <w:spacing w:after="0" w:line="12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consumed cash of $100.4 million in 2023, compared to $25.7 million in 2022. This $74.7 million fluctuation was primarily due to our purchase of an irrevocable group annuity contract to settle a portion of our post retirement benefit obligation.</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cash provided by operating activities was partially offset by the following net cash inflows:</w:t>
      </w:r>
    </w:p>
    <w:p>
      <w:pPr>
        <w:spacing w:after="0" w:line="171" w:lineRule="exact"/>
        <w:rPr>
          <w:sz w:val="20"/>
          <w:szCs w:val="20"/>
          <w:color w:val="auto"/>
        </w:rPr>
      </w:pPr>
    </w:p>
    <w:p>
      <w:pPr>
        <w:ind w:left="980" w:right="260" w:hanging="324"/>
        <w:spacing w:after="0" w:line="312" w:lineRule="auto"/>
        <w:tabs>
          <w:tab w:leader="none" w:pos="97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adjusted for non-cash charges to operations (including depreciation, amortization, stock-based compensation, deferred income taxes, write-down of equity investments and other charges) resulted in $256.7 million of higher cash flow in 2023 relative to 2022.</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Activity. </w:t>
      </w:r>
      <w:r>
        <w:rPr>
          <w:rFonts w:ascii="Times New Roman" w:cs="Times New Roman" w:eastAsia="Times New Roman" w:hAnsi="Times New Roman"/>
          <w:sz w:val="18"/>
          <w:szCs w:val="18"/>
          <w:color w:val="auto"/>
        </w:rPr>
        <w:t>We recorded net periodic benefit costs of $32.8 million, $43.2 million and $36.3 million in 2024,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the service and interest costs and the amortization of actuarial gains and losses.</w:t>
      </w:r>
    </w:p>
    <w:p>
      <w:pPr>
        <w:spacing w:after="0" w:line="12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$15.6 million, $27.6 million and $78.5 million in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674370</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principal uses of cash for investment purposes relate to purchases of property, plant and equipment and capitalized software, as well as acquisitions of businesses, partially offset by proceeds from sales of property, plant and equipment. We used cash of $960.3 million for investing activities in 2024 compared to $1.2 billion in 2023, with the decrease in cash spend driven by a decrease of investments in capabilities and technology as well as a lower level of acquisition activity. We used cash of $0.8 billion for investing activities in 2022, with the increase in 2023 in cash spend driven by an increase of investments in capabilities and technology as well as a higher level of acquisition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investing activities include the following:</w:t>
      </w:r>
    </w:p>
    <w:p>
      <w:pPr>
        <w:spacing w:after="0" w:line="169" w:lineRule="exact"/>
        <w:rPr>
          <w:sz w:val="20"/>
          <w:szCs w:val="20"/>
          <w:color w:val="auto"/>
        </w:rPr>
      </w:pPr>
    </w:p>
    <w:p>
      <w:pPr>
        <w:ind w:left="340" w:hanging="332"/>
        <w:spacing w:after="0" w:line="257" w:lineRule="auto"/>
        <w:tabs>
          <w:tab w:leader="none" w:pos="3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our ERP system implementation, capacity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cost savings, were $605.9 million in 2024, $771.1 million in 2023 and $519.5 million in 2022. The decrease in our 2024 capital expenditures is largely driven by the wind down of our key strategic initiatives, including completion of the upgrade of a new ERP system across the enterprise in 2024. We expect 2025 capital expenditures, including capitalized software, of approximately $425 million to $450 million, as capital spending as a percentage of sales is expected to return to historical levels. We intend to use our existing cash and internally generated funds to meet our 2025 capital requirements.</w:t>
      </w:r>
    </w:p>
    <w:p>
      <w:pPr>
        <w:spacing w:after="0" w:line="128" w:lineRule="exact"/>
        <w:rPr>
          <w:rFonts w:ascii="Times New Roman" w:cs="Times New Roman" w:eastAsia="Times New Roman" w:hAnsi="Times New Roman"/>
          <w:sz w:val="18"/>
          <w:szCs w:val="18"/>
          <w:i w:val="1"/>
          <w:iCs w:val="1"/>
          <w:color w:val="auto"/>
        </w:rPr>
      </w:pPr>
    </w:p>
    <w:p>
      <w:pPr>
        <w:ind w:left="340" w:right="360" w:hanging="332"/>
        <w:spacing w:after="0" w:line="267" w:lineRule="auto"/>
        <w:tabs>
          <w:tab w:leader="none" w:pos="3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energy tax credits. We invested approximately $285.5 million in 2024, $256.8 million in 2023 and $275.5 million in 2022 in projects qualifying for tax credits.</w:t>
      </w:r>
    </w:p>
    <w:p>
      <w:pPr>
        <w:spacing w:after="0" w:line="119" w:lineRule="exact"/>
        <w:rPr>
          <w:rFonts w:ascii="Times New Roman" w:cs="Times New Roman" w:eastAsia="Times New Roman" w:hAnsi="Times New Roman"/>
          <w:sz w:val="18"/>
          <w:szCs w:val="18"/>
          <w:i w:val="1"/>
          <w:iCs w:val="1"/>
          <w:color w:val="auto"/>
        </w:rPr>
      </w:pPr>
    </w:p>
    <w:p>
      <w:pPr>
        <w:ind w:left="340" w:right="100" w:hanging="332"/>
        <w:spacing w:after="0" w:line="267" w:lineRule="auto"/>
        <w:tabs>
          <w:tab w:leader="none" w:pos="3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2024, we spent $75.5 million to acquire the Sour Strips brand from Actual Candy, LLC (November 2024). In 2023, we spent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$165.8 million to acquire Weaver (May 2023). In 2022, we had no acquisition activity. Further details regarding our business acquisition activity is provided in </w:t>
      </w:r>
      <w:r>
        <w:rPr>
          <w:rFonts w:ascii="Times New Roman" w:cs="Times New Roman" w:eastAsia="Times New Roman" w:hAnsi="Times New Roman"/>
          <w:sz w:val="18"/>
          <w:szCs w:val="18"/>
          <w:color w:val="0000FF"/>
        </w:rPr>
        <w:t>Note 2</w:t>
      </w:r>
      <w:r>
        <w:rPr>
          <w:rFonts w:ascii="Times New Roman" w:cs="Times New Roman" w:eastAsia="Times New Roman" w:hAnsi="Times New Roman"/>
          <w:sz w:val="18"/>
          <w:szCs w:val="18"/>
          <w:color w:val="auto"/>
        </w:rPr>
        <w:t xml:space="preserve"> to the Consolidated Financial Statements.</w:t>
      </w:r>
    </w:p>
    <w:p>
      <w:pPr>
        <w:spacing w:after="0" w:line="11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2024, 2023, and 2022, our other investing activities were minimal.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cash flow from financing activities generally relates to the use of cash for purchases of our Common Stock and payment of dividends, offset by net borrowing activity and proceeds from the exercise of stock options. Financing activities in 2024 used cash of $1.3 billion, compared to cash used of $1.1 billion in 2023. We used cash of $1.4 billion for financing activities in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financing activity was attributed to the following:</w:t>
      </w:r>
    </w:p>
    <w:p>
      <w:pPr>
        <w:spacing w:after="0" w:line="169" w:lineRule="exact"/>
        <w:rPr>
          <w:sz w:val="20"/>
          <w:szCs w:val="20"/>
          <w:color w:val="auto"/>
        </w:rPr>
      </w:pPr>
    </w:p>
    <w:p>
      <w:pPr>
        <w:ind w:left="340" w:right="160" w:hanging="332"/>
        <w:spacing w:after="0" w:line="257" w:lineRule="auto"/>
        <w:tabs>
          <w:tab w:leader="none" w:pos="3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In 2024, our short-term borrowings increased $607.0 million predominately through the issuance of short-term commercial paper, partially offset by a decrease in short-term foreign bank borrowings. In 2023, our short-term borrowings increased $26.0 million predominately through the issuance of short-term commercial paper, as well as an increase in short-term foreign bank borrowings. In 2022, we used cash of $245.6 million to reduce a portion of our short-term commercial paper borrowings originally used to fund our 2021 acquisitions of Dot’s and Pretzels, partially offset by an increase in short-term foreign bank borrowings.</w:t>
      </w:r>
    </w:p>
    <w:p>
      <w:pPr>
        <w:spacing w:after="0" w:line="128" w:lineRule="exact"/>
        <w:rPr>
          <w:rFonts w:ascii="Times New Roman" w:cs="Times New Roman" w:eastAsia="Times New Roman" w:hAnsi="Times New Roman"/>
          <w:sz w:val="18"/>
          <w:szCs w:val="18"/>
          <w:i w:val="1"/>
          <w:iCs w:val="1"/>
          <w:color w:val="auto"/>
        </w:rPr>
      </w:pPr>
    </w:p>
    <w:p>
      <w:pPr>
        <w:ind w:left="340" w:right="60" w:hanging="332"/>
        <w:spacing w:after="0" w:line="257"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In November 2024, we repaid $300 million of 2.050% Notes due upon maturity. In May 2023, we repaid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 million of 2.625% Notes and $500 million of 3.375% Notes due upon their maturities. In May 2023, we issued $350 million of 4.250% Notes due in May 2028 and $400 million of 4.500% Notes due in May 2033 (the “2023 Notes”). Proceeds from the issuance of the 2023 Notes, net of discounts and issuance costs, totaled $744.1 million. In 2022, long-term debt activity was minimal. In 2025, we expect our long-term debt repayments to approximate $600 million upon the maturity of $300 million of 0.900% Notes due in June 2025 and $300 million of 3.200% Notes due in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428625</wp:posOffset>
            </wp:positionV>
            <wp:extent cx="1968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ind w:left="340" w:right="180" w:hanging="332"/>
        <w:spacing w:after="0" w:line="261" w:lineRule="auto"/>
        <w:tabs>
          <w:tab w:leader="none" w:pos="3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$1,084.8 million in 2024, $889.1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and $775.0 million in 2022. Dividends per share of Common Stock increased 23.0% to $5.480 per share in 2024 compared to $4.456 per share in 2023, while dividends per share of Class B Common Stock increased 23.0% in 2024. Details regarding our 2024 cash dividends paid to stockholders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 millions of dollars except per share</w:t>
            </w:r>
          </w:p>
        </w:tc>
        <w:tc>
          <w:tcPr>
            <w:tcW w:w="280" w:type="dxa"/>
            <w:vAlign w:val="bottom"/>
          </w:tcPr>
          <w:p>
            <w:pPr>
              <w:spacing w:after="0"/>
              <w:rPr>
                <w:sz w:val="12"/>
                <w:szCs w:val="12"/>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2"/>
                <w:szCs w:val="12"/>
                <w:color w:val="auto"/>
              </w:rPr>
            </w:pPr>
          </w:p>
        </w:tc>
        <w:tc>
          <w:tcPr>
            <w:tcW w:w="1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40" w:type="dxa"/>
            <w:vAlign w:val="bottom"/>
          </w:tcPr>
          <w:p>
            <w:pPr>
              <w:spacing w:after="0"/>
              <w:rPr>
                <w:sz w:val="12"/>
                <w:szCs w:val="12"/>
                <w:color w:val="auto"/>
              </w:rPr>
            </w:pPr>
          </w:p>
        </w:tc>
        <w:tc>
          <w:tcPr>
            <w:tcW w:w="1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Dividends paid per share – Common</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176"/>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paid per share – Class B</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30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February 7, 2024</w:t>
            </w: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May 2, 2024</w:t>
            </w:r>
          </w:p>
        </w:tc>
        <w:tc>
          <w:tcPr>
            <w:tcW w:w="2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July 31, 2024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6, 2024</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w:t>
            </w:r>
          </w:p>
        </w:tc>
        <w:tc>
          <w:tcPr>
            <w:tcW w:w="9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c>
          <w:tcPr>
            <w:tcW w:w="1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May 17,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16,</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w:t>
            </w: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June 14,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16,</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231" w:lineRule="exact"/>
        <w:rPr>
          <w:sz w:val="20"/>
          <w:szCs w:val="20"/>
          <w:color w:val="auto"/>
        </w:rPr>
      </w:pPr>
    </w:p>
    <w:p>
      <w:pPr>
        <w:ind w:left="340" w:right="160" w:hanging="332"/>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Milton Hershey School Trust repurchase (1)(2)</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(2)</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 (excluding excise tax)</w:t>
            </w:r>
          </w:p>
        </w:tc>
        <w:tc>
          <w:tcPr>
            <w:tcW w:w="8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494.2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340" w:right="20" w:hanging="8"/>
        <w:spacing w:after="0" w:line="258" w:lineRule="auto"/>
        <w:tabs>
          <w:tab w:leader="none" w:pos="5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and 2022, the Company entered into a Stock Purchase Agreement with Hershey Trust Company, as trustee for the School Trust, pursuant to which the Company purchased 1,000,000 shares in 2023 and 2022 of the Company’s Common Stock from the School Trust at a price equal to $239.91 per share, for a total purchase price of $239.9 million in 2023. In 2022 the Company purchased the common stock at a price equal to $203.35 per share, for a total purchase price of $203.4 million. As a result of the 2023 share repurchase, our July 2018 share repurchase authorization program was completed.</w:t>
      </w:r>
    </w:p>
    <w:p>
      <w:pPr>
        <w:spacing w:after="0" w:line="129" w:lineRule="exact"/>
        <w:rPr>
          <w:rFonts w:ascii="Times New Roman" w:cs="Times New Roman" w:eastAsia="Times New Roman" w:hAnsi="Times New Roman"/>
          <w:sz w:val="18"/>
          <w:szCs w:val="18"/>
          <w:color w:val="auto"/>
        </w:rPr>
      </w:pPr>
    </w:p>
    <w:p>
      <w:pPr>
        <w:ind w:left="340" w:right="80" w:hanging="8"/>
        <w:spacing w:after="0" w:line="254" w:lineRule="auto"/>
        <w:tabs>
          <w:tab w:leader="none" w:pos="5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2" w:lineRule="exact"/>
        <w:rPr>
          <w:rFonts w:ascii="Times New Roman" w:cs="Times New Roman" w:eastAsia="Times New Roman" w:hAnsi="Times New Roman"/>
          <w:sz w:val="18"/>
          <w:szCs w:val="18"/>
          <w:color w:val="auto"/>
        </w:rPr>
      </w:pPr>
    </w:p>
    <w:p>
      <w:pPr>
        <w:ind w:left="340" w:right="260" w:hanging="332"/>
        <w:spacing w:after="0" w:line="284" w:lineRule="auto"/>
        <w:tabs>
          <w:tab w:leader="none" w:pos="33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Proceeds from the exercise of stock options, including tax benefits. </w:t>
      </w:r>
      <w:r>
        <w:rPr>
          <w:rFonts w:ascii="Times New Roman" w:cs="Times New Roman" w:eastAsia="Times New Roman" w:hAnsi="Times New Roman"/>
          <w:sz w:val="18"/>
          <w:szCs w:val="18"/>
          <w:color w:val="auto"/>
        </w:rPr>
        <w:t>In 2024 we received $14.7 million from employee exercises of stock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$32.8 million of employee taxes withheld from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413385</wp:posOffset>
            </wp:positionV>
            <wp:extent cx="1968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8" w:name="page39"/>
    <w:bookmarkEnd w:id="38"/>
    <w:p>
      <w:pPr>
        <w:ind w:left="340" w:right="200"/>
        <w:spacing w:after="0" w:line="266" w:lineRule="auto"/>
        <w:rPr>
          <w:sz w:val="20"/>
          <w:szCs w:val="20"/>
          <w:color w:val="auto"/>
        </w:rPr>
      </w:pPr>
      <w:r>
        <w:rPr>
          <w:rFonts w:ascii="Times New Roman" w:cs="Times New Roman" w:eastAsia="Times New Roman" w:hAnsi="Times New Roman"/>
          <w:sz w:val="18"/>
          <w:szCs w:val="18"/>
          <w:color w:val="auto"/>
        </w:rPr>
        <w:t>In 2023 we received $26.0 million from employee exercises of stock options and paid $35.0 million of employee taxes withheld from share-based awards. In 2022 we received $34.2 million from employee exercises of stock options and paid $35.5 million of employee taxes withheld from share-based awards. Variances are driven primarily by the number of shares exercised and the share price at the date of grant.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December 31, 2024, our cash and cash equivalents totaled $730.7 million. At December 31, 2023, our cash and cash equivalents totaled $401.9 million. Our cash and cash equivalents at the end of 2024 increased $328.8 million compared to the 2023 year-end balance as a result of the net uses of cash outlined in the previous discussion.</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Approximately 80% of the balance of our cash and cash equivalents at December 31, 2024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maintain debt levels we consider prudent based on our cash flow, interest coverage ratio and percentage of debt to capital. We use debt financing to lower our overall cost of capital which increases our return on stockholders’ equity. Our total short- and long-term debt was $5.1 billion and $4.8 billion at December 31, 2024 and December 31, 2023, respectively. Our total debt increased in 2024 primarily due to an increase of $587 million in short-term debt, primarily driven by commercial paper, partially offset by the repayment of $300 million of 2.050% Notes due upon their maturity in November 2024.</w:t>
      </w:r>
    </w:p>
    <w:p>
      <w:pPr>
        <w:spacing w:after="0" w:line="1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source of short-term financing, we maintain a $1.35 billion unsecured revolving credit facility with the option to increase borrowings by an additional $500 million with the consent of the lenders. As of December 31, 2024, the termination date of this agreement is April 26, 2028, however, we may extend the termination date for up to two additional one-year periods upon notice to the administrative agent under the facility. We may use these funds for general corporate purposes, including commercial paper backstop and business acquisitions. As of December 31, 2024, we had $204 million of available capacity under the agreement. The unsecured revolving credit agreement contains certain financial and other covenants, customary representations, warranties and events of default. We were in compliance with all covenants as of December 31, 2024.</w:t>
      </w:r>
    </w:p>
    <w:p>
      <w:pPr>
        <w:spacing w:after="0" w:line="13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in various currencies with domestic and international commercial banks. As of December 31, 2024, we had available capacity of $230 million under these lines of credit.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funding the repurchase of shares of our common stock, financing capital additions and funding contributions to our pension plans, future business acquisitions and working capital requirements.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ability to obtain debt financing at comparable risk-based interest rates is partly a function of our existing cash-flow-to-debt and debt-to-capitalization levels as well as our current credit rating.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671830</wp:posOffset>
            </wp:positionV>
            <wp:extent cx="19685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Equity Structure</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Hershey Trust Company, as trustee for the trust established by Milton S. and Catherine S. Hershey that has as its sole beneficiary Milton Hershey School, maintains voting control over The Hershey Company. In addition, three representatives of Hershey Trust Company currently serve as members of the Company's Board. In performing their responsibilities on the Company’s Board, these representatives may from time to time exercise influence with regard to the ongoing business decisions of our Board or management. Hershey Trust Company, as trustee for the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Pennsylvania law requires that the Office of Attorney General be provided advance notice of any transaction that would result in Hershey Trust Company, as trustee for the Trust, no longer having voting control of the Company. The law provides specific statutory authority for the Attorney General to intercede and petition the court having jurisdiction over Hershey Trust Company, as trustee for the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material cash requirements as of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02"/>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debt (primarily U.S. commercial paper)</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1,307.0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notes (excluding finance lease obligations)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0" w:type="dxa"/>
            <w:vAlign w:val="bottom"/>
          </w:tcPr>
          <w:p>
            <w:pPr>
              <w:spacing w:after="0"/>
              <w:rPr>
                <w:sz w:val="1"/>
                <w:szCs w:val="1"/>
                <w:color w:val="auto"/>
              </w:rPr>
            </w:pPr>
          </w:p>
        </w:tc>
      </w:tr>
      <w:tr>
        <w:trPr>
          <w:trHeight w:val="19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obligations (2)</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Unconditional purchase obligations (4)</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1,777.7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obligations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8,541.7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3,227.5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2,933.4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net interest payments on fixed rate debt associated with long-term notes.</w:t>
      </w:r>
    </w:p>
    <w:p>
      <w:pPr>
        <w:spacing w:after="0" w:line="99" w:lineRule="exact"/>
        <w:rPr>
          <w:rFonts w:ascii="Times New Roman" w:cs="Times New Roman" w:eastAsia="Times New Roman" w:hAnsi="Times New Roman"/>
          <w:sz w:val="16"/>
          <w:szCs w:val="16"/>
          <w:color w:val="auto"/>
        </w:rPr>
      </w:pPr>
    </w:p>
    <w:p>
      <w:pPr>
        <w:ind w:right="560" w:firstLine="8"/>
        <w:spacing w:after="0" w:line="280"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minimum rental commitments (including imputed interest) under non-cancelable operating leases primarily for offices, retail stores, warehouses and distribution facilities.</w:t>
      </w:r>
    </w:p>
    <w:p>
      <w:pPr>
        <w:spacing w:after="0" w:line="43" w:lineRule="exact"/>
        <w:rPr>
          <w:rFonts w:ascii="Times New Roman" w:cs="Times New Roman" w:eastAsia="Times New Roman" w:hAnsi="Times New Roman"/>
          <w:sz w:val="16"/>
          <w:szCs w:val="16"/>
          <w:color w:val="auto"/>
        </w:rPr>
      </w:pPr>
    </w:p>
    <w:p>
      <w:pPr>
        <w:ind w:right="320" w:firstLine="8"/>
        <w:spacing w:after="0" w:line="298"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minimum rental commitments (including imputed interest) under non-cancelable finance leases primarily for offices and warehouse facilities, as well as machinery and equipment and vehicles.</w:t>
      </w:r>
    </w:p>
    <w:p>
      <w:pPr>
        <w:spacing w:after="0" w:line="29" w:lineRule="exact"/>
        <w:rPr>
          <w:rFonts w:ascii="Times New Roman" w:cs="Times New Roman" w:eastAsia="Times New Roman" w:hAnsi="Times New Roman"/>
          <w:sz w:val="16"/>
          <w:szCs w:val="16"/>
          <w:color w:val="auto"/>
        </w:rPr>
      </w:pPr>
    </w:p>
    <w:p>
      <w:pPr>
        <w:ind w:firstLine="8"/>
        <w:spacing w:after="0" w:line="259"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consist primarily of fixed commitments for the purchase of raw materials to be utilized in the normal course of business. Amounts presented include fixed price forward contracts and unpriced contracts that were valued using market prices as of December 31, 2024. The amounts presented in the table do not include items already recorded in accounts payable or accrued liabilities at year-end 2024,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681355</wp:posOffset>
            </wp:positionV>
            <wp:extent cx="1968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right="80"/>
        <w:spacing w:after="0" w:line="261" w:lineRule="auto"/>
        <w:rPr>
          <w:sz w:val="20"/>
          <w:szCs w:val="20"/>
          <w:color w:val="auto"/>
        </w:rPr>
      </w:pPr>
      <w:r>
        <w:rPr>
          <w:rFonts w:ascii="Times New Roman" w:cs="Times New Roman" w:eastAsia="Times New Roman" w:hAnsi="Times New Roman"/>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obligations impact our liquidity and capital resource needs. To meet those cash requirements, we intend to use our existing cash and internally generated funds. To the extent necessary, we may also borrow under our existing unsecured revolving credit facility or under other short-term borrowings, and depending on market conditions and upon the significance of the cost of a particular Note maturity or acquisition to our then-available sources of funds, to obtain additional short- and long-term financing. We believe that cash provided from these sources will be adequate to meet our future short- and long-term cash requirements.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Obligations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Liabilities for unrecognized income tax benefits are excluded from the table above as we are unable to reasonably predict the ultimate amount or timing of a settlement of these potential liabilities.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Consolidated Financial Statements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1" w:name="page42"/>
    <w:bookmarkEnd w:id="41"/>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8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for Trade Promotion Activities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Acquisitions, Valuation and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 for Trade Promotion Activities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2024, 2023, and 2022, actual annual promotional costs have not deviated from the estimated amount by more than 3%. Our trade promotion and consumer incentive accrued liabilities totaled $221.3 million and $194.0 million at December 31, 2024 and 2023,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Benefits Plans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sponsor a number of defined benefit pension plans. The primary plan is The Hershey Retirement Plan for Salaried and Hourly Employees. This is a cash balance plan that provides pension benefits for most U.S.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to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w:t>
      </w:r>
    </w:p>
    <w:p>
      <w:pPr>
        <w:spacing w:after="0" w:line="1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189" w:lineRule="exact"/>
        <w:rPr>
          <w:sz w:val="20"/>
          <w:szCs w:val="20"/>
          <w:color w:val="auto"/>
        </w:rPr>
      </w:pPr>
    </w:p>
    <w:p>
      <w:pPr>
        <w:ind w:left="340" w:right="80" w:hanging="332"/>
        <w:spacing w:after="0" w:line="258"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rate of return on plan assets</w:t>
      </w:r>
      <w:r>
        <w:rPr>
          <w:rFonts w:ascii="Times New Roman" w:cs="Times New Roman" w:eastAsia="Times New Roman" w:hAnsi="Times New Roman"/>
          <w:sz w:val="18"/>
          <w:szCs w:val="18"/>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 long-term rate of return and the actual return realized. For 2024, we increased the 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340" w:right="460"/>
        <w:spacing w:after="0" w:line="282" w:lineRule="auto"/>
        <w:rPr>
          <w:sz w:val="20"/>
          <w:szCs w:val="20"/>
          <w:color w:val="auto"/>
        </w:rPr>
      </w:pPr>
      <w:r>
        <w:rPr>
          <w:rFonts w:ascii="Times New Roman" w:cs="Times New Roman" w:eastAsia="Times New Roman" w:hAnsi="Times New Roman"/>
          <w:sz w:val="18"/>
          <w:szCs w:val="18"/>
          <w:color w:val="auto"/>
        </w:rPr>
        <w:t>assumption to 6.8% from the 6.7% assumption used during 2023. The historical average return (compounded annually) over the 20 years prior to December 31, 2024 was approximately 6.8%.</w:t>
      </w:r>
    </w:p>
    <w:p>
      <w:pPr>
        <w:spacing w:after="0" w:line="189" w:lineRule="exact"/>
        <w:rPr>
          <w:sz w:val="20"/>
          <w:szCs w:val="20"/>
          <w:color w:val="auto"/>
        </w:rPr>
      </w:pPr>
    </w:p>
    <w:p>
      <w:pPr>
        <w:ind w:left="340" w:right="240"/>
        <w:spacing w:after="0" w:line="255" w:lineRule="auto"/>
        <w:rPr>
          <w:sz w:val="20"/>
          <w:szCs w:val="20"/>
          <w:color w:val="auto"/>
        </w:rPr>
      </w:pPr>
      <w:r>
        <w:rPr>
          <w:rFonts w:ascii="Times New Roman" w:cs="Times New Roman" w:eastAsia="Times New Roman" w:hAnsi="Times New Roman"/>
          <w:sz w:val="18"/>
          <w:szCs w:val="18"/>
          <w:color w:val="auto"/>
        </w:rPr>
        <w:t>As of December 31, 2024, our plans had cumulative unrecognized investment and actuarial losses of approximately $165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$7 million.</w:t>
      </w:r>
    </w:p>
    <w:p>
      <w:pPr>
        <w:spacing w:after="0" w:line="216" w:lineRule="exact"/>
        <w:rPr>
          <w:sz w:val="20"/>
          <w:szCs w:val="20"/>
          <w:color w:val="auto"/>
        </w:rPr>
      </w:pPr>
    </w:p>
    <w:p>
      <w:pPr>
        <w:ind w:left="340" w:right="180" w:hanging="332"/>
        <w:spacing w:after="0" w:line="258"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129"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A 100 basis point decrease (increase) in the weighted-average pension discount rate would increase the annual net periodic pension benefit expense by approximately $5 million or decrease the annual net periodic pension benefit expense by $4 million, respectively, and the December 31, 2024 pension liability would increase by approximately $50 million or decrease by approximately $43 million, respectively.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Pension expense for defined benefit pension plans is expected to be approximately $13 million in 2025. Pension expense beyond 2025 will depend on future investment performance, our contributions to the pension trusts, changes in discount rates and various other factors related to the covered employees in the plans.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Post-Employment Benefit Plans</w:t>
      </w:r>
    </w:p>
    <w:p>
      <w:pPr>
        <w:spacing w:after="0" w:line="16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Changes in significant assumptions could affect consolidated expense and benefit obligations, particularly the discount rates used to calculate such obligations:</w:t>
      </w:r>
    </w:p>
    <w:p>
      <w:pPr>
        <w:spacing w:after="0" w:line="94" w:lineRule="exact"/>
        <w:rPr>
          <w:sz w:val="20"/>
          <w:szCs w:val="20"/>
          <w:color w:val="auto"/>
        </w:rPr>
      </w:pPr>
    </w:p>
    <w:p>
      <w:pPr>
        <w:ind w:left="340" w:right="440" w:hanging="332"/>
        <w:spacing w:after="0" w:line="26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2024 benefit liability would increase by approximately $9 million or decrease by approximately $7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 Valuation and Impairment of Goodwill and Other Intangible Assets</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use the acquisition method of accounting for business acquisitions. Under the acquisition method, the results of operations of the acquired business have been included in the consolidated financial statements since the respective dates of the acquisitions. The assets acquired and liabilities assumed are recorded at their respective estimated fair values at the date of the acquisition. Any excess of the purchase price over the estimated fair values of the identifiable net assets acquired is recorded as goodwill. Significant judgment is often required in estimating the fair value of assets acquired, particularly intangible assets. As a result, we normally obtain the assistance of a third-party valuation specialist in estimating fair values of tangible and intangible assets.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spacing w:after="0" w:line="19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evaluated for impairment annually or more often if indicators of a potential impairment are present. Our annual impairment tests are conducted at the beginning of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560070</wp:posOffset>
            </wp:positionV>
            <wp:extent cx="1968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Impairment Tests</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December 31, 2024, the net book value of our goodwill totaled $2.7 billion. As it relates to our 2024 annual testing performed at the beginning of the fourth quarter, we tested all of our reporting units using a qualitative assessment and determined that no quantitative testing was deemed necessary. Based on our testing, all of our reporting units had an excess fair value well over their respective carrying values. There were no other events or circumstances that would indicate that impairment may exist. We had no goodwill impairment charges in 2024, 2023 or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 Refer to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Consolidated Financial Statements for further discussion of our deferred tax assets and liabilities.</w:t>
      </w:r>
    </w:p>
    <w:p>
      <w:pPr>
        <w:spacing w:after="0" w:line="21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Consolidated Financial Statements for further discussion of these derivative instruments and our hedging policies.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short-term debt, net of cash, amounted to net debt of $576 million and net debt of $318 million, respectively, at December 31,</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2024 and 2023. A hypothetical 100 basis point increase in interest rates applied to this variable-rate short-term debt as of December 31, 2024 would have changed interest expense by approximately $7.0 million for 2024 and $3.1 million for 2023.</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2024 and December 31, 2023 by approximately $169 million and $203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422275</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5" w:name="page46"/>
    <w:bookmarkEnd w:id="45"/>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foreign currency forward exchange contracts and the corresponding amounts at contracted forward rates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Contract</w:t>
            </w:r>
          </w:p>
        </w:tc>
        <w:tc>
          <w:tcPr>
            <w:tcW w:w="2340" w:type="dxa"/>
            <w:vAlign w:val="bottom"/>
            <w:tcBorders>
              <w:top w:val="single" w:sz="8" w:color="auto"/>
            </w:tcBorders>
          </w:tcPr>
          <w:p>
            <w:pPr>
              <w:ind w:left="880"/>
              <w:spacing w:after="0" w:line="158" w:lineRule="exact"/>
              <w:rPr>
                <w:sz w:val="20"/>
                <w:szCs w:val="20"/>
                <w:color w:val="auto"/>
              </w:rPr>
            </w:pPr>
            <w:r>
              <w:rPr>
                <w:rFonts w:ascii="Times New Roman" w:cs="Times New Roman" w:eastAsia="Times New Roman" w:hAnsi="Times New Roman"/>
                <w:sz w:val="16"/>
                <w:szCs w:val="16"/>
                <w:b w:val="1"/>
                <w:bCs w:val="1"/>
                <w:color w:val="auto"/>
              </w:rPr>
              <w:t>Primary</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Contract</w:t>
            </w:r>
          </w:p>
        </w:tc>
        <w:tc>
          <w:tcPr>
            <w:tcW w:w="2320" w:type="dxa"/>
            <w:vAlign w:val="bottom"/>
            <w:tcBorders>
              <w:top w:val="single" w:sz="8" w:color="auto"/>
            </w:tcBorders>
          </w:tcPr>
          <w:p>
            <w:pPr>
              <w:ind w:left="860"/>
              <w:spacing w:after="0" w:line="158" w:lineRule="exact"/>
              <w:rPr>
                <w:sz w:val="20"/>
                <w:szCs w:val="20"/>
                <w:color w:val="auto"/>
              </w:rPr>
            </w:pPr>
            <w:r>
              <w:rPr>
                <w:rFonts w:ascii="Times New Roman" w:cs="Times New Roman" w:eastAsia="Times New Roman" w:hAnsi="Times New Roman"/>
                <w:sz w:val="16"/>
                <w:szCs w:val="16"/>
                <w:b w:val="1"/>
                <w:bCs w:val="1"/>
                <w:color w:val="auto"/>
              </w:rPr>
              <w:t>Primary</w:t>
            </w:r>
          </w:p>
        </w:tc>
        <w:tc>
          <w:tcPr>
            <w:tcW w:w="0" w:type="dxa"/>
            <w:vAlign w:val="bottom"/>
          </w:tcPr>
          <w:p>
            <w:pPr>
              <w:spacing w:after="0"/>
              <w:rPr>
                <w:sz w:val="1"/>
                <w:szCs w:val="1"/>
                <w:color w:val="auto"/>
              </w:rPr>
            </w:pPr>
          </w:p>
        </w:tc>
      </w:tr>
      <w:tr>
        <w:trPr>
          <w:trHeight w:val="214"/>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4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Currencies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32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Currencies</w:t>
            </w:r>
          </w:p>
        </w:tc>
        <w:tc>
          <w:tcPr>
            <w:tcW w:w="0" w:type="dxa"/>
            <w:vAlign w:val="bottom"/>
          </w:tcPr>
          <w:p>
            <w:pPr>
              <w:spacing w:after="0"/>
              <w:rPr>
                <w:sz w:val="1"/>
                <w:szCs w:val="1"/>
                <w:color w:val="auto"/>
              </w:rPr>
            </w:pPr>
          </w:p>
        </w:tc>
      </w:tr>
      <w:tr>
        <w:trPr>
          <w:trHeight w:val="161"/>
        </w:trPr>
        <w:tc>
          <w:tcPr>
            <w:tcW w:w="41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 to</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Euros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Euros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Malaysian ringgit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Malaysian ringgit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foreign currencies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 to sell</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Canadian dollars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Canadian dollars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Brazilian reals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Brazilian reals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1"/>
                <w:szCs w:val="21"/>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Japanese yen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21"/>
                <w:szCs w:val="21"/>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Japanese yen</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2024 and 2023, the net fair value of these instruments was an asset of $0.7 million. In addition, assuming an unfavorable 10% change in year-end foreign currency exchange rates, the fair value of these instruments would have declined by $32.3 million and $20.2 million, respectively, generally offset by a reduction in foreign exchange associated with our transactional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Futures Contracts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most significant raw material requirements include cocoa products, sugar, corn products, dairy products, wheat,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0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market fluctuations;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between supply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levels of inflation and interest rates related to domestic and global economic conditions or supply chain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extreme weather on crop yield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influences;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agreements among producing and consuming 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compliance with commitments;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requirements for raw materials and finished goods;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in 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living income premiums or similar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agricultural programs and energy policies; and</w:t>
      </w:r>
    </w:p>
    <w:p>
      <w:pPr>
        <w:spacing w:after="0" w:line="9" w:lineRule="exact"/>
        <w:rPr>
          <w:rFonts w:ascii="Times New Roman" w:cs="Times New Roman" w:eastAsia="Times New Roman" w:hAnsi="Times New Roman"/>
          <w:sz w:val="18"/>
          <w:szCs w:val="18"/>
          <w:color w:val="auto"/>
        </w:rPr>
      </w:pPr>
    </w:p>
    <w:p>
      <w:pPr>
        <w:ind w:left="660" w:right="60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 such as the impacts on the business or supply chain arising from the ongoing conflict between Russia and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426720</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ind w:right="20"/>
        <w:spacing w:after="0" w:line="254" w:lineRule="auto"/>
        <w:rPr>
          <w:sz w:val="20"/>
          <w:szCs w:val="20"/>
          <w:color w:val="auto"/>
        </w:rPr>
      </w:pPr>
      <w:r>
        <w:rPr>
          <w:rFonts w:ascii="Times New Roman" w:cs="Times New Roman" w:eastAsia="Times New Roman" w:hAnsi="Times New Roman"/>
          <w:sz w:val="18"/>
          <w:szCs w:val="18"/>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Currently, active futures contracts are not available for use in pricing our other major raw material requirements, primarily peanuts and almonds. We attempt to minimize the effect of future raw material and energy price fluctuations by using derivatives and forward purchasing to cover future manufacturing requirements generally for 3 to 24 months. However, dairy futures liquidity is not as developed as many of the other commodity futures markets and, therefore, it can be difficult to hedge dairy costs for extended periods of time. We use diesel fuel futures to minimize price fluctuations associated with our transportation costs. Our commodity procurement practices are intended to mitigate price volatility and provide visibility to future costs, but also may potentially limit our ability to benefit from possible price decreases. Our costs for major raw materials will not necessarily reflect market price fluctuations because of our forward purchasing and hedging practices.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25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During 2024, average cocoa futures contract prices increased 131.5% compared with 2023 based on the Intercontinental Exchange futures contract. The production forecast for the 2024 - 2025 season is up over 30% combined in Ghana and Ivory Coast, due to better weather and significantly improved farmer prices. Higher cocoa prices to the consumer has lowered consumption and a return to a surplus production environment is expected in the 2024 - 2025 growing season. The table below shows annual average cocoa futures prices and the highest and lowest monthly averages for each of the calendar years indicated. The prices reflect the monthly averages of the close prices of the nearest active futures trading contracts (second position) on the Intercontinental Exchange.</w:t>
      </w:r>
    </w:p>
    <w:p>
      <w:pPr>
        <w:spacing w:after="0" w:line="10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Cocoa Futures Contract Prices</w:t>
      </w:r>
    </w:p>
    <w:p>
      <w:pPr>
        <w:jc w:val="center"/>
        <w:ind w:left="5500"/>
        <w:spacing w:after="0"/>
        <w:rPr>
          <w:sz w:val="20"/>
          <w:szCs w:val="20"/>
          <w:color w:val="auto"/>
        </w:rPr>
      </w:pPr>
      <w:r>
        <w:rPr>
          <w:rFonts w:ascii="Times New Roman" w:cs="Times New Roman" w:eastAsia="Times New Roman" w:hAnsi="Times New Roman"/>
          <w:sz w:val="16"/>
          <w:szCs w:val="16"/>
          <w:b w:val="1"/>
          <w:bCs w:val="1"/>
          <w:color w:val="auto"/>
        </w:rPr>
        <w:t>(dollars per pound)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Average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Source: The Cocoa Merchants Association of America Inc.</w:t>
      </w:r>
    </w:p>
    <w:p>
      <w:pPr>
        <w:spacing w:after="0" w:line="244"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Sugar</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of sugar is subject to price supports under U.S. farm legislation, which establishes import quotas and duties to support the price of sugar. As a result, sugar prices paid by users in the U.S. are currently higher than prices on the world sugar market. The U.S. delivered east coast refined sugar prices traded in a range of $0.56 to $0.62 per pound during 2024. Prices softened in 2024, driven by large domestic beet and cane crops, as well as overall healthy supply.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Corn Products</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use corn futures to price our corn sweetener product requirements. A projected record yield for the 2024 U.S. crop kept U.S. supplies healthy and drove prices down compared to 2023. Corn prices traded in the range from $3.90 to $4.85 per bushel during 2024. Corn sweetener prices remained consistent due to tight capacity utilization throughout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671830</wp:posOffset>
            </wp:positionV>
            <wp:extent cx="196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Dairy Products</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2024, prices for fluid dairy milk ranged from a low of $0.194 per pound to a high of $0.223 per pound, on a Class IV milk basis. Fluid dairy milk prices were higher than 2023 due to decreases in global milk production linked to HPAI avian flu virus and blue tongue virus which impacted herd in the U.S. and Europe,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Wheat Products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2024 we continued utilizing soft and hard wheat futures as a risk management tool for our flour purchasing. Improved U.S. wheat production across the aggregate classes combined with weak global demand has resulted in lower prices across the calendar year. Hard wheat prices traded in the range of $5.35 to $7.45 per bushel during 2024, while soft wheat prices traded in the range of $5.25 to $7.21 per bushel during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Peanuts and Almonds</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Peanut prices in the U.S. ranged from a low of $0.57 per pound to a high of $0.71 per pound during 2024. Prices in 2024 averaged slightly higher than 2023, primarily driven by increased export demand in the first half of the year. Almond prices traded in the range of $2.15 per pound to $2.90 per pound during 2024. Prices in 2024 averaged higher than 2023, driven by a smaller crop size and lower availability of small sized almonds.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Value of Futures Contracts</w:t>
      </w: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open commodity derivative contracts had a notional value of $667.4 million as of December 31, 2024 and $94.9 million as of December 31, 2023. At the end of 2024, the potential change in fair value of commodity derivative instruments, assuming a 10% decrease in the underlying commodity price, would have increased our net unrealized losses in 2024 by $1.0 million, generally offset by a reduction in the cost of the underlying commodity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403225</wp:posOffset>
            </wp:positionV>
            <wp:extent cx="19685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5"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340" w:type="dxa"/>
            <w:vAlign w:val="bottom"/>
            <w:gridSpan w:val="29"/>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89"/>
        </w:trPr>
        <w:tc>
          <w:tcPr>
            <w:tcW w:w="20" w:type="dxa"/>
            <w:vAlign w:val="bottom"/>
            <w:shd w:val="clear" w:color="auto" w:fill="CCEEFF"/>
          </w:tcPr>
          <w:p>
            <w:pPr>
              <w:spacing w:after="0"/>
              <w:rPr>
                <w:sz w:val="16"/>
                <w:szCs w:val="16"/>
                <w:color w:val="auto"/>
              </w:rPr>
            </w:pPr>
          </w:p>
        </w:tc>
        <w:tc>
          <w:tcPr>
            <w:tcW w:w="93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3051F2"/>
              </w:rPr>
              <w:t>42</w:t>
            </w:r>
            <w:r>
              <w:rPr>
                <w:rFonts w:ascii="Times New Roman" w:cs="Times New Roman" w:eastAsia="Times New Roman" w:hAnsi="Times New Roman"/>
                <w:sz w:val="18"/>
                <w:szCs w:val="18"/>
                <w:u w:val="single" w:color="auto"/>
                <w:color w:val="0000FF"/>
              </w:rPr>
              <w:t>)</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48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3051F2"/>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50</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3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53</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4680" w:type="dxa"/>
            <w:vAlign w:val="bottom"/>
            <w:gridSpan w:val="8"/>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55</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1740" w:type="dxa"/>
            <w:vAlign w:val="bottom"/>
            <w:gridSpan w:val="2"/>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40" w:type="dxa"/>
            <w:vAlign w:val="bottom"/>
            <w:gridSpan w:val="2"/>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57</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1 - Summary of Significant Accounting Policies</w:t>
            </w:r>
          </w:p>
        </w:tc>
        <w:tc>
          <w:tcPr>
            <w:tcW w:w="5260" w:type="dxa"/>
            <w:vAlign w:val="bottom"/>
            <w:gridSpan w:val="10"/>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5260" w:type="dxa"/>
            <w:vAlign w:val="bottom"/>
            <w:gridSpan w:val="10"/>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63</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3 - Goodwill and Intangible Assets</w:t>
            </w:r>
          </w:p>
        </w:tc>
        <w:tc>
          <w:tcPr>
            <w:tcW w:w="6220" w:type="dxa"/>
            <w:vAlign w:val="bottom"/>
            <w:gridSpan w:val="17"/>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6220" w:type="dxa"/>
            <w:vAlign w:val="bottom"/>
            <w:gridSpan w:val="17"/>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65</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5 - Derivative Instruments</w:t>
            </w:r>
          </w:p>
        </w:tc>
        <w:tc>
          <w:tcPr>
            <w:tcW w:w="6840" w:type="dxa"/>
            <w:vAlign w:val="bottom"/>
            <w:gridSpan w:val="22"/>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69</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7 - Leases</w:t>
            </w:r>
          </w:p>
        </w:tc>
        <w:tc>
          <w:tcPr>
            <w:tcW w:w="8000" w:type="dxa"/>
            <w:vAlign w:val="bottom"/>
            <w:gridSpan w:val="27"/>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9 - Business Realignment Activities</w:t>
            </w:r>
          </w:p>
        </w:tc>
        <w:tc>
          <w:tcPr>
            <w:tcW w:w="6140" w:type="dxa"/>
            <w:vAlign w:val="bottom"/>
            <w:gridSpan w:val="15"/>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6140" w:type="dxa"/>
            <w:vAlign w:val="bottom"/>
            <w:gridSpan w:val="15"/>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75</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11 - Pension and Other Post-Retirement Benefit Plans</w:t>
            </w:r>
          </w:p>
        </w:tc>
        <w:tc>
          <w:tcPr>
            <w:tcW w:w="4860" w:type="dxa"/>
            <w:vAlign w:val="bottom"/>
            <w:gridSpan w:val="9"/>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78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4860" w:type="dxa"/>
            <w:vAlign w:val="bottom"/>
            <w:gridSpan w:val="9"/>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84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1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88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Note 14 - Equity and Treasury Stock Activity</w:t>
            </w: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15 - Commitments and Contingencies</w:t>
            </w:r>
          </w:p>
        </w:tc>
        <w:tc>
          <w:tcPr>
            <w:tcW w:w="6000" w:type="dxa"/>
            <w:vAlign w:val="bottom"/>
            <w:gridSpan w:val="14"/>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6000" w:type="dxa"/>
            <w:vAlign w:val="bottom"/>
            <w:gridSpan w:val="14"/>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94</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17 - Other (Income) Expense, Net</w:t>
            </w:r>
          </w:p>
        </w:tc>
        <w:tc>
          <w:tcPr>
            <w:tcW w:w="6280" w:type="dxa"/>
            <w:vAlign w:val="bottom"/>
            <w:gridSpan w:val="18"/>
            <w:shd w:val="clear" w:color="auto" w:fill="CCEEFF"/>
          </w:tcPr>
          <w:p>
            <w:pPr>
              <w:spacing w:after="0"/>
              <w:rPr>
                <w:sz w:val="16"/>
                <w:szCs w:val="16"/>
                <w:color w:val="auto"/>
              </w:rPr>
            </w:pP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Note 18 - Related Party Transactions</w:t>
            </w:r>
          </w:p>
        </w:tc>
        <w:tc>
          <w:tcPr>
            <w:tcW w:w="6280" w:type="dxa"/>
            <w:vAlign w:val="bottom"/>
            <w:gridSpan w:val="18"/>
          </w:tcPr>
          <w:p>
            <w:pPr>
              <w:spacing w:after="0"/>
              <w:rPr>
                <w:sz w:val="16"/>
                <w:szCs w:val="16"/>
                <w:color w:val="auto"/>
              </w:rPr>
            </w:pPr>
          </w:p>
        </w:tc>
        <w:tc>
          <w:tcPr>
            <w:tcW w:w="1880" w:type="dxa"/>
            <w:vAlign w:val="bottom"/>
            <w:gridSpan w:val="3"/>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340" w:type="dxa"/>
            <w:vAlign w:val="bottom"/>
            <w:gridSpan w:val="29"/>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19 - Supplemental Balance Sheet Information</w:t>
            </w:r>
          </w:p>
        </w:tc>
        <w:tc>
          <w:tcPr>
            <w:tcW w:w="1880" w:type="dxa"/>
            <w:vAlign w:val="bottom"/>
            <w:gridSpan w:val="3"/>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0000FF"/>
              </w:rPr>
              <w:t>96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Hershey Company (the Company) as of December 31, 2024 and 2023, the related consolidated statements of income, comprehensive income, cash flows, and stockholders' equity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18,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430530</wp:posOffset>
            </wp:positionV>
            <wp:extent cx="1968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Accrued Liabilities for Trade Promotion Activities</w:t>
      </w:r>
    </w:p>
    <w:p>
      <w:pPr>
        <w:sectPr>
          <w:pgSz w:w="11900" w:h="16838" w:orient="portrait"/>
          <w:cols w:equalWidth="0" w:num="1">
            <w:col w:w="11200"/>
          </w:cols>
          <w:pgMar w:left="340" w:top="1386" w:right="359" w:bottom="1440" w:gutter="0" w:footer="0" w:header="0"/>
        </w:sectPr>
      </w:pPr>
    </w:p>
    <w:p>
      <w:pPr>
        <w:spacing w:after="0" w:line="306"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unsettled portion of the Company’s obligation for trade promotion activities at December 31, 2024 was $221.3 million. As discussed in Note 1 of the consolidated financial statements, the Company promotes its products through programs such as, but not limited to, discounts, coupons, rebates, in-store display incentives, and volume-based incentives. The Company recognizes the estimated costs of these trade promotion activities as a component of variable consideration when determining the transaction price. The unsettled portion of the Company’s obligation for trade promotion activities is included in accrued liabilities in the consolidated balance sheet.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management’s calculation of the unsettled portion of the Company’s obligation for trade promotion activities was subjective and required judgment as a result of the nature of the required estimates and assumptions. In particular, the estimates required an analysis of the programs offered, expectations regarding customer and consumer participation, and experience with historical payment patterns.</w:t>
      </w:r>
    </w:p>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related to the Company’s calculation of the accrued liabilities for trade promotion activities. For example, we tested controls over management’s review of the completeness of the promotional activities as well as the significant assumptions and the data inputs utilized in the calculations.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unsettled portion of the Company’s obligation for trade promotion activities, we performed audit procedures that included, among others, assessing (1) the expected value estimation methodology used by management, (2) whether all material trade promotion activities were properly included in management’s estimate, and (3) the assumptions discussed above and the underlying data used in its analyses. Specifically, when evaluating the assumptions, we compared them to historical trends, third party data, and assumptions used in prior periods, and inspected management’s retrospective review of actual trade promotion activities compared to previous estimates. We also performed sensitivity analyses of assumptions to evaluate the changes in the estimate that would result from changes in the assumptions.</w:t>
      </w:r>
    </w:p>
    <w:p>
      <w:pPr>
        <w:spacing w:after="0" w:line="607" w:lineRule="exact"/>
        <w:rPr>
          <w:sz w:val="20"/>
          <w:szCs w:val="20"/>
          <w:color w:val="auto"/>
        </w:rPr>
      </w:pPr>
    </w:p>
    <w:p>
      <w:pPr>
        <w:sectPr>
          <w:pgSz w:w="11900" w:h="16838" w:orient="portrait"/>
          <w:cols w:equalWidth="0" w:num="2">
            <w:col w:w="1660" w:space="280"/>
            <w:col w:w="9260"/>
          </w:cols>
          <w:pgMar w:left="340" w:top="1386" w:right="3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February 18, 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582930</wp:posOffset>
            </wp:positionV>
            <wp:extent cx="19685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86" w:right="35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Hershey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The Hershey Company’s internal control over financial reporting as of December 31, 2024,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2024, based on the COSO criteria.</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the acquisition of the Sour Strips brand from Actual Candy, LLC (“Sour Strips”) on November 8, 2024, which is included in the 2024 consolidated financial statements of the Company and constituted less than 1% of total assets as of December 31, 2024 and less than 1% of net sales for the year then ended. Our audit of internal control over financial reporting of the Company also did not include an evaluation of the internal control over financial reporting of Sour Strips.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cash flows, and stockholders' equity for each of the three years in the period ended December 31, 2024, and the related notes and financial statement schedule listed in the Index at Item 15(a)(2) and our report dated February 18,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430530</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2" w:name="page53"/>
    <w:bookmarkEnd w:id="52"/>
    <w:p>
      <w:pPr>
        <w:spacing w:after="0" w:line="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657225</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11,202,263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11,164,992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10,419,294</w:t>
            </w:r>
          </w:p>
        </w:tc>
      </w:tr>
      <w:tr>
        <w:trPr>
          <w:trHeight w:val="230"/>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5,901,375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5,920,509</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5,300,888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4,498,785</w:t>
            </w:r>
          </w:p>
        </w:tc>
      </w:tr>
      <w:tr>
        <w:trPr>
          <w:trHeight w:val="230"/>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2,236,009</w:t>
            </w:r>
          </w:p>
        </w:tc>
      </w:tr>
      <w:tr>
        <w:trPr>
          <w:trHeight w:val="229"/>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2,260,787</w:t>
            </w:r>
          </w:p>
        </w:tc>
      </w:tr>
      <w:tr>
        <w:trPr>
          <w:trHeight w:val="229"/>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137,557</w:t>
            </w:r>
          </w:p>
        </w:tc>
      </w:tr>
      <w:tr>
        <w:trPr>
          <w:trHeight w:val="229"/>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206,159</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1,917,071</w:t>
            </w:r>
          </w:p>
        </w:tc>
      </w:tr>
      <w:tr>
        <w:trPr>
          <w:trHeight w:val="229"/>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252,697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272,254</w:t>
            </w: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1,644,817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70"/>
        </w:trPr>
        <w:tc>
          <w:tcPr>
            <w:tcW w:w="5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70"/>
        </w:trPr>
        <w:tc>
          <w:tcPr>
            <w:tcW w:w="5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29"/>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448310</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Tax</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8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Tax</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2"/>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$ 2,221,239</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$ 1,861,787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$ 1,644,817</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gains (losses) during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(90,036)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(90,036)</w:t>
            </w:r>
          </w:p>
        </w:tc>
        <w:tc>
          <w:tcPr>
            <w:tcW w:w="2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and post-retirement benefit plans: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actuarial (loss) gain</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(25,489)</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(5,988)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0" w:type="dxa"/>
            <w:vAlign w:val="bottom"/>
          </w:tcPr>
          <w:p>
            <w:pPr>
              <w:spacing w:after="0"/>
              <w:rPr>
                <w:sz w:val="1"/>
                <w:szCs w:val="1"/>
                <w:color w:val="auto"/>
              </w:rPr>
            </w:pPr>
          </w:p>
        </w:tc>
      </w:tr>
      <w:tr>
        <w:trPr>
          <w:trHeight w:val="195"/>
        </w:trPr>
        <w:tc>
          <w:tcPr>
            <w:tcW w:w="3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 hedges: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gains on cash flow hedging derivatives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(5,989)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6,475</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(5,181)</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(73,812)</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22,255</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163"/>
        </w:trPr>
        <w:tc>
          <w:tcPr>
            <w:tcW w:w="3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$ 2,147,427</w:t>
            </w: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$ 1,884,042</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$ 1,641,699</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457200</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80"/>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5" w:name="page56"/>
    <w:bookmarkEnd w:id="5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401,902</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823,617</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2,912,103</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3,458,853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3,309,678</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44,454</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1,159,177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1,086,183</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867,815</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income taxes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305,058</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3,008,352</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3,789,132</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345,698</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8,232,207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7,803,855</w:t>
            </w:r>
          </w:p>
        </w:tc>
        <w:tc>
          <w:tcPr>
            <w:tcW w:w="0" w:type="dxa"/>
            <w:vAlign w:val="bottom"/>
          </w:tcPr>
          <w:p>
            <w:pPr>
              <w:spacing w:after="0"/>
              <w:rPr>
                <w:sz w:val="1"/>
                <w:szCs w:val="1"/>
                <w:color w:val="auto"/>
              </w:rPr>
            </w:pPr>
          </w:p>
        </w:tc>
      </w:tr>
      <w:tr>
        <w:trPr>
          <w:trHeight w:val="236"/>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shares issued: none in 2024 and 2023</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shares issued: 166,939,511 in 2024 and 2023</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 common stock, shares issued: 54,613,514 in 2024 and 2023</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1,345,580</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5,698,316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4,562,263</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Treasury—common stock shares, at cost: 19,169,956 in 2024 and 17,160,099 in 2023</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(1,800,232)</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(230,078)</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4,714,654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4,099,086</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11,902,941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6" w:name="page57"/>
    <w:bookmarkEnd w:id="5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2,221,239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1,861,787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1,644,817</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455,255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378,959</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65,991</w:t>
            </w:r>
          </w:p>
        </w:tc>
        <w:tc>
          <w:tcPr>
            <w:tcW w:w="0" w:type="dxa"/>
            <w:vAlign w:val="bottom"/>
          </w:tcPr>
          <w:p>
            <w:pPr>
              <w:spacing w:after="0"/>
              <w:rPr>
                <w:sz w:val="1"/>
                <w:szCs w:val="1"/>
                <w:color w:val="auto"/>
              </w:rPr>
            </w:pPr>
          </w:p>
        </w:tc>
      </w:tr>
      <w:tr>
        <w:trPr>
          <w:trHeight w:val="195"/>
        </w:trPr>
        <w:tc>
          <w:tcPr>
            <w:tcW w:w="71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36,889</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Write-down of equity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243,311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188,286</w:t>
            </w:r>
          </w:p>
        </w:tc>
        <w:tc>
          <w:tcPr>
            <w:tcW w:w="0" w:type="dxa"/>
            <w:vAlign w:val="bottom"/>
          </w:tcPr>
          <w:p>
            <w:pPr>
              <w:spacing w:after="0"/>
              <w:rPr>
                <w:sz w:val="1"/>
                <w:szCs w:val="1"/>
                <w:color w:val="auto"/>
              </w:rPr>
            </w:pPr>
          </w:p>
        </w:tc>
      </w:tr>
      <w:tr>
        <w:trPr>
          <w:trHeight w:val="195"/>
        </w:trPr>
        <w:tc>
          <w:tcPr>
            <w:tcW w:w="71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Unrealized gains on derivative contracts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76,604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120,818</w:t>
            </w:r>
          </w:p>
        </w:tc>
        <w:tc>
          <w:tcPr>
            <w:tcW w:w="0" w:type="dxa"/>
            <w:vAlign w:val="bottom"/>
          </w:tcPr>
          <w:p>
            <w:pPr>
              <w:spacing w:after="0"/>
              <w:rPr>
                <w:sz w:val="1"/>
                <w:szCs w:val="1"/>
                <w:color w:val="auto"/>
              </w:rPr>
            </w:pPr>
          </w:p>
        </w:tc>
      </w:tr>
      <w:tr>
        <w:trPr>
          <w:trHeight w:val="195"/>
        </w:trPr>
        <w:tc>
          <w:tcPr>
            <w:tcW w:w="71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Changes in assets and liabilities, net of business acquisitions and divestitures: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Accounts receivable—trade,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(38,165)</w:t>
            </w:r>
          </w:p>
        </w:tc>
        <w:tc>
          <w:tcPr>
            <w:tcW w:w="0" w:type="dxa"/>
            <w:vAlign w:val="bottom"/>
          </w:tcPr>
          <w:p>
            <w:pPr>
              <w:spacing w:after="0"/>
              <w:rPr>
                <w:sz w:val="1"/>
                <w:szCs w:val="1"/>
                <w:color w:val="auto"/>
              </w:rPr>
            </w:pPr>
          </w:p>
        </w:tc>
      </w:tr>
      <w:tr>
        <w:trPr>
          <w:trHeight w:val="195"/>
        </w:trPr>
        <w:tc>
          <w:tcPr>
            <w:tcW w:w="71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68,831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(186,963)</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0" w:type="dxa"/>
            <w:vAlign w:val="bottom"/>
          </w:tcPr>
          <w:p>
            <w:pPr>
              <w:spacing w:after="0"/>
              <w:rPr>
                <w:sz w:val="1"/>
                <w:szCs w:val="1"/>
                <w:color w:val="auto"/>
              </w:rPr>
            </w:pPr>
          </w:p>
        </w:tc>
      </w:tr>
      <w:tr>
        <w:trPr>
          <w:trHeight w:val="195"/>
        </w:trPr>
        <w:tc>
          <w:tcPr>
            <w:tcW w:w="71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216,479</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Accrued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0" w:type="dxa"/>
            <w:vAlign w:val="bottom"/>
          </w:tcPr>
          <w:p>
            <w:pPr>
              <w:spacing w:after="0"/>
              <w:rPr>
                <w:sz w:val="1"/>
                <w:szCs w:val="1"/>
                <w:color w:val="auto"/>
              </w:rPr>
            </w:pPr>
          </w:p>
        </w:tc>
      </w:tr>
      <w:tr>
        <w:trPr>
          <w:trHeight w:val="195"/>
        </w:trPr>
        <w:tc>
          <w:tcPr>
            <w:tcW w:w="71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Contributions to pension and other benefit plans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(78,547)</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(11,225)</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2,531,596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2,323,190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2,327,837</w:t>
            </w:r>
          </w:p>
        </w:tc>
        <w:tc>
          <w:tcPr>
            <w:tcW w:w="0" w:type="dxa"/>
            <w:vAlign w:val="bottom"/>
          </w:tcPr>
          <w:p>
            <w:pPr>
              <w:spacing w:after="0"/>
              <w:rPr>
                <w:sz w:val="1"/>
                <w:szCs w:val="1"/>
                <w:color w:val="auto"/>
              </w:rPr>
            </w:pPr>
          </w:p>
        </w:tc>
      </w:tr>
      <w:tr>
        <w:trPr>
          <w:trHeight w:val="18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Capital additions (including software)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(771,109)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(519,481)</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investments in tax credit qualifying partnerships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(275,534)</w:t>
            </w:r>
          </w:p>
        </w:tc>
        <w:tc>
          <w:tcPr>
            <w:tcW w:w="0" w:type="dxa"/>
            <w:vAlign w:val="bottom"/>
          </w:tcPr>
          <w:p>
            <w:pPr>
              <w:spacing w:after="0"/>
              <w:rPr>
                <w:sz w:val="1"/>
                <w:szCs w:val="1"/>
                <w:color w:val="auto"/>
              </w:rPr>
            </w:pPr>
          </w:p>
        </w:tc>
      </w:tr>
      <w:tr>
        <w:trPr>
          <w:trHeight w:val="195"/>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7,639</w:t>
            </w:r>
          </w:p>
        </w:tc>
        <w:tc>
          <w:tcPr>
            <w:tcW w:w="0" w:type="dxa"/>
            <w:vAlign w:val="bottom"/>
          </w:tcPr>
          <w:p>
            <w:pPr>
              <w:spacing w:after="0"/>
              <w:rPr>
                <w:sz w:val="1"/>
                <w:szCs w:val="1"/>
                <w:color w:val="auto"/>
              </w:rPr>
            </w:pPr>
          </w:p>
        </w:tc>
      </w:tr>
      <w:tr>
        <w:trPr>
          <w:trHeight w:val="18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(1,198,676)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(787,376)</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increase (decrease) in short-term debt</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607,006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(245,633)</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borrowings, net of debt issuance costs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 of long-term debt and finance leases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(755,414)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dividends paid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(775,030)</w:t>
            </w:r>
          </w:p>
        </w:tc>
        <w:tc>
          <w:tcPr>
            <w:tcW w:w="0" w:type="dxa"/>
            <w:vAlign w:val="bottom"/>
          </w:tcPr>
          <w:p>
            <w:pPr>
              <w:spacing w:after="0"/>
              <w:rPr>
                <w:sz w:val="1"/>
                <w:szCs w:val="1"/>
                <w:color w:val="auto"/>
              </w:rPr>
            </w:pPr>
          </w:p>
        </w:tc>
      </w:tr>
      <w:tr>
        <w:trPr>
          <w:trHeight w:val="195"/>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(388,964)</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34,158</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Taxes withheld and paid on employee stock awards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(35,515)</w:t>
            </w:r>
          </w:p>
        </w:tc>
        <w:tc>
          <w:tcPr>
            <w:tcW w:w="0" w:type="dxa"/>
            <w:vAlign w:val="bottom"/>
          </w:tcPr>
          <w:p>
            <w:pPr>
              <w:spacing w:after="0"/>
              <w:rPr>
                <w:sz w:val="1"/>
                <w:szCs w:val="1"/>
                <w:color w:val="auto"/>
              </w:rPr>
            </w:pPr>
          </w:p>
        </w:tc>
      </w:tr>
      <w:tr>
        <w:trPr>
          <w:trHeight w:val="20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(1,415,725)</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54,063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9,887</w:t>
            </w:r>
          </w:p>
        </w:tc>
        <w:tc>
          <w:tcPr>
            <w:tcW w:w="0" w:type="dxa"/>
            <w:vAlign w:val="bottom"/>
          </w:tcPr>
          <w:p>
            <w:pPr>
              <w:spacing w:after="0"/>
              <w:rPr>
                <w:sz w:val="1"/>
                <w:szCs w:val="1"/>
                <w:color w:val="auto"/>
              </w:rPr>
            </w:pPr>
          </w:p>
        </w:tc>
      </w:tr>
      <w:tr>
        <w:trPr>
          <w:trHeight w:val="20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328,844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134,623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401,902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463,889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329,266</w:t>
            </w:r>
          </w:p>
        </w:tc>
        <w:tc>
          <w:tcPr>
            <w:tcW w:w="0" w:type="dxa"/>
            <w:vAlign w:val="bottom"/>
          </w:tcPr>
          <w:p>
            <w:pPr>
              <w:spacing w:after="0"/>
              <w:rPr>
                <w:sz w:val="1"/>
                <w:szCs w:val="1"/>
                <w:color w:val="auto"/>
              </w:rPr>
            </w:pPr>
          </w:p>
        </w:tc>
      </w:tr>
      <w:tr>
        <w:trPr>
          <w:trHeight w:val="22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730,746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463,889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131,757</w:t>
            </w:r>
          </w:p>
        </w:tc>
        <w:tc>
          <w:tcPr>
            <w:tcW w:w="0" w:type="dxa"/>
            <w:vAlign w:val="bottom"/>
          </w:tcPr>
          <w:p>
            <w:pPr>
              <w:spacing w:after="0"/>
              <w:rPr>
                <w:sz w:val="1"/>
                <w:szCs w:val="1"/>
                <w:color w:val="auto"/>
              </w:rPr>
            </w:pPr>
          </w:p>
        </w:tc>
      </w:tr>
      <w:tr>
        <w:trPr>
          <w:trHeight w:val="188"/>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201,799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8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1,260,331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2,757,229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1,644,817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1,644,817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$3.874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Class B Common Stock, $3.522 per share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04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color w:val="auto"/>
              </w:rPr>
              <w:t>Conversion of Class B Common Stock into</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040" w:type="dxa"/>
            <w:vAlign w:val="bottom"/>
            <w:gridSpan w:val="4"/>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(388,964)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(388,964)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163,439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(1,556,029)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(252,333)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1,861,787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1,861,787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$4.456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Class B Common Stock, $4.050 per share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04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Conversion of Class B Common Stock into</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04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(267,331)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166,939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54,614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1,345,580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4,562,263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(1,800,232)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(230,078)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2,221,239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2,221,239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$5.480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4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Class B Common Stock, $4.980 per share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04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040" w:type="dxa"/>
            <w:vAlign w:val="bottom"/>
            <w:gridSpan w:val="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Repurchase of common stock (including excise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166,939</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54,614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1,377,226</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5,698,316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(2,278,551)</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(303,890)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4,714,654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gridSpan w:val="15"/>
          </w:tcPr>
          <w:p>
            <w:pPr>
              <w:jc w:val="center"/>
              <w:ind w:left="45"/>
              <w:spacing w:after="0"/>
              <w:rPr>
                <w:sz w:val="20"/>
                <w:szCs w:val="20"/>
                <w:color w:val="auto"/>
              </w:rPr>
            </w:pPr>
            <w:r>
              <w:rPr>
                <w:rFonts w:ascii="Times New Roman" w:cs="Times New Roman" w:eastAsia="Times New Roman" w:hAnsi="Times New Roman"/>
                <w:sz w:val="18"/>
                <w:szCs w:val="18"/>
                <w:b w:val="1"/>
                <w:bCs w:val="1"/>
                <w:color w:val="auto"/>
                <w:w w:val="99"/>
              </w:rPr>
              <w:t>See Notes to Consolidated Financial Statements.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gridSpan w:val="14"/>
          </w:tcPr>
          <w:p>
            <w:pPr>
              <w:jc w:val="center"/>
              <w:ind w:right="600"/>
              <w:spacing w:after="0"/>
              <w:rPr>
                <w:sz w:val="20"/>
                <w:szCs w:val="20"/>
                <w:color w:val="auto"/>
              </w:rPr>
            </w:pPr>
            <w:r>
              <w:rPr>
                <w:rFonts w:ascii="Times New Roman" w:cs="Times New Roman" w:eastAsia="Times New Roman" w:hAnsi="Times New Roman"/>
                <w:sz w:val="16"/>
                <w:szCs w:val="16"/>
                <w:color w:val="auto"/>
              </w:rPr>
              <w:t>The Hershey Company | 2024 Form 10-K | Page 56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-376555</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94" w:lineRule="exact"/>
        <w:rPr>
          <w:sz w:val="20"/>
          <w:szCs w:val="20"/>
          <w:color w:val="auto"/>
        </w:rPr>
      </w:pPr>
    </w:p>
    <w:p>
      <w:pPr>
        <w:ind w:left="40" w:right="100"/>
        <w:spacing w:after="0" w:line="255" w:lineRule="auto"/>
        <w:rPr>
          <w:sz w:val="20"/>
          <w:szCs w:val="20"/>
          <w:color w:val="auto"/>
        </w:rPr>
      </w:pPr>
      <w:r>
        <w:rPr>
          <w:rFonts w:ascii="Times New Roman" w:cs="Times New Roman" w:eastAsia="Times New Roman" w:hAnsi="Times New Roman"/>
          <w:sz w:val="18"/>
          <w:szCs w:val="18"/>
          <w:color w:val="auto"/>
        </w:rPr>
        <w:t xml:space="preserve">The Hershey Company together with its wholly-owned subsidiaries and entities in which it has a controlling interest, (the “Company,” “Hershey,” “we” or “us”) is a global confectionery leader known for its branded portfolio of chocolate, sweets, mints and other great tasting snacks. The Company has more than 90 brands worldwide including such iconic brand names as </w:t>
      </w:r>
      <w:r>
        <w:rPr>
          <w:rFonts w:ascii="Times New Roman" w:cs="Times New Roman" w:eastAsia="Times New Roman" w:hAnsi="Times New Roman"/>
          <w:sz w:val="18"/>
          <w:szCs w:val="18"/>
          <w:i w:val="1"/>
          <w:iCs w:val="1"/>
          <w:color w:val="auto"/>
        </w:rPr>
        <w:t>Hershey’s, Reese’s, Kisses, Jolly Rancher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Ice Breakers,</w:t>
      </w:r>
      <w:r>
        <w:rPr>
          <w:rFonts w:ascii="Times New Roman" w:cs="Times New Roman" w:eastAsia="Times New Roman" w:hAnsi="Times New Roman"/>
          <w:sz w:val="18"/>
          <w:szCs w:val="18"/>
          <w:color w:val="auto"/>
        </w:rPr>
        <w:t xml:space="preserve"> which are marketed, sold and distributed in approximately 70 countries worldwide. Hershey’s structure is designed to ensure continued focus on North America, coupled with an emphasis on profitable growth in our focus international markets. The Company currently operates through three segments that are aligned with its management structure and the key markets it serves: (i) North America Confectionery, (ii) North America Salty Snacks and (iii) International. For additional information on our segment presentation,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18"/>
          <w:szCs w:val="18"/>
          <w:color w:val="auto"/>
        </w:rPr>
        <w:t xml:space="preserve">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In addition, we use the equity method of accounting for our investments in partnership entities which make equity investments in projects eligible to receive federal historic and energy tax credits.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for additional information on our equity investments in partnership entities qualifying for tax credits. Other investments that are not controlled, and over which we do not have the ability to exercise significant influence, are accounted for at cost, less impairments. Both equity method and cost, less impairment investments are included as Other non-current assets in the Consolidated Balance Sheets. For additional information on our investments in unconsolidated affiliates,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left="40" w:right="2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ind w:left="40" w:right="60"/>
        <w:spacing w:after="0" w:line="256" w:lineRule="auto"/>
        <w:rPr>
          <w:sz w:val="20"/>
          <w:szCs w:val="20"/>
          <w:color w:val="auto"/>
        </w:rPr>
      </w:pPr>
      <w:r>
        <w:rPr>
          <w:rFonts w:ascii="Times New Roman" w:cs="Times New Roman" w:eastAsia="Times New Roman" w:hAnsi="Times New Roman"/>
          <w:sz w:val="18"/>
          <w:szCs w:val="18"/>
          <w:color w:val="auto"/>
        </w:rPr>
        <w:t>The majority of our revenue contracts represent a single performance obligation related to the fulfillment of customer orders for the purchase of our products, including chocolate, sweets, mints and other grocery and snack offerings. Net sales reflect the transaction prices for these contracts based on our selling list price which is then reduced by estimated costs for trade promotional programs, consumer incentives, and allowances and discounts associated with aged or potentially unsaleable products. We recognize revenue at the point in time that control of the ordered product(s) is transferred to the customer, which is typically upon delivery to the customer or other customer-designated delivery point. Amounts billed and due from our customers are classified as accounts receivables on the balance sheet and require payment on a short-term basis.</w:t>
      </w:r>
    </w:p>
    <w:p>
      <w:pPr>
        <w:spacing w:after="0" w:line="66" w:lineRule="exact"/>
        <w:rPr>
          <w:sz w:val="20"/>
          <w:szCs w:val="20"/>
          <w:color w:val="auto"/>
        </w:rPr>
      </w:pPr>
    </w:p>
    <w:p>
      <w:pPr>
        <w:ind w:left="40" w:right="60"/>
        <w:spacing w:after="0" w:line="282" w:lineRule="auto"/>
        <w:rPr>
          <w:sz w:val="20"/>
          <w:szCs w:val="20"/>
          <w:color w:val="auto"/>
        </w:rPr>
      </w:pPr>
      <w:r>
        <w:rPr>
          <w:rFonts w:ascii="Times New Roman" w:cs="Times New Roman" w:eastAsia="Times New Roman" w:hAnsi="Times New Roman"/>
          <w:sz w:val="18"/>
          <w:szCs w:val="18"/>
          <w:color w:val="auto"/>
        </w:rPr>
        <w:t>Our trade promotional programs and consumer incentives are used to promote our products and include, but are not limited to, discounts, coupons, rebates, in-store display incentives, and volume-based incentives. The estimated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405765</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39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187960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4" w:right="359" w:bottom="1440" w:gutter="0" w:footer="0" w:header="0"/>
        </w:sectPr>
      </w:pPr>
    </w:p>
    <w:bookmarkStart w:id="59" w:name="page60"/>
    <w:bookmarkEnd w:id="59"/>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associated with these programs and incentives are based upon our analysis of the programs offered, expectations regarding customer and consumer participation, historical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2024, 2023 and 2022, actual promotional costs have not deviated from the estimated amount by more than 3%. The Company’s unsettled portion remaining in accrued liabilities at year-end for these activities was $221,275 and $194,032 at December 31, 2024 and 2023, respectively.</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also recognize a minor amount of royalty income (less than 1% of our consolidated net sales) from sales-based licensing arrangements, pursuant to which revenue is recognized as the third-party licensee sales occur. Shipping and handling costs incurred to deliver product to the customer are recorded within cost of sales. Sales, value add and other taxes we collect concurrent with revenue producing activities are excluded from revenue.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majority of our products are confectionery or confectionery-based and, therefore, exhibit similar economic characteristics, as they are based on similar ingredients and are marketed and sold through the same channels to the same customers. In connection with our recent acquisitions, we have expanded our portfolio of salty snacking products, which also exhibit similar economic characteristics to our confectionery products and are sold through the same channels to the same customers.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for revenues reported by geographic segment, which is consistent with how we organize and manage our operations, as well as product line net sales information.</w:t>
      </w:r>
    </w:p>
    <w:p>
      <w:pPr>
        <w:spacing w:after="0" w:line="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2024, 2023 and 2022, approximately 27%, 28% and 28%,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 Expense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marketing and administrative expense (“SM&amp;A”) represents costs incurred in generating revenues and in managing our business. Such costs include advertising and other marketing expenses, selling expenses, research and development costs, administrative and other indirect overhead costs, amortization of capitalized software and intangible assets and depreciation of administrative facilities. Research and development costs, charged to expense as incurred, totaled $55,798 in 2024, $50,030 in 2023 and $46,943 in 2022. Advertising expense is also charged to expense as incurred and totaled $600,094 in 2024, $604,853 in 2023 and $517,677 in 2022. Prepaid advertising expense was $1,351 as of December 31, 2024. There was no prepaid advertising expense as of December 31,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debt instruments, time deposits and money market funds with original maturities of three months or less. The fair value of cash equivalents approximates the carrying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Receivable—Trade</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 of credit risk is associated with McLane Company, Inc., one customer served principally by our North America Confectionery segment. As of December 31, 2024, McLane Company, Inc. accounted for approximately 23% of our total accounts receivable.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$40,487 and $31,663 at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422910</wp:posOffset>
            </wp:positionV>
            <wp:extent cx="1968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0" w:name="page61"/>
    <w:bookmarkEnd w:id="6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Inventories are valued at the lower of cost or net realizable value, adjusted for the value of inventory that is estimated to be excess, obsolete or otherwise unsaleable. As of December 31, 2024, approximately 75% of our inventories, representing the majority of our United States (“U.S.”) inventories, were valued under the last-in, first-out (“LIFO”) method. For the remainder of our inventories in the U.S. and inventories for our international businesses, cost is determined by either first-in, first-out ("FIFO") or average cost. LIFO cost of inventories valued using the LIFO method was $945,335 as of December 31, 2024 and $741,040 as of December 31, 2023. The adjustment to LIFO, as shown in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 approximates the excess of replacement cost over the stated LIFO inventory value. The net impact of LIFO liquidations during 2024 was $32,139. The net impact of LIFO acquisitions and liquidations was not material to 2023 or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2024 and December 31, 2023, property, plant and equipment included assets under finance lease arrangements with net book values totaling $62,484 and $69,863, respectively. Total depreciation expense for the years ended December 31, 2024, 2023 and 2022 was $292,170, $265,604 and $253,582, respectively, and included depreciation on assets recorded under finance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 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 Software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unamortized amount of capitalized software totaled $367,087 and $360,205 at December 31, 2024 and 2023, respectively. We amortize software costs using the straight-line method over the expected life of the software, generally 3 to 7 years. Accumulated amortization of capitalized software was $476,611 and $395,410 as of 2024 and 2023, respectively. Such amounts are recorded within other assets in the Consolidated Balance Sheets.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review the carrying value of software and development costs for impairment in accordance with our policy pertaining to the impairment of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1" w:name="page62"/>
    <w:bookmarkEnd w:id="6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cost of intangible assets with finite useful lives is amortized on a straight-line basis. Our finite-lived intangible assets consist primarily of certain trademarks, customer-related intangible assets and patents obtained through business acquisitions. The weighted-average amortization period for our finite-lived intangible assets is approximately 27 years, which is primarily driven by recently acquired trademarks. If certain events or changes in operating conditions indicate that the carrying value of these assets, or related asset groups, may not be recoverable, we perform an impairment assessment and may adjust the remaining useful lives.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for additional information regarding the results of impairment tests.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Finance Program Obligations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agreements with two third-party financial institutions to facilitate a supplier finance program which allows qualifying suppliers to sell their receivables from the Company to the financial institution. These participating suppliers negotiate their outstanding receivable arrangements directly with the financial institution, and our rights and obligations to our suppliers are not impacted. We have no economic interest in a supplier’s decision to enter into these agreements. Once a qualifying supplier elects to participate in the supplier finance program and reaches an agreement with a financial institution, they elect which individual Company invoices they sell to the financial institution. However, all Company payments to participating suppliers are paid to the financial institution on the invoice due date, regardless of whether the individual invoice is sold by the supplier to the financial institution. The financial institution pays the supplier on the invoice due date for any invoices that were not previously sold under the supplier finance program. Our obligations to our suppliers, including amounts due and scheduled payment terms, are not impacted by our suppliers’ decisions to sell amounts under these arrangements. The payment of these obligations is included in cash provided by operating activities in the Consolidated Statements of Cash Flows. The rollforward of the Company’s outstanding obligations confirmed as valid under its supplier finance program, which are included in Accounts Payable in the Consolidated Balance Sheets, for the years ended December 31, 2024 and 2023 are as follows:</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finance program obligations outstanding at beginning of the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149,261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105,293</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 amounts added during the year</w:t>
            </w:r>
          </w:p>
        </w:tc>
        <w:tc>
          <w:tcPr>
            <w:tcW w:w="420" w:type="dxa"/>
            <w:vAlign w:val="bottom"/>
          </w:tcPr>
          <w:p>
            <w:pPr>
              <w:spacing w:after="0"/>
              <w:rPr>
                <w:sz w:val="19"/>
                <w:szCs w:val="19"/>
                <w:color w:val="auto"/>
              </w:rPr>
            </w:pPr>
          </w:p>
        </w:tc>
        <w:tc>
          <w:tcPr>
            <w:tcW w:w="13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860,250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585,872</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Invoice amounts paid during the year</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(794,389)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(541,904)</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finance program obligations outstanding at end of the year</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215,122</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149,261</w:t>
            </w:r>
          </w:p>
        </w:tc>
      </w:tr>
      <w:tr>
        <w:trPr>
          <w:trHeight w:val="21"/>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805815</wp:posOffset>
            </wp:positionV>
            <wp:extent cx="1968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81"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 In 2024, the Company recorded a reclassification related to foreign currency between additional paid-in capital and other comprehensive income (loss). This adjustment did not have a material impact on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use derivative instruments principally to offset exposure to market risks arising from changes in commodity prices, foreign currency exchange rates and interest rates.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additional information on our risk management strategy and the types of instruments we use.</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Derivative instruments are recognized on the Consolidated Balance Sheets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72" w:lineRule="exact"/>
        <w:rPr>
          <w:sz w:val="20"/>
          <w:szCs w:val="20"/>
          <w:color w:val="auto"/>
        </w:rPr>
      </w:pPr>
    </w:p>
    <w:p>
      <w:pPr>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6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derivative not designated as a hedging instrument are recognized in earnings in cost of sales or SM&amp;A, consistent with the related exposure.</w:t>
      </w:r>
    </w:p>
    <w:p>
      <w:pPr>
        <w:spacing w:after="0" w:line="4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hold or issue derivative instruments for trading or speculative purposes and are not a party to any instruments with leverage or prepayment features.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related to the derivative instruments we use to manage interest, commodity or other currency exposures are classified as operating activities.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This ASU requires disclosure of significant segment expenses that are regularly provided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consolidated financial statements.</w:t>
      </w:r>
    </w:p>
    <w:p>
      <w:pPr>
        <w:spacing w:after="0" w:line="1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The ASU is intended to provide temporary optional expedients and exceptions to the GAAP guidance on contract modifications and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418465</wp:posOffset>
            </wp:positionV>
            <wp:extent cx="1968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31, 2022 on a prospective basis. We early adopted the provisions of this ASU in the first quarter of 2022. Adoption of the new standard did not have a material impact on our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September 2022, the FASB issued ASU No. 2022-04, </w:t>
      </w:r>
      <w:r>
        <w:rPr>
          <w:rFonts w:ascii="Times New Roman" w:cs="Times New Roman" w:eastAsia="Times New Roman" w:hAnsi="Times New Roman"/>
          <w:sz w:val="18"/>
          <w:szCs w:val="18"/>
          <w:i w:val="1"/>
          <w:iCs w:val="1"/>
          <w:color w:val="auto"/>
        </w:rPr>
        <w:t>Liabilities—Supplier Finance Programs (Subtopic 405-50):</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Disclosure of Supplier Finance Program Obligations</w:t>
      </w:r>
      <w:r>
        <w:rPr>
          <w:rFonts w:ascii="Times New Roman" w:cs="Times New Roman" w:eastAsia="Times New Roman" w:hAnsi="Times New Roman"/>
          <w:sz w:val="18"/>
          <w:szCs w:val="18"/>
          <w:color w:val="auto"/>
        </w:rPr>
        <w:t>. This ASU requires a buyer in a supplier finance program to disclose qualitative and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we adopted in the fourth quarter of 2023. Adoption of the new standard did not have a material impact on our consolidated financial statements.</w:t>
      </w:r>
    </w:p>
    <w:p>
      <w:pPr>
        <w:spacing w:after="0" w:line="13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This ASU requires an acquirer to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As a result, we adopted the provisions of this ASU in the first quarter of 2023, and was applied to acquisitions since the date of adoption.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updated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8"/>
          <w:szCs w:val="18"/>
          <w:color w:val="auto"/>
        </w:rPr>
        <w:t>This ASU requires entities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additional expense information including, among other items, purchases of inventory, employee compensation, depreciation and intangible asset amortization included within each Consolidated Statement of Income expense caption. ASU 2024-03 is effective for annual reporting periods beginning after December 15, 2026, and interim reporting periods beginning after December 15, 2027. Early adoption is permitted and the update should be applied on a prospective basis, with a retrospective application permitted in the financial statements. We are currently evaluating the impact of the new standard on our consolidated financial statements and related disclosures.</w:t>
      </w:r>
    </w:p>
    <w:p>
      <w:pPr>
        <w:spacing w:after="0" w:line="13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4" w:name="page65"/>
    <w:bookmarkEnd w:id="64"/>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Acquisitions of businesses are accounted for as business combinations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conjunction with acquisitions noted below, we used various valuation techniques to determine fair value of the assets acquired, with the primary techniques being discounted cash flow analysis, relief-from-royalty, a form of the multi-period excess earnings and the with-and-without valuation approaches, which use significant unobservable inputs, or Level 3 inputs, as defined by the fair value hierarchy. Inputs to these valuation approaches require significant judgment including: (i) forecasted sales, growth rates and customer attrition rates, (ii) forecasted operating margins, (iii) royalty rates and discount rates used to present value future cash flows, (iv) the amount of synergies expected from the acquisition, (v) the economic useful life of assets and (vi) the evaluation of historical tax positions. In certain acquisitions, historical data is limited; therefore, we base our estimates and assumptions on budgets, business plans, economic projections, anticipated future cash flows and marketplace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 Strips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w:t>
      </w:r>
    </w:p>
    <w:p>
      <w:pPr>
        <w:spacing w:after="0" w:line="2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an emerging sour candy brand and is available in a wide range of food distribution channels in the United States. The initial cash consideration paid for Sour Strips was deemed immaterial and consisted of cash on hand and short-term borrowings; however, the Company may be required to pay additional contingent consideration if certain defined targets are met over a multi-year period. Acquisition-related costs for the Sour Strips acquisition were immaterial.</w:t>
      </w:r>
    </w:p>
    <w:p>
      <w:pPr>
        <w:spacing w:after="0" w:line="21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Sour Strips has been included within the North America Confectionery segment from the date of acquisition. The purchase consideration, inclusive of the acquisition date fair value of the contingent consideration, was allocated to minimal net assets acquired, goodwill and other intangible assets. The purchase price allocation is preliminary as we are in the process of evaluating additional information necessary to finalize the valuation of assets acquired and liabilities assumed as of the acquisition date including, but not limited to, post-closing adjustments to the working capital acquired. The final fair value determination is not expected to result in material adjustments to our preliminary purchase price allocation, including other intangible assets and goodwill. We expect to finalize the purchase price allocation by mid-2025.</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commercial capabilities and retail relationships to accelerate growth.</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$41,800 and customer relationships valued at $41,300. Trademarks were assigned an estimated useful life of 22 years and customer relationships were assigned estimated useful lives ranging from 14 to 16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Manufacturing Capacity</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Times New Roman" w:cs="Times New Roman" w:eastAsia="Times New Roman" w:hAnsi="Times New Roman"/>
          <w:sz w:val="18"/>
          <w:szCs w:val="18"/>
          <w:i w:val="1"/>
          <w:iCs w:val="1"/>
          <w:color w:val="auto"/>
        </w:rPr>
        <w:t xml:space="preserve">SkinnyPop </w:t>
      </w:r>
      <w:r>
        <w:rPr>
          <w:rFonts w:ascii="Times New Roman" w:cs="Times New Roman" w:eastAsia="Times New Roman" w:hAnsi="Times New Roman"/>
          <w:sz w:val="18"/>
          <w:szCs w:val="18"/>
          <w:color w:val="auto"/>
        </w:rPr>
        <w:t>brand. The cash consideration paid for Weaver totaled $165,818 and consisted of cash on hand and short-term borrowings. Acquisition-related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the Weaver acquisition were immaterial.</w:t>
      </w:r>
    </w:p>
    <w:p>
      <w:pPr>
        <w:spacing w:after="0" w:line="12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Weaver has been included within the North America Salty Snacks segment from the date of acquisition. The purchase consideration was allocated to assets acquired and liabilities assumed based on their respective fair values and consisted of $85,231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5" w:name="page66"/>
    <w:bookmarkEnd w:id="6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$79,136 to property, plant and equipment, net and $1,451 to other net assets acquired. The purchase price allocation has been finalized as of the fourth quarter of 2023 and did not include measurement period adjustments.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The goodwill derived from this acquisition is deductible for tax purposes and reflects the value of leveraging our supply chain capabilities to accelerate growth and access to our portfolio of salty snacks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segment for the years ended December 31, 2024 and 2023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20" w:type="dxa"/>
            <w:vAlign w:val="bottom"/>
          </w:tcPr>
          <w:p>
            <w:pPr>
              <w:spacing w:after="0"/>
              <w:rPr>
                <w:sz w:val="17"/>
                <w:szCs w:val="17"/>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North America Salty</w:t>
            </w:r>
          </w:p>
        </w:tc>
        <w:tc>
          <w:tcPr>
            <w:tcW w:w="280" w:type="dxa"/>
            <w:vAlign w:val="bottom"/>
          </w:tcPr>
          <w:p>
            <w:pPr>
              <w:spacing w:after="0"/>
              <w:rPr>
                <w:sz w:val="17"/>
                <w:szCs w:val="17"/>
                <w:color w:val="auto"/>
              </w:rPr>
            </w:pP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20" w:type="dxa"/>
            <w:vAlign w:val="bottom"/>
          </w:tcPr>
          <w:p>
            <w:pPr>
              <w:spacing w:after="0"/>
              <w:rPr>
                <w:sz w:val="17"/>
                <w:szCs w:val="17"/>
                <w:color w:val="auto"/>
              </w:rPr>
            </w:pPr>
          </w:p>
        </w:tc>
        <w:tc>
          <w:tcPr>
            <w:tcW w:w="14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12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Snacks</w:t>
            </w:r>
          </w:p>
        </w:tc>
        <w:tc>
          <w:tcPr>
            <w:tcW w:w="28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2,969,304</w:t>
            </w:r>
          </w:p>
        </w:tc>
        <w:tc>
          <w:tcPr>
            <w:tcW w:w="0" w:type="dxa"/>
            <w:vAlign w:val="bottom"/>
          </w:tcPr>
          <w:p>
            <w:pPr>
              <w:spacing w:after="0"/>
              <w:rPr>
                <w:sz w:val="1"/>
                <w:szCs w:val="1"/>
                <w:color w:val="auto"/>
              </w:rPr>
            </w:pPr>
          </w:p>
        </w:tc>
      </w:tr>
      <w:tr>
        <w:trPr>
          <w:trHeight w:val="23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(362,348)</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2,606,956</w:t>
            </w:r>
          </w:p>
        </w:tc>
        <w:tc>
          <w:tcPr>
            <w:tcW w:w="0" w:type="dxa"/>
            <w:vAlign w:val="bottom"/>
          </w:tcPr>
          <w:p>
            <w:pPr>
              <w:spacing w:after="0"/>
              <w:rPr>
                <w:sz w:val="1"/>
                <w:szCs w:val="1"/>
                <w:color w:val="auto"/>
              </w:rPr>
            </w:pPr>
          </w:p>
        </w:tc>
      </w:tr>
      <w:tr>
        <w:trPr>
          <w:trHeight w:val="23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Acquired during the period</w:t>
            </w:r>
          </w:p>
        </w:tc>
        <w:tc>
          <w:tcPr>
            <w:tcW w:w="2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85,231</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2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2,020,831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2,696,050</w:t>
            </w:r>
          </w:p>
        </w:tc>
        <w:tc>
          <w:tcPr>
            <w:tcW w:w="0" w:type="dxa"/>
            <w:vAlign w:val="bottom"/>
          </w:tcPr>
          <w:p>
            <w:pPr>
              <w:spacing w:after="0"/>
              <w:rPr>
                <w:sz w:val="1"/>
                <w:szCs w:val="1"/>
                <w:color w:val="auto"/>
              </w:rPr>
            </w:pPr>
          </w:p>
        </w:tc>
      </w:tr>
      <w:tr>
        <w:trPr>
          <w:trHeight w:val="209"/>
        </w:trPr>
        <w:tc>
          <w:tcPr>
            <w:tcW w:w="33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Acquired during the period (see </w:t>
            </w:r>
            <w:r>
              <w:rPr>
                <w:rFonts w:ascii="Times New Roman" w:cs="Times New Roman" w:eastAsia="Times New Roman" w:hAnsi="Times New Roman"/>
                <w:sz w:val="18"/>
                <w:szCs w:val="18"/>
                <w:color w:val="0000FF"/>
              </w:rPr>
              <w:t>Note 2</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20,723</w:t>
            </w:r>
          </w:p>
        </w:tc>
        <w:tc>
          <w:tcPr>
            <w:tcW w:w="0" w:type="dxa"/>
            <w:vAlign w:val="bottom"/>
          </w:tcPr>
          <w:p>
            <w:pPr>
              <w:spacing w:after="0"/>
              <w:rPr>
                <w:sz w:val="1"/>
                <w:szCs w:val="1"/>
                <w:color w:val="auto"/>
              </w:rPr>
            </w:pPr>
          </w:p>
        </w:tc>
      </w:tr>
      <w:tr>
        <w:trPr>
          <w:trHeight w:val="229"/>
        </w:trPr>
        <w:tc>
          <w:tcPr>
            <w:tcW w:w="2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48"/>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goodwill impairment charges in 2024, 2023 or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Pr>
          <w:p>
            <w:pPr>
              <w:spacing w:after="0"/>
              <w:rPr>
                <w:sz w:val="20"/>
                <w:szCs w:val="20"/>
                <w:color w:val="auto"/>
              </w:rPr>
            </w:pPr>
          </w:p>
        </w:tc>
      </w:tr>
      <w:tr>
        <w:trPr>
          <w:trHeight w:val="169"/>
        </w:trPr>
        <w:tc>
          <w:tcPr>
            <w:tcW w:w="4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(249,947)</w:t>
            </w:r>
          </w:p>
        </w:tc>
      </w:tr>
      <w:tr>
        <w:trPr>
          <w:trHeight w:val="230"/>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(123,282)</w:t>
            </w:r>
          </w:p>
        </w:tc>
      </w:tr>
      <w:tr>
        <w:trPr>
          <w:trHeight w:val="230"/>
        </w:trPr>
        <w:tc>
          <w:tcPr>
            <w:tcW w:w="4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(381,462)</w:t>
            </w:r>
          </w:p>
        </w:tc>
      </w:tr>
      <w:tr>
        <w:trPr>
          <w:trHeight w:val="270"/>
        </w:trPr>
        <w:tc>
          <w:tcPr>
            <w:tcW w:w="4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4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years ended December 31, 2024, 2023 and 2022 was $84,640, $88,771 and $79,690,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next five years, based on current intangible asset balances, is estimated to be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This facility is scheduled to expire on April 26, 2028; however, we may extend the termination date for up to two additional one-year periods upon notice to the administrative agent under the facility.</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2024, we are in compliance with all affirmative and negative covenants and the financial covenant pertaining to our credit agreement. There were no significant compensating balance agreements that legally restricted these funds.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Our credit limit in various currencies was $391,279 at December 31, 2024 and $411,553 at December 31, 2023. These lines permit us to borrow at the respective banks’ prime commercial interest rates, or lower. Commitment fees relating to our revolving credit facility and lines of credit are not material. Short-term debt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161,364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192,278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1,145,612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527,561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1,306,976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719,839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maximum amount of short-term borrowings outstanding during 2024 and 2023 was $1,321,274 and $859,773, respectively. The weighted-average interest rate on short-term borrowings outstanding was 4.8% as of December 31, 2024 and 5.8%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722630</wp:posOffset>
            </wp:positionV>
            <wp:extent cx="1968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2.050%</w:t>
            </w:r>
          </w:p>
        </w:tc>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(1)</w:t>
            </w:r>
          </w:p>
        </w:tc>
        <w:tc>
          <w:tcPr>
            <w:tcW w:w="3240" w:type="dxa"/>
            <w:vAlign w:val="bottom"/>
            <w:gridSpan w:val="2"/>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November 15, 2024</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June 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August 21,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August 15,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3240" w:type="dxa"/>
            <w:vAlign w:val="bottom"/>
            <w:gridSpan w:val="2"/>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August 15, 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May 4, 2028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November 15, 2029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June 1, 2030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3240" w:type="dxa"/>
            <w:vAlign w:val="bottom"/>
            <w:gridSpan w:val="2"/>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May 4, 2033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August 15, 2046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November 15, 2049</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June 1, 2050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r>
      <w:tr>
        <w:trPr>
          <w:trHeight w:val="189"/>
        </w:trPr>
        <w:tc>
          <w:tcPr>
            <w:tcW w:w="20" w:type="dxa"/>
            <w:vAlign w:val="bottom"/>
          </w:tcPr>
          <w:p>
            <w:pPr>
              <w:spacing w:after="0"/>
              <w:rPr>
                <w:sz w:val="16"/>
                <w:szCs w:val="16"/>
                <w:color w:val="auto"/>
              </w:rPr>
            </w:pPr>
          </w:p>
        </w:tc>
        <w:tc>
          <w:tcPr>
            <w:tcW w:w="476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Finance lease obligations (see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2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73,802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76,385</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2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28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(22,266)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(25,834)</w:t>
            </w:r>
          </w:p>
        </w:tc>
      </w:tr>
      <w:tr>
        <w:trPr>
          <w:trHeight w:val="223"/>
        </w:trPr>
        <w:tc>
          <w:tcPr>
            <w:tcW w:w="20" w:type="dxa"/>
            <w:vAlign w:val="bottom"/>
          </w:tcPr>
          <w:p>
            <w:pPr>
              <w:spacing w:after="0"/>
              <w:rPr>
                <w:sz w:val="19"/>
                <w:szCs w:val="19"/>
                <w:color w:val="auto"/>
              </w:rPr>
            </w:pPr>
          </w:p>
        </w:tc>
        <w:tc>
          <w:tcPr>
            <w:tcW w:w="4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8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604,965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305,058</w:t>
            </w:r>
          </w:p>
        </w:tc>
      </w:tr>
      <w:tr>
        <w:trPr>
          <w:trHeight w:val="248"/>
        </w:trPr>
        <w:tc>
          <w:tcPr>
            <w:tcW w:w="20" w:type="dxa"/>
            <w:vAlign w:val="bottom"/>
          </w:tcPr>
          <w:p>
            <w:pPr>
              <w:spacing w:after="0"/>
              <w:rPr>
                <w:sz w:val="21"/>
                <w:szCs w:val="21"/>
                <w:color w:val="auto"/>
              </w:rPr>
            </w:pPr>
          </w:p>
        </w:tc>
        <w:tc>
          <w:tcPr>
            <w:tcW w:w="4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3,789,132</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80" w:hanging="252"/>
        <w:spacing w:after="0"/>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repaid $300,000 of 2.050% Notes due upon their maturity.</w:t>
      </w:r>
    </w:p>
    <w:p>
      <w:pPr>
        <w:spacing w:after="0" w:line="63" w:lineRule="exact"/>
        <w:rPr>
          <w:rFonts w:ascii="Times New Roman" w:cs="Times New Roman" w:eastAsia="Times New Roman" w:hAnsi="Times New Roman"/>
          <w:sz w:val="18"/>
          <w:szCs w:val="18"/>
          <w:color w:val="auto"/>
        </w:rPr>
      </w:pPr>
    </w:p>
    <w:p>
      <w:pPr>
        <w:ind w:left="20" w:right="60" w:firstLine="8"/>
        <w:spacing w:after="0" w:line="266" w:lineRule="auto"/>
        <w:tabs>
          <w:tab w:leader="none" w:pos="2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2023, we issued $350,000 of 4.250% Notes due in May 2028 and $400,000 of 4.500% Notes due in May 2033 (together, the “2023 Notes”). Proceeds from the issuance of the 2023 Notes, net of discounts and issuance costs, totaled $744,092. The 2023 Notes were issued under a shelf registration on Form S-3 filed in May 2021 that registered an indeterminate amount of debt securities.</w:t>
      </w:r>
    </w:p>
    <w:p>
      <w:pPr>
        <w:spacing w:after="0" w:line="122"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Aggregate annual maturities of our long-term Notes (excluding finance lease obligations and net impact of interest rate swaps, debt issuance costs and unamortized debt discounts) are as follows for the years ending December 31:</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r>
    </w:tbl>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debt is principally unsecured and of equal priority. None of our debt is convertible into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445770</wp:posOffset>
            </wp:positionV>
            <wp:extent cx="1968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68" w:name="page69"/>
    <w:bookmarkEnd w:id="68"/>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140,095</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$667,421 as of December 31, 2024 and $94,917 as of December 31, 2023.</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$79,028 at December 31, 2024 and $80,068 at December 31, 2023.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$123,014 at December 31, 2024 and $13,665 at December 31, 2023. The change in fair value on these instruments is recorded directly in cost of sales or selling, marketing and administrative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739775</wp:posOffset>
            </wp:positionV>
            <wp:extent cx="1968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SM&amp;A expense, together with the change in the related liabilities. The notional amount of the contracts outstanding at December 31, 2024 and 2023 was $30,524 and $22,867, respectively.</w:t>
      </w:r>
    </w:p>
    <w:p>
      <w:pPr>
        <w:spacing w:after="0" w:line="1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December 31, 2024 and 2023:</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Pr>
          <w:p>
            <w:pPr>
              <w:spacing w:after="0"/>
              <w:rPr>
                <w:sz w:val="20"/>
                <w:szCs w:val="20"/>
                <w:color w:val="auto"/>
              </w:rPr>
            </w:pPr>
          </w:p>
        </w:tc>
      </w:tr>
      <w:tr>
        <w:trPr>
          <w:trHeight w:val="223"/>
        </w:trPr>
        <w:tc>
          <w:tcPr>
            <w:tcW w:w="4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70"/>
        </w:trPr>
        <w:tc>
          <w:tcPr>
            <w:tcW w:w="4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515,247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500" w:right="740" w:hanging="330"/>
        <w:spacing w:after="0" w:line="281" w:lineRule="auto"/>
        <w:tabs>
          <w:tab w:leader="none" w:pos="4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40" w:hanging="330"/>
        <w:spacing w:after="0" w:line="258" w:lineRule="auto"/>
        <w:tabs>
          <w:tab w:leader="none" w:pos="4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amounts reflected on a net basis in assets were assets of $533,115 and liabilities of $32,998, which are associated with cash transfers receivable or payable on commodities futures contracts reflecting the change in quoted market prices on the last trading day for the period and the fair value of options contracts based on quoted market prices. The comparable amounts reflected on a net basis in liabilities at December 31, 2023 were assets of $29,881 and liabilities of $30,493. At December 31, 2024 and 2023,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839470</wp:posOffset>
            </wp:positionV>
            <wp:extent cx="1968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0" w:name="page71"/>
    <w:bookmarkEnd w:id="7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years ended December 31, 2024 and 2023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8"/>
        </w:trPr>
        <w:tc>
          <w:tcPr>
            <w:tcW w:w="36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recognized in</w:t>
            </w:r>
          </w:p>
        </w:tc>
        <w:tc>
          <w:tcPr>
            <w:tcW w:w="100" w:type="dxa"/>
            <w:vAlign w:val="bottom"/>
          </w:tcPr>
          <w:p>
            <w:pPr>
              <w:spacing w:after="0"/>
              <w:rPr>
                <w:sz w:val="13"/>
                <w:szCs w:val="13"/>
                <w:color w:val="auto"/>
              </w:rPr>
            </w:pPr>
          </w:p>
        </w:tc>
        <w:tc>
          <w:tcPr>
            <w:tcW w:w="2560" w:type="dxa"/>
            <w:vAlign w:val="bottom"/>
            <w:tcBorders>
              <w:top w:val="single" w:sz="8" w:color="auto"/>
            </w:tcBorders>
            <w:gridSpan w:val="6"/>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r>
      <w:tr>
        <w:trPr>
          <w:trHeight w:val="214"/>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534"/>
              <w:spacing w:after="0"/>
              <w:rPr>
                <w:sz w:val="20"/>
                <w:szCs w:val="20"/>
                <w:color w:val="auto"/>
              </w:rPr>
            </w:pPr>
            <w:r>
              <w:rPr>
                <w:rFonts w:ascii="Times New Roman" w:cs="Times New Roman" w:eastAsia="Times New Roman" w:hAnsi="Times New Roman"/>
                <w:sz w:val="16"/>
                <w:szCs w:val="16"/>
                <w:b w:val="1"/>
                <w:bCs w:val="1"/>
                <w:color w:val="auto"/>
              </w:rPr>
              <w:t>income (a)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40" w:type="dxa"/>
            <w:vAlign w:val="bottom"/>
          </w:tcPr>
          <w:p>
            <w:pPr>
              <w:spacing w:after="0"/>
              <w:rPr>
                <w:sz w:val="18"/>
                <w:szCs w:val="18"/>
                <w:color w:val="auto"/>
              </w:rPr>
            </w:pPr>
          </w:p>
        </w:tc>
        <w:tc>
          <w:tcPr>
            <w:tcW w:w="234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AOCI into income (b)</w:t>
            </w:r>
          </w:p>
        </w:tc>
      </w:tr>
      <w:tr>
        <w:trPr>
          <w:trHeight w:val="210"/>
        </w:trPr>
        <w:tc>
          <w:tcPr>
            <w:tcW w:w="36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right="40" w:hanging="332"/>
        <w:spacing w:after="0" w:line="266" w:lineRule="auto"/>
        <w:tabs>
          <w:tab w:leader="none" w:pos="3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40" w:hanging="332"/>
        <w:spacing w:after="0" w:line="312" w:lineRule="auto"/>
        <w:tabs>
          <w:tab w:leader="none" w:pos="33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and foreign currency forward exchange contracts expected to be reclassified into earnings in the next 12 months was approximately $4,088 as of December 31, 2024. This amount is primarily associated with interest rate swap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20" w:right="2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would use in pricing the asset or liability.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Assets / Liabilities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7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514,623</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bl>
    <w:p>
      <w:pPr>
        <w:spacing w:after="0" w:line="225" w:lineRule="exact"/>
        <w:rPr>
          <w:sz w:val="20"/>
          <w:szCs w:val="20"/>
          <w:color w:val="auto"/>
        </w:rPr>
      </w:pPr>
    </w:p>
    <w:p>
      <w:pPr>
        <w:ind w:left="660" w:right="20" w:hanging="328"/>
        <w:spacing w:after="0" w:line="266"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December 31, 2024 and December 31, 2023 because of the relatively short maturity of these instruments.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issuances and is, therefore, classified as Level 2 within the valuation hierarchy. The fair values and carrying values of long-term debt, including the current portion,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tcBorders>
              <w:bottom w:val="single" w:sz="8" w:color="auto"/>
            </w:tcBorders>
          </w:tcPr>
          <w:p>
            <w:pPr>
              <w:spacing w:after="0"/>
              <w:rPr>
                <w:sz w:val="20"/>
                <w:szCs w:val="20"/>
                <w:color w:val="auto"/>
              </w:rPr>
            </w:pPr>
          </w:p>
        </w:tc>
      </w:tr>
      <w:tr>
        <w:trPr>
          <w:trHeight w:val="22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604,965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305,058</w:t>
            </w:r>
          </w:p>
        </w:tc>
      </w:tr>
      <w:tr>
        <w:trPr>
          <w:trHeight w:val="230"/>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2,734,322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3,789,132</w:t>
            </w: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3,711,253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4,094,190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822960</wp:posOffset>
            </wp:positionV>
            <wp:extent cx="196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Activity</w:t>
      </w:r>
    </w:p>
    <w:p>
      <w:pPr>
        <w:spacing w:after="0" w:line="15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of Sour Strips in 2024,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 Additionally, we estimated the fair value of the contingent consideration using a Monte Carlo simulation model.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Activity</w:t>
      </w:r>
    </w:p>
    <w:p>
      <w:pPr>
        <w:spacing w:after="0" w:line="14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acquisition of Weaver during 2023,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various valuation techniques to determine fair value, with the primary technique being the cost approach to value personal property, which uses significant unobservable inputs, or Level 3 inputs, as defined by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9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is allocated to the lease component and non-lease components based upon relative standalone prices either observable or estimated if observable prices are not readily available.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48,577</w:t>
            </w: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r>
      <w:tr>
        <w:trPr>
          <w:trHeight w:val="230"/>
        </w:trPr>
        <w:tc>
          <w:tcPr>
            <w:tcW w:w="3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780415</wp:posOffset>
            </wp:positionV>
            <wp:extent cx="1968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regarding our lease terms and discount rates were as follows: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1"/>
        </w:trPr>
        <w:tc>
          <w:tcPr>
            <w:tcW w:w="8500" w:type="dxa"/>
            <w:vAlign w:val="bottom"/>
            <w:gridSpan w:val="2"/>
          </w:tcPr>
          <w:p>
            <w:pPr>
              <w:ind w:left="79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3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ectPr>
          <w:pgSz w:w="11900" w:h="16838" w:orient="portrait"/>
          <w:cols w:equalWidth="0" w:num="1">
            <w:col w:w="11240"/>
          </w:cols>
          <w:pgMar w:left="320" w:top="114" w:right="3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5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337,739</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4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89,335</w:t>
            </w: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2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69,863</w:t>
            </w:r>
          </w:p>
        </w:tc>
      </w:tr>
      <w:tr>
        <w:trPr>
          <w:trHeight w:val="265"/>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377,839</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-976630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-659765</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-16510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299720</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-1276985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68,136</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70,485</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419,205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387,968</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-770890</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-479425</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-187960</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917575</wp:posOffset>
            </wp:positionV>
            <wp:extent cx="1968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of our lease liabilities as of December 31, 2024 were as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6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40" w:type="dxa"/>
            <w:vAlign w:val="bottom"/>
          </w:tcPr>
          <w:p>
            <w:pPr>
              <w:spacing w:after="0"/>
              <w:rPr>
                <w:sz w:val="20"/>
                <w:szCs w:val="20"/>
                <w:color w:val="auto"/>
              </w:rPr>
            </w:pPr>
          </w:p>
        </w:tc>
        <w:tc>
          <w:tcPr>
            <w:tcW w:w="180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62,508</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55,747</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51,307</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33,339</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w:t>
            </w:r>
          </w:p>
        </w:tc>
      </w:tr>
      <w:tr>
        <w:trPr>
          <w:trHeight w:val="22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358,916</w:t>
            </w:r>
          </w:p>
        </w:tc>
      </w:tr>
      <w:tr>
        <w:trPr>
          <w:trHeight w:val="22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591,423</w:t>
            </w:r>
          </w:p>
        </w:tc>
      </w:tr>
      <w:tr>
        <w:trPr>
          <w:trHeight w:val="22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172,218</w:t>
            </w:r>
          </w:p>
        </w:tc>
      </w:tr>
      <w:tr>
        <w:trPr>
          <w:trHeight w:val="248"/>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419,205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7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45,176</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70"/>
        </w:trPr>
        <w:tc>
          <w:tcPr>
            <w:tcW w:w="7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r>
      <w:tr>
        <w:trPr>
          <w:trHeight w:val="234"/>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1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was $212,928 and $207,177 as of December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424180</wp:posOffset>
            </wp:positionV>
            <wp:extent cx="1968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approved a multi-year productivity initiative (“Advancing Agility &amp; Automation Initiative” or “AAA Initiative”)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$300,000.</w:t>
      </w:r>
    </w:p>
    <w:p>
      <w:pPr>
        <w:spacing w:after="0" w:line="1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Since inception through December 31, 2024, we recognized total costs associated with the AAA Initiative of $117,536.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International Optimization Program</w:t>
      </w:r>
    </w:p>
    <w:p>
      <w:pPr>
        <w:spacing w:after="0" w:line="1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International Optimization Program was originally expected to total pre-tax costs of $50,000 to $75,000, with cash costs in the range of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 This program was completed in 2023.</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we recognized total costs associated with the International Optimization Program of $3,440 and $4,417, respectively. These charges predominantly included third-party charges in support of our initiative to transform our China operating model, as well as severance and employee benefit costs. Since inception, we have incurred pre-tax charges to execute the program totaling $53,799.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in 2024, 2023 and 2022 related to these activities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2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Optimization Program:</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costs qualifying as exit and disposal costs for the year ended December 31, 2024:</w:t>
      </w:r>
    </w:p>
    <w:p>
      <w:pPr>
        <w:spacing w:after="0" w:line="46"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2023 (1)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2024 (1)</w:t>
      </w:r>
    </w:p>
    <w:p>
      <w:pPr>
        <w:spacing w:after="0" w:line="225" w:lineRule="exact"/>
        <w:rPr>
          <w:sz w:val="20"/>
          <w:szCs w:val="20"/>
          <w:color w:val="auto"/>
        </w:rPr>
      </w:pPr>
    </w:p>
    <w:p>
      <w:pPr>
        <w:ind w:left="480" w:hanging="310"/>
        <w:spacing w:after="0"/>
        <w:tabs>
          <w:tab w:leader="none" w:pos="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balances reflected above are reported within accrued liabilities and other long-term liabilities.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reflected in the liability roll-forward represent employee-related charges.</w:t>
      </w:r>
    </w:p>
    <w:p>
      <w:pPr>
        <w:spacing w:after="0" w:line="2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w:t>
      </w:r>
    </w:p>
    <w:p>
      <w:pPr>
        <w:spacing w:after="0" w:line="14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8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29,035</w:t>
            </w:r>
          </w:p>
        </w:tc>
      </w:tr>
      <w:tr>
        <w:trPr>
          <w:trHeight w:val="234"/>
        </w:trPr>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(18,618)</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0" w:lineRule="exact"/>
        <w:rPr>
          <w:sz w:val="20"/>
          <w:szCs w:val="20"/>
          <w:color w:val="auto"/>
        </w:rPr>
      </w:pPr>
    </w:p>
    <w:p>
      <w:pPr>
        <w:sectPr>
          <w:pgSz w:w="11900" w:h="16838" w:orient="portrait"/>
          <w:cols w:equalWidth="0" w:num="2">
            <w:col w:w="8460" w:space="540"/>
            <w:col w:w="2240"/>
          </w:cols>
          <w:pgMar w:left="320" w:top="114" w:right="339" w:bottom="1440" w:gutter="0" w:footer="0" w:header="0"/>
          <w:type w:val="continuous"/>
        </w:sectPr>
      </w:pPr>
    </w:p>
    <w:tbl>
      <w:tblPr>
        <w:tblLayout w:type="fixed"/>
        <w:tblInd w:w="80" w:type="dxa"/>
        <w:tblCellMar>
          <w:top w:w="0" w:type="dxa"/>
          <w:left w:w="0" w:type="dxa"/>
          <w:bottom w:w="0" w:type="dxa"/>
          <w:right w:w="0" w:type="dxa"/>
        </w:tblCellMar>
      </w:tblPr>
      <w:tr>
        <w:trPr>
          <w:trHeight w:val="225"/>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1,796,428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1,832,771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1,816,622</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1,917,071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our provision for income taxes were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141,753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121,968</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235,365</w:t>
            </w:r>
          </w:p>
        </w:tc>
        <w:tc>
          <w:tcPr>
            <w:tcW w:w="0" w:type="dxa"/>
            <w:vAlign w:val="bottom"/>
          </w:tcPr>
          <w:p>
            <w:pPr>
              <w:spacing w:after="0"/>
              <w:rPr>
                <w:sz w:val="1"/>
                <w:szCs w:val="1"/>
                <w:color w:val="auto"/>
              </w:rPr>
            </w:pPr>
          </w:p>
        </w:tc>
      </w:tr>
      <w:tr>
        <w:trPr>
          <w:trHeight w:val="21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7" w:name="page78"/>
    <w:bookmarkEnd w:id="7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reserves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85,601</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5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trade promotion reserves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110,342</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83,011</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447,048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(114,149)</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332,899</w:t>
            </w:r>
          </w:p>
        </w:tc>
        <w:tc>
          <w:tcPr>
            <w:tcW w:w="0" w:type="dxa"/>
            <w:vAlign w:val="bottom"/>
          </w:tcPr>
          <w:p>
            <w:pPr>
              <w:spacing w:after="0"/>
              <w:rPr>
                <w:sz w:val="1"/>
                <w:szCs w:val="1"/>
                <w:color w:val="auto"/>
              </w:rPr>
            </w:pPr>
          </w:p>
        </w:tc>
      </w:tr>
      <w:tr>
        <w:trPr>
          <w:trHeight w:val="209"/>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271,465</w:t>
            </w:r>
          </w:p>
        </w:tc>
        <w:tc>
          <w:tcPr>
            <w:tcW w:w="0" w:type="dxa"/>
            <w:vAlign w:val="bottom"/>
          </w:tcPr>
          <w:p>
            <w:pPr>
              <w:spacing w:after="0"/>
              <w:rPr>
                <w:sz w:val="1"/>
                <w:szCs w:val="1"/>
                <w:color w:val="auto"/>
              </w:rPr>
            </w:pPr>
          </w:p>
        </w:tc>
      </w:tr>
      <w:tr>
        <w:trPr>
          <w:trHeight w:val="230"/>
        </w:trPr>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Acquired intangibles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228,711</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Lease ROU assets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0" w:type="dxa"/>
            <w:vAlign w:val="bottom"/>
          </w:tcPr>
          <w:p>
            <w:pPr>
              <w:spacing w:after="0"/>
              <w:rPr>
                <w:sz w:val="1"/>
                <w:szCs w:val="1"/>
                <w:color w:val="auto"/>
              </w:rPr>
            </w:pPr>
          </w:p>
        </w:tc>
      </w:tr>
      <w:tr>
        <w:trPr>
          <w:trHeight w:val="229"/>
        </w:trPr>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Derivative instruments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Pension</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634,143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Included in:</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Non-current deferred tax assets, net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44,454</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Non-current deferred tax liabilities, net</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(345,698)</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Changes in deferred taxes were primarily due to acquired intangibles, derivative instruments and accelerated tax depreciation on property, plant and equipment.</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valuation allowances as of December 31, 2024 and 2023 were primarily related to various foreign jurisdictions' net operating loss carryforwards and other deferred tax assets that we do not expect to realize.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396875</wp:posOffset>
            </wp:positionV>
            <wp:extent cx="19685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8" w:name="page79"/>
    <w:bookmarkEnd w:id="78"/>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federal statutory income tax rate with our effective income tax rate:</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(reduction) resulting from:</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income tax benefits</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rate differences</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Historic and solar tax credits</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 contingencies</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3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148,345</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during prior years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during prior years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during the current year</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9"/>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Expiration of statutes of limitations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was $88,230 as of December 31, 2024 and $122,706 as of December 31, 2023.</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report accrued interest and penalties related to unrecognized tax benefits in income tax expense. We recognized a net tax benefit of $7,068 in 2024, and a net tax expense of $12,027 and $4,862 in 2023 and 2022, respectively, for interest and penalties. Accrued net interest and penalties were $30,286 as of December 31, 2024 and $37,355 as of December 31, 2023.</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reasonably expect reductions in the liability for unrecognized tax benefits of approximately $5,462 within the next 12 months because of the expiration of statutes of limitations and settlements of tax audits.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$1.1 billion of undistributed earnings of our international subsidiaries. We continue to reinvest the remainder of the earnings outside of the United States for which there would be a material tax implication to distributing, such as withholding tax, for the foreseeable future and, therefore, have not recognized additional tax expense on these earnings beyond the one-time U.S. repatriation tax due under the 2017 Tax Cuts and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682625</wp:posOffset>
            </wp:positionV>
            <wp:extent cx="19685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9" w:name="page80"/>
    <w:bookmarkEnd w:id="79"/>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for Economic Cooperation Development</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introduced Global Anti-Base Erosion and Profit Shifting Pillar Two regulations which aim to ensure that multi-national entities that exceed the threshold revenue levels are subject to a minimum effective tax rate of 15% in jurisdictions where they operate. Numerous countries, including European Union member states, have enacted, or are expected to enact, related legislation with general implementation of a global minimum tax as of January 1, 2025. The Company is subject to OECD Pillar Two regulations, which may result in additional tax liabilities in jurisdictions where the effective tax rate falls below the 15% threshold. The Company has evaluated and will continue to monitor the impact of these new rules but does not anticipate that they will have a material impact on the Company’s effective tax 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in Partnerships Qualifying for Tax Credits</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invest in partnerships which make equity investments in projects eligible to receive federal historic and energy tax credits. The investments are accounted for under the equity method and reported within other non-current assets in our Consolidated Balance Sheets. The tax credits, when realized, are recognized as a reduction of tax expense under the flow-through method, at which time the corresponding equity investment is written-down to reflect the remaining value of the future benefits to be realized. For the years ended December 31, 2024, 2023 and 2022 we recognized investment tax credits and related outside basis difference benefits totaling $300,597, $251,827 and $228,819, respectively, and we wrote-down the equity investment by $243,311, $210,484 and $188,286, respectively, to reflect the realization of these benefits.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auto"/>
        </w:rPr>
        <w:t>Note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sponsor a number of defined benefit pension plans. The primary plan is The Hershey Retirement Plan for Salaried and Hourly Employees. This is a cash balance plan that provides pension benefits for most U.S.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8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summary of the changes in benefit obligations, plan assets and funded status of these plans is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Other Benefits</w:t>
            </w:r>
          </w:p>
        </w:tc>
        <w:tc>
          <w:tcPr>
            <w:tcW w:w="860" w:type="dxa"/>
            <w:vAlign w:val="bottom"/>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0" w:type="dxa"/>
            <w:vAlign w:val="bottom"/>
          </w:tcPr>
          <w:p>
            <w:pPr>
              <w:spacing w:after="0"/>
              <w:rPr>
                <w:sz w:val="19"/>
                <w:szCs w:val="19"/>
                <w:color w:val="auto"/>
              </w:rPr>
            </w:pPr>
          </w:p>
        </w:tc>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822,035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830,285</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164,889</w:t>
            </w: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38,789</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Curtailment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(88,689)</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w:t>
            </w:r>
          </w:p>
        </w:tc>
      </w:tr>
      <w:tr>
        <w:trPr>
          <w:trHeight w:val="223"/>
        </w:trPr>
        <w:tc>
          <w:tcPr>
            <w:tcW w:w="80" w:type="dxa"/>
            <w:vAlign w:val="bottom"/>
          </w:tcPr>
          <w:p>
            <w:pPr>
              <w:spacing w:after="0"/>
              <w:rPr>
                <w:sz w:val="19"/>
                <w:szCs w:val="19"/>
                <w:color w:val="auto"/>
              </w:rPr>
            </w:pPr>
          </w:p>
        </w:tc>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822,035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100,311</w:t>
            </w:r>
          </w:p>
        </w:tc>
      </w:tr>
      <w:tr>
        <w:trPr>
          <w:trHeight w:val="210"/>
        </w:trPr>
        <w:tc>
          <w:tcPr>
            <w:tcW w:w="80" w:type="dxa"/>
            <w:vAlign w:val="bottom"/>
          </w:tcPr>
          <w:p>
            <w:pPr>
              <w:spacing w:after="0"/>
              <w:rPr>
                <w:sz w:val="18"/>
                <w:szCs w:val="18"/>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848,432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(88,689)</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Annuity purchase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88,689</w:t>
            </w: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(21,006)</w:t>
            </w:r>
          </w:p>
        </w:tc>
      </w:tr>
      <w:tr>
        <w:trPr>
          <w:trHeight w:val="223"/>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836,843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(100,311)</w:t>
            </w:r>
          </w:p>
        </w:tc>
      </w:tr>
      <w:tr>
        <w:trPr>
          <w:trHeight w:val="20"/>
        </w:trPr>
        <w:tc>
          <w:tcPr>
            <w:tcW w:w="80" w:type="dxa"/>
            <w:vAlign w:val="bottom"/>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r>
      <w:tr>
        <w:trPr>
          <w:trHeight w:val="230"/>
        </w:trPr>
        <w:tc>
          <w:tcPr>
            <w:tcW w:w="8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(90,718)</w:t>
            </w:r>
          </w:p>
        </w:tc>
      </w:tr>
      <w:tr>
        <w:trPr>
          <w:trHeight w:val="223"/>
        </w:trPr>
        <w:tc>
          <w:tcPr>
            <w:tcW w:w="8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(100,311)</w:t>
            </w:r>
          </w:p>
        </w:tc>
      </w:tr>
      <w:tr>
        <w:trPr>
          <w:trHeight w:val="20"/>
        </w:trPr>
        <w:tc>
          <w:tcPr>
            <w:tcW w:w="80" w:type="dxa"/>
            <w:vAlign w:val="bottom"/>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75"/>
        </w:trPr>
        <w:tc>
          <w:tcPr>
            <w:tcW w:w="80" w:type="dxa"/>
            <w:vAlign w:val="bottom"/>
          </w:tcPr>
          <w:p>
            <w:pPr>
              <w:spacing w:after="0"/>
              <w:rPr>
                <w:sz w:val="15"/>
                <w:szCs w:val="15"/>
                <w:color w:val="auto"/>
              </w:rPr>
            </w:pPr>
          </w:p>
        </w:tc>
        <w:tc>
          <w:tcPr>
            <w:tcW w:w="5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1"/>
        </w:trPr>
        <w:tc>
          <w:tcPr>
            <w:tcW w:w="80" w:type="dxa"/>
            <w:vAlign w:val="bottom"/>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net of tax:</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2"/>
        </w:trPr>
        <w:tc>
          <w:tcPr>
            <w:tcW w:w="80" w:type="dxa"/>
            <w:vAlign w:val="bottom"/>
          </w:tcPr>
          <w:p>
            <w:pPr>
              <w:spacing w:after="0"/>
              <w:rPr>
                <w:sz w:val="20"/>
                <w:szCs w:val="20"/>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net (loss) gain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r>
      <w:tr>
        <w:trPr>
          <w:trHeight w:val="230"/>
        </w:trPr>
        <w:tc>
          <w:tcPr>
            <w:tcW w:w="80" w:type="dxa"/>
            <w:vAlign w:val="bottom"/>
          </w:tcPr>
          <w:p>
            <w:pPr>
              <w:spacing w:after="0"/>
              <w:rPr>
                <w:sz w:val="19"/>
                <w:szCs w:val="19"/>
                <w:color w:val="auto"/>
              </w:rPr>
            </w:pPr>
          </w:p>
        </w:tc>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prior service credit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48"/>
        </w:trPr>
        <w:tc>
          <w:tcPr>
            <w:tcW w:w="80" w:type="dxa"/>
            <w:vAlign w:val="bottom"/>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recognized in AOCI</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r>
      <w:tr>
        <w:trPr>
          <w:trHeight w:val="20"/>
        </w:trPr>
        <w:tc>
          <w:tcPr>
            <w:tcW w:w="8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projected benefit obligation during 2024 was impacted by actuarial gain of $5,337 which was mainly the result of the discount rate assumption increasing from 5.1% at December 31, 2023 to 5.5% at December 31, 2024. The accumulated benefit obligation for all defined benefit pension plans was $753,886 as of December 31, 2024 and $789,257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1" w:name="page82"/>
    <w:bookmarkEnd w:id="8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with accumulated benefit obligations in excess of plan assets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46,812</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w:t>
            </w: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47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with projected benefit obligations in excess of plan assets were as follows: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84,416</w:t>
            </w: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71,046</w:t>
            </w: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50,718</w:t>
            </w: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were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Benefits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Amounts recognized in net periodic benefit</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 credit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Change in plan assets and benefit obligations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 AOCI, pre-tax</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net (gain)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3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recognized in other comprehensive</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pre-tax</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120" w:type="dxa"/>
            <w:vAlign w:val="bottom"/>
          </w:tcPr>
          <w:p>
            <w:pPr>
              <w:spacing w:after="0"/>
              <w:rPr>
                <w:sz w:val="20"/>
                <w:szCs w:val="2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28,210</w:t>
            </w:r>
          </w:p>
        </w:tc>
        <w:tc>
          <w:tcPr>
            <w:tcW w:w="120" w:type="dxa"/>
            <w:vAlign w:val="bottom"/>
          </w:tcPr>
          <w:p>
            <w:pPr>
              <w:spacing w:after="0"/>
              <w:rPr>
                <w:sz w:val="20"/>
                <w:szCs w:val="2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Pr>
          <w:p>
            <w:pPr>
              <w:spacing w:after="0"/>
              <w:rPr>
                <w:sz w:val="20"/>
                <w:szCs w:val="2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37,962</w:t>
            </w:r>
          </w:p>
        </w:tc>
        <w:tc>
          <w:tcPr>
            <w:tcW w:w="120" w:type="dxa"/>
            <w:vAlign w:val="bottom"/>
          </w:tcPr>
          <w:p>
            <w:pPr>
              <w:spacing w:after="0"/>
              <w:rPr>
                <w:sz w:val="20"/>
                <w:szCs w:val="2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 w:type="dxa"/>
            <w:vAlign w:val="bottom"/>
          </w:tcPr>
          <w:p>
            <w:pPr>
              <w:spacing w:after="0"/>
              <w:rPr>
                <w:sz w:val="12"/>
                <w:szCs w:val="12"/>
                <w:color w:val="auto"/>
              </w:rPr>
            </w:pPr>
          </w:p>
        </w:tc>
        <w:tc>
          <w:tcPr>
            <w:tcW w:w="3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amounts recognized in periodic benefit cost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36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44,524</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AOCI</w:t>
            </w: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computing the year end benefit obligations were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84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w w:val="99"/>
              </w:rPr>
              <w:t>Other Benefits</w:t>
            </w:r>
          </w:p>
        </w:tc>
        <w:tc>
          <w:tcPr>
            <w:tcW w:w="820" w:type="dxa"/>
            <w:vAlign w:val="bottom"/>
          </w:tcPr>
          <w:p>
            <w:pPr>
              <w:spacing w:after="0"/>
              <w:rPr>
                <w:sz w:val="18"/>
                <w:szCs w:val="18"/>
                <w:color w:val="auto"/>
              </w:rPr>
            </w:pPr>
          </w:p>
        </w:tc>
      </w:tr>
      <w:tr>
        <w:trPr>
          <w:trHeight w:val="21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computing net periodic benefit cost were as follows:</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Benefits</w:t>
            </w:r>
          </w:p>
        </w:tc>
        <w:tc>
          <w:tcPr>
            <w:tcW w:w="1040" w:type="dxa"/>
            <w:vAlign w:val="bottom"/>
            <w:tcBorders>
              <w:bottom w:val="single" w:sz="8" w:color="auto"/>
            </w:tcBorders>
          </w:tcPr>
          <w:p>
            <w:pPr>
              <w:spacing w:after="0"/>
              <w:rPr>
                <w:sz w:val="18"/>
                <w:szCs w:val="18"/>
                <w:color w:val="auto"/>
              </w:rPr>
            </w:pPr>
          </w:p>
        </w:tc>
      </w:tr>
      <w:tr>
        <w:trPr>
          <w:trHeight w:val="21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measuring our post-retirement benefit obligation at December 31, 2024, we assumed a 6.9% annual rate of increase in the per capita cost of covered health care benefits for 2025, grading down to 4.9% by 2033. For purposes of measuring our post-retirement benefit obligation at December 31, 2023, we assumed a 6.4% annual rate of increase in the per capita cost of covered health care benefits for 2024, grading down to 5.0% by 2030.</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valuations and assumptions reflect adoption of the Society of Actuaries updated Pri-2012 mortality tables with MP-2021 generational projection scales, which we adopted as of December 31, 2021. The Society of Actuaries did not update the Pri-2012 mortality tables in 2023 or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broadly diversify our pension plan assets across public equity, fixed income, diversified credit strategies and diversified alternative strategies asset classes. Our target asset allocation for our major domestic pension plans as of December 31, 2024 was as follows:</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Target Asset Allocation</w:t>
            </w:r>
          </w:p>
        </w:tc>
      </w:tr>
      <w:tr>
        <w:trPr>
          <w:trHeight w:val="223"/>
        </w:trPr>
        <w:tc>
          <w:tcPr>
            <w:tcW w:w="8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r>
      <w:tr>
        <w:trPr>
          <w:trHeight w:val="23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 including real estate, listed infrastructure and other</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bl>
    <w:p>
      <w:pPr>
        <w:spacing w:after="0" w:line="2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actual allocations were consistent with the targets and within our allowable ranges. We expect the level of volatility in pension plan asset returns to be in line with the overall volatility of the markets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3" w:name="page84"/>
    <w:bookmarkEnd w:id="83"/>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asset class.</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by level, within the fair value hierarchy (as defined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pension plan assets at their fair values as of December 31, 2024:</w:t>
      </w:r>
    </w:p>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 Using</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of identical</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NAV as a Practical</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Expedient</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all-cap</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Global all-cap (a)</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204,421</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government/agency</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156,146</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 (b)</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International government/corporate bonds (c)</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Diversified credit (d)</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120,259</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diversified assets (e)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 assets fund (f)</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779,977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pension plan assets at their fair values as of December 31, 2023:</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 Using</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markets of identical</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NAV as a Practical</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Expedient</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all-cap</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Global all-cap (a)</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209,245</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 government/agency</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186,095</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 (b)</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International government/corporate bonds (c)</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Diversified credit (d)</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diversified assets (e)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68,856</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 assets fund (f)</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836,843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500" w:right="840" w:hanging="330"/>
        <w:spacing w:after="0" w:line="312" w:lineRule="auto"/>
        <w:tabs>
          <w:tab w:leader="none" w:pos="4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400685</wp:posOffset>
            </wp:positionV>
            <wp:extent cx="19685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4" w:name="page85"/>
    <w:bookmarkEnd w:id="84"/>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3" w:lineRule="exact"/>
        <w:rPr>
          <w:sz w:val="20"/>
          <w:szCs w:val="20"/>
          <w:color w:val="auto"/>
        </w:rPr>
      </w:pPr>
    </w:p>
    <w:p>
      <w:pPr>
        <w:ind w:left="540" w:hanging="433"/>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equity funds that primarily track the MSCI World Index or MSCI All Country World Index.</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fixed income funds primarily invested in investment grade and high yield bonds.</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fixed income funds primarily invested in Canadian and other international bonds.</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fixed income funds primarily invested in high yield bonds, loans, securitized debt and emerging market debt.</w:t>
      </w:r>
    </w:p>
    <w:p>
      <w:pPr>
        <w:spacing w:after="0" w:line="63" w:lineRule="exact"/>
        <w:rPr>
          <w:rFonts w:ascii="Times New Roman" w:cs="Times New Roman" w:eastAsia="Times New Roman" w:hAnsi="Times New Roman"/>
          <w:sz w:val="18"/>
          <w:szCs w:val="18"/>
          <w:color w:val="auto"/>
        </w:rPr>
      </w:pPr>
    </w:p>
    <w:p>
      <w:pPr>
        <w:ind w:left="540" w:hanging="433"/>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diversified funds invested across alternative asset classes.</w:t>
      </w:r>
    </w:p>
    <w:p>
      <w:pPr>
        <w:spacing w:after="0" w:line="63" w:lineRule="exact"/>
        <w:rPr>
          <w:rFonts w:ascii="Times New Roman" w:cs="Times New Roman" w:eastAsia="Times New Roman" w:hAnsi="Times New Roman"/>
          <w:sz w:val="18"/>
          <w:szCs w:val="18"/>
          <w:color w:val="auto"/>
        </w:rPr>
      </w:pPr>
    </w:p>
    <w:p>
      <w:pPr>
        <w:ind w:left="540" w:right="320" w:hanging="433"/>
        <w:spacing w:after="0" w:line="282"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comprises funds primarily invested in publicly traded real estate securities, publicly listed infrastructure securities and real estate debt.</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objectives for our domestic plan assets are:</w:t>
      </w:r>
    </w:p>
    <w:p>
      <w:pPr>
        <w:spacing w:after="0" w:line="25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high correlation between the value of plan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careful control of the risk level within each asset class;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focus on a long-term return objective.</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that there are no significant concentrations of risk within our plan assets as of December 31, 2024.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Plan Termination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made total contributions to the pension plans of $3,566 during 2024. In 2023, we made total contributions of $6,576 to the pension plans. For 2025, minimum funding requirements for our pension plans are approximately $1,936.</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benefit payments expected to be paid to plan participants, including pension benefits funded from the plans and other benefits funded from Company assets, are as follows:</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Expected Benefit Payments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2030-2034</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291,879</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Annuitization of Other Post Employment Benefits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21, 2023, the Hershey Employee Benefits Committee approved the purchase of an irrevocable group annuity contract with an insurance company for eligible retirees of The Hershey Company Retiree Medical and Life Insurance Plan to cover their medical benefits. On August 31, 2023, we paid $88,689 for the irrevocable group annuity contract. As a result of this transaction, we remeasured the projected benefit obligation and recognized a $926 non-cash pre-tax settlement charge during the quarter ended October 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Plans</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sponsors several defined contribution plans to provide retirement benefits to employees. Contributions to The Hershey Company 401(k) Plan and similar plans for non-domestic employees are based on a portion of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5" w:name="page86"/>
    <w:bookmarkEnd w:id="85"/>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pay up to a defined maximum. All matching contributions were made in cash. Expense associated with the defined contribution plans was $74,094 in 2024, $67,763 in 2023 and $61,477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9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(“PSUs”) and performance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(“RSUs”) and restricted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2024, 68.5 million shares were authorized and approved by our stockholders for grants under the EICP. 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3"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1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65,991</w:t>
            </w:r>
          </w:p>
        </w:tc>
      </w:tr>
      <w:tr>
        <w:trPr>
          <w:trHeight w:val="23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w:t>
            </w:r>
          </w:p>
        </w:tc>
      </w:tr>
    </w:tbl>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December 31, 2024, total stock-based compensation expense related to non-vested awards not yet recognized was $53,368 and the weighted-average period over which this amount is expected to be recognized was approximately 1.7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474980</wp:posOffset>
            </wp:positionV>
            <wp:extent cx="19685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year ended December 31, 2024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the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726,701</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$105.67</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 years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$192.49</w:t>
            </w: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$102.02</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$147.98</w:t>
            </w: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$147.98</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579,834</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$106.73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 years</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566,004</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 years</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The weighted-average fair value of options granted was $45.95, $57.65 and $37.28 per share in 2024, 2023 and 2022, respectively. The fair value was estimated on the date of grant using a Black-Scholes option-pricing model and the following weighted-average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52" w:lineRule="exact"/>
        <w:rPr>
          <w:sz w:val="20"/>
          <w:szCs w:val="20"/>
          <w:color w:val="auto"/>
        </w:rPr>
      </w:pPr>
    </w:p>
    <w:p>
      <w:pPr>
        <w:ind w:left="660" w:right="24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yields” means the sum of dividends declared for the four most recent quarterly periods, divided by the average price of our Common Stock for the comparable periods;</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means the historical volatility of our Common Stock over the expected term of each grant;</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rates” means the U.S. Treasury yield curve rate in effect at the time of grant for periods within the contractual life of the stock option; and</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means the period of time that stock options granted are expected to be outstanding based on historical data.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$14,018, $35,474 and $40,882 in 2024, 2023 and 2022, respectively.</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$545 of total unrecognized compensation expense related to non-vested stock option awards granted under the EICP, which we expect to recognize over a weighted-average period of 0.8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662940</wp:posOffset>
            </wp:positionV>
            <wp:extent cx="19685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2024:</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3"/>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6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Number Exercisable</w:t>
            </w:r>
          </w:p>
        </w:tc>
        <w:tc>
          <w:tcPr>
            <w:tcW w:w="100" w:type="dxa"/>
            <w:vAlign w:val="bottom"/>
          </w:tcPr>
          <w:p>
            <w:pPr>
              <w:spacing w:after="0"/>
              <w:rPr>
                <w:sz w:val="12"/>
                <w:szCs w:val="12"/>
                <w:color w:val="auto"/>
              </w:rPr>
            </w:pPr>
          </w:p>
        </w:tc>
        <w:tc>
          <w:tcPr>
            <w:tcW w:w="15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00" w:type="dxa"/>
            <w:vAlign w:val="bottom"/>
          </w:tcPr>
          <w:p>
            <w:pPr>
              <w:spacing w:after="0"/>
              <w:rPr>
                <w:sz w:val="17"/>
                <w:szCs w:val="17"/>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as of 12/31/24</w:t>
            </w:r>
          </w:p>
        </w:tc>
        <w:tc>
          <w:tcPr>
            <w:tcW w:w="100" w:type="dxa"/>
            <w:vAlign w:val="bottom"/>
          </w:tcPr>
          <w:p>
            <w:pPr>
              <w:spacing w:after="0"/>
              <w:rPr>
                <w:sz w:val="17"/>
                <w:szCs w:val="17"/>
                <w:color w:val="auto"/>
              </w:rPr>
            </w:pPr>
          </w:p>
        </w:tc>
        <w:tc>
          <w:tcPr>
            <w:tcW w:w="15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3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$60.68 - $99.90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337,308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337,308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$99.91 - $107.95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$107.96 - $240.90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0" w:type="dxa"/>
            <w:vAlign w:val="bottom"/>
          </w:tcPr>
          <w:p>
            <w:pPr>
              <w:spacing w:after="0"/>
              <w:rPr>
                <w:sz w:val="1"/>
                <w:szCs w:val="1"/>
                <w:color w:val="auto"/>
              </w:rPr>
            </w:pPr>
          </w:p>
        </w:tc>
      </w:tr>
      <w:tr>
        <w:trPr>
          <w:trHeight w:val="223"/>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$60.68 - $240.90</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566,004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threshold based on the results of these performance metrics in accordance with the terms established at the time of the award</w:t>
      </w:r>
      <w:r>
        <w:rPr>
          <w:rFonts w:ascii="Times New Roman" w:cs="Times New Roman" w:eastAsia="Times New Roman" w:hAnsi="Times New Roman"/>
          <w:sz w:val="21"/>
          <w:szCs w:val="21"/>
          <w:color w:val="0070C0"/>
        </w:rPr>
        <w:t>.</w:t>
      </w:r>
    </w:p>
    <w:p>
      <w:pPr>
        <w:spacing w:after="0" w:line="15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PSUs granted in 2024, 2023, and 2022 can range from 0% to 250% of the targeted amounts.</w:t>
      </w:r>
    </w:p>
    <w:p>
      <w:pPr>
        <w:spacing w:after="0" w:line="14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 associated with PSUs ratably over the 3-year term. Compensation expense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2024, 2023 and 2022, we awarded RSUs to certain executive officers and other key employees under the EICP. We also awarded RSUs quarterly to non-employee directors.</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 associated with employee RSUs over a specified award vesting period based on the grant date fair value of our Common Stock. We recognize expense for employee RSUs based on the straight-line method. The compensation expense associated with non-employee director RSUs is recognized ratably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671830</wp:posOffset>
            </wp:positionV>
            <wp:extent cx="19685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8" w:name="page89"/>
    <w:bookmarkEnd w:id="88"/>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December 31, 2024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1,039,691</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392,046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(301,291)</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(506,293)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538,803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5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392,046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341,374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313,285</w:t>
            </w:r>
          </w:p>
        </w:tc>
        <w:tc>
          <w:tcPr>
            <w:tcW w:w="0" w:type="dxa"/>
            <w:vAlign w:val="bottom"/>
          </w:tcPr>
          <w:p>
            <w:pPr>
              <w:spacing w:after="0"/>
              <w:rPr>
                <w:sz w:val="1"/>
                <w:szCs w:val="1"/>
                <w:color w:val="auto"/>
              </w:rPr>
            </w:pPr>
          </w:p>
        </w:tc>
      </w:tr>
      <w:tr>
        <w:trPr>
          <w:trHeight w:val="23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194.43</w:t>
            </w:r>
          </w:p>
        </w:tc>
        <w:tc>
          <w:tcPr>
            <w:tcW w:w="10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241.41</w:t>
            </w:r>
          </w:p>
        </w:tc>
        <w:tc>
          <w:tcPr>
            <w:tcW w:w="10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211.85</w:t>
            </w:r>
          </w:p>
        </w:tc>
        <w:tc>
          <w:tcPr>
            <w:tcW w:w="0" w:type="dxa"/>
            <w:vAlign w:val="bottom"/>
          </w:tcPr>
          <w:p>
            <w:pPr>
              <w:spacing w:after="0"/>
              <w:rPr>
                <w:sz w:val="1"/>
                <w:szCs w:val="1"/>
                <w:color w:val="auto"/>
              </w:rPr>
            </w:pPr>
          </w:p>
        </w:tc>
      </w:tr>
      <w:tr>
        <w:trPr>
          <w:trHeight w:val="90"/>
        </w:trPr>
        <w:tc>
          <w:tcPr>
            <w:tcW w:w="5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4"/>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right="12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values” means the fair value for the market-based total shareholder return component of each PSU at the date of grant using a Monte Carlo simulation model;</w:t>
      </w:r>
    </w:p>
    <w:p>
      <w:pPr>
        <w:ind w:left="660" w:right="2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yields” means the sum of dividends declared for the four most recently quarterly periods, divided by the average price of our Common Stock for the comparable periods;</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means the historical volatility of our Common Stock over the expected term of each grant.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$96,946, $106,243 and $105,668 in 2024, 2023 and 2022, respectively.</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249,411 units as of December 31, 2024.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9" w:name="page90"/>
    <w:bookmarkEnd w:id="89"/>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4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The Company reports its operations through three segments: (i) North America Confectionery, (ii) North America Salty Snacks and (iii) International. This organizational structure aligns with how our CODM, Michele Buck, Chairman of the Board, President, and Chief Executive Officer manages our business, including resource allocation and performance assessment, and further aligns with our product categories and the key markets we serve.</w:t>
      </w:r>
    </w:p>
    <w:p>
      <w:pPr>
        <w:spacing w:after="0" w:line="105" w:lineRule="exact"/>
        <w:rPr>
          <w:sz w:val="20"/>
          <w:szCs w:val="20"/>
          <w:color w:val="auto"/>
        </w:rPr>
      </w:pPr>
    </w:p>
    <w:p>
      <w:pPr>
        <w:ind w:left="660" w:right="120" w:hanging="328"/>
        <w:spacing w:after="0" w:line="243" w:lineRule="auto"/>
        <w:tabs>
          <w:tab w:leader="none" w:pos="655"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40" w:lineRule="exact"/>
        <w:rPr>
          <w:rFonts w:ascii="Times New Roman" w:cs="Times New Roman" w:eastAsia="Times New Roman" w:hAnsi="Times New Roman"/>
          <w:sz w:val="18"/>
          <w:szCs w:val="18"/>
          <w:b w:val="1"/>
          <w:bCs w:val="1"/>
          <w:i w:val="1"/>
          <w:iCs w:val="1"/>
          <w:color w:val="auto"/>
        </w:rPr>
      </w:pPr>
    </w:p>
    <w:p>
      <w:pPr>
        <w:ind w:left="660" w:right="600" w:hanging="328"/>
        <w:spacing w:after="0" w:line="286" w:lineRule="auto"/>
        <w:tabs>
          <w:tab w:leader="none" w:pos="655"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60" w:hanging="328"/>
        <w:spacing w:after="0" w:line="262" w:lineRule="auto"/>
        <w:tabs>
          <w:tab w:leader="none" w:pos="655"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segment reporting purposes, the CODM uses “segment income” to evaluate segment performance and allocate resources, including considering budget-to-actual variances and prior year-to-actual variances on a monthly basis.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profit are managed centrally at the corporate level and are excluded from the measure of segment income reviewed by the CODM as well the measure of segment performance used for incentive compensation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Accounting policies associated with our operating segments are generally the same as those described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725805</wp:posOffset>
            </wp:positionV>
            <wp:extent cx="19685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North America Salty</w:t>
            </w:r>
          </w:p>
        </w:tc>
        <w:tc>
          <w:tcPr>
            <w:tcW w:w="220" w:type="dxa"/>
            <w:vAlign w:val="bottom"/>
          </w:tcPr>
          <w:p>
            <w:pPr>
              <w:spacing w:after="0"/>
              <w:rPr>
                <w:sz w:val="24"/>
                <w:szCs w:val="24"/>
                <w:color w:val="auto"/>
              </w:rPr>
            </w:pPr>
          </w:p>
        </w:tc>
        <w:tc>
          <w:tcPr>
            <w:tcW w:w="1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60" w:type="dxa"/>
            <w:vAlign w:val="bottom"/>
          </w:tcPr>
          <w:p>
            <w:pPr>
              <w:spacing w:after="0"/>
              <w:rPr>
                <w:sz w:val="24"/>
                <w:szCs w:val="24"/>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20" w:type="dxa"/>
            <w:vAlign w:val="bottom"/>
            <w:gridSpan w:val="6"/>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1"/>
                <w:szCs w:val="21"/>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Snacks</w:t>
            </w:r>
          </w:p>
        </w:tc>
        <w:tc>
          <w:tcPr>
            <w:tcW w:w="22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9,118,590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11,202,263</w:t>
            </w:r>
          </w:p>
        </w:tc>
        <w:tc>
          <w:tcPr>
            <w:tcW w:w="0" w:type="dxa"/>
            <w:vAlign w:val="bottom"/>
          </w:tcPr>
          <w:p>
            <w:pPr>
              <w:spacing w:after="0"/>
              <w:rPr>
                <w:sz w:val="1"/>
                <w:szCs w:val="1"/>
                <w:color w:val="auto"/>
              </w:rPr>
            </w:pPr>
          </w:p>
        </w:tc>
      </w:tr>
      <w:tr>
        <w:trPr>
          <w:trHeight w:val="230"/>
        </w:trPr>
        <w:tc>
          <w:tcPr>
            <w:tcW w:w="41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4,984,764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1,188,138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2,945,688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3,256,597</w:t>
            </w:r>
          </w:p>
        </w:tc>
        <w:tc>
          <w:tcPr>
            <w:tcW w:w="0" w:type="dxa"/>
            <w:vAlign w:val="bottom"/>
          </w:tcPr>
          <w:p>
            <w:pPr>
              <w:spacing w:after="0"/>
              <w:rPr>
                <w:sz w:val="1"/>
                <w:szCs w:val="1"/>
                <w:color w:val="auto"/>
              </w:rPr>
            </w:pPr>
          </w:p>
        </w:tc>
      </w:tr>
      <w:tr>
        <w:trPr>
          <w:trHeight w:val="223"/>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701,266</w:t>
            </w:r>
          </w:p>
        </w:tc>
        <w:tc>
          <w:tcPr>
            <w:tcW w:w="0" w:type="dxa"/>
            <w:vAlign w:val="bottom"/>
          </w:tcPr>
          <w:p>
            <w:pPr>
              <w:spacing w:after="0"/>
              <w:rPr>
                <w:sz w:val="1"/>
                <w:szCs w:val="1"/>
                <w:color w:val="auto"/>
              </w:rPr>
            </w:pPr>
          </w:p>
        </w:tc>
      </w:tr>
      <w:tr>
        <w:trPr>
          <w:trHeight w:val="230"/>
        </w:trPr>
        <w:tc>
          <w:tcPr>
            <w:tcW w:w="59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on commodity derivatives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(460,437)</w:t>
            </w:r>
          </w:p>
        </w:tc>
        <w:tc>
          <w:tcPr>
            <w:tcW w:w="0" w:type="dxa"/>
            <w:vAlign w:val="bottom"/>
          </w:tcPr>
          <w:p>
            <w:pPr>
              <w:spacing w:after="0"/>
              <w:rPr>
                <w:sz w:val="1"/>
                <w:szCs w:val="1"/>
                <w:color w:val="auto"/>
              </w:rPr>
            </w:pPr>
          </w:p>
        </w:tc>
      </w:tr>
      <w:tr>
        <w:trPr>
          <w:trHeight w:val="229"/>
        </w:trPr>
        <w:tc>
          <w:tcPr>
            <w:tcW w:w="596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117,536</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2,898,232</w:t>
            </w:r>
          </w:p>
        </w:tc>
        <w:tc>
          <w:tcPr>
            <w:tcW w:w="0" w:type="dxa"/>
            <w:vAlign w:val="bottom"/>
          </w:tcPr>
          <w:p>
            <w:pPr>
              <w:spacing w:after="0"/>
              <w:rPr>
                <w:sz w:val="1"/>
                <w:szCs w:val="1"/>
                <w:color w:val="auto"/>
              </w:rPr>
            </w:pPr>
          </w:p>
        </w:tc>
      </w:tr>
      <w:tr>
        <w:trPr>
          <w:trHeight w:val="189"/>
        </w:trPr>
        <w:tc>
          <w:tcPr>
            <w:tcW w:w="4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165,655</w:t>
            </w:r>
          </w:p>
        </w:tc>
        <w:tc>
          <w:tcPr>
            <w:tcW w:w="0" w:type="dxa"/>
            <w:vAlign w:val="bottom"/>
          </w:tcPr>
          <w:p>
            <w:pPr>
              <w:spacing w:after="0"/>
              <w:rPr>
                <w:sz w:val="1"/>
                <w:szCs w:val="1"/>
                <w:color w:val="auto"/>
              </w:rPr>
            </w:pP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258,641</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2,473,936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North America Salty</w:t>
            </w:r>
          </w:p>
        </w:tc>
        <w:tc>
          <w:tcPr>
            <w:tcW w:w="220" w:type="dxa"/>
            <w:vAlign w:val="bottom"/>
          </w:tcPr>
          <w:p>
            <w:pPr>
              <w:spacing w:after="0"/>
              <w:rPr>
                <w:sz w:val="17"/>
                <w:szCs w:val="17"/>
                <w:color w:val="auto"/>
              </w:rPr>
            </w:pPr>
          </w:p>
        </w:tc>
        <w:tc>
          <w:tcPr>
            <w:tcW w:w="1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60" w:type="dxa"/>
            <w:vAlign w:val="bottom"/>
          </w:tcPr>
          <w:p>
            <w:pPr>
              <w:spacing w:after="0"/>
              <w:rPr>
                <w:sz w:val="17"/>
                <w:szCs w:val="17"/>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20" w:type="dxa"/>
            <w:vAlign w:val="bottom"/>
            <w:gridSpan w:val="6"/>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1"/>
                <w:szCs w:val="21"/>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Snacks</w:t>
            </w:r>
          </w:p>
        </w:tc>
        <w:tc>
          <w:tcPr>
            <w:tcW w:w="22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9,123,139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11,164,992</w:t>
            </w:r>
          </w:p>
        </w:tc>
        <w:tc>
          <w:tcPr>
            <w:tcW w:w="0" w:type="dxa"/>
            <w:vAlign w:val="bottom"/>
          </w:tcPr>
          <w:p>
            <w:pPr>
              <w:spacing w:after="0"/>
              <w:rPr>
                <w:sz w:val="1"/>
                <w:szCs w:val="1"/>
                <w:color w:val="auto"/>
              </w:rPr>
            </w:pPr>
          </w:p>
        </w:tc>
      </w:tr>
      <w:tr>
        <w:trPr>
          <w:trHeight w:val="229"/>
        </w:trPr>
        <w:tc>
          <w:tcPr>
            <w:tcW w:w="41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4,781,671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1,224,424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3,117,044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3,423,636</w:t>
            </w:r>
          </w:p>
        </w:tc>
        <w:tc>
          <w:tcPr>
            <w:tcW w:w="0" w:type="dxa"/>
            <w:vAlign w:val="bottom"/>
          </w:tcPr>
          <w:p>
            <w:pPr>
              <w:spacing w:after="0"/>
              <w:rPr>
                <w:sz w:val="1"/>
                <w:szCs w:val="1"/>
                <w:color w:val="auto"/>
              </w:rPr>
            </w:pPr>
          </w:p>
        </w:tc>
      </w:tr>
      <w:tr>
        <w:trPr>
          <w:trHeight w:val="223"/>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800,390</w:t>
            </w:r>
          </w:p>
        </w:tc>
        <w:tc>
          <w:tcPr>
            <w:tcW w:w="0" w:type="dxa"/>
            <w:vAlign w:val="bottom"/>
          </w:tcPr>
          <w:p>
            <w:pPr>
              <w:spacing w:after="0"/>
              <w:rPr>
                <w:sz w:val="1"/>
                <w:szCs w:val="1"/>
                <w:color w:val="auto"/>
              </w:rPr>
            </w:pPr>
          </w:p>
        </w:tc>
      </w:tr>
      <w:tr>
        <w:trPr>
          <w:trHeight w:val="229"/>
        </w:trPr>
        <w:tc>
          <w:tcPr>
            <w:tcW w:w="59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58,939</w:t>
            </w:r>
          </w:p>
        </w:tc>
        <w:tc>
          <w:tcPr>
            <w:tcW w:w="0" w:type="dxa"/>
            <w:vAlign w:val="bottom"/>
          </w:tcPr>
          <w:p>
            <w:pPr>
              <w:spacing w:after="0"/>
              <w:rPr>
                <w:sz w:val="1"/>
                <w:szCs w:val="1"/>
                <w:color w:val="auto"/>
              </w:rPr>
            </w:pPr>
          </w:p>
        </w:tc>
      </w:tr>
      <w:tr>
        <w:trPr>
          <w:trHeight w:val="230"/>
        </w:trPr>
        <w:tc>
          <w:tcPr>
            <w:tcW w:w="596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2,560,867</w:t>
            </w:r>
          </w:p>
        </w:tc>
        <w:tc>
          <w:tcPr>
            <w:tcW w:w="0" w:type="dxa"/>
            <w:vAlign w:val="bottom"/>
          </w:tcPr>
          <w:p>
            <w:pPr>
              <w:spacing w:after="0"/>
              <w:rPr>
                <w:sz w:val="1"/>
                <w:szCs w:val="1"/>
                <w:color w:val="auto"/>
              </w:rPr>
            </w:pPr>
          </w:p>
        </w:tc>
      </w:tr>
      <w:tr>
        <w:trPr>
          <w:trHeight w:val="189"/>
        </w:trPr>
        <w:tc>
          <w:tcPr>
            <w:tcW w:w="4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151,785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237,218</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2,171,864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North America Salty</w:t>
            </w:r>
          </w:p>
        </w:tc>
        <w:tc>
          <w:tcPr>
            <w:tcW w:w="220" w:type="dxa"/>
            <w:vAlign w:val="bottom"/>
          </w:tcPr>
          <w:p>
            <w:pPr>
              <w:spacing w:after="0"/>
              <w:rPr>
                <w:sz w:val="18"/>
                <w:szCs w:val="18"/>
                <w:color w:val="auto"/>
              </w:rPr>
            </w:pPr>
          </w:p>
        </w:tc>
        <w:tc>
          <w:tcPr>
            <w:tcW w:w="1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60" w:type="dxa"/>
            <w:vAlign w:val="bottom"/>
          </w:tcPr>
          <w:p>
            <w:pPr>
              <w:spacing w:after="0"/>
              <w:rPr>
                <w:sz w:val="18"/>
                <w:szCs w:val="18"/>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2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Snacks</w:t>
            </w:r>
          </w:p>
        </w:tc>
        <w:tc>
          <w:tcPr>
            <w:tcW w:w="22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8,536,480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10,419,294</w:t>
            </w:r>
          </w:p>
        </w:tc>
        <w:tc>
          <w:tcPr>
            <w:tcW w:w="0" w:type="dxa"/>
            <w:vAlign w:val="bottom"/>
          </w:tcPr>
          <w:p>
            <w:pPr>
              <w:spacing w:after="0"/>
              <w:rPr>
                <w:sz w:val="1"/>
                <w:szCs w:val="1"/>
                <w:color w:val="auto"/>
              </w:rPr>
            </w:pPr>
          </w:p>
        </w:tc>
      </w:tr>
      <w:tr>
        <w:trPr>
          <w:trHeight w:val="230"/>
        </w:trPr>
        <w:tc>
          <w:tcPr>
            <w:tcW w:w="41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4,573,435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1,151,979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2,811,066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3,078,928</w:t>
            </w:r>
          </w:p>
        </w:tc>
        <w:tc>
          <w:tcPr>
            <w:tcW w:w="0" w:type="dxa"/>
            <w:vAlign w:val="bottom"/>
          </w:tcPr>
          <w:p>
            <w:pPr>
              <w:spacing w:after="0"/>
              <w:rPr>
                <w:sz w:val="1"/>
                <w:szCs w:val="1"/>
                <w:color w:val="auto"/>
              </w:rPr>
            </w:pPr>
          </w:p>
        </w:tc>
      </w:tr>
      <w:tr>
        <w:trPr>
          <w:trHeight w:val="223"/>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735,542</w:t>
            </w:r>
          </w:p>
        </w:tc>
        <w:tc>
          <w:tcPr>
            <w:tcW w:w="0" w:type="dxa"/>
            <w:vAlign w:val="bottom"/>
          </w:tcPr>
          <w:p>
            <w:pPr>
              <w:spacing w:after="0"/>
              <w:rPr>
                <w:sz w:val="1"/>
                <w:szCs w:val="1"/>
                <w:color w:val="auto"/>
              </w:rPr>
            </w:pPr>
          </w:p>
        </w:tc>
      </w:tr>
      <w:tr>
        <w:trPr>
          <w:trHeight w:val="230"/>
        </w:trPr>
        <w:tc>
          <w:tcPr>
            <w:tcW w:w="59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78,182</w:t>
            </w:r>
          </w:p>
        </w:tc>
        <w:tc>
          <w:tcPr>
            <w:tcW w:w="0" w:type="dxa"/>
            <w:vAlign w:val="bottom"/>
          </w:tcPr>
          <w:p>
            <w:pPr>
              <w:spacing w:after="0"/>
              <w:rPr>
                <w:sz w:val="1"/>
                <w:szCs w:val="1"/>
                <w:color w:val="auto"/>
              </w:rPr>
            </w:pPr>
          </w:p>
        </w:tc>
      </w:tr>
      <w:tr>
        <w:trPr>
          <w:trHeight w:val="230"/>
        </w:trPr>
        <w:tc>
          <w:tcPr>
            <w:tcW w:w="596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Costs associated with business realignment activities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2,260,787</w:t>
            </w:r>
          </w:p>
        </w:tc>
        <w:tc>
          <w:tcPr>
            <w:tcW w:w="0" w:type="dxa"/>
            <w:vAlign w:val="bottom"/>
          </w:tcPr>
          <w:p>
            <w:pPr>
              <w:spacing w:after="0"/>
              <w:rPr>
                <w:sz w:val="1"/>
                <w:szCs w:val="1"/>
                <w:color w:val="auto"/>
              </w:rPr>
            </w:pPr>
          </w:p>
        </w:tc>
      </w:tr>
      <w:tr>
        <w:trPr>
          <w:trHeight w:val="189"/>
        </w:trPr>
        <w:tc>
          <w:tcPr>
            <w:tcW w:w="4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137,557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206,159</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1,917,071</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160" w:hanging="332"/>
        <w:spacing w:after="0" w:line="266" w:lineRule="auto"/>
        <w:tabs>
          <w:tab w:leader="none" w:pos="3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expense, (d) acquisition-related costs and (e) other gains or losses that are not integral to segment performance.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losses (gains) on commodity derivatives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69"/>
        </w:trPr>
        <w:tc>
          <w:tcPr>
            <w:tcW w:w="70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(gains) losses on mark-to-market valuation of commodity derivative positions recognized in</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on commodity derivative positions reclassified from unallocated to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122,751</w:t>
            </w:r>
          </w:p>
        </w:tc>
        <w:tc>
          <w:tcPr>
            <w:tcW w:w="0" w:type="dxa"/>
            <w:vAlign w:val="bottom"/>
          </w:tcPr>
          <w:p>
            <w:pPr>
              <w:spacing w:after="0"/>
              <w:rPr>
                <w:sz w:val="1"/>
                <w:szCs w:val="1"/>
                <w:color w:val="auto"/>
              </w:rPr>
            </w:pPr>
          </w:p>
        </w:tc>
      </w:tr>
      <w:tr>
        <w:trPr>
          <w:trHeight w:val="156"/>
        </w:trPr>
        <w:tc>
          <w:tcPr>
            <w:tcW w:w="71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(gains) losses on mark-to-market valuation of commodity derivative positions recognized in</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(460,437)</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58,939</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78,182</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derivative losses (gains)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cumulative amount of mark-to-market gains on commodity derivatives that have been recognized in our consolidated cost of sales and not yet allocated to reportable segments was $410,230. Based on our forecasts of the timing of the recognition of the underlying hedged items, we expect to reclassify net pretax gains on commodity derivatives of $143,779 to segment operating results in the next twelve months.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259,502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228,399</w:t>
            </w:r>
          </w:p>
        </w:tc>
      </w:tr>
      <w:tr>
        <w:trPr>
          <w:trHeight w:val="22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r>
      <w:tr>
        <w:trPr>
          <w:trHeight w:val="23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r>
      <w:tr>
        <w:trPr>
          <w:trHeight w:val="229"/>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58,812</w:t>
            </w:r>
          </w:p>
        </w:tc>
      </w:tr>
      <w:tr>
        <w:trPr>
          <w:trHeight w:val="248"/>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455,255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378,959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and long-lived assets disaggregated by geographical region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9,771,343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9,752,314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9,121,166</w:t>
            </w:r>
          </w:p>
        </w:tc>
      </w:tr>
      <w:tr>
        <w:trPr>
          <w:trHeight w:val="230"/>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1,298,128</w:t>
            </w: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11,202,263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11,164,992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10,419,294</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2,272,811</w:t>
            </w:r>
          </w:p>
        </w:tc>
      </w:tr>
      <w:tr>
        <w:trPr>
          <w:trHeight w:val="230"/>
        </w:trPr>
        <w:tc>
          <w:tcPr>
            <w:tcW w:w="5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496,891</w:t>
            </w:r>
          </w:p>
        </w:tc>
      </w:tr>
      <w:tr>
        <w:trPr>
          <w:trHeight w:val="248"/>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2,769,702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AND TREASURY STOCK ACTIVITY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1,055,000,000 authorized shares of capital stock as of December 31, 2024. Of this total, 900,000,000 shares were designated as Common Stock, 150,000,000 shares were designated as Class B Common Stock (“Class B Stock”) and 5,000,000 shares were designated as Preferred Stock. Each class has a par value of one dollar per share.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Holders of the Common Stock and the Class B Stock generally vote together without regard to class on matters submitted to stockholders, including the election of directors. The holders of Common Stock have 1 vote per share and the holders of Class B Common Stock have 10 votes per share. However, the Common Stock holders,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separately as a class, are entitled to elect one-sixth of the Board. With respect to dividend rights, the Common Stock holders are entitled to cash dividends 10% higher than those declared and paid on the Class B Common Stock.</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Class B Stock can be converted into Common Stock on a share-for-share basis at any time. During 2024, no shares of Class B Stock were converted into Common Stock. During 2023 and 2022, 3,500,000 shares and 2,500,000 shares, respectively, of Class B Stock were converted to Common Stock by Hershey Trust Company, as trustee for the Milton Hershey School Trust (the “School Trust”).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outstanding shares of Common Stock for the past three years were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221,553,025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221,553,025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221,553,025</w:t>
            </w:r>
          </w:p>
        </w:tc>
      </w:tr>
      <w:tr>
        <w:trPr>
          <w:trHeight w:val="223"/>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shares at beginning of year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(17,160,099)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(16,588,308)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(15,444,011)</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repurchases: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75"/>
        </w:trPr>
        <w:tc>
          <w:tcPr>
            <w:tcW w:w="61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under pre-approved share repurchase</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programs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(2,022,064)</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Milton Hershey School Trust repurchase</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176"/>
        </w:trPr>
        <w:tc>
          <w:tcPr>
            <w:tcW w:w="61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options and incentive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(824,701)</w:t>
            </w:r>
          </w:p>
        </w:tc>
      </w:tr>
      <w:tr>
        <w:trPr>
          <w:trHeight w:val="230"/>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issuances: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6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Shares issued for stock options and incentive compensation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495,240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555,818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680,404</w:t>
            </w:r>
          </w:p>
        </w:tc>
      </w:tr>
      <w:tr>
        <w:trPr>
          <w:trHeight w:val="223"/>
        </w:trPr>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 at end of year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(19,169,956)</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(17,160,099)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(16,588,308)</w:t>
            </w: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shares outstanding at end of year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202,383,069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204,392,926</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204,964,717</w:t>
            </w:r>
          </w:p>
        </w:tc>
      </w:tr>
      <w:tr>
        <w:trPr>
          <w:trHeight w:val="21"/>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16, 2022, the IRA was signed into law, which enacted a 1% excise tax on share repurchases beginning after December 31, 2022. As of December 31, 2024 and December 31, 2023, Hershey’s excise tax associated with net share repurchases was $4.7 million and $2.4 million, respectively. A corresponding liability for the December 31, 2024 excise tax associated with net share repurchases is classified on our Consolidated Balance Sheets within accrued liabilities.</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July 2018, our Board of Directors approved a $500 million share repurchase authorization to repurchase shares of our Common Stock. As a result of the February 2023 Stock Purchase Agreement with Hershey Trust Company, as trustee for the School Trust, the July 2018 share repurchase authorization was completed. In May 2021, our Board of Directors approved an additional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 Purchases under approved share repurchase authorizations are in addition to our practice of buying back shares sufficient to offset those issued under incentive compensation plans.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Hershey Trust Company</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Hershey Trust Company, as trustee for the School Trust and as direct owner of investment shares, held 2,105,749 shares of our Common Stock as of December 31, 2024. As trustee for the School Trust, Hershey Trust Company held 54,612,012 shares of the Class B Common Stock as of December 31, 2024, and was entitled to cast approximately 79% of all of the votes entitled to be cast on matters requiring the vote of both classes of our common stock voting together. Hershey Trust Company, as trustee for the School Trust, or any successor trustee, or Milton Hershey School, as appropriate, must approve any issuance of shares of Common Stock or other action that would result in it not continuing to have voting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736600</wp:posOffset>
            </wp:positionV>
            <wp:extent cx="19685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Purchase Agreements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 Stock Purchase Agreement with Hershey Trust Company, as trustee for the School Trust, pursuant to which the Company purchased 1,000,000 shares of the Company’s Common Stock from the School Trust at a price equal to $239.91 per share, for a total purchase price of $239,910. As a result of this repurchase, our July 2018 share repurchase authorization program was completed in February 2023.</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 Stock Purchase Agreement with Hershey Trust Company, as trustee for the School Trust, pursuant to which the Company purchased 1,000,000 shares of the Company’s Common Stock from the School Trust at a price equal to $203.35 per share, for a total purchase price of $203,350.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2024.</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2024, we satisfied these obligations by taking delivery of and making payment for the specific commodities.</w:t>
      </w:r>
    </w:p>
    <w:p>
      <w:pPr>
        <w:spacing w:after="0" w:line="13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December 31, 2024, we had entered into agreements for the purchase of raw materials with various suppliers. Subject to meeting our quality standards, the purchase obligations covered by these agreements were as follows as of December 31, 2024: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3"/>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685165</wp:posOffset>
            </wp:positionV>
            <wp:extent cx="19685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4" w:name="page95"/>
    <w:bookmarkEnd w:id="94"/>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employed approximately 18,540 full-time and 1,490 part-time employees worldwide. Collective bargaining agreements covered approximately 6,525 employees, or approximately 33% of the Company’s employees worldwide. During 2025, agreements will be negotiated for certain employees at seven facilities, none of which are within the United States, comprising approximately 69% of total employees under collective bargaining agreements. We currently expect that we will be able to renegotiate such agreements on satisfactory terms when they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4" w:right="579" w:bottom="1440" w:gutter="0" w:footer="0" w:header="0"/>
        </w:sectPr>
      </w:pPr>
    </w:p>
    <w:bookmarkStart w:id="95" w:name="page96"/>
    <w:bookmarkEnd w:id="95"/>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26"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We compute basic and diluted earnings per share based on the weighted-average number of shares of Common Stock and Class B common stock outstanding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vMerge w:val="continue"/>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4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Allocation of distributed earnings (cash dividends</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812,826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271,975</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663,176</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225,895</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567,897</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207,133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paid)</w:t>
            </w: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851,549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728,175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232,349</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1,391,351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439,482</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0" w:type="dxa"/>
            <w:vAlign w:val="bottom"/>
          </w:tcPr>
          <w:p>
            <w:pPr>
              <w:spacing w:after="0"/>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1,664,375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556,864</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1,391,351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470,436</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439,482</w:t>
            </w:r>
          </w:p>
        </w:tc>
        <w:tc>
          <w:tcPr>
            <w:tcW w:w="0" w:type="dxa"/>
            <w:vAlign w:val="bottom"/>
          </w:tcPr>
          <w:p>
            <w:pPr>
              <w:spacing w:after="0"/>
              <w:rPr>
                <w:sz w:val="1"/>
                <w:szCs w:val="1"/>
                <w:color w:val="auto"/>
              </w:rPr>
            </w:pPr>
          </w:p>
        </w:tc>
      </w:tr>
      <w:tr>
        <w:trPr>
          <w:trHeight w:val="165"/>
        </w:trPr>
        <w:tc>
          <w:tcPr>
            <w:tcW w:w="394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470,436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439,482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of Class B common stock to Common stock</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2,221,239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1,861,787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469,449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438,281</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 to Common</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55,239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shares outstanding</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206,575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58,822</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years ended December 31, 2024, 2023 and 2022 excluded 13, 15 and 5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6" w:name="page97"/>
    <w:bookmarkEnd w:id="96"/>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78"/>
        </w:trPr>
        <w:tc>
          <w:tcPr>
            <w:tcW w:w="5940" w:type="dxa"/>
            <w:vAlign w:val="bottom"/>
            <w:tcBorders>
              <w:top w:val="single" w:sz="8" w:color="auto"/>
            </w:tcBorders>
            <w:gridSpan w:val="5"/>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 historic and</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194"/>
        </w:trPr>
        <w:tc>
          <w:tcPr>
            <w:tcW w:w="6040" w:type="dxa"/>
            <w:vAlign w:val="bottom"/>
            <w:gridSpan w:val="6"/>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renewable energy tax 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243,311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210,484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188,286</w:t>
            </w:r>
          </w:p>
        </w:tc>
      </w:tr>
      <w:tr>
        <w:trPr>
          <w:trHeight w:val="21"/>
        </w:trPr>
        <w:tc>
          <w:tcPr>
            <w:tcW w:w="2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6040" w:type="dxa"/>
            <w:vAlign w:val="bottom"/>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 to pension and</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604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other post-retirement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17,389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28,010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18,466</w:t>
            </w:r>
          </w:p>
        </w:tc>
      </w:tr>
      <w:tr>
        <w:trPr>
          <w:trHeight w:val="21"/>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6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6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206,159</w:t>
            </w:r>
          </w:p>
        </w:tc>
      </w:tr>
      <w:tr>
        <w:trPr>
          <w:trHeight w:val="21"/>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Hershey Trust Company, as trustee for the trust established by Milton S. and Catherine S. Hershey that has as its sole beneficiary the School Trust, maintains voting control over The Hershey Company.</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any given year, we may engage in certain transactions with Hershey Trust Company, Milton Hershey School, the Milton Hershey School Trust and companies owned by and/or affiliated with any of the foregoing. Most transactions with these related parties are immaterial and do not require disclosure, but certain transactions are more significant in nature and have been deemed material for disclosure.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with Hershey Trust Company and/or its affiliates for the year ended December 31, 2024. A summary of material related party transactions with Hershey Trust Company and/or its affiliates for the years ended December 31, 2023 and 2022 is noted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and Donation of Property, Plant and Equipment</w:t>
      </w:r>
    </w:p>
    <w:p>
      <w:pPr>
        <w:spacing w:after="0" w:line="25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May 2022, the Company entered into a Purchase and Sale Agreement (the “Purchase Agreement”) with Hershey Trust Company, as trustee for the School Trust, pursuant to which the Company agreed to sell certain real and personal property consisting of approximately six acres of land located in Hershey, Pennsylvania, together with portions of a building located on the land. Additionally, in June 2022, the Company entered into a Donation Agreement with Hershey Trust Company, as trustee for The M.S. Hershey Foundation, pursuant to which the Company agreed to donate a portion of the building concurrently with the closing of the Purchase Agreement. The sale and donation transactions closed in June 2022. Total proceeds from the sale were approximately $6,300 (net of transaction and closing costs), resulting in a loss of $13,568, which was recorded in the SM&amp;A expense caption within the Consolidated Statements of Income. The fair values of the disposed assets were supported by a proposed sales price submitted by a third-party buyer received prior to executing the Purchase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Purchase Agreements</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 February 2023 and February 2022, the Company entered into Stock Purchase Agreements with Hershey Trust Company, as trustee for the School Trust, pursuant to which the Company purchased shares of its Common Stock from the School Trust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697230</wp:posOffset>
            </wp:positionV>
            <wp:extent cx="19685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7" w:name="page98"/>
    <w:bookmarkEnd w:id="97"/>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19. SUPPLEMENTAL BALANCE SHEET INFORMATION</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1"/>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Pr>
          <w:p>
            <w:pPr>
              <w:spacing w:after="0"/>
              <w:rPr>
                <w:sz w:val="24"/>
                <w:szCs w:val="24"/>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 w:type="dxa"/>
            <w:vAlign w:val="bottom"/>
          </w:tcPr>
          <w:p>
            <w:pPr>
              <w:spacing w:after="0"/>
              <w:rPr>
                <w:sz w:val="19"/>
                <w:szCs w:val="19"/>
                <w:color w:val="auto"/>
              </w:rPr>
            </w:pPr>
          </w:p>
        </w:tc>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477,592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481,111</w:t>
            </w:r>
          </w:p>
        </w:tc>
      </w:tr>
      <w:tr>
        <w:trPr>
          <w:trHeight w:val="229"/>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w:t>
            </w:r>
          </w:p>
        </w:tc>
      </w:tr>
      <w:tr>
        <w:trPr>
          <w:trHeight w:val="229"/>
        </w:trPr>
        <w:tc>
          <w:tcPr>
            <w:tcW w:w="80" w:type="dxa"/>
            <w:vAlign w:val="bottom"/>
          </w:tcPr>
          <w:p>
            <w:pPr>
              <w:spacing w:after="0"/>
              <w:rPr>
                <w:sz w:val="19"/>
                <w:szCs w:val="19"/>
                <w:color w:val="auto"/>
              </w:rPr>
            </w:pPr>
          </w:p>
        </w:tc>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948,974</w:t>
            </w:r>
          </w:p>
        </w:tc>
      </w:tr>
      <w:tr>
        <w:trPr>
          <w:trHeight w:val="223"/>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FIFO</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1,622,317</w:t>
            </w:r>
          </w:p>
        </w:tc>
      </w:tr>
      <w:tr>
        <w:trPr>
          <w:trHeight w:val="229"/>
        </w:trPr>
        <w:tc>
          <w:tcPr>
            <w:tcW w:w="80" w:type="dxa"/>
            <w:vAlign w:val="bottom"/>
          </w:tcPr>
          <w:p>
            <w:pPr>
              <w:spacing w:after="0"/>
              <w:rPr>
                <w:sz w:val="19"/>
                <w:szCs w:val="19"/>
                <w:color w:val="auto"/>
              </w:rPr>
            </w:pPr>
          </w:p>
        </w:tc>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Adjustment to LIFO</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(281,321)</w:t>
            </w:r>
          </w:p>
        </w:tc>
      </w:tr>
      <w:tr>
        <w:trPr>
          <w:trHeight w:val="248"/>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w:t>
            </w:r>
          </w:p>
        </w:tc>
      </w:tr>
      <w:tr>
        <w:trPr>
          <w:trHeight w:val="20"/>
        </w:trPr>
        <w:tc>
          <w:tcPr>
            <w:tcW w:w="8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29"/>
        </w:trPr>
        <w:tc>
          <w:tcPr>
            <w:tcW w:w="8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269,792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227,567</w:t>
            </w:r>
          </w:p>
        </w:tc>
      </w:tr>
      <w:tr>
        <w:trPr>
          <w:trHeight w:val="230"/>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118,021</w:t>
            </w:r>
          </w:p>
        </w:tc>
      </w:tr>
      <w:tr>
        <w:trPr>
          <w:trHeight w:val="223"/>
        </w:trPr>
        <w:tc>
          <w:tcPr>
            <w:tcW w:w="8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345,588</w:t>
            </w:r>
          </w:p>
        </w:tc>
      </w:tr>
      <w:tr>
        <w:trPr>
          <w:trHeight w:val="20"/>
        </w:trPr>
        <w:tc>
          <w:tcPr>
            <w:tcW w:w="80" w:type="dxa"/>
            <w:vAlign w:val="bottom"/>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7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29"/>
        </w:trPr>
        <w:tc>
          <w:tcPr>
            <w:tcW w:w="8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w:t>
            </w:r>
          </w:p>
        </w:tc>
      </w:tr>
      <w:tr>
        <w:trPr>
          <w:trHeight w:val="229"/>
        </w:trPr>
        <w:tc>
          <w:tcPr>
            <w:tcW w:w="8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1,763,070</w:t>
            </w:r>
          </w:p>
        </w:tc>
      </w:tr>
      <w:tr>
        <w:trPr>
          <w:trHeight w:val="229"/>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3,861,006</w:t>
            </w:r>
          </w:p>
        </w:tc>
      </w:tr>
      <w:tr>
        <w:trPr>
          <w:trHeight w:val="230"/>
        </w:trPr>
        <w:tc>
          <w:tcPr>
            <w:tcW w:w="80" w:type="dxa"/>
            <w:vAlign w:val="bottom"/>
          </w:tcPr>
          <w:p>
            <w:pPr>
              <w:spacing w:after="0"/>
              <w:rPr>
                <w:sz w:val="19"/>
                <w:szCs w:val="19"/>
                <w:color w:val="auto"/>
              </w:rPr>
            </w:pPr>
          </w:p>
        </w:tc>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644,244</w:t>
            </w:r>
          </w:p>
        </w:tc>
      </w:tr>
      <w:tr>
        <w:trPr>
          <w:trHeight w:val="223"/>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6,449,071</w:t>
            </w:r>
          </w:p>
        </w:tc>
      </w:tr>
      <w:tr>
        <w:trPr>
          <w:trHeight w:val="229"/>
        </w:trPr>
        <w:tc>
          <w:tcPr>
            <w:tcW w:w="80" w:type="dxa"/>
            <w:vAlign w:val="bottom"/>
          </w:tcPr>
          <w:p>
            <w:pPr>
              <w:spacing w:after="0"/>
              <w:rPr>
                <w:sz w:val="19"/>
                <w:szCs w:val="19"/>
                <w:color w:val="auto"/>
              </w:rPr>
            </w:pPr>
          </w:p>
        </w:tc>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(3,353,958)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(3,139,393)</w:t>
            </w:r>
          </w:p>
        </w:tc>
      </w:tr>
      <w:tr>
        <w:trPr>
          <w:trHeight w:val="248"/>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3,309,678</w:t>
            </w:r>
          </w:p>
        </w:tc>
      </w:tr>
      <w:tr>
        <w:trPr>
          <w:trHeight w:val="20"/>
        </w:trPr>
        <w:tc>
          <w:tcPr>
            <w:tcW w:w="8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29"/>
        </w:trPr>
        <w:tc>
          <w:tcPr>
            <w:tcW w:w="8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48,506</w:t>
            </w:r>
          </w:p>
        </w:tc>
      </w:tr>
      <w:tr>
        <w:trPr>
          <w:trHeight w:val="230"/>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367,087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360,205</w:t>
            </w:r>
          </w:p>
        </w:tc>
      </w:tr>
      <w:tr>
        <w:trPr>
          <w:trHeight w:val="230"/>
        </w:trPr>
        <w:tc>
          <w:tcPr>
            <w:tcW w:w="8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307,976</w:t>
            </w:r>
          </w:p>
        </w:tc>
      </w:tr>
      <w:tr>
        <w:trPr>
          <w:trHeight w:val="229"/>
        </w:trPr>
        <w:tc>
          <w:tcPr>
            <w:tcW w:w="8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207,177</w:t>
            </w:r>
          </w:p>
        </w:tc>
      </w:tr>
      <w:tr>
        <w:trPr>
          <w:trHeight w:val="230"/>
        </w:trPr>
        <w:tc>
          <w:tcPr>
            <w:tcW w:w="80" w:type="dxa"/>
            <w:vAlign w:val="bottom"/>
          </w:tcPr>
          <w:p>
            <w:pPr>
              <w:spacing w:after="0"/>
              <w:rPr>
                <w:sz w:val="19"/>
                <w:szCs w:val="19"/>
                <w:color w:val="auto"/>
              </w:rPr>
            </w:pPr>
          </w:p>
        </w:tc>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137,563</w:t>
            </w:r>
          </w:p>
        </w:tc>
      </w:tr>
      <w:tr>
        <w:trPr>
          <w:trHeight w:val="248"/>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1,061,427</w:t>
            </w:r>
          </w:p>
        </w:tc>
      </w:tr>
      <w:tr>
        <w:trPr>
          <w:trHeight w:val="20"/>
        </w:trPr>
        <w:tc>
          <w:tcPr>
            <w:tcW w:w="8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565785</wp:posOffset>
            </wp:positionV>
            <wp:extent cx="19685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HERSHEY COMPANY</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 accounts are as follows:</w:t>
      </w:r>
    </w:p>
    <w:p>
      <w:pPr>
        <w:spacing w:after="0" w:line="27" w:lineRule="exact"/>
        <w:rPr>
          <w:sz w:val="20"/>
          <w:szCs w:val="20"/>
          <w:color w:val="auto"/>
        </w:rPr>
      </w:pPr>
    </w:p>
    <w:p>
      <w:pPr>
        <w:ind w:left="80"/>
        <w:spacing w:after="0"/>
        <w:tabs>
          <w:tab w:leader="none" w:pos="8080" w:val="left"/>
          <w:tab w:leader="none" w:pos="10080"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14605</wp:posOffset>
            </wp:positionV>
            <wp:extent cx="708088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Payable—trade</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807,918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630,536</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Supplier finance program obligations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149,261</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136,137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306,386</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1,086,183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compensation and benefits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261,961</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promotion and product allowances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343,444</w:t>
            </w: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227,916</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807,341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7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benefits liabilities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90,718</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benefits liabilities</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277,089</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263,917</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(177,741)</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(87,706)</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(126,800)</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908685</wp:posOffset>
            </wp:positionV>
            <wp:extent cx="19685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 w:right="339" w:bottom="1440" w:gutter="0" w:footer="0" w:header="0"/>
        </w:sectPr>
      </w:pPr>
    </w:p>
    <w:bookmarkStart w:id="99" w:name="page100"/>
    <w:bookmarkEnd w:id="99"/>
    <w:p>
      <w:pPr>
        <w:ind w:right="1260" w:firstLine="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2024. Based on that evaluation, the Company’s Chief Executive Officer and Chief Financial Officer concluded that the Company’s disclosure controls and procedures were effective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Evaluation of Disclosure Controls and Procedures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Management’s report on the Company’s internal control over financial reporting appears on the following page. During the second quarter of 2024, we completed the process of our multi-year implementation of a new global enterprise resource planning (“ERP”) system, which replaced our then-existing operating and financial systems. The ERP system is designed to accurately maintain the Company’s financial records, enhance operational functionality, and provide timely information to the Company’s management team related to the operation of the business. During the third quarter of 2022, we completed the implementation of one operating segment that is included in our International segment. In July 2023, we completed the transition to our new consolidated financial reporting book of record. During October 2023, we completed the implementation of our new ERP system in the North America Salty Snacks segment. We completed the implementation of our new ERP system in the North America Confectionery segment and select operating segments included in our International segment in April 2024. The implementation of the new ERP system resulted in material changes to our internal controls over financial reporting. The Company has updated the internal controls as appropriate and will continue to monitor the impact of the implementation on our financial reporting business processes. There have been no changes to the Company’s internal control over financial reporting during the fourth quarter of 2024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431800</wp:posOffset>
            </wp:positionV>
            <wp:extent cx="19685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0" w:name="page101"/>
    <w:bookmarkEnd w:id="100"/>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including the Company’s Chief Executive Officer and Chief Financial Officer, assessed the effectiveness of the Company’s internal control over financial reporting as of December 31, 2024. In making this assessment, the Company’s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 edition)</w:t>
      </w:r>
      <w:r>
        <w:rPr>
          <w:rFonts w:ascii="Times New Roman" w:cs="Times New Roman" w:eastAsia="Times New Roman" w:hAnsi="Times New Roman"/>
          <w:sz w:val="18"/>
          <w:szCs w:val="18"/>
          <w:color w:val="auto"/>
        </w:rPr>
        <w:t>. Based on this assessment, management concluded that, as of December 31, 2024, the Company’s internal control over financial reporting was effective based on those criteria.</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Management’s assessment of and conclusion on the effectiveness of internal control over financial reporting did not include the internal controls of the acquisition of the Sour Strips brand from Actual Candy, LLC (“Sour Strips”) on November 8, 2024, which is included in the 2024 consolidated financial statements of the Company and constituted less than 1% of total assets as of December 31, 2024 and less than 1% of net sales for the year then ended. This exclusion is in accordance with the guidance issued by the U.S. Securities and Exchange Commission that allows companies to exclude acquisitions from management’s report on internal control over financial reporting for the first year after the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independent auditors have audited, and reported on, the Company’s internal control over financial reporting as of December 31, 2024.</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directors or officers (as defined in Rule 16a-1(f) under the Exchange Act) adopted or terminated any contract, instruction or written plan for the purchase or sale of securities that are intended to satisfy the affirmative defense conditions of Rule 10b5-1(c) or any other Rule 10b5-1 trading arrangements or “non-Rule 10b5–1 trading arrangements” (as defined by S-K Item 408(c)).</w:t>
      </w:r>
    </w:p>
    <w:p>
      <w:pPr>
        <w:spacing w:after="0" w:line="280" w:lineRule="exact"/>
        <w:rPr>
          <w:sz w:val="20"/>
          <w:szCs w:val="20"/>
          <w:color w:val="auto"/>
        </w:rPr>
      </w:pPr>
    </w:p>
    <w:p>
      <w:pPr>
        <w:ind w:right="318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360680</wp:posOffset>
            </wp:positionV>
            <wp:extent cx="19685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39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1" w:name="page102"/>
    <w:bookmarkEnd w:id="10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regarding executive officers of the Company required by Item 401 of SEC Regulation S-K is incorporated herein by reference from the disclosure included under the caption “Supplemental Item. Information About Out Executive Officers” at the end of Part I of this Annual Report on Form 10-K.</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Company’s Proxy Statement for the 2025 Annual Meeting of Stockholders (the “Proxy Statement”) in the section entitled “Proposal No. 1 – Election of Directors,” which information is incorporated herein by reference.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“Corporate Governance – Committees of the Board,” which information is incorporated herein by reference.</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regarding our Code of Conduct applicable to our directors, officers and employees is located in Part I of this Annual Report on Form 10-K, under the heading “Available Information.”</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Insider Trading Policy required by Item 408(b) of SEC Regulation S-K will be located in the Proxy Statement in the section entitled “Other Compensation Policies and Practices”, which information is incorporated herein by reference.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the extent disclosure of any delinquent form under Section 16(a) of the Securities Exchange Act of 1934 is made by the Company, such disclosure will be set forth in our Proxy Statement under the caption “Delinquent Section 16(a) Reports” and is incorporated herein by reference.</w:t>
      </w:r>
    </w:p>
    <w:p>
      <w:pPr>
        <w:spacing w:after="0" w:line="19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Information regarding the compensation of each of our named executive officers, including our Chief Executive Officer that is required by this Item 11 will be located in the Proxy Statement in the section entitled “Compensation Discussion &amp; Analysis” and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2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85" w:lineRule="exact"/>
        <w:rPr>
          <w:sz w:val="20"/>
          <w:szCs w:val="20"/>
          <w:color w:val="auto"/>
        </w:rPr>
      </w:pPr>
    </w:p>
    <w:p>
      <w:pPr>
        <w:ind w:left="900" w:right="820" w:hanging="85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Information regarding all of the Company’s equity compensation plans will be located in the Proxy Statement in the section entitled “Compensation Committee Report – Equity Compensation Plan Information,”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2" w:name="page103"/>
    <w:bookmarkEnd w:id="102"/>
    <w:p>
      <w:pPr>
        <w:spacing w:after="0" w:line="6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12"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414655</wp:posOffset>
            </wp:positionV>
            <wp:extent cx="19685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3" w:name="page104"/>
    <w:bookmarkEnd w:id="103"/>
    <w:p>
      <w:pPr>
        <w:ind w:left="5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15(a)(1): Financial Statements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15(a)(2): Financial Statement Schedule</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Schedule II—Valuation and Qualifying Accounts for The Hershey Company and its subsidiaries for the years ended December 31, 2024, 2023 and 2022 is filed as part of this Annual Report on Form 10-K as required by Item 15(c).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omitted other schedules because they are not applicable or the required information is set forth in the consolidated financial statements or notes thereto.</w:t>
      </w: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15(a)(3):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ectPr>
          <w:pgSz w:w="11900" w:h="16838" w:orient="portrait"/>
          <w:cols w:equalWidth="0" w:num="1">
            <w:col w:w="11180"/>
          </w:cols>
          <w:pgMar w:left="320" w:top="12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Exhibit</w:t>
      </w:r>
    </w:p>
    <w:p>
      <w:pPr>
        <w:ind w:left="30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372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8" w:lineRule="exact"/>
        <w:rPr>
          <w:sz w:val="20"/>
          <w:szCs w:val="20"/>
          <w:color w:val="auto"/>
        </w:rPr>
      </w:pPr>
    </w:p>
    <w:p>
      <w:pPr>
        <w:ind w:left="480"/>
        <w:spacing w:after="0"/>
        <w:rPr>
          <w:rFonts w:ascii="Times New Roman" w:cs="Times New Roman" w:eastAsia="Times New Roman" w:hAnsi="Times New Roman"/>
          <w:sz w:val="16"/>
          <w:szCs w:val="16"/>
          <w:u w:val="single" w:color="auto"/>
          <w:color w:val="0000FF"/>
        </w:rPr>
      </w:pPr>
      <w:hyperlink r:id="rId232">
        <w:r>
          <w:rPr>
            <w:rFonts w:ascii="Times New Roman" w:cs="Times New Roman" w:eastAsia="Times New Roman" w:hAnsi="Times New Roman"/>
            <w:sz w:val="16"/>
            <w:szCs w:val="16"/>
            <w:u w:val="single" w:color="auto"/>
            <w:color w:val="0000FF"/>
          </w:rPr>
          <w:t>3.1</w:t>
        </w:r>
      </w:hyperlink>
    </w:p>
    <w:p>
      <w:pPr>
        <w:spacing w:after="0" w:line="343" w:lineRule="exact"/>
        <w:rPr>
          <w:sz w:val="20"/>
          <w:szCs w:val="20"/>
          <w:color w:val="auto"/>
        </w:rPr>
      </w:pPr>
    </w:p>
    <w:p>
      <w:pPr>
        <w:ind w:left="480"/>
        <w:spacing w:after="0"/>
        <w:rPr>
          <w:rFonts w:ascii="Times New Roman" w:cs="Times New Roman" w:eastAsia="Times New Roman" w:hAnsi="Times New Roman"/>
          <w:sz w:val="16"/>
          <w:szCs w:val="16"/>
          <w:u w:val="single" w:color="auto"/>
          <w:color w:val="0000FF"/>
        </w:rPr>
      </w:pPr>
      <w:hyperlink r:id="rId233">
        <w:r>
          <w:rPr>
            <w:rFonts w:ascii="Times New Roman" w:cs="Times New Roman" w:eastAsia="Times New Roman" w:hAnsi="Times New Roman"/>
            <w:sz w:val="16"/>
            <w:szCs w:val="16"/>
            <w:u w:val="single" w:color="auto"/>
            <w:color w:val="0000FF"/>
          </w:rPr>
          <w:t>3.2</w:t>
        </w:r>
      </w:hyperlink>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0"/>
        <w:spacing w:after="0"/>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4.2</w:t>
        </w:r>
      </w:hyperlink>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10.1(a)</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3625"/>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00" w:lineRule="exact"/>
        <w:rPr>
          <w:sz w:val="20"/>
          <w:szCs w:val="20"/>
          <w:color w:val="auto"/>
        </w:rPr>
      </w:pPr>
    </w:p>
    <w:p>
      <w:pPr>
        <w:spacing w:after="0" w:line="264" w:lineRule="exact"/>
        <w:rPr>
          <w:sz w:val="20"/>
          <w:szCs w:val="20"/>
          <w:color w:val="auto"/>
        </w:rPr>
      </w:pPr>
    </w:p>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62236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41" w:lineRule="exact"/>
        <w:rPr>
          <w:sz w:val="20"/>
          <w:szCs w:val="20"/>
          <w:color w:val="auto"/>
        </w:rPr>
      </w:pPr>
    </w:p>
    <w:p>
      <w:pPr>
        <w:ind w:left="5" w:right="180"/>
        <w:spacing w:after="0" w:line="280" w:lineRule="auto"/>
        <w:rPr>
          <w:rFonts w:ascii="Times New Roman" w:cs="Times New Roman" w:eastAsia="Times New Roman" w:hAnsi="Times New Roman"/>
          <w:sz w:val="16"/>
          <w:szCs w:val="16"/>
          <w:u w:val="single" w:color="auto"/>
          <w:color w:val="0000FF"/>
        </w:rPr>
      </w:pPr>
      <w:hyperlink r:id="rId232">
        <w:r>
          <w:rPr>
            <w:rFonts w:ascii="Times New Roman" w:cs="Times New Roman" w:eastAsia="Times New Roman" w:hAnsi="Times New Roman"/>
            <w:sz w:val="16"/>
            <w:szCs w:val="16"/>
            <w:u w:val="single" w:color="auto"/>
            <w:color w:val="0000FF"/>
          </w:rPr>
          <w:t>The Company’s Restated Certificate of Incorporation, as amended, is incorporated by reference from Exhibit 3 to the Company’s Quarterly Report on</w:t>
        </w:r>
      </w:hyperlink>
      <w:r>
        <w:rPr>
          <w:rFonts w:ascii="Times New Roman" w:cs="Times New Roman" w:eastAsia="Times New Roman" w:hAnsi="Times New Roman"/>
          <w:sz w:val="16"/>
          <w:szCs w:val="16"/>
          <w:u w:val="single" w:color="auto"/>
          <w:color w:val="0000FF"/>
        </w:rPr>
        <w:t xml:space="preserve"> </w:t>
      </w:r>
      <w:hyperlink r:id="rId232">
        <w:r>
          <w:rPr>
            <w:rFonts w:ascii="Times New Roman" w:cs="Times New Roman" w:eastAsia="Times New Roman" w:hAnsi="Times New Roman"/>
            <w:sz w:val="16"/>
            <w:szCs w:val="16"/>
            <w:u w:val="single" w:color="auto"/>
            <w:color w:val="0000FF"/>
          </w:rPr>
          <w:t>Form 10-Q for the quarter ended April 3, 2005.</w:t>
        </w:r>
      </w:hyperlink>
    </w:p>
    <w:p>
      <w:pPr>
        <w:spacing w:after="0" w:line="97" w:lineRule="exact"/>
        <w:rPr>
          <w:sz w:val="20"/>
          <w:szCs w:val="20"/>
          <w:color w:val="auto"/>
        </w:rPr>
      </w:pPr>
    </w:p>
    <w:p>
      <w:pPr>
        <w:ind w:left="5" w:right="240"/>
        <w:spacing w:after="0" w:line="280" w:lineRule="auto"/>
        <w:rPr>
          <w:rFonts w:ascii="Times New Roman" w:cs="Times New Roman" w:eastAsia="Times New Roman" w:hAnsi="Times New Roman"/>
          <w:sz w:val="16"/>
          <w:szCs w:val="16"/>
          <w:u w:val="single" w:color="auto"/>
          <w:color w:val="0000FF"/>
        </w:rPr>
      </w:pPr>
      <w:hyperlink r:id="rId233">
        <w:r>
          <w:rPr>
            <w:rFonts w:ascii="Times New Roman" w:cs="Times New Roman" w:eastAsia="Times New Roman" w:hAnsi="Times New Roman"/>
            <w:sz w:val="16"/>
            <w:szCs w:val="16"/>
            <w:u w:val="single" w:color="auto"/>
            <w:color w:val="0000FF"/>
          </w:rPr>
          <w:t>The Company’s By-laws, as amended and restated as of February 21, 2017, are incorporated by reference from Exhibit 3.2 to the Company’s Annual</w:t>
        </w:r>
      </w:hyperlink>
      <w:r>
        <w:rPr>
          <w:rFonts w:ascii="Times New Roman" w:cs="Times New Roman" w:eastAsia="Times New Roman" w:hAnsi="Times New Roman"/>
          <w:sz w:val="16"/>
          <w:szCs w:val="16"/>
          <w:u w:val="single" w:color="auto"/>
          <w:color w:val="0000FF"/>
        </w:rPr>
        <w:t xml:space="preserve"> </w:t>
      </w:r>
      <w:hyperlink r:id="rId233">
        <w:r>
          <w:rPr>
            <w:rFonts w:ascii="Times New Roman" w:cs="Times New Roman" w:eastAsia="Times New Roman" w:hAnsi="Times New Roman"/>
            <w:sz w:val="16"/>
            <w:szCs w:val="16"/>
            <w:u w:val="single" w:color="auto"/>
            <w:color w:val="0000FF"/>
          </w:rPr>
          <w:t>Report on Form 10-K for the fiscal year ended December 31, 2018.</w:t>
        </w:r>
      </w:hyperlink>
    </w:p>
    <w:p>
      <w:pPr>
        <w:spacing w:after="0" w:line="9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 has issued certain long-term debt instruments, no one class of which creates indebtedness exceeding 10% of the total assets of the</w:t>
      </w:r>
    </w:p>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Company and its subsidiaries on a consolidated basis. These classes consist of the following:</w:t>
      </w:r>
    </w:p>
    <w:p>
      <w:pPr>
        <w:spacing w:after="0" w:line="122" w:lineRule="exact"/>
        <w:rPr>
          <w:sz w:val="20"/>
          <w:szCs w:val="20"/>
          <w:color w:val="auto"/>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36">
        <w:r>
          <w:rPr>
            <w:rFonts w:ascii="Times New Roman" w:cs="Times New Roman" w:eastAsia="Times New Roman" w:hAnsi="Times New Roman"/>
            <w:sz w:val="16"/>
            <w:szCs w:val="16"/>
            <w:u w:val="single" w:color="auto"/>
            <w:color w:val="0000FF"/>
          </w:rPr>
          <w:t>0.900% Notes due 2025</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37">
        <w:r>
          <w:rPr>
            <w:rFonts w:ascii="Times New Roman" w:cs="Times New Roman" w:eastAsia="Times New Roman" w:hAnsi="Times New Roman"/>
            <w:sz w:val="16"/>
            <w:szCs w:val="16"/>
            <w:u w:val="single" w:color="auto"/>
            <w:color w:val="0000FF"/>
          </w:rPr>
          <w:t>3.200% Notes due 2025</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38">
        <w:r>
          <w:rPr>
            <w:rFonts w:ascii="Times New Roman" w:cs="Times New Roman" w:eastAsia="Times New Roman" w:hAnsi="Times New Roman"/>
            <w:sz w:val="16"/>
            <w:szCs w:val="16"/>
            <w:u w:val="single" w:color="auto"/>
            <w:color w:val="0000FF"/>
          </w:rPr>
          <w:t>2.300% Notes due 2026</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39">
        <w:r>
          <w:rPr>
            <w:rFonts w:ascii="Times New Roman" w:cs="Times New Roman" w:eastAsia="Times New Roman" w:hAnsi="Times New Roman"/>
            <w:sz w:val="16"/>
            <w:szCs w:val="16"/>
            <w:u w:val="single" w:color="auto"/>
            <w:color w:val="0000FF"/>
          </w:rPr>
          <w:t>7.200% Debentures due 2027</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40">
        <w:r>
          <w:rPr>
            <w:rFonts w:ascii="Times New Roman" w:cs="Times New Roman" w:eastAsia="Times New Roman" w:hAnsi="Times New Roman"/>
            <w:sz w:val="16"/>
            <w:szCs w:val="16"/>
            <w:u w:val="single" w:color="auto"/>
            <w:color w:val="0000FF"/>
          </w:rPr>
          <w:t>4.250% Notes due 2028</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41">
        <w:r>
          <w:rPr>
            <w:rFonts w:ascii="Times New Roman" w:cs="Times New Roman" w:eastAsia="Times New Roman" w:hAnsi="Times New Roman"/>
            <w:sz w:val="16"/>
            <w:szCs w:val="16"/>
            <w:u w:val="single" w:color="auto"/>
            <w:color w:val="0000FF"/>
          </w:rPr>
          <w:t>2.450% Notes due 2029</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36">
        <w:r>
          <w:rPr>
            <w:rFonts w:ascii="Times New Roman" w:cs="Times New Roman" w:eastAsia="Times New Roman" w:hAnsi="Times New Roman"/>
            <w:sz w:val="16"/>
            <w:szCs w:val="16"/>
            <w:u w:val="single" w:color="auto"/>
            <w:color w:val="0000FF"/>
          </w:rPr>
          <w:t>1.700% Notes due 2030</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42">
        <w:r>
          <w:rPr>
            <w:rFonts w:ascii="Times New Roman" w:cs="Times New Roman" w:eastAsia="Times New Roman" w:hAnsi="Times New Roman"/>
            <w:sz w:val="16"/>
            <w:szCs w:val="16"/>
            <w:u w:val="single" w:color="auto"/>
            <w:color w:val="0000FF"/>
          </w:rPr>
          <w:t>4.500% Notes due 2033</w:t>
        </w:r>
      </w:hyperlink>
    </w:p>
    <w:p>
      <w:pPr>
        <w:spacing w:after="0" w:line="32" w:lineRule="exact"/>
        <w:rPr>
          <w:rFonts w:ascii="Times New Roman" w:cs="Times New Roman" w:eastAsia="Times New Roman" w:hAnsi="Times New Roman"/>
          <w:sz w:val="16"/>
          <w:szCs w:val="16"/>
          <w:u w:val="single" w:color="auto"/>
          <w:color w:val="0000FF"/>
        </w:rPr>
      </w:pPr>
    </w:p>
    <w:p>
      <w:pPr>
        <w:ind w:left="185" w:hanging="185"/>
        <w:spacing w:after="0"/>
        <w:tabs>
          <w:tab w:leader="none" w:pos="185" w:val="left"/>
        </w:tabs>
        <w:numPr>
          <w:ilvl w:val="0"/>
          <w:numId w:val="48"/>
        </w:numPr>
        <w:rPr>
          <w:rFonts w:ascii="Times New Roman" w:cs="Times New Roman" w:eastAsia="Times New Roman" w:hAnsi="Times New Roman"/>
          <w:sz w:val="16"/>
          <w:szCs w:val="16"/>
          <w:u w:val="single" w:color="auto"/>
          <w:color w:val="0000FF"/>
        </w:rPr>
      </w:pPr>
      <w:hyperlink r:id="rId238">
        <w:r>
          <w:rPr>
            <w:rFonts w:ascii="Times New Roman" w:cs="Times New Roman" w:eastAsia="Times New Roman" w:hAnsi="Times New Roman"/>
            <w:sz w:val="16"/>
            <w:szCs w:val="16"/>
            <w:u w:val="single" w:color="auto"/>
            <w:color w:val="0000FF"/>
          </w:rPr>
          <w:t>3.375% Notes due 2046</w:t>
        </w:r>
      </w:hyperlink>
    </w:p>
    <w:p>
      <w:pPr>
        <w:spacing w:after="0" w:line="32" w:lineRule="exact"/>
        <w:rPr>
          <w:rFonts w:ascii="Times New Roman" w:cs="Times New Roman" w:eastAsia="Times New Roman" w:hAnsi="Times New Roman"/>
          <w:sz w:val="16"/>
          <w:szCs w:val="16"/>
          <w:u w:val="single" w:color="auto"/>
          <w:color w:val="0000FF"/>
        </w:rPr>
      </w:pPr>
    </w:p>
    <w:p>
      <w:pPr>
        <w:ind w:left="265" w:hanging="265"/>
        <w:spacing w:after="0"/>
        <w:tabs>
          <w:tab w:leader="none" w:pos="265" w:val="left"/>
        </w:tabs>
        <w:numPr>
          <w:ilvl w:val="0"/>
          <w:numId w:val="48"/>
        </w:numPr>
        <w:rPr>
          <w:rFonts w:ascii="Times New Roman" w:cs="Times New Roman" w:eastAsia="Times New Roman" w:hAnsi="Times New Roman"/>
          <w:sz w:val="16"/>
          <w:szCs w:val="16"/>
          <w:u w:val="single" w:color="auto"/>
          <w:color w:val="0000FF"/>
        </w:rPr>
      </w:pPr>
      <w:hyperlink r:id="rId241">
        <w:r>
          <w:rPr>
            <w:rFonts w:ascii="Times New Roman" w:cs="Times New Roman" w:eastAsia="Times New Roman" w:hAnsi="Times New Roman"/>
            <w:sz w:val="16"/>
            <w:szCs w:val="16"/>
            <w:u w:val="single" w:color="auto"/>
            <w:color w:val="0000FF"/>
          </w:rPr>
          <w:t>3.125% Notes due 2049</w:t>
        </w:r>
      </w:hyperlink>
    </w:p>
    <w:p>
      <w:pPr>
        <w:spacing w:after="0" w:line="32" w:lineRule="exact"/>
        <w:rPr>
          <w:rFonts w:ascii="Times New Roman" w:cs="Times New Roman" w:eastAsia="Times New Roman" w:hAnsi="Times New Roman"/>
          <w:sz w:val="16"/>
          <w:szCs w:val="16"/>
          <w:u w:val="single" w:color="auto"/>
          <w:color w:val="0000FF"/>
        </w:rPr>
      </w:pPr>
    </w:p>
    <w:p>
      <w:pPr>
        <w:ind w:left="245" w:hanging="245"/>
        <w:spacing w:after="0"/>
        <w:tabs>
          <w:tab w:leader="none" w:pos="245" w:val="left"/>
        </w:tabs>
        <w:numPr>
          <w:ilvl w:val="0"/>
          <w:numId w:val="48"/>
        </w:numPr>
        <w:rPr>
          <w:rFonts w:ascii="Times New Roman" w:cs="Times New Roman" w:eastAsia="Times New Roman" w:hAnsi="Times New Roman"/>
          <w:sz w:val="16"/>
          <w:szCs w:val="16"/>
          <w:u w:val="single" w:color="auto"/>
          <w:color w:val="0000FF"/>
        </w:rPr>
      </w:pPr>
      <w:hyperlink r:id="rId236">
        <w:r>
          <w:rPr>
            <w:rFonts w:ascii="Times New Roman" w:cs="Times New Roman" w:eastAsia="Times New Roman" w:hAnsi="Times New Roman"/>
            <w:sz w:val="16"/>
            <w:szCs w:val="16"/>
            <w:u w:val="single" w:color="auto"/>
            <w:color w:val="0000FF"/>
          </w:rPr>
          <w:t>2.650% Notes due 2050</w:t>
        </w:r>
      </w:hyperlink>
    </w:p>
    <w:p>
      <w:pPr>
        <w:spacing w:after="0" w:line="32" w:lineRule="exact"/>
        <w:rPr>
          <w:rFonts w:ascii="Times New Roman" w:cs="Times New Roman" w:eastAsia="Times New Roman" w:hAnsi="Times New Roman"/>
          <w:sz w:val="16"/>
          <w:szCs w:val="16"/>
          <w:u w:val="single" w:color="auto"/>
          <w:color w:val="0000FF"/>
        </w:rPr>
      </w:pPr>
    </w:p>
    <w:p>
      <w:pPr>
        <w:ind w:left="265" w:hanging="265"/>
        <w:spacing w:after="0"/>
        <w:tabs>
          <w:tab w:leader="none" w:pos="26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Obligations</w:t>
      </w:r>
    </w:p>
    <w:p>
      <w:pPr>
        <w:spacing w:after="0" w:line="46" w:lineRule="exact"/>
        <w:rPr>
          <w:rFonts w:ascii="Times New Roman" w:cs="Times New Roman" w:eastAsia="Times New Roman" w:hAnsi="Times New Roman"/>
          <w:sz w:val="16"/>
          <w:szCs w:val="16"/>
          <w:color w:val="auto"/>
        </w:rPr>
      </w:pPr>
    </w:p>
    <w:p>
      <w:pPr>
        <w:ind w:left="5" w:right="260"/>
        <w:spacing w:after="0" w:line="280" w:lineRule="auto"/>
        <w:rPr>
          <w:sz w:val="20"/>
          <w:szCs w:val="20"/>
          <w:color w:val="auto"/>
        </w:rPr>
      </w:pPr>
      <w:r>
        <w:rPr>
          <w:rFonts w:ascii="Times New Roman" w:cs="Times New Roman" w:eastAsia="Times New Roman" w:hAnsi="Times New Roman"/>
          <w:sz w:val="16"/>
          <w:szCs w:val="16"/>
          <w:color w:val="auto"/>
        </w:rPr>
        <w:t>The Company undertakes to furnish copies of the agreements governing these debt instruments to the Securities and Exchange Commission upon its request.</w:t>
      </w:r>
    </w:p>
    <w:p>
      <w:pPr>
        <w:spacing w:after="0" w:line="16" w:lineRule="exact"/>
        <w:rPr>
          <w:rFonts w:ascii="Times New Roman" w:cs="Times New Roman" w:eastAsia="Times New Roman" w:hAnsi="Times New Roman"/>
          <w:sz w:val="16"/>
          <w:szCs w:val="16"/>
          <w:color w:val="auto"/>
        </w:rPr>
      </w:pPr>
    </w:p>
    <w:p>
      <w:pPr>
        <w:ind w:left="5" w:right="520"/>
        <w:spacing w:after="0" w:line="280" w:lineRule="auto"/>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The Company’s Description of Common Stock and Class B Common Stock registered under Section 12 of the Exchange Act, is incorporated by</w:t>
        </w:r>
      </w:hyperlink>
      <w:r>
        <w:rPr>
          <w:rFonts w:ascii="Times New Roman" w:cs="Times New Roman" w:eastAsia="Times New Roman" w:hAnsi="Times New Roman"/>
          <w:sz w:val="16"/>
          <w:szCs w:val="16"/>
          <w:u w:val="single" w:color="auto"/>
          <w:color w:val="0000FF"/>
        </w:rPr>
        <w:t xml:space="preserve"> </w:t>
      </w:r>
      <w:hyperlink r:id="rId234">
        <w:r>
          <w:rPr>
            <w:rFonts w:ascii="Times New Roman" w:cs="Times New Roman" w:eastAsia="Times New Roman" w:hAnsi="Times New Roman"/>
            <w:sz w:val="16"/>
            <w:szCs w:val="16"/>
            <w:u w:val="single" w:color="auto"/>
            <w:color w:val="0000FF"/>
          </w:rPr>
          <w:t>reference from Exhibit 4.2 to the Company’s Annual Report on Form 10-K for the fiscal year ended December 31, 2020.</w:t>
        </w:r>
      </w:hyperlink>
    </w:p>
    <w:p>
      <w:pPr>
        <w:spacing w:after="0" w:line="14" w:lineRule="exact"/>
        <w:rPr>
          <w:sz w:val="20"/>
          <w:szCs w:val="20"/>
          <w:color w:val="auto"/>
        </w:rPr>
      </w:pPr>
    </w:p>
    <w:p>
      <w:pPr>
        <w:ind w:left="5" w:right="54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Kit Kat®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Rolo® </w:t>
      </w:r>
      <w:r>
        <w:rPr>
          <w:rFonts w:ascii="Times New Roman" w:cs="Times New Roman" w:eastAsia="Times New Roman" w:hAnsi="Times New Roman"/>
          <w:sz w:val="16"/>
          <w:szCs w:val="16"/>
          <w:color w:val="auto"/>
        </w:rPr>
        <w:t>License Agreement (the “License Agreement”) between the Company and Rowntree Mackintosh Confectionery Limited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by reference from Exhibit 10(a) to the Company’s Annual Report on Form 10-K for the fiscal year ended December 31, 1980.</w:t>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442595</wp:posOffset>
            </wp:positionV>
            <wp:extent cx="19685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415"/>
            <w:col w:w="9885"/>
          </w:cols>
          <w:pgMar w:left="320" w:top="1251" w:right="39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type w:val="continuous"/>
        </w:sectPr>
      </w:pPr>
    </w:p>
    <w:bookmarkStart w:id="104" w:name="page105"/>
    <w:bookmarkEnd w:id="104"/>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10.1(b)</w:t>
      </w: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10.1(c)</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Amendment to the License Agreement is incorporated by reference from Exhibit 19 to the Company’s Quarterly Report on Form 10-Q for the quarter ended July 3, 1988.</w:t>
      </w:r>
      <w:r>
        <w:rPr>
          <w:rFonts w:ascii="Times New Roman" w:cs="Times New Roman" w:eastAsia="Times New Roman" w:hAnsi="Times New Roman"/>
          <w:sz w:val="21"/>
          <w:szCs w:val="21"/>
          <w:color w:val="auto"/>
          <w:vertAlign w:val="superscript"/>
        </w:rPr>
        <w:t>#</w:t>
      </w:r>
    </w:p>
    <w:p>
      <w:pPr>
        <w:spacing w:after="0" w:line="1"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Assignment of the License Agreement by Rowntree Mackintosh Confectionery Limited to Société des Produits Nestlé SA as of January 1, 1990 is incorporated by reference from Exhibit 19 to the Company’s Annual Report on Form 10-K for the fiscal year ended December 31, 1990.</w:t>
      </w:r>
      <w:r>
        <w:rPr>
          <w:rFonts w:ascii="Times New Roman" w:cs="Times New Roman" w:eastAsia="Times New Roman" w:hAnsi="Times New Roman"/>
          <w:sz w:val="21"/>
          <w:szCs w:val="21"/>
          <w:color w:val="auto"/>
          <w:vertAlign w:val="superscript"/>
        </w:rPr>
        <w:t>#</w:t>
      </w:r>
    </w:p>
    <w:p>
      <w:pPr>
        <w:spacing w:after="0" w:line="1" w:lineRule="exact"/>
        <w:rPr>
          <w:sz w:val="20"/>
          <w:szCs w:val="20"/>
          <w:color w:val="auto"/>
        </w:rPr>
      </w:pPr>
    </w:p>
    <w:p>
      <w:pPr>
        <w:sectPr>
          <w:pgSz w:w="11900" w:h="16838" w:orient="portrait"/>
          <w:cols w:equalWidth="0" w:num="2">
            <w:col w:w="800" w:space="480"/>
            <w:col w:w="9760"/>
          </w:cols>
          <w:pgMar w:left="340" w:top="1440" w:right="519" w:bottom="1440" w:gutter="0" w:footer="0" w:header="0"/>
        </w:sectPr>
      </w:pPr>
    </w:p>
    <w:tbl>
      <w:tblPr>
        <w:tblLayout w:type="fixed"/>
        <w:tblInd w:w="420" w:type="dxa"/>
        <w:tblCellMar>
          <w:top w:w="0" w:type="dxa"/>
          <w:left w:w="0" w:type="dxa"/>
          <w:bottom w:w="0" w:type="dxa"/>
          <w:right w:w="0" w:type="dxa"/>
        </w:tblCellMar>
      </w:tblPr>
      <w:tr>
        <w:trPr>
          <w:trHeight w:val="198"/>
        </w:trPr>
        <w:tc>
          <w:tcPr>
            <w:tcW w:w="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10.2</w:t>
            </w:r>
          </w:p>
        </w:tc>
        <w:tc>
          <w:tcPr>
            <w:tcW w:w="968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Peter Paul/York </w:t>
            </w:r>
            <w:r>
              <w:rPr>
                <w:rFonts w:ascii="Times New Roman" w:cs="Times New Roman" w:eastAsia="Times New Roman" w:hAnsi="Times New Roman"/>
                <w:sz w:val="16"/>
                <w:szCs w:val="16"/>
                <w:color w:val="auto"/>
              </w:rPr>
              <w:t>Domestic Trademark &amp; Technology License Agreement between the Company and Cadbury Schweppes Inc. (now Kraft Foods</w:t>
            </w:r>
          </w:p>
        </w:tc>
      </w:tr>
      <w:tr>
        <w:trPr>
          <w:trHeight w:val="189"/>
        </w:trPr>
        <w:tc>
          <w:tcPr>
            <w:tcW w:w="580" w:type="dxa"/>
            <w:vAlign w:val="bottom"/>
          </w:tcPr>
          <w:p>
            <w:pPr>
              <w:spacing w:after="0"/>
              <w:rPr>
                <w:sz w:val="16"/>
                <w:szCs w:val="16"/>
                <w:color w:val="auto"/>
              </w:rPr>
            </w:pPr>
          </w:p>
        </w:tc>
        <w:tc>
          <w:tcPr>
            <w:tcW w:w="9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Ireland Intellectual Property Limited) dated August 25, 1988, is incorporated by reference from Exhibit 2(a) to the Company’s Current Report on</w:t>
            </w:r>
          </w:p>
        </w:tc>
      </w:tr>
      <w:tr>
        <w:trPr>
          <w:trHeight w:val="248"/>
        </w:trPr>
        <w:tc>
          <w:tcPr>
            <w:tcW w:w="580" w:type="dxa"/>
            <w:vAlign w:val="bottom"/>
          </w:tcPr>
          <w:p>
            <w:pPr>
              <w:spacing w:after="0"/>
              <w:rPr>
                <w:sz w:val="21"/>
                <w:szCs w:val="21"/>
                <w:color w:val="auto"/>
              </w:rPr>
            </w:pPr>
          </w:p>
        </w:tc>
        <w:tc>
          <w:tcPr>
            <w:tcW w:w="9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8-K dated September 8, 1988.</w:t>
            </w:r>
            <w:r>
              <w:rPr>
                <w:rFonts w:ascii="Times New Roman" w:cs="Times New Roman" w:eastAsia="Times New Roman" w:hAnsi="Times New Roman"/>
                <w:sz w:val="21"/>
                <w:szCs w:val="21"/>
                <w:color w:val="auto"/>
                <w:vertAlign w:val="superscript"/>
              </w:rPr>
              <w:t>#</w:t>
            </w:r>
          </w:p>
        </w:tc>
      </w:tr>
    </w:tbl>
    <w:p>
      <w:pPr>
        <w:spacing w:after="0" w:line="1" w:lineRule="exact"/>
        <w:rPr>
          <w:sz w:val="20"/>
          <w:szCs w:val="20"/>
          <w:color w:val="auto"/>
        </w:rPr>
      </w:pPr>
    </w:p>
    <w:p>
      <w:pPr>
        <w:sectPr>
          <w:pgSz w:w="11900" w:h="16838" w:orient="portrait"/>
          <w:cols w:equalWidth="0" w:num="1">
            <w:col w:w="11040"/>
          </w:cols>
          <w:pgMar w:left="340" w:top="1440" w:right="5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6"/>
          <w:szCs w:val="16"/>
          <w:color w:val="auto"/>
        </w:rPr>
        <w:t>10.3</w:t>
      </w:r>
    </w:p>
    <w:p>
      <w:pPr>
        <w:spacing w:after="0" w:line="244" w:lineRule="exact"/>
        <w:rPr>
          <w:sz w:val="20"/>
          <w:szCs w:val="20"/>
          <w:color w:val="auto"/>
        </w:rPr>
      </w:pPr>
    </w:p>
    <w:p>
      <w:pPr>
        <w:ind w:left="340"/>
        <w:spacing w:after="0"/>
        <w:rPr>
          <w:rFonts w:ascii="Times New Roman" w:cs="Times New Roman" w:eastAsia="Times New Roman" w:hAnsi="Times New Roman"/>
          <w:sz w:val="16"/>
          <w:szCs w:val="16"/>
          <w:u w:val="single" w:color="auto"/>
          <w:color w:val="0000FF"/>
        </w:rPr>
      </w:pPr>
      <w:hyperlink r:id="rId245">
        <w:r>
          <w:rPr>
            <w:rFonts w:ascii="Times New Roman" w:cs="Times New Roman" w:eastAsia="Times New Roman" w:hAnsi="Times New Roman"/>
            <w:sz w:val="16"/>
            <w:szCs w:val="16"/>
            <w:u w:val="single" w:color="auto"/>
            <w:color w:val="0000FF"/>
          </w:rPr>
          <w:t>10.4(a)</w:t>
        </w:r>
      </w:hyperlink>
    </w:p>
    <w:p>
      <w:pPr>
        <w:spacing w:after="0" w:line="262" w:lineRule="exact"/>
        <w:rPr>
          <w:sz w:val="20"/>
          <w:szCs w:val="20"/>
          <w:color w:val="auto"/>
        </w:rPr>
      </w:pPr>
    </w:p>
    <w:p>
      <w:pPr>
        <w:ind w:left="340"/>
        <w:spacing w:after="0"/>
        <w:rPr>
          <w:rFonts w:ascii="Times New Roman" w:cs="Times New Roman" w:eastAsia="Times New Roman" w:hAnsi="Times New Roman"/>
          <w:sz w:val="15"/>
          <w:szCs w:val="15"/>
          <w:u w:val="single" w:color="auto"/>
          <w:color w:val="0000FF"/>
        </w:rPr>
      </w:pPr>
      <w:hyperlink r:id="rId246">
        <w:r>
          <w:rPr>
            <w:rFonts w:ascii="Times New Roman" w:cs="Times New Roman" w:eastAsia="Times New Roman" w:hAnsi="Times New Roman"/>
            <w:sz w:val="15"/>
            <w:szCs w:val="15"/>
            <w:u w:val="single" w:color="auto"/>
            <w:color w:val="0000FF"/>
          </w:rPr>
          <w:t>10.4(b)</w:t>
        </w:r>
      </w:hyperlink>
    </w:p>
    <w:p>
      <w:pPr>
        <w:spacing w:after="0" w:line="20" w:lineRule="exact"/>
        <w:rPr>
          <w:sz w:val="20"/>
          <w:szCs w:val="20"/>
          <w:color w:val="auto"/>
        </w:rPr>
      </w:pPr>
      <w:r>
        <w:rPr>
          <w:sz w:val="20"/>
          <w:szCs w:val="20"/>
          <w:color w:val="auto"/>
        </w:rPr>
        <w:br w:type="column"/>
      </w:r>
    </w:p>
    <w:p>
      <w:pPr>
        <w:ind w:right="26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Cadbury </w:t>
      </w:r>
      <w:r>
        <w:rPr>
          <w:rFonts w:ascii="Times New Roman" w:cs="Times New Roman" w:eastAsia="Times New Roman" w:hAnsi="Times New Roman"/>
          <w:sz w:val="16"/>
          <w:szCs w:val="16"/>
          <w:color w:val="auto"/>
        </w:rPr>
        <w:t>Trademark &amp; Technology License Agreement between the Company and Cadbury Limited (now Cadbury UK Limited) dated August 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1988, is incorporated by reference from Exhibit 2(a) to the Company’s Current Report on Form 8-K dated September 8, 1988.</w:t>
      </w:r>
      <w:r>
        <w:rPr>
          <w:rFonts w:ascii="Times New Roman" w:cs="Times New Roman" w:eastAsia="Times New Roman" w:hAnsi="Times New Roman"/>
          <w:sz w:val="21"/>
          <w:szCs w:val="21"/>
          <w:color w:val="auto"/>
          <w:vertAlign w:val="superscript"/>
        </w:rPr>
        <w:t>#</w:t>
      </w:r>
    </w:p>
    <w:p>
      <w:pPr>
        <w:spacing w:after="0" w:line="2" w:lineRule="exact"/>
        <w:rPr>
          <w:sz w:val="20"/>
          <w:szCs w:val="20"/>
          <w:color w:val="auto"/>
        </w:rPr>
      </w:pPr>
    </w:p>
    <w:p>
      <w:pPr>
        <w:ind w:right="220"/>
        <w:spacing w:after="0" w:line="275" w:lineRule="auto"/>
        <w:rPr>
          <w:rFonts w:ascii="Times New Roman" w:cs="Times New Roman" w:eastAsia="Times New Roman" w:hAnsi="Times New Roman"/>
          <w:sz w:val="16"/>
          <w:szCs w:val="16"/>
          <w:u w:val="single" w:color="auto"/>
          <w:color w:val="0000FF"/>
        </w:rPr>
      </w:pPr>
      <w:hyperlink r:id="rId245">
        <w:r>
          <w:rPr>
            <w:rFonts w:ascii="Times New Roman" w:cs="Times New Roman" w:eastAsia="Times New Roman" w:hAnsi="Times New Roman"/>
            <w:sz w:val="16"/>
            <w:szCs w:val="16"/>
            <w:u w:val="single" w:color="auto"/>
            <w:color w:val="0000FF"/>
          </w:rPr>
          <w:t>Trademark and Technology License Agreement between Huhtamäki (now Iconic IP Interests, LLC) and the Company dated December 30, 1996, is</w:t>
        </w:r>
      </w:hyperlink>
      <w:r>
        <w:rPr>
          <w:rFonts w:ascii="Times New Roman" w:cs="Times New Roman" w:eastAsia="Times New Roman" w:hAnsi="Times New Roman"/>
          <w:sz w:val="16"/>
          <w:szCs w:val="16"/>
          <w:u w:val="single" w:color="auto"/>
          <w:color w:val="0000FF"/>
        </w:rPr>
        <w:t xml:space="preserve"> </w:t>
      </w:r>
      <w:hyperlink r:id="rId245">
        <w:r>
          <w:rPr>
            <w:rFonts w:ascii="Times New Roman" w:cs="Times New Roman" w:eastAsia="Times New Roman" w:hAnsi="Times New Roman"/>
            <w:sz w:val="16"/>
            <w:szCs w:val="16"/>
            <w:u w:val="single" w:color="auto"/>
            <w:color w:val="0000FF"/>
          </w:rPr>
          <w:t>incorporated by reference from Exhibit 10 to the Company’s Current Report on Form 8-K filed February 26, 1997.</w:t>
        </w:r>
      </w:hyperlink>
    </w:p>
    <w:p>
      <w:pPr>
        <w:spacing w:after="0" w:line="6" w:lineRule="exact"/>
        <w:rPr>
          <w:sz w:val="20"/>
          <w:szCs w:val="20"/>
          <w:color w:val="auto"/>
        </w:rPr>
      </w:pPr>
    </w:p>
    <w:p>
      <w:pPr>
        <w:ind w:right="420"/>
        <w:spacing w:after="0" w:line="281" w:lineRule="auto"/>
        <w:rPr>
          <w:rFonts w:ascii="Times New Roman" w:cs="Times New Roman" w:eastAsia="Times New Roman" w:hAnsi="Times New Roman"/>
          <w:sz w:val="16"/>
          <w:szCs w:val="16"/>
          <w:u w:val="single" w:color="auto"/>
          <w:color w:val="0000FF"/>
        </w:rPr>
      </w:pPr>
      <w:hyperlink r:id="rId246">
        <w:r>
          <w:rPr>
            <w:rFonts w:ascii="Times New Roman" w:cs="Times New Roman" w:eastAsia="Times New Roman" w:hAnsi="Times New Roman"/>
            <w:sz w:val="16"/>
            <w:szCs w:val="16"/>
            <w:u w:val="single" w:color="auto"/>
            <w:color w:val="0000FF"/>
          </w:rPr>
          <w:t>Amended and Restated Trademark and Technology License Agreement between Huhtamäki (now Iconic IP Interests, LLC) and the Company is</w:t>
        </w:r>
      </w:hyperlink>
      <w:r>
        <w:rPr>
          <w:rFonts w:ascii="Times New Roman" w:cs="Times New Roman" w:eastAsia="Times New Roman" w:hAnsi="Times New Roman"/>
          <w:sz w:val="16"/>
          <w:szCs w:val="16"/>
          <w:u w:val="single" w:color="auto"/>
          <w:color w:val="0000FF"/>
        </w:rPr>
        <w:t xml:space="preserve"> </w:t>
      </w:r>
      <w:hyperlink r:id="rId246">
        <w:r>
          <w:rPr>
            <w:rFonts w:ascii="Times New Roman" w:cs="Times New Roman" w:eastAsia="Times New Roman" w:hAnsi="Times New Roman"/>
            <w:sz w:val="16"/>
            <w:szCs w:val="16"/>
            <w:u w:val="single" w:color="auto"/>
            <w:color w:val="0000FF"/>
          </w:rPr>
          <w:t>incorporated by reference from Exhibit 10.2 to the Company’s Annual Report on Form 10-K for the fiscal year ended December 31, 1999.</w:t>
        </w:r>
      </w:hyperlink>
    </w:p>
    <w:p>
      <w:pPr>
        <w:spacing w:after="0" w:line="1" w:lineRule="exact"/>
        <w:rPr>
          <w:sz w:val="20"/>
          <w:szCs w:val="20"/>
          <w:color w:val="auto"/>
        </w:rPr>
      </w:pPr>
    </w:p>
    <w:p>
      <w:pPr>
        <w:sectPr>
          <w:pgSz w:w="11900" w:h="16838" w:orient="portrait"/>
          <w:cols w:equalWidth="0" w:num="2">
            <w:col w:w="800" w:space="480"/>
            <w:col w:w="9760"/>
          </w:cols>
          <w:pgMar w:left="340" w:top="1440" w:right="519" w:bottom="1440" w:gutter="0" w:footer="0" w:header="0"/>
          <w:type w:val="continuous"/>
        </w:sectPr>
      </w:pPr>
    </w:p>
    <w:tbl>
      <w:tblPr>
        <w:tblLayout w:type="fixed"/>
        <w:tblInd w:w="420" w:type="dxa"/>
        <w:tblCellMar>
          <w:top w:w="0" w:type="dxa"/>
          <w:left w:w="0" w:type="dxa"/>
          <w:bottom w:w="0" w:type="dxa"/>
          <w:right w:w="0" w:type="dxa"/>
        </w:tblCellMar>
      </w:tblPr>
      <w:tr>
        <w:trPr>
          <w:trHeight w:val="184"/>
        </w:trPr>
        <w:tc>
          <w:tcPr>
            <w:tcW w:w="300" w:type="dxa"/>
            <w:vAlign w:val="bottom"/>
            <w:tcBorders>
              <w:bottom w:val="single" w:sz="8" w:color="0000FF"/>
            </w:tcBorders>
          </w:tcPr>
          <w:p>
            <w:pPr>
              <w:jc w:val="right"/>
              <w:spacing w:after="0" w:line="157" w:lineRule="exact"/>
              <w:rPr>
                <w:rFonts w:ascii="Times New Roman" w:cs="Times New Roman" w:eastAsia="Times New Roman" w:hAnsi="Times New Roman"/>
                <w:sz w:val="16"/>
                <w:szCs w:val="16"/>
                <w:color w:val="0000FF"/>
                <w:w w:val="99"/>
              </w:rPr>
            </w:pPr>
            <w:hyperlink r:id="rId24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560" w:type="dxa"/>
            <w:vAlign w:val="bottom"/>
          </w:tcPr>
          <w:p>
            <w:pPr>
              <w:spacing w:after="0"/>
              <w:rPr>
                <w:sz w:val="16"/>
                <w:szCs w:val="16"/>
                <w:color w:val="auto"/>
              </w:rPr>
            </w:pPr>
          </w:p>
        </w:tc>
        <w:tc>
          <w:tcPr>
            <w:tcW w:w="9700" w:type="dxa"/>
            <w:vAlign w:val="bottom"/>
            <w:tcBorders>
              <w:bottom w:val="single" w:sz="8" w:color="0000FF"/>
            </w:tcBorders>
            <w:gridSpan w:val="3"/>
          </w:tcPr>
          <w:p>
            <w:pPr>
              <w:spacing w:after="0" w:line="157"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Five Year Credit Agreement dated as of April 26, 2023, among the Company and the banks, financial institutions and other institutional lenders listed</w:t>
              </w:r>
            </w:hyperlink>
          </w:p>
        </w:tc>
      </w:tr>
      <w:tr>
        <w:trPr>
          <w:trHeight w:val="189"/>
        </w:trPr>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700" w:type="dxa"/>
            <w:vAlign w:val="bottom"/>
            <w:gridSpan w:val="3"/>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on the respective signature pages thereof (“Lenders”), Bank of America, N.A., as administrative agent for the Lenders, JPMorgan Chase Bank, N.A.</w:t>
              </w:r>
            </w:hyperlink>
          </w:p>
        </w:tc>
      </w:tr>
      <w:tr>
        <w:trPr>
          <w:trHeight w:val="169"/>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0" w:type="dxa"/>
            <w:vAlign w:val="bottom"/>
            <w:tcBorders>
              <w:top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and Citibank, N.A., as syndication agents, Royal Bank of Canada, as documentation agent, and BofA Securities, Inc., JPMorgan Chase Bank, N.A.,</w:t>
              </w:r>
            </w:hyperlink>
          </w:p>
        </w:tc>
        <w:tc>
          <w:tcPr>
            <w:tcW w:w="100" w:type="dxa"/>
            <w:vAlign w:val="bottom"/>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left="1280" w:right="500"/>
        <w:spacing w:after="0" w:line="272" w:lineRule="auto"/>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u w:val="single" w:color="auto"/>
            <w:color w:val="0000FF"/>
          </w:rPr>
          <w:t>Citibank, N.A., RBC Capital Markets, and U.S. Bank National Association, as joint lead arrangers and joint book managers, is incorporated by</w:t>
        </w:r>
      </w:hyperlink>
      <w:r>
        <w:rPr>
          <w:rFonts w:ascii="Times New Roman" w:cs="Times New Roman" w:eastAsia="Times New Roman" w:hAnsi="Times New Roman"/>
          <w:sz w:val="16"/>
          <w:szCs w:val="16"/>
          <w:u w:val="single" w:color="auto"/>
          <w:color w:val="0000FF"/>
        </w:rPr>
        <w:t xml:space="preserve"> </w:t>
      </w:r>
      <w:hyperlink r:id="rId247">
        <w:r>
          <w:rPr>
            <w:rFonts w:ascii="Times New Roman" w:cs="Times New Roman" w:eastAsia="Times New Roman" w:hAnsi="Times New Roman"/>
            <w:sz w:val="16"/>
            <w:szCs w:val="16"/>
            <w:u w:val="single" w:color="auto"/>
            <w:color w:val="0000FF"/>
          </w:rPr>
          <w:t>reference from Exhibit 10.1 to the Company's Current Report on Form 8-K filed April 26, 2023</w:t>
        </w:r>
        <w:r>
          <w:rPr>
            <w:rFonts w:ascii="Times New Roman" w:cs="Times New Roman" w:eastAsia="Times New Roman" w:hAnsi="Times New Roman"/>
            <w:sz w:val="16"/>
            <w:szCs w:val="16"/>
            <w:color w:val="000000"/>
          </w:rPr>
          <w:t>.</w:t>
        </w:r>
      </w:hyperlink>
    </w:p>
    <w:p>
      <w:pPr>
        <w:sectPr>
          <w:pgSz w:w="11900" w:h="16838" w:orient="portrait"/>
          <w:cols w:equalWidth="0" w:num="1">
            <w:col w:w="11040"/>
          </w:cols>
          <w:pgMar w:left="340" w:top="1440" w:right="519" w:bottom="1440" w:gutter="0" w:footer="0" w:header="0"/>
          <w:type w:val="continuous"/>
        </w:sectPr>
      </w:pPr>
    </w:p>
    <w:p>
      <w:pPr>
        <w:spacing w:after="0" w:line="1" w:lineRule="exact"/>
        <w:rPr>
          <w:sz w:val="20"/>
          <w:szCs w:val="20"/>
          <w:color w:val="auto"/>
        </w:rPr>
      </w:pPr>
    </w:p>
    <w:p>
      <w:pPr>
        <w:ind w:left="420"/>
        <w:spacing w:after="0"/>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10.6</w:t>
        </w:r>
      </w:hyperlink>
    </w:p>
    <w:p>
      <w:pPr>
        <w:spacing w:after="0" w:line="262" w:lineRule="exact"/>
        <w:rPr>
          <w:sz w:val="20"/>
          <w:szCs w:val="20"/>
          <w:color w:val="auto"/>
        </w:rPr>
      </w:pPr>
    </w:p>
    <w:p>
      <w:pPr>
        <w:ind w:left="420"/>
        <w:spacing w:after="0"/>
        <w:rPr>
          <w:rFonts w:ascii="Times New Roman" w:cs="Times New Roman" w:eastAsia="Times New Roman" w:hAnsi="Times New Roman"/>
          <w:sz w:val="16"/>
          <w:szCs w:val="16"/>
          <w:u w:val="single" w:color="auto"/>
          <w:color w:val="0000FF"/>
        </w:rPr>
      </w:pPr>
      <w:hyperlink r:id="rId249">
        <w:r>
          <w:rPr>
            <w:rFonts w:ascii="Times New Roman" w:cs="Times New Roman" w:eastAsia="Times New Roman" w:hAnsi="Times New Roman"/>
            <w:sz w:val="16"/>
            <w:szCs w:val="16"/>
            <w:u w:val="single" w:color="auto"/>
            <w:color w:val="0000FF"/>
          </w:rPr>
          <w:t>10.7</w:t>
        </w:r>
      </w:hyperlink>
    </w:p>
    <w:p>
      <w:pPr>
        <w:spacing w:after="0" w:line="20" w:lineRule="exact"/>
        <w:rPr>
          <w:sz w:val="20"/>
          <w:szCs w:val="20"/>
          <w:color w:val="auto"/>
        </w:rPr>
      </w:pPr>
      <w:r>
        <w:rPr>
          <w:sz w:val="20"/>
          <w:szCs w:val="20"/>
          <w:color w:val="auto"/>
        </w:rPr>
        <w:br w:type="column"/>
      </w:r>
    </w:p>
    <w:p>
      <w:pPr>
        <w:ind w:right="40"/>
        <w:spacing w:after="0" w:line="290" w:lineRule="auto"/>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Stock Purchase Agreement, dated February 13, 2023, between Milton Hershey School Trust, by its trustee, Hershey Trust Company, and The Hershey</w:t>
        </w:r>
      </w:hyperlink>
      <w:r>
        <w:rPr>
          <w:rFonts w:ascii="Times New Roman" w:cs="Times New Roman" w:eastAsia="Times New Roman" w:hAnsi="Times New Roman"/>
          <w:sz w:val="16"/>
          <w:szCs w:val="16"/>
          <w:u w:val="single" w:color="auto"/>
          <w:color w:val="0000FF"/>
        </w:rPr>
        <w:t xml:space="preserve"> </w:t>
      </w:r>
      <w:hyperlink r:id="rId248">
        <w:r>
          <w:rPr>
            <w:rFonts w:ascii="Times New Roman" w:cs="Times New Roman" w:eastAsia="Times New Roman" w:hAnsi="Times New Roman"/>
            <w:sz w:val="16"/>
            <w:szCs w:val="16"/>
            <w:u w:val="single" w:color="auto"/>
            <w:color w:val="0000FF"/>
          </w:rPr>
          <w:t>Company, is incorporated by reference from Exhibit 10.1 to the Company’s Current Report on Form 8-K filed February 15, 2023.</w:t>
        </w:r>
      </w:hyperlink>
    </w:p>
    <w:p>
      <w:pPr>
        <w:spacing w:after="0" w:line="1" w:lineRule="exact"/>
        <w:rPr>
          <w:sz w:val="20"/>
          <w:szCs w:val="20"/>
          <w:color w:val="auto"/>
        </w:rPr>
      </w:pPr>
    </w:p>
    <w:p>
      <w:pPr>
        <w:ind w:right="40"/>
        <w:spacing w:after="0" w:line="281" w:lineRule="auto"/>
        <w:rPr>
          <w:rFonts w:ascii="Times New Roman" w:cs="Times New Roman" w:eastAsia="Times New Roman" w:hAnsi="Times New Roman"/>
          <w:sz w:val="16"/>
          <w:szCs w:val="16"/>
          <w:u w:val="single" w:color="auto"/>
          <w:color w:val="0000FF"/>
        </w:rPr>
      </w:pPr>
      <w:hyperlink r:id="rId249">
        <w:r>
          <w:rPr>
            <w:rFonts w:ascii="Times New Roman" w:cs="Times New Roman" w:eastAsia="Times New Roman" w:hAnsi="Times New Roman"/>
            <w:sz w:val="16"/>
            <w:szCs w:val="16"/>
            <w:u w:val="single" w:color="auto"/>
            <w:color w:val="0000FF"/>
          </w:rPr>
          <w:t>Stock Purchase Agreement, dated February 14, 2022, between Milton Hershey School Trust, by its trustee, Hershey Trust Company, and The Hershey</w:t>
        </w:r>
      </w:hyperlink>
      <w:r>
        <w:rPr>
          <w:rFonts w:ascii="Times New Roman" w:cs="Times New Roman" w:eastAsia="Times New Roman" w:hAnsi="Times New Roman"/>
          <w:sz w:val="16"/>
          <w:szCs w:val="16"/>
          <w:u w:val="single" w:color="auto"/>
          <w:color w:val="0000FF"/>
        </w:rPr>
        <w:t xml:space="preserve"> </w:t>
      </w:r>
      <w:hyperlink r:id="rId249">
        <w:r>
          <w:rPr>
            <w:rFonts w:ascii="Times New Roman" w:cs="Times New Roman" w:eastAsia="Times New Roman" w:hAnsi="Times New Roman"/>
            <w:sz w:val="16"/>
            <w:szCs w:val="16"/>
            <w:u w:val="single" w:color="auto"/>
            <w:color w:val="0000FF"/>
          </w:rPr>
          <w:t>Company, is incorporated by reference from Exhibit 10.1 to the Company’s Current Report on Form 8-K filed February 16, 2022.</w:t>
        </w:r>
      </w:hyperlink>
    </w:p>
    <w:p>
      <w:pPr>
        <w:spacing w:after="0" w:line="1" w:lineRule="exact"/>
        <w:rPr>
          <w:sz w:val="20"/>
          <w:szCs w:val="20"/>
          <w:color w:val="auto"/>
        </w:rPr>
      </w:pPr>
    </w:p>
    <w:p>
      <w:pPr>
        <w:sectPr>
          <w:pgSz w:w="11900" w:h="16838" w:orient="portrait"/>
          <w:cols w:equalWidth="0" w:num="2">
            <w:col w:w="720" w:space="560"/>
            <w:col w:w="9760"/>
          </w:cols>
          <w:pgMar w:left="340" w:top="1440" w:right="519" w:bottom="1440" w:gutter="0" w:footer="0" w:header="0"/>
          <w:type w:val="continuous"/>
        </w:sectPr>
      </w:pPr>
    </w:p>
    <w:p>
      <w:pPr>
        <w:ind w:left="420"/>
        <w:spacing w:after="0"/>
        <w:rPr>
          <w:rFonts w:ascii="Times New Roman" w:cs="Times New Roman" w:eastAsia="Times New Roman" w:hAnsi="Times New Roman"/>
          <w:sz w:val="16"/>
          <w:szCs w:val="16"/>
          <w:u w:val="single" w:color="auto"/>
          <w:color w:val="0000FF"/>
        </w:rPr>
      </w:pPr>
      <w:hyperlink r:id="rId250">
        <w:r>
          <w:rPr>
            <w:rFonts w:ascii="Times New Roman" w:cs="Times New Roman" w:eastAsia="Times New Roman" w:hAnsi="Times New Roman"/>
            <w:sz w:val="16"/>
            <w:szCs w:val="16"/>
            <w:u w:val="single" w:color="auto"/>
            <w:color w:val="0000FF"/>
          </w:rPr>
          <w:t>10.8</w:t>
        </w:r>
      </w:hyperlink>
    </w:p>
    <w:p>
      <w:pPr>
        <w:spacing w:after="0" w:line="262" w:lineRule="exact"/>
        <w:rPr>
          <w:sz w:val="20"/>
          <w:szCs w:val="20"/>
          <w:color w:val="auto"/>
        </w:rPr>
      </w:pPr>
    </w:p>
    <w:p>
      <w:pPr>
        <w:ind w:left="420"/>
        <w:spacing w:after="0"/>
        <w:rPr>
          <w:rFonts w:ascii="Times New Roman" w:cs="Times New Roman" w:eastAsia="Times New Roman" w:hAnsi="Times New Roman"/>
          <w:sz w:val="16"/>
          <w:szCs w:val="16"/>
          <w:u w:val="single" w:color="auto"/>
          <w:color w:val="0000FF"/>
        </w:rPr>
      </w:pPr>
      <w:hyperlink r:id="rId251">
        <w:r>
          <w:rPr>
            <w:rFonts w:ascii="Times New Roman" w:cs="Times New Roman" w:eastAsia="Times New Roman" w:hAnsi="Times New Roman"/>
            <w:sz w:val="16"/>
            <w:szCs w:val="16"/>
            <w:u w:val="single" w:color="auto"/>
            <w:color w:val="0000FF"/>
          </w:rPr>
          <w:t>10.9</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2">
        <w:r>
          <w:rPr>
            <w:rFonts w:ascii="Times New Roman" w:cs="Times New Roman" w:eastAsia="Times New Roman" w:hAnsi="Times New Roman"/>
            <w:sz w:val="16"/>
            <w:szCs w:val="16"/>
            <w:u w:val="single" w:color="auto"/>
            <w:color w:val="0000FF"/>
          </w:rPr>
          <w:t>10.10(a)</w:t>
        </w:r>
      </w:hyperlink>
    </w:p>
    <w:p>
      <w:pPr>
        <w:spacing w:after="0" w:line="262" w:lineRule="exact"/>
        <w:rPr>
          <w:sz w:val="20"/>
          <w:szCs w:val="20"/>
          <w:color w:val="auto"/>
        </w:rPr>
      </w:pPr>
    </w:p>
    <w:p>
      <w:pPr>
        <w:ind w:left="300"/>
        <w:spacing w:after="0"/>
        <w:rPr>
          <w:rFonts w:ascii="Times New Roman" w:cs="Times New Roman" w:eastAsia="Times New Roman" w:hAnsi="Times New Roman"/>
          <w:sz w:val="15"/>
          <w:szCs w:val="15"/>
          <w:u w:val="single" w:color="auto"/>
          <w:color w:val="0000FF"/>
        </w:rPr>
      </w:pPr>
      <w:hyperlink r:id="rId253">
        <w:r>
          <w:rPr>
            <w:rFonts w:ascii="Times New Roman" w:cs="Times New Roman" w:eastAsia="Times New Roman" w:hAnsi="Times New Roman"/>
            <w:sz w:val="15"/>
            <w:szCs w:val="15"/>
            <w:u w:val="single" w:color="auto"/>
            <w:color w:val="0000FF"/>
          </w:rPr>
          <w:t>10.10(b)</w:t>
        </w:r>
      </w:hyperlink>
    </w:p>
    <w:p>
      <w:pPr>
        <w:spacing w:after="0" w:line="246"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10.10(c)</w:t>
        </w:r>
      </w:hyperlink>
    </w:p>
    <w:p>
      <w:pPr>
        <w:spacing w:after="0" w:line="235"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5">
        <w:r>
          <w:rPr>
            <w:rFonts w:ascii="Times New Roman" w:cs="Times New Roman" w:eastAsia="Times New Roman" w:hAnsi="Times New Roman"/>
            <w:sz w:val="16"/>
            <w:szCs w:val="16"/>
            <w:u w:val="single" w:color="auto"/>
            <w:color w:val="0000FF"/>
          </w:rPr>
          <w:t>10.11(a)</w:t>
        </w:r>
      </w:hyperlink>
    </w:p>
    <w:p>
      <w:pPr>
        <w:spacing w:after="0" w:line="262" w:lineRule="exact"/>
        <w:rPr>
          <w:sz w:val="20"/>
          <w:szCs w:val="20"/>
          <w:color w:val="auto"/>
        </w:rPr>
      </w:pPr>
    </w:p>
    <w:p>
      <w:pPr>
        <w:ind w:left="300"/>
        <w:spacing w:after="0"/>
        <w:rPr>
          <w:rFonts w:ascii="Times New Roman" w:cs="Times New Roman" w:eastAsia="Times New Roman" w:hAnsi="Times New Roman"/>
          <w:sz w:val="15"/>
          <w:szCs w:val="15"/>
          <w:u w:val="single" w:color="auto"/>
          <w:color w:val="0000FF"/>
        </w:rPr>
      </w:pPr>
      <w:hyperlink r:id="rId256">
        <w:r>
          <w:rPr>
            <w:rFonts w:ascii="Times New Roman" w:cs="Times New Roman" w:eastAsia="Times New Roman" w:hAnsi="Times New Roman"/>
            <w:sz w:val="15"/>
            <w:szCs w:val="15"/>
            <w:u w:val="single" w:color="auto"/>
            <w:color w:val="0000FF"/>
          </w:rPr>
          <w:t>10.11(b)</w:t>
        </w:r>
      </w:hyperlink>
    </w:p>
    <w:p>
      <w:pPr>
        <w:spacing w:after="0" w:line="246"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10.11(c)</w:t>
        </w:r>
      </w:hyperlink>
    </w:p>
    <w:p>
      <w:pPr>
        <w:spacing w:after="0" w:line="262" w:lineRule="exact"/>
        <w:rPr>
          <w:sz w:val="20"/>
          <w:szCs w:val="20"/>
          <w:color w:val="auto"/>
        </w:rPr>
      </w:pPr>
    </w:p>
    <w:p>
      <w:pPr>
        <w:ind w:left="300"/>
        <w:spacing w:after="0"/>
        <w:rPr>
          <w:rFonts w:ascii="Times New Roman" w:cs="Times New Roman" w:eastAsia="Times New Roman" w:hAnsi="Times New Roman"/>
          <w:sz w:val="16"/>
          <w:szCs w:val="16"/>
          <w:u w:val="single" w:color="auto"/>
          <w:color w:val="0000FF"/>
        </w:rPr>
      </w:pPr>
      <w:hyperlink r:id="rId258">
        <w:r>
          <w:rPr>
            <w:rFonts w:ascii="Times New Roman" w:cs="Times New Roman" w:eastAsia="Times New Roman" w:hAnsi="Times New Roman"/>
            <w:sz w:val="16"/>
            <w:szCs w:val="16"/>
            <w:u w:val="single" w:color="auto"/>
            <w:color w:val="0000FF"/>
          </w:rPr>
          <w:t>10.12(a)</w:t>
        </w:r>
      </w:hyperlink>
    </w:p>
    <w:p>
      <w:pPr>
        <w:spacing w:after="0" w:line="200" w:lineRule="exact"/>
        <w:rPr>
          <w:sz w:val="20"/>
          <w:szCs w:val="20"/>
          <w:color w:val="auto"/>
        </w:rPr>
      </w:pPr>
    </w:p>
    <w:p>
      <w:pPr>
        <w:spacing w:after="0" w:line="251" w:lineRule="exact"/>
        <w:rPr>
          <w:sz w:val="20"/>
          <w:szCs w:val="20"/>
          <w:color w:val="auto"/>
        </w:rPr>
      </w:pPr>
    </w:p>
    <w:p>
      <w:pPr>
        <w:ind w:left="300"/>
        <w:spacing w:after="0"/>
        <w:rPr>
          <w:rFonts w:ascii="Times New Roman" w:cs="Times New Roman" w:eastAsia="Times New Roman" w:hAnsi="Times New Roman"/>
          <w:sz w:val="15"/>
          <w:szCs w:val="15"/>
          <w:u w:val="single" w:color="auto"/>
          <w:color w:val="0000FF"/>
        </w:rPr>
      </w:pPr>
      <w:hyperlink r:id="rId259">
        <w:r>
          <w:rPr>
            <w:rFonts w:ascii="Times New Roman" w:cs="Times New Roman" w:eastAsia="Times New Roman" w:hAnsi="Times New Roman"/>
            <w:sz w:val="15"/>
            <w:szCs w:val="15"/>
            <w:u w:val="single" w:color="auto"/>
            <w:color w:val="0000FF"/>
          </w:rPr>
          <w:t>10.12(b)</w:t>
        </w:r>
      </w:hyperlink>
    </w:p>
    <w:p>
      <w:pPr>
        <w:spacing w:after="0" w:line="20" w:lineRule="exact"/>
        <w:rPr>
          <w:sz w:val="20"/>
          <w:szCs w:val="20"/>
          <w:color w:val="auto"/>
        </w:rPr>
      </w:pPr>
      <w:r>
        <w:rPr>
          <w:sz w:val="20"/>
          <w:szCs w:val="20"/>
          <w:color w:val="auto"/>
        </w:rPr>
        <w:br w:type="column"/>
      </w:r>
    </w:p>
    <w:p>
      <w:pPr>
        <w:ind w:right="560"/>
        <w:spacing w:after="0" w:line="290" w:lineRule="auto"/>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u w:val="single" w:color="auto"/>
            <w:color w:val="0000FF"/>
          </w:rPr>
          <w:t>Amended and Restated Master Supply Agreement between the Company and Barry Callebaut, AG, dated August 31, 2021, is incorporated by</w:t>
        </w:r>
      </w:hyperlink>
      <w:r>
        <w:rPr>
          <w:rFonts w:ascii="Times New Roman" w:cs="Times New Roman" w:eastAsia="Times New Roman" w:hAnsi="Times New Roman"/>
          <w:sz w:val="16"/>
          <w:szCs w:val="16"/>
          <w:u w:val="single" w:color="auto"/>
          <w:color w:val="0000FF"/>
        </w:rPr>
        <w:t xml:space="preserve"> </w:t>
      </w:r>
      <w:hyperlink r:id="rId250">
        <w:r>
          <w:rPr>
            <w:rFonts w:ascii="Times New Roman" w:cs="Times New Roman" w:eastAsia="Times New Roman" w:hAnsi="Times New Roman"/>
            <w:sz w:val="16"/>
            <w:szCs w:val="16"/>
            <w:u w:val="single" w:color="auto"/>
            <w:color w:val="0000FF"/>
          </w:rPr>
          <w:t>reference from Exhibit 10.7 to the Company’s Annual Report on Form 10-K for the year ended December 31, 2022.</w:t>
        </w:r>
        <w:r>
          <w:rPr>
            <w:rFonts w:ascii="Times New Roman" w:cs="Times New Roman" w:eastAsia="Times New Roman" w:hAnsi="Times New Roman"/>
            <w:sz w:val="16"/>
            <w:szCs w:val="16"/>
            <w:color w:val="000000"/>
          </w:rPr>
          <w:t>†</w:t>
        </w:r>
      </w:hyperlink>
    </w:p>
    <w:p>
      <w:pPr>
        <w:spacing w:after="0" w:line="1" w:lineRule="exact"/>
        <w:rPr>
          <w:sz w:val="20"/>
          <w:szCs w:val="20"/>
          <w:color w:val="auto"/>
        </w:rPr>
      </w:pPr>
    </w:p>
    <w:p>
      <w:pPr>
        <w:ind w:right="220"/>
        <w:spacing w:after="0" w:line="261" w:lineRule="auto"/>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u w:val="single" w:color="auto"/>
            <w:color w:val="0000FF"/>
          </w:rPr>
          <w:t>The Company’s Equity and Incentive Compensation Plan, amended and restated February 22, 2011, and approved by our stockholders on April 28,</w:t>
        </w:r>
      </w:hyperlink>
      <w:r>
        <w:rPr>
          <w:rFonts w:ascii="Times New Roman" w:cs="Times New Roman" w:eastAsia="Times New Roman" w:hAnsi="Times New Roman"/>
          <w:sz w:val="16"/>
          <w:szCs w:val="16"/>
          <w:u w:val="single" w:color="auto"/>
          <w:color w:val="0000FF"/>
        </w:rPr>
        <w:t xml:space="preserve"> </w:t>
      </w:r>
      <w:hyperlink r:id="rId251">
        <w:r>
          <w:rPr>
            <w:rFonts w:ascii="Times New Roman" w:cs="Times New Roman" w:eastAsia="Times New Roman" w:hAnsi="Times New Roman"/>
            <w:sz w:val="16"/>
            <w:szCs w:val="16"/>
            <w:u w:val="single" w:color="auto"/>
            <w:color w:val="0000FF"/>
          </w:rPr>
          <w:t>2011, is incorporated by reference from Appendix B to the Company’s proxy statement filed March 15, 2011.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0"/>
        <w:spacing w:after="0" w:line="243" w:lineRule="auto"/>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u w:val="single" w:color="auto"/>
            <w:color w:val="0000FF"/>
          </w:rPr>
          <w:t>Form of Notice of Award of Restricted Stock Units (February 26, 2019 - February 22, 2021 version)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52">
        <w:r>
          <w:rPr>
            <w:rFonts w:ascii="Times New Roman" w:cs="Times New Roman" w:eastAsia="Times New Roman" w:hAnsi="Times New Roman"/>
            <w:sz w:val="16"/>
            <w:szCs w:val="16"/>
            <w:u w:val="single" w:color="auto"/>
            <w:color w:val="0000FF"/>
          </w:rPr>
          <w:t>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280"/>
        <w:spacing w:after="0" w:line="236" w:lineRule="auto"/>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u w:val="single" w:color="auto"/>
            <w:color w:val="0000FF"/>
          </w:rPr>
          <w:t>Form of Notice of Award of Restricted Stock Units (effective February 23, 2021) is incorporated by reference from Exhibit 10.1 to the Company's</w:t>
        </w:r>
      </w:hyperlink>
      <w:r>
        <w:rPr>
          <w:rFonts w:ascii="Times New Roman" w:cs="Times New Roman" w:eastAsia="Times New Roman" w:hAnsi="Times New Roman"/>
          <w:sz w:val="16"/>
          <w:szCs w:val="16"/>
          <w:u w:val="single" w:color="auto"/>
          <w:color w:val="0000FF"/>
        </w:rPr>
        <w:t xml:space="preserve"> </w:t>
      </w:r>
      <w:hyperlink r:id="rId253">
        <w:r>
          <w:rPr>
            <w:rFonts w:ascii="Times New Roman" w:cs="Times New Roman" w:eastAsia="Times New Roman" w:hAnsi="Times New Roman"/>
            <w:sz w:val="16"/>
            <w:szCs w:val="16"/>
            <w:u w:val="single" w:color="auto"/>
            <w:color w:val="0000FF"/>
          </w:rPr>
          <w:t>Quarterly Report on Form 10-Q for the quarter ended April 4, 2021.</w:t>
        </w:r>
        <w:r>
          <w:rPr>
            <w:rFonts w:ascii="Times New Roman" w:cs="Times New Roman" w:eastAsia="Times New Roman" w:hAnsi="Times New Roman"/>
            <w:sz w:val="21"/>
            <w:szCs w:val="21"/>
            <w:color w:val="000000"/>
            <w:vertAlign w:val="superscript"/>
          </w:rPr>
          <w:t>+</w:t>
        </w:r>
      </w:hyperlink>
    </w:p>
    <w:p>
      <w:pPr>
        <w:ind w:right="260"/>
        <w:spacing w:after="0" w:line="243" w:lineRule="auto"/>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u w:val="single" w:color="auto"/>
            <w:color w:val="0000FF"/>
          </w:rPr>
          <w:t>Form of Notice of Award of Restricted Stock Units (3-year vest, effective February 23, 2021) is incorporated by reference from Exhibit 10.2 to the</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spacing w:after="0" w:line="243" w:lineRule="auto"/>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u w:val="single" w:color="auto"/>
            <w:color w:val="0000FF"/>
          </w:rPr>
          <w:t>Form of Notice of Special Award of Restricted Stock Units (pro-rata vest, February 26, 2019 - February 22, 2021 version) is incorporated by reference</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from Exhibit 10.2 to 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40"/>
        <w:spacing w:after="0" w:line="243" w:lineRule="auto"/>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u w:val="single" w:color="auto"/>
            <w:color w:val="0000FF"/>
          </w:rPr>
          <w:t>Form of Notice of Special Award of Restricted Stock Units (pro-rata vest, effective February 23, 2021) is incorporated by reference from Exhibit 10.3</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to the 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160"/>
        <w:spacing w:after="0" w:line="251" w:lineRule="auto"/>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u w:val="single" w:color="auto"/>
            <w:color w:val="0000FF"/>
          </w:rPr>
          <w:t>Form of Notice of Special Award of Restricted Stock Units (3-year cliff vest, effective February 26, 2019) is incorporated by reference from Exhibit</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10.3 to 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right="80"/>
        <w:spacing w:after="0" w:line="249" w:lineRule="auto"/>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(February 15, 2016 - February 21,</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2017 version) is incorporated by reference from Exhibit 10.12(b) to the Company’s Annual Report on Form 10-K for the fiscal year ended December</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31, 2016.</w:t>
        </w:r>
        <w:r>
          <w:rPr>
            <w:rFonts w:ascii="Times New Roman" w:cs="Times New Roman" w:eastAsia="Times New Roman" w:hAnsi="Times New Roman"/>
            <w:sz w:val="21"/>
            <w:szCs w:val="21"/>
            <w:color w:val="000000"/>
            <w:vertAlign w:val="superscript"/>
          </w:rPr>
          <w:t>+</w:t>
        </w:r>
      </w:hyperlink>
    </w:p>
    <w:p>
      <w:pPr>
        <w:spacing w:after="0" w:line="2" w:lineRule="exact"/>
        <w:rPr>
          <w:rFonts w:ascii="Times New Roman" w:cs="Times New Roman" w:eastAsia="Times New Roman" w:hAnsi="Times New Roman"/>
          <w:sz w:val="16"/>
          <w:szCs w:val="16"/>
          <w:u w:val="single" w:color="auto"/>
          <w:color w:val="0000FF"/>
        </w:rPr>
      </w:pPr>
    </w:p>
    <w:p>
      <w:pPr>
        <w:ind w:right="120"/>
        <w:spacing w:after="0" w:line="279" w:lineRule="auto"/>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(February 22, 2017 - February 25,</w:t>
        </w:r>
      </w:hyperlink>
      <w:r>
        <w:rPr>
          <w:rFonts w:ascii="Times New Roman" w:cs="Times New Roman" w:eastAsia="Times New Roman" w:hAnsi="Times New Roman"/>
          <w:sz w:val="16"/>
          <w:szCs w:val="16"/>
          <w:u w:val="single" w:color="auto"/>
          <w:color w:val="0000FF"/>
        </w:rPr>
        <w:t xml:space="preserve"> </w:t>
      </w:r>
      <w:hyperlink r:id="rId259">
        <w:r>
          <w:rPr>
            <w:rFonts w:ascii="Times New Roman" w:cs="Times New Roman" w:eastAsia="Times New Roman" w:hAnsi="Times New Roman"/>
            <w:sz w:val="16"/>
            <w:szCs w:val="16"/>
            <w:u w:val="single" w:color="auto"/>
            <w:color w:val="0000FF"/>
          </w:rPr>
          <w:t>2019 version) is incorporated by reference from Exhibit 10.3 to the Company’s Quarterly Report on Form 10-Q for the quarter ended April 2, 2017.</w:t>
        </w:r>
      </w:hyperlink>
      <w:r>
        <w:rPr>
          <w:rFonts w:ascii="Times New Roman" w:cs="Times New Roman" w:eastAsia="Times New Roman" w:hAnsi="Times New Roman"/>
          <w:sz w:val="21"/>
          <w:szCs w:val="21"/>
          <w:color w:val="00000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437515</wp:posOffset>
            </wp:positionV>
            <wp:extent cx="19685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440"/>
            <w:col w:w="9760"/>
          </w:cols>
          <w:pgMar w:left="340" w:top="1440" w:right="51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105" w:name="page106"/>
    <w:bookmarkEnd w:id="105"/>
    <w:p>
      <w:pPr>
        <w:spacing w:after="0" w:line="188" w:lineRule="auto"/>
        <w:framePr w:w="620" w:h="144" w:wrap="auto" w:vAnchor="page" w:hAnchor="page" w:x="600" w:y="7866"/>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20(c)</w:t>
      </w:r>
    </w:p>
    <w:p>
      <w:pPr>
        <w:spacing w:after="0" w:line="200" w:lineRule="auto"/>
        <w:framePr w:w="620" w:h="144" w:wrap="auto" w:vAnchor="page" w:hAnchor="page" w:x="600" w:y="7421"/>
        <w:rPr>
          <w:rFonts w:ascii="Times New Roman" w:cs="Times New Roman" w:eastAsia="Times New Roman" w:hAnsi="Times New Roman"/>
          <w:sz w:val="15"/>
          <w:szCs w:val="15"/>
          <w:u w:val="single" w:color="auto"/>
          <w:color w:val="0000FF"/>
        </w:rPr>
      </w:pPr>
      <w:hyperlink r:id="rId263">
        <w:r>
          <w:rPr>
            <w:rFonts w:ascii="Times New Roman" w:cs="Times New Roman" w:eastAsia="Times New Roman" w:hAnsi="Times New Roman"/>
            <w:sz w:val="15"/>
            <w:szCs w:val="15"/>
            <w:u w:val="single" w:color="auto"/>
            <w:color w:val="0000FF"/>
          </w:rPr>
          <w:t>10.</w:t>
        </w:r>
      </w:hyperlink>
      <w:r>
        <w:rPr>
          <w:rFonts w:ascii="Times New Roman" w:cs="Times New Roman" w:eastAsia="Times New Roman" w:hAnsi="Times New Roman"/>
          <w:sz w:val="15"/>
          <w:szCs w:val="15"/>
          <w:u w:val="single" w:color="auto"/>
          <w:color w:val="0000FF"/>
        </w:rPr>
        <w:t>20(b)</w:t>
      </w:r>
    </w:p>
    <w:p>
      <w:pPr>
        <w:spacing w:after="0" w:line="188" w:lineRule="auto"/>
        <w:framePr w:w="620" w:h="144" w:wrap="auto" w:vAnchor="page" w:hAnchor="page" w:x="600" w:y="6975"/>
        <w:rPr>
          <w:rFonts w:ascii="Times New Roman" w:cs="Times New Roman" w:eastAsia="Times New Roman" w:hAnsi="Times New Roman"/>
          <w:sz w:val="16"/>
          <w:szCs w:val="16"/>
          <w:u w:val="single" w:color="auto"/>
          <w:color w:val="0000FF"/>
        </w:rPr>
      </w:pPr>
      <w:hyperlink r:id="rId264">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20(a)</w:t>
      </w:r>
    </w:p>
    <w:p>
      <w:pPr>
        <w:spacing w:after="0" w:line="200" w:lineRule="auto"/>
        <w:framePr w:w="620" w:h="144" w:wrap="auto" w:vAnchor="page" w:hAnchor="page" w:x="600" w:y="5639"/>
        <w:rPr>
          <w:rFonts w:ascii="Times New Roman" w:cs="Times New Roman" w:eastAsia="Times New Roman" w:hAnsi="Times New Roman"/>
          <w:sz w:val="15"/>
          <w:szCs w:val="15"/>
          <w:u w:val="single" w:color="auto"/>
          <w:color w:val="0000FF"/>
        </w:rPr>
      </w:pPr>
      <w:hyperlink r:id="rId265">
        <w:r>
          <w:rPr>
            <w:rFonts w:ascii="Times New Roman" w:cs="Times New Roman" w:eastAsia="Times New Roman" w:hAnsi="Times New Roman"/>
            <w:sz w:val="15"/>
            <w:szCs w:val="15"/>
            <w:u w:val="single" w:color="auto"/>
            <w:color w:val="0000FF"/>
          </w:rPr>
          <w:t>10.</w:t>
        </w:r>
      </w:hyperlink>
      <w:r>
        <w:rPr>
          <w:rFonts w:ascii="Times New Roman" w:cs="Times New Roman" w:eastAsia="Times New Roman" w:hAnsi="Times New Roman"/>
          <w:sz w:val="15"/>
          <w:szCs w:val="15"/>
          <w:u w:val="single" w:color="auto"/>
          <w:color w:val="0000FF"/>
        </w:rPr>
        <w:t>17(b)</w:t>
      </w:r>
    </w:p>
    <w:p>
      <w:pPr>
        <w:spacing w:after="0" w:line="188" w:lineRule="auto"/>
        <w:framePr w:w="620" w:h="144" w:wrap="auto" w:vAnchor="page" w:hAnchor="page" w:x="600" w:y="5193"/>
        <w:rPr>
          <w:rFonts w:ascii="Times New Roman" w:cs="Times New Roman" w:eastAsia="Times New Roman" w:hAnsi="Times New Roman"/>
          <w:sz w:val="16"/>
          <w:szCs w:val="16"/>
          <w:u w:val="single" w:color="auto"/>
          <w:color w:val="0000FF"/>
        </w:rPr>
      </w:pPr>
      <w:hyperlink r:id="rId266">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17(a)</w:t>
      </w:r>
    </w:p>
    <w:p>
      <w:pPr>
        <w:spacing w:after="0" w:line="200" w:lineRule="auto"/>
        <w:framePr w:w="620" w:h="144" w:wrap="auto" w:vAnchor="page" w:hAnchor="page" w:x="600" w:y="4748"/>
        <w:rPr>
          <w:rFonts w:ascii="Times New Roman" w:cs="Times New Roman" w:eastAsia="Times New Roman" w:hAnsi="Times New Roman"/>
          <w:sz w:val="15"/>
          <w:szCs w:val="15"/>
          <w:u w:val="single" w:color="auto"/>
          <w:color w:val="0000FF"/>
        </w:rPr>
      </w:pPr>
      <w:hyperlink r:id="rId267">
        <w:r>
          <w:rPr>
            <w:rFonts w:ascii="Times New Roman" w:cs="Times New Roman" w:eastAsia="Times New Roman" w:hAnsi="Times New Roman"/>
            <w:sz w:val="15"/>
            <w:szCs w:val="15"/>
            <w:u w:val="single" w:color="auto"/>
            <w:color w:val="0000FF"/>
          </w:rPr>
          <w:t>10.</w:t>
        </w:r>
      </w:hyperlink>
      <w:r>
        <w:rPr>
          <w:rFonts w:ascii="Times New Roman" w:cs="Times New Roman" w:eastAsia="Times New Roman" w:hAnsi="Times New Roman"/>
          <w:sz w:val="15"/>
          <w:szCs w:val="15"/>
          <w:u w:val="single" w:color="auto"/>
          <w:color w:val="0000FF"/>
        </w:rPr>
        <w:t>16(b)</w:t>
      </w:r>
    </w:p>
    <w:p>
      <w:pPr>
        <w:spacing w:after="0" w:line="188" w:lineRule="auto"/>
        <w:framePr w:w="620" w:h="144" w:wrap="auto" w:vAnchor="page" w:hAnchor="page" w:x="600" w:y="4302"/>
        <w:rPr>
          <w:rFonts w:ascii="Times New Roman" w:cs="Times New Roman" w:eastAsia="Times New Roman" w:hAnsi="Times New Roman"/>
          <w:sz w:val="16"/>
          <w:szCs w:val="16"/>
          <w:u w:val="single" w:color="auto"/>
          <w:color w:val="0000FF"/>
        </w:rPr>
      </w:pPr>
      <w:hyperlink r:id="rId268">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16(a)</w:t>
      </w:r>
    </w:p>
    <w:p>
      <w:pPr>
        <w:spacing w:after="0" w:line="200" w:lineRule="auto"/>
        <w:framePr w:w="620" w:h="144" w:wrap="auto" w:vAnchor="page" w:hAnchor="page" w:x="600" w:y="2993"/>
        <w:rPr>
          <w:rFonts w:ascii="Times New Roman" w:cs="Times New Roman" w:eastAsia="Times New Roman" w:hAnsi="Times New Roman"/>
          <w:sz w:val="15"/>
          <w:szCs w:val="15"/>
          <w:u w:val="single" w:color="auto"/>
          <w:color w:val="0000FF"/>
        </w:rPr>
      </w:pPr>
      <w:hyperlink r:id="rId269">
        <w:r>
          <w:rPr>
            <w:rFonts w:ascii="Times New Roman" w:cs="Times New Roman" w:eastAsia="Times New Roman" w:hAnsi="Times New Roman"/>
            <w:sz w:val="15"/>
            <w:szCs w:val="15"/>
            <w:u w:val="single" w:color="auto"/>
            <w:color w:val="0000FF"/>
          </w:rPr>
          <w:t>10.13(b)</w:t>
        </w:r>
      </w:hyperlink>
    </w:p>
    <w:p>
      <w:pPr>
        <w:spacing w:after="0" w:line="188" w:lineRule="auto"/>
        <w:framePr w:w="620" w:h="144" w:wrap="auto" w:vAnchor="page" w:hAnchor="page" w:x="600" w:y="2547"/>
        <w:rPr>
          <w:rFonts w:ascii="Times New Roman" w:cs="Times New Roman" w:eastAsia="Times New Roman" w:hAnsi="Times New Roman"/>
          <w:sz w:val="16"/>
          <w:szCs w:val="16"/>
          <w:u w:val="single" w:color="auto"/>
          <w:color w:val="0000FF"/>
        </w:rPr>
      </w:pPr>
      <w:hyperlink r:id="rId270">
        <w:r>
          <w:rPr>
            <w:rFonts w:ascii="Times New Roman" w:cs="Times New Roman" w:eastAsia="Times New Roman" w:hAnsi="Times New Roman"/>
            <w:sz w:val="16"/>
            <w:szCs w:val="16"/>
            <w:u w:val="single" w:color="auto"/>
            <w:color w:val="0000FF"/>
          </w:rPr>
          <w:t>10.13(a)</w:t>
        </w:r>
      </w:hyperlink>
    </w:p>
    <w:p>
      <w:pPr>
        <w:spacing w:after="0" w:line="200" w:lineRule="auto"/>
        <w:framePr w:w="620" w:h="144" w:wrap="auto" w:vAnchor="page" w:hAnchor="page" w:x="600" w:y="2129"/>
        <w:rPr>
          <w:rFonts w:ascii="Times New Roman" w:cs="Times New Roman" w:eastAsia="Times New Roman" w:hAnsi="Times New Roman"/>
          <w:sz w:val="15"/>
          <w:szCs w:val="15"/>
          <w:u w:val="single" w:color="auto"/>
          <w:color w:val="0000FF"/>
        </w:rPr>
      </w:pPr>
      <w:hyperlink r:id="rId271">
        <w:r>
          <w:rPr>
            <w:rFonts w:ascii="Times New Roman" w:cs="Times New Roman" w:eastAsia="Times New Roman" w:hAnsi="Times New Roman"/>
            <w:sz w:val="15"/>
            <w:szCs w:val="15"/>
            <w:u w:val="single" w:color="auto"/>
            <w:color w:val="0000FF"/>
          </w:rPr>
          <w:t>10.12(d)</w:t>
        </w:r>
      </w:hyperlink>
    </w:p>
    <w:p>
      <w:pPr>
        <w:spacing w:after="0" w:line="188" w:lineRule="auto"/>
        <w:framePr w:w="620" w:h="144" w:wrap="auto" w:vAnchor="page" w:hAnchor="page" w:x="600" w:y="1494"/>
        <w:rPr>
          <w:rFonts w:ascii="Times New Roman" w:cs="Times New Roman" w:eastAsia="Times New Roman" w:hAnsi="Times New Roman"/>
          <w:sz w:val="16"/>
          <w:szCs w:val="16"/>
          <w:u w:val="single" w:color="auto"/>
          <w:color w:val="0000FF"/>
        </w:rPr>
      </w:pPr>
      <w:hyperlink r:id="rId272">
        <w:r>
          <w:rPr>
            <w:rFonts w:ascii="Times New Roman" w:cs="Times New Roman" w:eastAsia="Times New Roman" w:hAnsi="Times New Roman"/>
            <w:sz w:val="16"/>
            <w:szCs w:val="16"/>
            <w:u w:val="single" w:color="auto"/>
            <w:color w:val="0000FF"/>
          </w:rPr>
          <w:t>10.12(c)</w:t>
        </w:r>
      </w:hyperlink>
    </w:p>
    <w:p>
      <w:pPr>
        <w:spacing w:after="0" w:line="50" w:lineRule="exact"/>
        <w:rPr>
          <w:rFonts w:ascii="Times New Roman" w:cs="Times New Roman" w:eastAsia="Times New Roman" w:hAnsi="Times New Roman"/>
          <w:sz w:val="16"/>
          <w:szCs w:val="16"/>
          <w:u w:val="single" w:color="auto"/>
          <w:color w:val="0000FF"/>
        </w:rPr>
      </w:pPr>
    </w:p>
    <w:p>
      <w:pPr>
        <w:ind w:left="1280" w:right="220"/>
        <w:spacing w:after="0" w:line="251" w:lineRule="auto"/>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(February 26, 2019 - February 22,</w:t>
        </w:r>
      </w:hyperlink>
      <w:r>
        <w:rPr>
          <w:rFonts w:ascii="Times New Roman" w:cs="Times New Roman" w:eastAsia="Times New Roman" w:hAnsi="Times New Roman"/>
          <w:sz w:val="16"/>
          <w:szCs w:val="16"/>
          <w:u w:val="single" w:color="auto"/>
          <w:color w:val="0000FF"/>
        </w:rPr>
        <w:t xml:space="preserve"> </w:t>
      </w:r>
      <w:hyperlink r:id="rId272">
        <w:r>
          <w:rPr>
            <w:rFonts w:ascii="Times New Roman" w:cs="Times New Roman" w:eastAsia="Times New Roman" w:hAnsi="Times New Roman"/>
            <w:sz w:val="16"/>
            <w:szCs w:val="16"/>
            <w:u w:val="single" w:color="auto"/>
            <w:color w:val="0000FF"/>
          </w:rPr>
          <w:t>2021 version) is incorporated by reference from Exhibit 10.4 to the Company’s Quarterly Report on Form 10-Q for the quarter ended March 31,</w:t>
        </w:r>
      </w:hyperlink>
      <w:r>
        <w:rPr>
          <w:rFonts w:ascii="Times New Roman" w:cs="Times New Roman" w:eastAsia="Times New Roman" w:hAnsi="Times New Roman"/>
          <w:sz w:val="16"/>
          <w:szCs w:val="16"/>
          <w:u w:val="single" w:color="auto"/>
          <w:color w:val="0000FF"/>
        </w:rPr>
        <w:t xml:space="preserve"> </w:t>
      </w:r>
      <w:hyperlink r:id="rId272">
        <w:r>
          <w:rPr>
            <w:rFonts w:ascii="Times New Roman" w:cs="Times New Roman" w:eastAsia="Times New Roman" w:hAnsi="Times New Roman"/>
            <w:sz w:val="16"/>
            <w:szCs w:val="16"/>
            <w:u w:val="single" w:color="auto"/>
            <w:color w:val="0000FF"/>
          </w:rPr>
          <w:t>2019.</w:t>
        </w:r>
        <w:r>
          <w:rPr>
            <w:rFonts w:ascii="Times New Roman" w:cs="Times New Roman" w:eastAsia="Times New Roman" w:hAnsi="Times New Roman"/>
            <w:sz w:val="21"/>
            <w:szCs w:val="21"/>
            <w:color w:val="000000"/>
            <w:vertAlign w:val="superscript"/>
          </w:rPr>
          <w:t>+</w:t>
        </w:r>
      </w:hyperlink>
    </w:p>
    <w:p>
      <w:pPr>
        <w:spacing w:after="0" w:line="2" w:lineRule="exact"/>
        <w:rPr>
          <w:rFonts w:ascii="Times New Roman" w:cs="Times New Roman" w:eastAsia="Times New Roman" w:hAnsi="Times New Roman"/>
          <w:sz w:val="16"/>
          <w:szCs w:val="16"/>
          <w:u w:val="single" w:color="auto"/>
          <w:color w:val="0000FF"/>
        </w:rPr>
      </w:pPr>
    </w:p>
    <w:p>
      <w:pPr>
        <w:ind w:left="1280" w:right="380"/>
        <w:spacing w:after="0" w:line="243" w:lineRule="auto"/>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u w:val="single" w:color="auto"/>
            <w:color w:val="0000FF"/>
          </w:rPr>
          <w:t>Terms and Conditions of Nonqualified Stock Option Awards under the Equity and Incentive Compensation Plan (effective February 23, 2021) is</w:t>
        </w:r>
      </w:hyperlink>
      <w:r>
        <w:rPr>
          <w:rFonts w:ascii="Times New Roman" w:cs="Times New Roman" w:eastAsia="Times New Roman" w:hAnsi="Times New Roman"/>
          <w:sz w:val="16"/>
          <w:szCs w:val="16"/>
          <w:u w:val="single" w:color="auto"/>
          <w:color w:val="0000FF"/>
        </w:rPr>
        <w:t xml:space="preserve"> </w:t>
      </w:r>
      <w:hyperlink r:id="rId271">
        <w:r>
          <w:rPr>
            <w:rFonts w:ascii="Times New Roman" w:cs="Times New Roman" w:eastAsia="Times New Roman" w:hAnsi="Times New Roman"/>
            <w:sz w:val="16"/>
            <w:szCs w:val="16"/>
            <w:u w:val="single" w:color="auto"/>
            <w:color w:val="0000FF"/>
          </w:rPr>
          <w:t>incorporated by reference from Exhibit 10.4 to the Company’s Quarterly Report on Form 10-Q for the quarter ended April 4, 2021.</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20"/>
        <w:spacing w:after="0" w:line="243" w:lineRule="auto"/>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u w:val="single" w:color="auto"/>
            <w:color w:val="0000FF"/>
          </w:rPr>
          <w:t>Form of Notice of Award of Performance Stock Units (February 26, 2019 - February 22, 2021 version) is incorporated by reference from Exhibit 10.5</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to the Company’s Quarterly Report on Form 10-Q for the quarter ended March 31, 2019.</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80"/>
        <w:spacing w:after="0" w:line="236" w:lineRule="auto"/>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u w:val="single" w:color="auto"/>
            <w:color w:val="0000FF"/>
          </w:rPr>
          <w:t>Form of Notice of Award of Performance Stock Units (effective February 23, 2021) is incorporated by reference from Exhibit 10.5 to the Company’s</w:t>
        </w:r>
      </w:hyperlink>
      <w:r>
        <w:rPr>
          <w:rFonts w:ascii="Times New Roman" w:cs="Times New Roman" w:eastAsia="Times New Roman" w:hAnsi="Times New Roman"/>
          <w:sz w:val="16"/>
          <w:szCs w:val="16"/>
          <w:u w:val="single" w:color="auto"/>
          <w:color w:val="0000FF"/>
        </w:rPr>
        <w:t xml:space="preserve"> </w:t>
      </w:r>
      <w:hyperlink r:id="rId269">
        <w:r>
          <w:rPr>
            <w:rFonts w:ascii="Times New Roman" w:cs="Times New Roman" w:eastAsia="Times New Roman" w:hAnsi="Times New Roman"/>
            <w:sz w:val="16"/>
            <w:szCs w:val="16"/>
            <w:u w:val="single" w:color="auto"/>
            <w:color w:val="0000FF"/>
          </w:rPr>
          <w:t>Quarterly Report on Form 10-Q for the quarter ended April 4, 2021.</w:t>
        </w:r>
        <w:r>
          <w:rPr>
            <w:rFonts w:ascii="Times New Roman" w:cs="Times New Roman" w:eastAsia="Times New Roman" w:hAnsi="Times New Roman"/>
            <w:sz w:val="21"/>
            <w:szCs w:val="21"/>
            <w:color w:val="000000"/>
            <w:vertAlign w:val="superscript"/>
          </w:rPr>
          <w:t>+</w:t>
        </w:r>
      </w:hyperlink>
    </w:p>
    <w:p>
      <w:pPr>
        <w:ind w:left="380"/>
        <w:spacing w:after="0"/>
        <w:tabs>
          <w:tab w:leader="none" w:pos="1260" w:val="left"/>
        </w:tabs>
        <w:rPr>
          <w:rFonts w:ascii="Times New Roman" w:cs="Times New Roman" w:eastAsia="Times New Roman" w:hAnsi="Times New Roman"/>
          <w:sz w:val="16"/>
          <w:szCs w:val="16"/>
          <w:u w:val="single" w:color="auto"/>
          <w:color w:val="0000FF"/>
        </w:rPr>
      </w:pPr>
      <w:hyperlink r:id="rId273">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14</w:t>
        <w:tab/>
      </w:r>
      <w:hyperlink r:id="rId273">
        <w:r>
          <w:rPr>
            <w:rFonts w:ascii="Times New Roman" w:cs="Times New Roman" w:eastAsia="Times New Roman" w:hAnsi="Times New Roman"/>
            <w:sz w:val="16"/>
            <w:szCs w:val="16"/>
            <w:u w:val="single" w:color="auto"/>
            <w:color w:val="0000FF"/>
          </w:rPr>
          <w:t>The Long-Term Incentive Program Participation Agreement is incorporated by reference from Exhibit 10.2 to the Company’s Current Report on Form</w:t>
        </w:r>
      </w:hyperlink>
    </w:p>
    <w:p>
      <w:pPr>
        <w:spacing w:after="0" w:line="20" w:lineRule="exact"/>
        <w:rPr>
          <w:sz w:val="20"/>
          <w:szCs w:val="20"/>
          <w:color w:val="auto"/>
        </w:rPr>
      </w:pPr>
    </w:p>
    <w:p>
      <w:pPr>
        <w:ind w:left="1280"/>
        <w:spacing w:after="0"/>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u w:val="single" w:color="auto"/>
            <w:color w:val="0000FF"/>
          </w:rPr>
          <w:t>8-K filed February 18, 2005.</w:t>
        </w:r>
        <w:r>
          <w:rPr>
            <w:rFonts w:ascii="Times New Roman" w:cs="Times New Roman" w:eastAsia="Times New Roman" w:hAnsi="Times New Roman"/>
            <w:sz w:val="21"/>
            <w:szCs w:val="21"/>
            <w:color w:val="000000"/>
            <w:vertAlign w:val="superscript"/>
          </w:rPr>
          <w:t>+</w:t>
        </w:r>
      </w:hyperlink>
    </w:p>
    <w:p>
      <w:pPr>
        <w:ind w:left="380"/>
        <w:spacing w:after="0"/>
        <w:tabs>
          <w:tab w:leader="none" w:pos="1260" w:val="left"/>
        </w:tabs>
        <w:rPr>
          <w:rFonts w:ascii="Times New Roman" w:cs="Times New Roman" w:eastAsia="Times New Roman" w:hAnsi="Times New Roman"/>
          <w:sz w:val="16"/>
          <w:szCs w:val="16"/>
          <w:u w:val="single" w:color="auto"/>
          <w:color w:val="0000FF"/>
        </w:rPr>
      </w:pPr>
      <w:hyperlink r:id="rId274">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15</w:t>
        <w:tab/>
      </w:r>
      <w:hyperlink r:id="rId274">
        <w:r>
          <w:rPr>
            <w:rFonts w:ascii="Times New Roman" w:cs="Times New Roman" w:eastAsia="Times New Roman" w:hAnsi="Times New Roman"/>
            <w:sz w:val="16"/>
            <w:szCs w:val="16"/>
            <w:u w:val="single" w:color="auto"/>
            <w:color w:val="0000FF"/>
          </w:rPr>
          <w:t>The Company’s Deferred Compensation Plan, Amended and Restated as of June 27, 2012, is incorporated by reference from Exhibit 10.3 to the</w:t>
        </w:r>
      </w:hyperlink>
    </w:p>
    <w:p>
      <w:pPr>
        <w:spacing w:after="0" w:line="22" w:lineRule="exact"/>
        <w:rPr>
          <w:sz w:val="20"/>
          <w:szCs w:val="20"/>
          <w:color w:val="auto"/>
        </w:rPr>
      </w:pPr>
    </w:p>
    <w:p>
      <w:pPr>
        <w:ind w:left="1280"/>
        <w:spacing w:after="0"/>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u w:val="single" w:color="auto"/>
            <w:color w:val="0000FF"/>
          </w:rPr>
          <w:t>Company’s Quarterly Report on Form 10-Q for the quarter ended July 1, 2012.</w:t>
        </w:r>
        <w:r>
          <w:rPr>
            <w:rFonts w:ascii="Times New Roman" w:cs="Times New Roman" w:eastAsia="Times New Roman" w:hAnsi="Times New Roman"/>
            <w:sz w:val="21"/>
            <w:szCs w:val="21"/>
            <w:color w:val="000000"/>
            <w:vertAlign w:val="superscript"/>
          </w:rPr>
          <w:t>+</w:t>
        </w:r>
      </w:hyperlink>
    </w:p>
    <w:p>
      <w:pPr>
        <w:spacing w:after="0" w:line="12" w:lineRule="exact"/>
        <w:rPr>
          <w:sz w:val="20"/>
          <w:szCs w:val="20"/>
          <w:color w:val="auto"/>
        </w:rPr>
      </w:pPr>
    </w:p>
    <w:p>
      <w:pPr>
        <w:ind w:left="1280" w:right="180"/>
        <w:spacing w:after="0" w:line="251" w:lineRule="auto"/>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u w:val="single" w:color="auto"/>
            <w:color w:val="0000FF"/>
          </w:rPr>
          <w:t>The Company’s Supplemental Executive Retirement Plan, Amended and Restated as of October 2, 2007, is incorporated by reference from Exhibit</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10.6 to the Company’s Annual Report on Form 10-K for the fiscal year ended December 31, 2007.</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440"/>
        <w:spacing w:after="0" w:line="251" w:lineRule="auto"/>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u w:val="single" w:color="auto"/>
            <w:color w:val="0000FF"/>
          </w:rPr>
          <w:t>First Amendment to the Company’s Supplemental Executive Retirement Plan, Amended and Restated as of October 2, 2007, is incorporated by</w:t>
        </w:r>
      </w:hyperlink>
      <w:r>
        <w:rPr>
          <w:rFonts w:ascii="Times New Roman" w:cs="Times New Roman" w:eastAsia="Times New Roman" w:hAnsi="Times New Roman"/>
          <w:sz w:val="16"/>
          <w:szCs w:val="16"/>
          <w:u w:val="single" w:color="auto"/>
          <w:color w:val="0000FF"/>
        </w:rPr>
        <w:t xml:space="preserve"> </w:t>
      </w:r>
      <w:hyperlink r:id="rId267">
        <w:r>
          <w:rPr>
            <w:rFonts w:ascii="Times New Roman" w:cs="Times New Roman" w:eastAsia="Times New Roman" w:hAnsi="Times New Roman"/>
            <w:sz w:val="16"/>
            <w:szCs w:val="16"/>
            <w:u w:val="single" w:color="auto"/>
            <w:color w:val="0000FF"/>
          </w:rPr>
          <w:t>reference from Exhibit 10.5 to the Company’s Annual Report on Form 10-K for the fiscal year ended December 31, 2008.</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20"/>
        <w:spacing w:after="0" w:line="251" w:lineRule="auto"/>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u w:val="single" w:color="auto"/>
            <w:color w:val="0000FF"/>
          </w:rPr>
          <w:t>The Company’s Compensation Limit Replacement Plan, Amended and Restated as of January 1, 2009, is incorporated by reference from Exhibit 10.6</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to the Company’s Annual Report on Form 10-K for the fiscal year ended December 31, 2008.</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340"/>
        <w:spacing w:after="0" w:line="243" w:lineRule="auto"/>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u w:val="single" w:color="auto"/>
            <w:color w:val="0000FF"/>
          </w:rPr>
          <w:t>First Amendment to the Company’s Compensation Limit Replacement Plan, Amended and Restated as of December 31, 2023, is incorporated by</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reference from Exhibit 10.18(b) to the Company’s Annual Report on Form 10-K filed February 20, 2024.</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480" w:hanging="888"/>
        <w:spacing w:after="0" w:line="251" w:lineRule="auto"/>
        <w:tabs>
          <w:tab w:leader="none" w:pos="1260" w:val="left"/>
        </w:tabs>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18</w:t>
        <w:tab/>
      </w:r>
      <w:hyperlink r:id="rId275">
        <w:r>
          <w:rPr>
            <w:rFonts w:ascii="Times New Roman" w:cs="Times New Roman" w:eastAsia="Times New Roman" w:hAnsi="Times New Roman"/>
            <w:sz w:val="16"/>
            <w:szCs w:val="16"/>
            <w:u w:val="single" w:color="auto"/>
            <w:color w:val="0000FF"/>
          </w:rPr>
          <w:t>The Company’s Executive Benefits Protection Plan (Group 3A), Amended and Restated as of June 27, 2012, is incorporated by reference from</w:t>
        </w:r>
      </w:hyperlink>
      <w:r>
        <w:rPr>
          <w:rFonts w:ascii="Times New Roman" w:cs="Times New Roman" w:eastAsia="Times New Roman" w:hAnsi="Times New Roman"/>
          <w:sz w:val="16"/>
          <w:szCs w:val="16"/>
          <w:u w:val="single" w:color="auto"/>
          <w:color w:val="0000FF"/>
        </w:rPr>
        <w:t xml:space="preserve"> </w:t>
      </w:r>
      <w:hyperlink r:id="rId275">
        <w:r>
          <w:rPr>
            <w:rFonts w:ascii="Times New Roman" w:cs="Times New Roman" w:eastAsia="Times New Roman" w:hAnsi="Times New Roman"/>
            <w:sz w:val="16"/>
            <w:szCs w:val="16"/>
            <w:u w:val="single" w:color="auto"/>
            <w:color w:val="0000FF"/>
          </w:rPr>
          <w:t>Exhibit 10.2 to the Company’s Quarterly Report on Form 10-Q for the quarter ended July 1, 2012.</w:t>
        </w:r>
        <w:r>
          <w:rPr>
            <w:rFonts w:ascii="Times New Roman" w:cs="Times New Roman" w:eastAsia="Times New Roman" w:hAnsi="Times New Roman"/>
            <w:sz w:val="21"/>
            <w:szCs w:val="21"/>
            <w:color w:val="000000"/>
            <w:vertAlign w:val="superscript"/>
          </w:rPr>
          <w:t>+</w:t>
        </w:r>
      </w:hyperlink>
    </w:p>
    <w:p>
      <w:pPr>
        <w:spacing w:after="0" w:line="1" w:lineRule="exact"/>
        <w:rPr>
          <w:rFonts w:ascii="Times New Roman" w:cs="Times New Roman" w:eastAsia="Times New Roman" w:hAnsi="Times New Roman"/>
          <w:sz w:val="16"/>
          <w:szCs w:val="16"/>
          <w:u w:val="single" w:color="auto"/>
          <w:color w:val="0000FF"/>
        </w:rPr>
      </w:pPr>
    </w:p>
    <w:p>
      <w:pPr>
        <w:ind w:left="380"/>
        <w:spacing w:after="0"/>
        <w:tabs>
          <w:tab w:leader="none" w:pos="1260" w:val="left"/>
        </w:tabs>
        <w:rPr>
          <w:rFonts w:ascii="Times New Roman" w:cs="Times New Roman" w:eastAsia="Times New Roman" w:hAnsi="Times New Roman"/>
          <w:sz w:val="16"/>
          <w:szCs w:val="16"/>
          <w:u w:val="single" w:color="auto"/>
          <w:color w:val="0000FF"/>
        </w:rPr>
      </w:pPr>
      <w:hyperlink r:id="rId276">
        <w:r>
          <w:rPr>
            <w:rFonts w:ascii="Times New Roman" w:cs="Times New Roman" w:eastAsia="Times New Roman" w:hAnsi="Times New Roman"/>
            <w:sz w:val="16"/>
            <w:szCs w:val="16"/>
            <w:u w:val="single" w:color="auto"/>
            <w:color w:val="0000FF"/>
          </w:rPr>
          <w:t>10.19</w:t>
        </w:r>
      </w:hyperlink>
      <w:r>
        <w:rPr>
          <w:rFonts w:ascii="Times New Roman" w:cs="Times New Roman" w:eastAsia="Times New Roman" w:hAnsi="Times New Roman"/>
          <w:sz w:val="16"/>
          <w:szCs w:val="16"/>
          <w:u w:val="single" w:color="auto"/>
          <w:color w:val="0000FF"/>
        </w:rPr>
        <w:tab/>
      </w:r>
      <w:hyperlink r:id="rId276">
        <w:r>
          <w:rPr>
            <w:rFonts w:ascii="Times New Roman" w:cs="Times New Roman" w:eastAsia="Times New Roman" w:hAnsi="Times New Roman"/>
            <w:sz w:val="16"/>
            <w:szCs w:val="16"/>
            <w:u w:val="single" w:color="auto"/>
            <w:color w:val="0000FF"/>
          </w:rPr>
          <w:t>The Company’ s Executive Benefits Protection Plan (Group 3), Amended and Restated as of June 27, 2012, is incorporated by reference from Exhibit</w:t>
        </w:r>
      </w:hyperlink>
    </w:p>
    <w:p>
      <w:pPr>
        <w:spacing w:after="0" w:line="22" w:lineRule="exact"/>
        <w:rPr>
          <w:sz w:val="20"/>
          <w:szCs w:val="20"/>
          <w:color w:val="auto"/>
        </w:rPr>
      </w:pPr>
    </w:p>
    <w:p>
      <w:pPr>
        <w:ind w:left="1280"/>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u w:val="single" w:color="auto"/>
            <w:color w:val="0000FF"/>
          </w:rPr>
          <w:t>10.18 to the Company’s Annual Report on Form 10-K for the fiscal year ended December 31, 2015.</w:t>
        </w:r>
        <w:r>
          <w:rPr>
            <w:rFonts w:ascii="Times New Roman" w:cs="Times New Roman" w:eastAsia="Times New Roman" w:hAnsi="Times New Roman"/>
            <w:sz w:val="21"/>
            <w:szCs w:val="21"/>
            <w:color w:val="000000"/>
            <w:vertAlign w:val="superscript"/>
          </w:rPr>
          <w:t>+</w:t>
        </w:r>
      </w:hyperlink>
    </w:p>
    <w:p>
      <w:pPr>
        <w:spacing w:after="0" w:line="12" w:lineRule="exact"/>
        <w:rPr>
          <w:sz w:val="20"/>
          <w:szCs w:val="20"/>
          <w:color w:val="auto"/>
        </w:rPr>
      </w:pPr>
    </w:p>
    <w:p>
      <w:pPr>
        <w:ind w:left="1280" w:right="120"/>
        <w:spacing w:after="0" w:line="251" w:lineRule="auto"/>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u w:val="single" w:color="auto"/>
            <w:color w:val="0000FF"/>
          </w:rPr>
          <w:t>Employee Confidentiality and Restrictive Covenant Agreement, amended as of February 18, 2013,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64">
        <w:r>
          <w:rPr>
            <w:rFonts w:ascii="Times New Roman" w:cs="Times New Roman" w:eastAsia="Times New Roman" w:hAnsi="Times New Roman"/>
            <w:sz w:val="16"/>
            <w:szCs w:val="16"/>
            <w:u w:val="single" w:color="auto"/>
            <w:color w:val="0000FF"/>
          </w:rPr>
          <w:t>the Company’s Quarterly Report on Form 10-Q for the quarter ended March 31, 2013.</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80"/>
        <w:spacing w:after="0" w:line="243" w:lineRule="auto"/>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u w:val="single" w:color="auto"/>
            <w:color w:val="0000FF"/>
          </w:rPr>
          <w:t>Employee Confidentiality and Restrictive Covenant Agreement, amended as of October 10, 2016, is incorporated by reference from Exhibit 10.21(b)</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to the Company’s Annual Report on Form 10-K for the fiscal year ended December 31, 2016.</w:t>
        </w:r>
        <w:r>
          <w:rPr>
            <w:rFonts w:ascii="Times New Roman" w:cs="Times New Roman" w:eastAsia="Times New Roman" w:hAnsi="Times New Roman"/>
            <w:sz w:val="21"/>
            <w:szCs w:val="21"/>
            <w:color w:val="000000"/>
            <w:vertAlign w:val="superscript"/>
          </w:rPr>
          <w:t>+</w:t>
        </w:r>
      </w:hyperlink>
    </w:p>
    <w:p>
      <w:pPr>
        <w:spacing w:after="0" w:line="1" w:lineRule="exact"/>
        <w:rPr>
          <w:sz w:val="20"/>
          <w:szCs w:val="20"/>
          <w:color w:val="auto"/>
        </w:rPr>
      </w:pPr>
    </w:p>
    <w:p>
      <w:pPr>
        <w:ind w:left="1280" w:right="100"/>
        <w:spacing w:after="0" w:line="213" w:lineRule="auto"/>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u w:val="single" w:color="auto"/>
            <w:color w:val="0000FF"/>
          </w:rPr>
          <w:t>Employee Confidentiality and Restrictive Covenant Agreement, amended as of September 8, 2021, is incorporated by reference from Exhibit 10.1 to</w:t>
        </w:r>
      </w:hyperlink>
      <w:r>
        <w:rPr>
          <w:rFonts w:ascii="Times New Roman" w:cs="Times New Roman" w:eastAsia="Times New Roman" w:hAnsi="Times New Roman"/>
          <w:sz w:val="16"/>
          <w:szCs w:val="16"/>
          <w:u w:val="single" w:color="auto"/>
          <w:color w:val="0000FF"/>
        </w:rPr>
        <w:t xml:space="preserve"> </w:t>
      </w:r>
      <w:hyperlink r:id="rId262">
        <w:r>
          <w:rPr>
            <w:rFonts w:ascii="Times New Roman" w:cs="Times New Roman" w:eastAsia="Times New Roman" w:hAnsi="Times New Roman"/>
            <w:sz w:val="16"/>
            <w:szCs w:val="16"/>
            <w:u w:val="single" w:color="auto"/>
            <w:color w:val="0000FF"/>
          </w:rPr>
          <w:t>the Company’s Quarterly Report on Form 10-Q for the quarter ended October 4, 2021.</w:t>
        </w:r>
        <w:r>
          <w:rPr>
            <w:rFonts w:ascii="Times New Roman" w:cs="Times New Roman" w:eastAsia="Times New Roman" w:hAnsi="Times New Roman"/>
            <w:sz w:val="21"/>
            <w:szCs w:val="21"/>
            <w:color w:val="000000"/>
            <w:vertAlign w:val="superscript"/>
          </w:rPr>
          <w:t>+</w:t>
        </w:r>
      </w:hyperlink>
    </w:p>
    <w:p>
      <w:pPr>
        <w:ind w:left="1280" w:right="180" w:hanging="888"/>
        <w:spacing w:after="0" w:line="213" w:lineRule="auto"/>
        <w:tabs>
          <w:tab w:leader="none" w:pos="1260" w:val="left"/>
        </w:tabs>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u w:val="single" w:color="auto"/>
            <w:color w:val="0000FF"/>
          </w:rPr>
          <w:t>10.</w:t>
        </w:r>
      </w:hyperlink>
      <w:r>
        <w:rPr>
          <w:rFonts w:ascii="Times New Roman" w:cs="Times New Roman" w:eastAsia="Times New Roman" w:hAnsi="Times New Roman"/>
          <w:sz w:val="16"/>
          <w:szCs w:val="16"/>
          <w:u w:val="single" w:color="auto"/>
          <w:color w:val="0000FF"/>
        </w:rPr>
        <w:t>21</w:t>
        <w:tab/>
      </w:r>
      <w:hyperlink r:id="rId277">
        <w:r>
          <w:rPr>
            <w:rFonts w:ascii="Times New Roman" w:cs="Times New Roman" w:eastAsia="Times New Roman" w:hAnsi="Times New Roman"/>
            <w:sz w:val="16"/>
            <w:szCs w:val="16"/>
            <w:u w:val="single" w:color="auto"/>
            <w:color w:val="0000FF"/>
          </w:rPr>
          <w:t>Executive Employment Agreement, effective as of March 1, 2017, by and between the Company and Michele G. Buck is incorporated by reference</w:t>
        </w:r>
      </w:hyperlink>
      <w:r>
        <w:rPr>
          <w:rFonts w:ascii="Times New Roman" w:cs="Times New Roman" w:eastAsia="Times New Roman" w:hAnsi="Times New Roman"/>
          <w:sz w:val="16"/>
          <w:szCs w:val="16"/>
          <w:u w:val="single" w:color="auto"/>
          <w:color w:val="0000FF"/>
        </w:rPr>
        <w:t xml:space="preserve"> </w:t>
      </w:r>
      <w:hyperlink r:id="rId277">
        <w:r>
          <w:rPr>
            <w:rFonts w:ascii="Times New Roman" w:cs="Times New Roman" w:eastAsia="Times New Roman" w:hAnsi="Times New Roman"/>
            <w:sz w:val="16"/>
            <w:szCs w:val="16"/>
            <w:u w:val="single" w:color="auto"/>
            <w:color w:val="0000FF"/>
          </w:rPr>
          <w:t>from Exhibit 10.1 to the Company’s Current Report on Form 8-K/A filed February 24, 2017.</w:t>
        </w:r>
        <w:r>
          <w:rPr>
            <w:rFonts w:ascii="Times New Roman" w:cs="Times New Roman" w:eastAsia="Times New Roman" w:hAnsi="Times New Roman"/>
            <w:sz w:val="21"/>
            <w:szCs w:val="21"/>
            <w:color w:val="000000"/>
            <w:vertAlign w:val="superscript"/>
          </w:rPr>
          <w:t>+</w:t>
        </w:r>
      </w:hyperlink>
    </w:p>
    <w:p>
      <w:pPr>
        <w:ind w:left="380"/>
        <w:spacing w:after="0"/>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10.22</w:t>
      </w:r>
      <w:r>
        <w:rPr>
          <w:sz w:val="20"/>
          <w:szCs w:val="20"/>
          <w:color w:val="auto"/>
        </w:rPr>
        <w:tab/>
      </w:r>
      <w:r>
        <w:rPr>
          <w:rFonts w:ascii="Times New Roman" w:cs="Times New Roman" w:eastAsia="Times New Roman" w:hAnsi="Times New Roman"/>
          <w:sz w:val="16"/>
          <w:szCs w:val="16"/>
          <w:u w:val="single" w:color="auto"/>
          <w:color w:val="0000FF"/>
        </w:rPr>
        <w:t>The Company’s Directors’ Compensation Plan, Amended and Restated as of January 1, 2025.</w:t>
      </w:r>
      <w:r>
        <w:rPr>
          <w:rFonts w:ascii="Times New Roman" w:cs="Times New Roman" w:eastAsia="Times New Roman" w:hAnsi="Times New Roman"/>
          <w:sz w:val="16"/>
          <w:szCs w:val="16"/>
          <w:color w:val="000000"/>
        </w:rPr>
        <w:t>*</w:t>
      </w:r>
    </w:p>
    <w:p>
      <w:pPr>
        <w:spacing w:after="0" w:line="41" w:lineRule="exact"/>
        <w:rPr>
          <w:rFonts w:ascii="Times New Roman" w:cs="Times New Roman" w:eastAsia="Times New Roman" w:hAnsi="Times New Roman"/>
          <w:sz w:val="16"/>
          <w:szCs w:val="16"/>
          <w:u w:val="single" w:color="auto"/>
          <w:color w:val="0000FF"/>
        </w:rPr>
      </w:pPr>
    </w:p>
    <w:p>
      <w:pPr>
        <w:ind w:left="1280" w:right="20" w:hanging="793"/>
        <w:spacing w:after="0" w:line="245" w:lineRule="auto"/>
        <w:tabs>
          <w:tab w:leader="none" w:pos="1280" w:val="left"/>
        </w:tabs>
        <w:numPr>
          <w:ilvl w:val="0"/>
          <w:numId w:val="49"/>
        </w:numPr>
        <w:rPr>
          <w:rFonts w:ascii="Times New Roman" w:cs="Times New Roman" w:eastAsia="Times New Roman" w:hAnsi="Times New Roman"/>
          <w:sz w:val="16"/>
          <w:szCs w:val="16"/>
          <w:u w:val="single" w:color="auto"/>
          <w:color w:val="0000FF"/>
        </w:rPr>
      </w:pPr>
      <w:hyperlink r:id="rId278">
        <w:r>
          <w:rPr>
            <w:rFonts w:ascii="Times New Roman" w:cs="Times New Roman" w:eastAsia="Times New Roman" w:hAnsi="Times New Roman"/>
            <w:sz w:val="16"/>
            <w:szCs w:val="16"/>
            <w:u w:val="single" w:color="auto"/>
            <w:color w:val="0000FF"/>
          </w:rPr>
          <w:t>The Hershey Company Insider Trading Policy, Amended and Restated as of February 27, 2023, is incorporated herein by reference from Exhibit 19 to</w:t>
        </w:r>
      </w:hyperlink>
      <w:r>
        <w:rPr>
          <w:rFonts w:ascii="Times New Roman" w:cs="Times New Roman" w:eastAsia="Times New Roman" w:hAnsi="Times New Roman"/>
          <w:sz w:val="16"/>
          <w:szCs w:val="16"/>
          <w:u w:val="single" w:color="auto"/>
          <w:color w:val="0000FF"/>
        </w:rPr>
        <w:t xml:space="preserve"> </w:t>
      </w:r>
      <w:hyperlink r:id="rId278">
        <w:r>
          <w:rPr>
            <w:rFonts w:ascii="Times New Roman" w:cs="Times New Roman" w:eastAsia="Times New Roman" w:hAnsi="Times New Roman"/>
            <w:sz w:val="16"/>
            <w:szCs w:val="16"/>
            <w:u w:val="single" w:color="auto"/>
            <w:color w:val="0000FF"/>
          </w:rPr>
          <w:t>the Company’s Annual Report on Form 10-K filed February 20, 2024.</w:t>
        </w:r>
      </w:hyperlink>
    </w:p>
    <w:tbl>
      <w:tblPr>
        <w:tblLayout w:type="fixed"/>
        <w:tblInd w:w="420" w:type="dxa"/>
        <w:tblCellMar>
          <w:top w:w="0" w:type="dxa"/>
          <w:left w:w="0" w:type="dxa"/>
          <w:bottom w:w="0" w:type="dxa"/>
          <w:right w:w="0" w:type="dxa"/>
        </w:tblCellMar>
      </w:tblPr>
      <w:tr>
        <w:trPr>
          <w:trHeight w:val="178"/>
        </w:trPr>
        <w:tc>
          <w:tcPr>
            <w:tcW w:w="3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560" w:type="dxa"/>
            <w:vAlign w:val="bottom"/>
          </w:tcPr>
          <w:p>
            <w:pPr>
              <w:spacing w:after="0"/>
              <w:rPr>
                <w:sz w:val="15"/>
                <w:szCs w:val="15"/>
                <w:color w:val="auto"/>
              </w:rPr>
            </w:pPr>
          </w:p>
        </w:tc>
        <w:tc>
          <w:tcPr>
            <w:tcW w:w="9560" w:type="dxa"/>
            <w:vAlign w:val="bottom"/>
            <w:gridSpan w:val="5"/>
          </w:tcPr>
          <w:p>
            <w:pPr>
              <w:spacing w:after="0" w:line="178" w:lineRule="exact"/>
              <w:rPr>
                <w:sz w:val="20"/>
                <w:szCs w:val="20"/>
                <w:color w:val="auto"/>
              </w:rPr>
            </w:pPr>
            <w:r>
              <w:rPr>
                <w:rFonts w:ascii="Times New Roman" w:cs="Times New Roman" w:eastAsia="Times New Roman" w:hAnsi="Times New Roman"/>
                <w:sz w:val="16"/>
                <w:szCs w:val="16"/>
                <w:color w:val="0000FF"/>
              </w:rPr>
              <w:t>Subsidiaries of the Registrant.</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560" w:type="dxa"/>
            <w:vAlign w:val="bottom"/>
          </w:tcPr>
          <w:p>
            <w:pPr>
              <w:spacing w:after="0"/>
              <w:rPr>
                <w:sz w:val="17"/>
                <w:szCs w:val="17"/>
                <w:color w:val="auto"/>
              </w:rPr>
            </w:pPr>
          </w:p>
        </w:tc>
        <w:tc>
          <w:tcPr>
            <w:tcW w:w="95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Consent of Ernst &amp; Young LLP.</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5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Michele G. Buck, Chief Executive Officer, pursuant to Section 302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30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560" w:type="dxa"/>
            <w:vAlign w:val="bottom"/>
          </w:tcPr>
          <w:p>
            <w:pPr>
              <w:spacing w:after="0" w:line="20" w:lineRule="exact"/>
              <w:rPr>
                <w:sz w:val="1"/>
                <w:szCs w:val="1"/>
                <w:color w:val="auto"/>
              </w:rPr>
            </w:pPr>
          </w:p>
        </w:tc>
        <w:tc>
          <w:tcPr>
            <w:tcW w:w="1240" w:type="dxa"/>
            <w:vAlign w:val="bottom"/>
            <w:tcBorders>
              <w:top w:val="single" w:sz="8" w:color="0000FF"/>
            </w:tcBorders>
            <w:shd w:val="clear" w:color="auto" w:fill="0000FF"/>
          </w:tcPr>
          <w:p>
            <w:pPr>
              <w:spacing w:after="0" w:line="20" w:lineRule="exact"/>
              <w:rPr>
                <w:sz w:val="1"/>
                <w:szCs w:val="1"/>
                <w:color w:val="auto"/>
              </w:rPr>
            </w:pPr>
          </w:p>
        </w:tc>
        <w:tc>
          <w:tcPr>
            <w:tcW w:w="6480" w:type="dxa"/>
            <w:vAlign w:val="bottom"/>
            <w:tcBorders>
              <w:top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 w:type="dxa"/>
            <w:vAlign w:val="bottom"/>
            <w:tcBorders>
              <w:bottom w:val="single" w:sz="8" w:color="0000FF"/>
            </w:tcBorders>
            <w:vMerge w:val="continue"/>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5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80" w:type="dxa"/>
            <w:vAlign w:val="bottom"/>
            <w:gridSpan w:val="3"/>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Borders>
              <w:bottom w:val="single" w:sz="8" w:color="0000FF"/>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9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6918960</wp:posOffset>
            </wp:positionH>
            <wp:positionV relativeFrom="paragraph">
              <wp:posOffset>514350</wp:posOffset>
            </wp:positionV>
            <wp:extent cx="19685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57" w:lineRule="exact"/>
        <w:rPr>
          <w:rFonts w:ascii="Times New Roman" w:cs="Times New Roman" w:eastAsia="Times New Roman" w:hAnsi="Times New Roman"/>
          <w:sz w:val="16"/>
          <w:szCs w:val="16"/>
          <w:u w:val="single" w:color="auto"/>
          <w:color w:val="0000FF"/>
        </w:rPr>
      </w:pPr>
    </w:p>
    <w:p>
      <w:pPr>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104</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106" w:name="page107"/>
    <w:bookmarkEnd w:id="106"/>
    <w:p>
      <w:pPr>
        <w:spacing w:after="0" w:line="36" w:lineRule="exact"/>
        <w:rPr>
          <w:sz w:val="20"/>
          <w:szCs w:val="20"/>
          <w:color w:val="auto"/>
        </w:rPr>
      </w:pPr>
    </w:p>
    <w:p>
      <w:pPr>
        <w:ind w:left="1300" w:right="600" w:hanging="793"/>
        <w:spacing w:after="0" w:line="245" w:lineRule="auto"/>
        <w:tabs>
          <w:tab w:leader="none" w:pos="1300" w:val="left"/>
        </w:tabs>
        <w:numPr>
          <w:ilvl w:val="0"/>
          <w:numId w:val="50"/>
        </w:numPr>
        <w:rPr>
          <w:rFonts w:ascii="Times New Roman" w:cs="Times New Roman" w:eastAsia="Times New Roman" w:hAnsi="Times New Roman"/>
          <w:sz w:val="16"/>
          <w:szCs w:val="16"/>
          <w:u w:val="single" w:color="auto"/>
          <w:color w:val="0000FF"/>
        </w:rPr>
      </w:pPr>
      <w:hyperlink r:id="rId281">
        <w:r>
          <w:rPr>
            <w:rFonts w:ascii="Times New Roman" w:cs="Times New Roman" w:eastAsia="Times New Roman" w:hAnsi="Times New Roman"/>
            <w:sz w:val="16"/>
            <w:szCs w:val="16"/>
            <w:u w:val="single" w:color="auto"/>
            <w:color w:val="0000FF"/>
          </w:rPr>
          <w:t>The Hershey Company Compensation Recovery Policy, effective October 2, 2023, is incorporated herein by reference from Exhibit 97 to the</w:t>
        </w:r>
      </w:hyperlink>
      <w:r>
        <w:rPr>
          <w:rFonts w:ascii="Times New Roman" w:cs="Times New Roman" w:eastAsia="Times New Roman" w:hAnsi="Times New Roman"/>
          <w:sz w:val="16"/>
          <w:szCs w:val="16"/>
          <w:u w:val="single" w:color="auto"/>
          <w:color w:val="0000FF"/>
        </w:rPr>
        <w:t xml:space="preserve"> </w:t>
      </w:r>
      <w:hyperlink r:id="rId281">
        <w:r>
          <w:rPr>
            <w:rFonts w:ascii="Times New Roman" w:cs="Times New Roman" w:eastAsia="Times New Roman" w:hAnsi="Times New Roman"/>
            <w:sz w:val="16"/>
            <w:szCs w:val="16"/>
            <w:u w:val="single" w:color="auto"/>
            <w:color w:val="0000FF"/>
          </w:rPr>
          <w:t>Company’s Annual Report on Form 10-K filed February 20, 2024.</w:t>
        </w:r>
      </w:hyperlink>
    </w:p>
    <w:tbl>
      <w:tblPr>
        <w:tblLayout w:type="fixed"/>
        <w:tblInd w:w="280" w:type="dxa"/>
        <w:tblCellMar>
          <w:top w:w="0" w:type="dxa"/>
          <w:left w:w="0" w:type="dxa"/>
          <w:bottom w:w="0" w:type="dxa"/>
          <w:right w:w="0" w:type="dxa"/>
        </w:tblCellMar>
      </w:tblPr>
      <w:tr>
        <w:trPr>
          <w:trHeight w:val="165"/>
        </w:trPr>
        <w:tc>
          <w:tcPr>
            <w:tcW w:w="820" w:type="dxa"/>
            <w:vAlign w:val="bottom"/>
          </w:tcPr>
          <w:p>
            <w:pPr>
              <w:jc w:val="center"/>
              <w:ind w:right="119"/>
              <w:spacing w:after="0" w:line="165" w:lineRule="exact"/>
              <w:rPr>
                <w:sz w:val="20"/>
                <w:szCs w:val="20"/>
                <w:color w:val="auto"/>
              </w:rPr>
            </w:pPr>
            <w:r>
              <w:rPr>
                <w:rFonts w:ascii="Times New Roman" w:cs="Times New Roman" w:eastAsia="Times New Roman" w:hAnsi="Times New Roman"/>
                <w:sz w:val="16"/>
                <w:szCs w:val="16"/>
                <w:color w:val="auto"/>
              </w:rPr>
              <w:t>101.INS</w:t>
            </w:r>
          </w:p>
        </w:tc>
        <w:tc>
          <w:tcPr>
            <w:tcW w:w="9920" w:type="dxa"/>
            <w:vAlign w:val="bottom"/>
          </w:tcPr>
          <w:p>
            <w:pPr>
              <w:ind w:left="200"/>
              <w:spacing w:after="0" w:line="165"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0"/>
        </w:trPr>
        <w:tc>
          <w:tcPr>
            <w:tcW w:w="82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6"/>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101.SCH</w:t>
            </w:r>
          </w:p>
        </w:tc>
        <w:tc>
          <w:tcPr>
            <w:tcW w:w="9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29"/>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101.CAL</w:t>
            </w:r>
          </w:p>
        </w:tc>
        <w:tc>
          <w:tcPr>
            <w:tcW w:w="9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29"/>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101.LAB</w:t>
            </w:r>
          </w:p>
        </w:tc>
        <w:tc>
          <w:tcPr>
            <w:tcW w:w="9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230"/>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101.PRE</w:t>
            </w:r>
          </w:p>
        </w:tc>
        <w:tc>
          <w:tcPr>
            <w:tcW w:w="9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r>
        <w:trPr>
          <w:trHeight w:val="229"/>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101.DEF</w:t>
            </w:r>
          </w:p>
        </w:tc>
        <w:tc>
          <w:tcPr>
            <w:tcW w:w="9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bl>
    <w:p>
      <w:pPr>
        <w:spacing w:after="0" w:line="6" w:lineRule="exact"/>
        <w:rPr>
          <w:rFonts w:ascii="Times New Roman" w:cs="Times New Roman" w:eastAsia="Times New Roman" w:hAnsi="Times New Roman"/>
          <w:sz w:val="16"/>
          <w:szCs w:val="16"/>
          <w:u w:val="single" w:color="auto"/>
          <w:color w:val="0000FF"/>
        </w:rPr>
      </w:pPr>
    </w:p>
    <w:p>
      <w:pPr>
        <w:ind w:left="1300" w:right="440" w:hanging="833"/>
        <w:spacing w:after="0" w:line="245" w:lineRule="auto"/>
        <w:tabs>
          <w:tab w:leader="none" w:pos="1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Annual Report on Form 10-K for the fiscal year ended December 31, 2024, formatted in Inline XBRL and contained in Exhibit 101.</w:t>
      </w:r>
    </w:p>
    <w:p>
      <w:pPr>
        <w:spacing w:after="0" w:line="272" w:lineRule="exact"/>
        <w:rPr>
          <w:rFonts w:ascii="Times New Roman" w:cs="Times New Roman" w:eastAsia="Times New Roman" w:hAnsi="Times New Roman"/>
          <w:sz w:val="16"/>
          <w:szCs w:val="16"/>
          <w:u w:val="single" w:color="auto"/>
          <w:color w:val="0000FF"/>
        </w:rPr>
      </w:pPr>
    </w:p>
    <w:p>
      <w:pPr>
        <w:ind w:left="1300" w:hanging="752"/>
        <w:spacing w:after="0"/>
        <w:tabs>
          <w:tab w:leader="none" w:pos="13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u w:val="single" w:color="auto"/>
          <w:color w:val="0000FF"/>
        </w:rPr>
      </w:pPr>
    </w:p>
    <w:p>
      <w:pPr>
        <w:ind w:left="1300" w:hanging="793"/>
        <w:spacing w:after="0"/>
        <w:tabs>
          <w:tab w:leader="none" w:pos="13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2" w:lineRule="exact"/>
        <w:rPr>
          <w:rFonts w:ascii="Times New Roman" w:cs="Times New Roman" w:eastAsia="Times New Roman" w:hAnsi="Times New Roman"/>
          <w:sz w:val="16"/>
          <w:szCs w:val="16"/>
          <w:u w:val="single" w:color="auto"/>
          <w:color w:val="0000FF"/>
        </w:rPr>
      </w:pPr>
    </w:p>
    <w:p>
      <w:pPr>
        <w:ind w:left="1300" w:hanging="757"/>
        <w:spacing w:after="0"/>
        <w:tabs>
          <w:tab w:leader="none" w:pos="13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compensatory plan or arrangement</w:t>
      </w:r>
    </w:p>
    <w:p>
      <w:pPr>
        <w:spacing w:after="0" w:line="32" w:lineRule="exact"/>
        <w:rPr>
          <w:rFonts w:ascii="Times New Roman" w:cs="Times New Roman" w:eastAsia="Times New Roman" w:hAnsi="Times New Roman"/>
          <w:sz w:val="16"/>
          <w:szCs w:val="16"/>
          <w:u w:val="single" w:color="auto"/>
          <w:color w:val="0000FF"/>
        </w:rPr>
      </w:pPr>
    </w:p>
    <w:p>
      <w:pPr>
        <w:ind w:left="1300" w:hanging="752"/>
        <w:spacing w:after="0"/>
        <w:tabs>
          <w:tab w:leader="none" w:pos="13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Item 601(b)(10)(iv) of Regulation S-K</w:t>
      </w:r>
    </w:p>
    <w:p>
      <w:pPr>
        <w:spacing w:after="0" w:line="32" w:lineRule="exact"/>
        <w:rPr>
          <w:rFonts w:ascii="Times New Roman" w:cs="Times New Roman" w:eastAsia="Times New Roman" w:hAnsi="Times New Roman"/>
          <w:sz w:val="16"/>
          <w:szCs w:val="16"/>
          <w:u w:val="single" w:color="auto"/>
          <w:color w:val="0000FF"/>
        </w:rPr>
      </w:pPr>
    </w:p>
    <w:p>
      <w:pPr>
        <w:ind w:left="1300" w:hanging="752"/>
        <w:spacing w:after="0" w:line="245" w:lineRule="auto"/>
        <w:tabs>
          <w:tab w:leader="none" w:pos="13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rFonts w:ascii="Times New Roman" w:cs="Times New Roman" w:eastAsia="Times New Roman" w:hAnsi="Times New Roman"/>
          <w:sz w:val="16"/>
          <w:szCs w:val="16"/>
          <w:u w:val="single" w:color="auto"/>
          <w:color w:val="0000FF"/>
        </w:rPr>
      </w:pPr>
    </w:p>
    <w:p>
      <w:pPr>
        <w:spacing w:after="0" w:line="374" w:lineRule="exact"/>
        <w:rPr>
          <w:rFonts w:ascii="Times New Roman" w:cs="Times New Roman" w:eastAsia="Times New Roman" w:hAnsi="Times New Roman"/>
          <w:sz w:val="16"/>
          <w:szCs w:val="16"/>
          <w:u w:val="single" w:color="auto"/>
          <w:color w:val="0000FF"/>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94"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63" w:lineRule="exact"/>
        <w:rPr>
          <w:rFonts w:ascii="Times New Roman" w:cs="Times New Roman" w:eastAsia="Times New Roman" w:hAnsi="Times New Roman"/>
          <w:sz w:val="16"/>
          <w:szCs w:val="16"/>
          <w:u w:val="single" w:color="auto"/>
          <w:color w:val="0000FF"/>
        </w:rPr>
      </w:pPr>
    </w:p>
    <w:p>
      <w:pPr>
        <w:ind w:left="20"/>
        <w:spacing w:after="0"/>
        <w:tabs>
          <w:tab w:leader="none" w:pos="38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105</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Company has duly caused this report to be signed on its behalf by the undersigned, thereunto duly authorized, this 18th day of February, 2025.</w:t>
      </w:r>
    </w:p>
    <w:p>
      <w:pPr>
        <w:spacing w:after="0" w:line="7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THE HERSHEY COMPANY</w:t>
      </w:r>
    </w:p>
    <w:p>
      <w:pPr>
        <w:spacing w:after="0" w:line="27"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5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4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w:t>
      </w:r>
    </w:p>
    <w:p>
      <w:pPr>
        <w:spacing w:after="0" w:line="200" w:lineRule="exact"/>
        <w:rPr>
          <w:sz w:val="20"/>
          <w:szCs w:val="20"/>
          <w:color w:val="auto"/>
        </w:rPr>
      </w:pPr>
    </w:p>
    <w:p>
      <w:pPr>
        <w:spacing w:after="0" w:line="3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72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MICHELE G. BUCK</w:t>
            </w:r>
          </w:p>
        </w:tc>
        <w:tc>
          <w:tcPr>
            <w:tcW w:w="1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Michele G. Buck</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00" w:type="dxa"/>
            <w:vAlign w:val="bottom"/>
          </w:tcPr>
          <w:p>
            <w:pPr>
              <w:spacing w:after="0"/>
              <w:rPr>
                <w:sz w:val="17"/>
                <w:szCs w:val="17"/>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E. VOSKUIL</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E. Voskuil</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000" w:type="dxa"/>
            <w:vAlign w:val="bottom"/>
          </w:tcPr>
          <w:p>
            <w:pPr>
              <w:spacing w:after="0"/>
              <w:rPr>
                <w:sz w:val="17"/>
                <w:szCs w:val="17"/>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JENNIFER L. MCCALMAN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Chief Accounting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Jennifer L. McCalman</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000" w:type="dxa"/>
            <w:vAlign w:val="bottom"/>
          </w:tcPr>
          <w:p>
            <w:pPr>
              <w:spacing w:after="0"/>
              <w:rPr>
                <w:sz w:val="17"/>
                <w:szCs w:val="17"/>
                <w:color w:val="auto"/>
              </w:rPr>
            </w:pPr>
          </w:p>
        </w:tc>
      </w:tr>
      <w:tr>
        <w:trPr>
          <w:trHeight w:val="27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VICTOR L. CRAWFORD</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Lead Independent 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Victor L. Crawford</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MARY KAY HABEN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Mary Kay Haben</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 DIANE KOKEN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 Diane Koken</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71"/>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HUONG MARIA T. KRAUS</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Huong Maria T. Kraus</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71"/>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ROBERT M. MALCOLM</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 Malcolm</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KEVIN M. OZAN</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M. Ozan</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ANTHONY J. PALMER</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Anthony J. Palmer</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JUAN R. PEREZ</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Juan R. Perez</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79"/>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CORDEL ROBBIN-COKER</w:t>
            </w:r>
          </w:p>
        </w:tc>
        <w:tc>
          <w:tcPr>
            <w:tcW w:w="1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7"/>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Cordel Robbin-Coker</w:t>
            </w:r>
          </w:p>
        </w:tc>
        <w:tc>
          <w:tcPr>
            <w:tcW w:w="1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685165</wp:posOffset>
            </wp:positionV>
            <wp:extent cx="19685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Additions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5"/>
                <w:szCs w:val="15"/>
                <w:b w:val="1"/>
                <w:bCs w:val="1"/>
                <w:color w:val="auto"/>
              </w:rPr>
              <w:t>Charged to</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73"/>
              <w:spacing w:after="0" w:line="149" w:lineRule="exact"/>
              <w:rPr>
                <w:sz w:val="20"/>
                <w:szCs w:val="20"/>
                <w:color w:val="auto"/>
              </w:rPr>
            </w:pPr>
            <w:r>
              <w:rPr>
                <w:rFonts w:ascii="Times New Roman" w:cs="Times New Roman" w:eastAsia="Times New Roman" w:hAnsi="Times New Roman"/>
                <w:sz w:val="15"/>
                <w:szCs w:val="15"/>
                <w:b w:val="1"/>
                <w:bCs w:val="1"/>
                <w:color w:val="auto"/>
              </w:rPr>
              <w:t>Charged to</w:t>
            </w:r>
          </w:p>
        </w:tc>
        <w:tc>
          <w:tcPr>
            <w:tcW w:w="120" w:type="dxa"/>
            <w:vAlign w:val="bottom"/>
          </w:tcPr>
          <w:p>
            <w:pPr>
              <w:spacing w:after="0"/>
              <w:rPr>
                <w:sz w:val="12"/>
                <w:szCs w:val="12"/>
                <w:color w:val="auto"/>
              </w:rPr>
            </w:pPr>
          </w:p>
        </w:tc>
        <w:tc>
          <w:tcPr>
            <w:tcW w:w="13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Deductions from</w:t>
            </w:r>
          </w:p>
        </w:tc>
        <w:tc>
          <w:tcPr>
            <w:tcW w:w="100" w:type="dxa"/>
            <w:vAlign w:val="bottom"/>
          </w:tcPr>
          <w:p>
            <w:pPr>
              <w:spacing w:after="0"/>
              <w:rPr>
                <w:sz w:val="12"/>
                <w:szCs w:val="12"/>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5"/>
                <w:szCs w:val="15"/>
                <w:b w:val="1"/>
                <w:bCs w:val="1"/>
                <w:color w:val="auto"/>
              </w:rPr>
              <w:t>Balance at End</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Beginning of</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Costs and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Accounts</w:t>
            </w: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Reserves</w:t>
            </w:r>
          </w:p>
        </w:tc>
        <w:tc>
          <w:tcPr>
            <w:tcW w:w="10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5"/>
                <w:szCs w:val="15"/>
                <w:b w:val="1"/>
                <w:bCs w:val="1"/>
                <w:color w:val="auto"/>
              </w:rPr>
              <w:t>of Period</w:t>
            </w:r>
          </w:p>
        </w:tc>
        <w:tc>
          <w:tcPr>
            <w:tcW w:w="0" w:type="dxa"/>
            <w:vAlign w:val="bottom"/>
          </w:tcPr>
          <w:p>
            <w:pPr>
              <w:spacing w:after="0"/>
              <w:rPr>
                <w:sz w:val="1"/>
                <w:szCs w:val="1"/>
                <w:color w:val="auto"/>
              </w:rPr>
            </w:pPr>
          </w:p>
        </w:tc>
      </w:tr>
      <w:tr>
        <w:trPr>
          <w:trHeight w:val="200"/>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40,487</w:t>
            </w: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Valuation allowance on net deferred taxes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117,239</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obsolescence reserve (c)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44,705</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allowances deducted from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(291,853)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202,431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(242,360)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 on net deferred taxes (b)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114,149</w:t>
            </w: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obsolescence reserve (c)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41,839</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allowances deducted from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Valuation allowance on net deferred taxes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137,531</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obsolescence reserve (c)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allowances deducted from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(322,857)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192,886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80" w:hanging="249"/>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allowances for doubtful accounts, anticipated discounts and write-offs of uncollectible accounts receivable.</w:t>
      </w:r>
    </w:p>
    <w:p>
      <w:pPr>
        <w:spacing w:after="0" w:line="27" w:lineRule="exact"/>
        <w:rPr>
          <w:rFonts w:ascii="Times New Roman" w:cs="Times New Roman" w:eastAsia="Times New Roman" w:hAnsi="Times New Roman"/>
          <w:sz w:val="18"/>
          <w:szCs w:val="18"/>
          <w:color w:val="auto"/>
        </w:rPr>
      </w:pPr>
    </w:p>
    <w:p>
      <w:pPr>
        <w:ind w:left="240" w:right="820" w:hanging="9"/>
        <w:spacing w:after="0" w:line="250" w:lineRule="auto"/>
        <w:tabs>
          <w:tab w:leader="none" w:pos="4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adjustments to the valuation allowance for deferred tax assets that we do not expect to realize, as well as the release of valuation allowances.</w:t>
      </w:r>
    </w:p>
    <w:p>
      <w:pPr>
        <w:ind w:left="480" w:hanging="249"/>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adjustments to the inventory reserve, transfers, disposals and write-offs of obsolete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1120140</wp:posOffset>
            </wp:positionV>
            <wp:extent cx="19685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2024 Form 10-K | Page 107</w:t>
      </w:r>
    </w:p>
    <w:p>
      <w:pPr>
        <w:sectPr>
          <w:pgSz w:w="11900" w:h="16838" w:orient="portrait"/>
          <w:cols w:equalWidth="0" w:num="1">
            <w:col w:w="11180"/>
          </w:cols>
          <w:pgMar w:left="340" w:top="1251" w:right="3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THE HERSHEY COMPANY</w:t>
      </w:r>
    </w:p>
    <w:p>
      <w:pPr>
        <w:spacing w:after="0" w:line="17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DIRECTORS’ COMPENSATION PLAN</w:t>
      </w:r>
    </w:p>
    <w:p>
      <w:pPr>
        <w:spacing w:after="0" w:line="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(Amended and Restated Effective as of January 1, 2025)</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PURPOSE</w:t>
      </w:r>
    </w:p>
    <w:p>
      <w:pPr>
        <w:jc w:val="both"/>
        <w:ind w:firstLine="755"/>
        <w:spacing w:after="0" w:line="230" w:lineRule="auto"/>
        <w:rPr>
          <w:sz w:val="20"/>
          <w:szCs w:val="20"/>
          <w:color w:val="auto"/>
        </w:rPr>
      </w:pPr>
      <w:r>
        <w:rPr>
          <w:rFonts w:ascii="Times New Roman" w:cs="Times New Roman" w:eastAsia="Times New Roman" w:hAnsi="Times New Roman"/>
          <w:sz w:val="22"/>
          <w:szCs w:val="22"/>
          <w:color w:val="auto"/>
        </w:rPr>
        <w:t>The purposes of the Directors’ Compensation Plan (“Plan”) are to provide Directors of The Hershey Company (“Company”) with payment alternatives for the retainer and fees payable for services as members of the Board of Directors (“Board”) of the Company or as a chair of any committee thereof (together, “Director Fees”), to provide Directors the opportunity to elect to receive all or a portion of the Directors Fees in Deferred Stock Units (“DSUs”), each representing an obligation of the Company to issue one share of common stock of the Company, $1.00 par value per share (“Common Stock”), and to promote the alignment of interests between such Directors and the stockholders of the Company by paying a portion of each Director’s compensation in Restricted Stock Units (“RSUs”), each RSU representing an obligation of the Company to issue one share of Common Stock. The Plan is intended to comply with Internal Revenue Code (“Code”) section 409A and official guidance issued thereunder (collectively, “Section 409A”). Notwithstanding anything herein to the contrary, this Plan shall be interpreted, operated and administered in a manner consistent with this intention.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ELIGIBILITY</w:t>
      </w:r>
    </w:p>
    <w:p>
      <w:pPr>
        <w:spacing w:after="0" w:line="233" w:lineRule="exact"/>
        <w:rPr>
          <w:sz w:val="20"/>
          <w:szCs w:val="20"/>
          <w:color w:val="auto"/>
        </w:rPr>
      </w:pPr>
    </w:p>
    <w:p>
      <w:pPr>
        <w:jc w:val="both"/>
        <w:ind w:firstLine="755"/>
        <w:spacing w:after="0" w:line="244" w:lineRule="auto"/>
        <w:rPr>
          <w:sz w:val="20"/>
          <w:szCs w:val="20"/>
          <w:color w:val="auto"/>
        </w:rPr>
      </w:pPr>
      <w:r>
        <w:rPr>
          <w:rFonts w:ascii="Times New Roman" w:cs="Times New Roman" w:eastAsia="Times New Roman" w:hAnsi="Times New Roman"/>
          <w:sz w:val="22"/>
          <w:szCs w:val="22"/>
          <w:color w:val="auto"/>
        </w:rPr>
        <w:t>Any Director of the Company who is not an employee of the Company or any of its subsidiaries shall be eligible to participate in the Plan. Except as the context may otherwise require, references in this Plan to a “Director” shall mean only those directors of the Company who are participants in the Plan.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PAYMENT</w:t>
      </w:r>
    </w:p>
    <w:p>
      <w:pPr>
        <w:spacing w:after="0" w:line="229" w:lineRule="exact"/>
        <w:rPr>
          <w:sz w:val="20"/>
          <w:szCs w:val="20"/>
          <w:color w:val="auto"/>
        </w:rPr>
      </w:pPr>
    </w:p>
    <w:p>
      <w:pPr>
        <w:jc w:val="both"/>
        <w:ind w:left="660" w:hanging="328"/>
        <w:spacing w:after="0" w:line="239"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Director Fees. </w:t>
      </w:r>
      <w:r>
        <w:rPr>
          <w:rFonts w:ascii="Times New Roman" w:cs="Times New Roman" w:eastAsia="Times New Roman" w:hAnsi="Times New Roman"/>
          <w:sz w:val="22"/>
          <w:szCs w:val="22"/>
          <w:color w:val="auto"/>
        </w:rPr>
        <w:t>A Director shall be entitled to Director Fees, in such amounts as shall be determined from time to time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Board, for services on the Board and as a chair of any committee of the Board. Pursuant to Section 4 hereof, and in accordance with Plan rules, a Director may elect to have payment of Directors Fees made currently in cash and/or Common Stock or deferred for subsequent payment in cash or Common Stock; provided that if paid currently, fees payable for services as a chair of any committee of the Board shall be payable only in cash. Any shares of Common Stock payable under this Section 3(a) shall be paid by the issuance to the Director of a number of shares of Common Stock equal to the cash amount of the </w:t>
      </w:r>
      <w:r>
        <w:rPr>
          <w:rFonts w:ascii="Times New Roman" w:cs="Times New Roman" w:eastAsia="Times New Roman" w:hAnsi="Times New Roman"/>
          <w:sz w:val="19"/>
          <w:szCs w:val="19"/>
          <w:color w:val="auto"/>
        </w:rPr>
        <w:t>retainer and/or fees so payable divided by the Fair Market Value of one share of 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as defined in Section 12 hereof, as of the date of the payment. Any fractional share of Common Stock resulting from such payment shall be rounded to the nearest whole share. The Company shall issue share certificates to the Director for the shares of Common Stock acquired or, if requested in writing by the Director and permitted under the Company’s Automatic Dividend Reinvestment Plan, the shares acquired shall be added to the Director’s</w:t>
      </w: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account under such plan. As of the date on which the part or whole of the retainer and/or fees is payable in shares of Common Stock, the Director shall be a stockholder of the Company with respect to such shares. Unless otherwise elected in Section 4, any remaining Director Fees shall be payable in cash.</w:t>
      </w:r>
    </w:p>
    <w:p>
      <w:pPr>
        <w:spacing w:after="0" w:line="179" w:lineRule="exact"/>
        <w:rPr>
          <w:sz w:val="20"/>
          <w:szCs w:val="20"/>
          <w:color w:val="auto"/>
        </w:rPr>
      </w:pPr>
    </w:p>
    <w:p>
      <w:pPr>
        <w:jc w:val="both"/>
        <w:ind w:left="660" w:hanging="328"/>
        <w:spacing w:after="0" w:line="238"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Restricted Stock Units. </w:t>
      </w:r>
      <w:r>
        <w:rPr>
          <w:rFonts w:ascii="Times New Roman" w:cs="Times New Roman" w:eastAsia="Times New Roman" w:hAnsi="Times New Roman"/>
          <w:sz w:val="22"/>
          <w:szCs w:val="22"/>
          <w:color w:val="auto"/>
        </w:rPr>
        <w:t>A Director shall also be entitled to receive RSUs, in such amounts as shall be determined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by the Board, for services on the Board. Unless otherwise directed by the Board, RSUs shall be awarded to each Director on the first day of January, April, July and October. The number of full and fractional RSUs so awarded shall be determined by dividing such amount by the Fair Market Value of one share of Common Stock on the date of the award.</w:t>
      </w:r>
    </w:p>
    <w:p>
      <w:pPr>
        <w:spacing w:after="0" w:line="208" w:lineRule="exact"/>
        <w:rPr>
          <w:sz w:val="20"/>
          <w:szCs w:val="20"/>
          <w:color w:val="auto"/>
        </w:rPr>
      </w:pPr>
    </w:p>
    <w:p>
      <w:pPr>
        <w:jc w:val="both"/>
        <w:ind w:firstLine="649"/>
        <w:spacing w:after="0" w:line="243" w:lineRule="auto"/>
        <w:rPr>
          <w:sz w:val="20"/>
          <w:szCs w:val="20"/>
          <w:color w:val="auto"/>
        </w:rPr>
      </w:pPr>
      <w:r>
        <w:rPr>
          <w:rFonts w:ascii="Times New Roman" w:cs="Times New Roman" w:eastAsia="Times New Roman" w:hAnsi="Times New Roman"/>
          <w:sz w:val="21"/>
          <w:szCs w:val="21"/>
          <w:color w:val="auto"/>
        </w:rPr>
        <w:t>Directors whose membership on the Board commences on a day which is not the first day of any January, April, July or October, shall be awarded a pro rata number of RSUs with respect to the quarter during which the Director joined the Board equal to the number of RSUs awarded to each Director who was a member of the Board on the first day of the applicable quarter, multiplied by a fraction, the numerator of which equals the number of days remaining in the quarter after the first day on which such Director became a member of the Board, and the denominator of which equals the total number of days in the quarter.</w:t>
      </w:r>
    </w:p>
    <w:p>
      <w:pPr>
        <w:spacing w:after="0" w:line="3" w:lineRule="exact"/>
        <w:rPr>
          <w:sz w:val="20"/>
          <w:szCs w:val="20"/>
          <w:color w:val="auto"/>
        </w:rPr>
      </w:pPr>
    </w:p>
    <w:p>
      <w:pPr>
        <w:jc w:val="both"/>
        <w:ind w:firstLine="649"/>
        <w:spacing w:after="0" w:line="254" w:lineRule="auto"/>
        <w:rPr>
          <w:sz w:val="20"/>
          <w:szCs w:val="20"/>
          <w:color w:val="auto"/>
        </w:rPr>
      </w:pPr>
      <w:r>
        <w:rPr>
          <w:rFonts w:ascii="Times New Roman" w:cs="Times New Roman" w:eastAsia="Times New Roman" w:hAnsi="Times New Roman"/>
          <w:sz w:val="20"/>
          <w:szCs w:val="20"/>
          <w:color w:val="auto"/>
        </w:rPr>
        <w:t>A Restricted Stock Unit Account shall be established on the books of the Company in the name of each Director. During the period of the Director’s membership on the Board, the Director’s Restricted Stock Unit Account shall be subject to credits, adjustment and substitution to reflect any dividend or other distribution on the outstanding Common Stock or any split or consolidation or other change affecting the Common Stock. Any such credit, adjustment or substitution shall be made in a manner similar to that set forth in Section 6(a) and 6(b) with respect to Deferred Stock Compensation Accounts. RSUs awarded (together with credits, adjustments or substitutions attributable thereto) shall vest upon the first anniversary of the day upon which such RSUs were awarded, or such other date or dates as set forth by the Board at the time of the award; provided, that the vesting of such RSUs shall be accelerated to the date of termination of the Director’s membership on the Board by reason of retirement, death or disability, or for any reason following a Change in Control (as defined in the Company’s Executive Benefits Protection Plan (Group 3A)), or such other circumstances as the Board, in its sole discretion, shall at any time determine. In the case of a Director who is also a director of Hershey Trust Company, the vesting of RSUs shall be accelerated to the date of termination of such Director’s membership on the Board in the event such Director is not renominated for election to the Board due to, as a result of, or in anticipation of, the expiration of any term limit applicable to directors of Hershey Trust Company. For purposes of this Plan, termination of a Director’s membership on the Board at anytime following the Director’s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birthday or following the Director’s completion of 13 years of service as a member of the Board shall be deemed a retirement. The portion of a Director’s Restricted Stock Unit Account attributable to RSUs which becomes vested in accordance with the second preceding sentence shall, unless deferred by the Director into the Director’s Deferred Stock Compensation Account pursuant to an election made under Section 4, be paid in a lump sum in accordance with Section 7(c).</w:t>
      </w:r>
    </w:p>
    <w:p>
      <w:pPr>
        <w:spacing w:after="0" w:line="200" w:lineRule="exact"/>
        <w:rPr>
          <w:sz w:val="20"/>
          <w:szCs w:val="20"/>
          <w:color w:val="auto"/>
        </w:rPr>
      </w:pPr>
    </w:p>
    <w:p>
      <w:pPr>
        <w:spacing w:after="0" w:line="242" w:lineRule="exact"/>
        <w:rPr>
          <w:sz w:val="20"/>
          <w:szCs w:val="20"/>
          <w:color w:val="auto"/>
        </w:rPr>
      </w:pPr>
    </w:p>
    <w:p>
      <w:pPr>
        <w:jc w:val="both"/>
        <w:ind w:firstLine="650"/>
        <w:spacing w:after="0" w:line="234" w:lineRule="auto"/>
        <w:rPr>
          <w:sz w:val="20"/>
          <w:szCs w:val="20"/>
          <w:color w:val="auto"/>
        </w:rPr>
      </w:pPr>
      <w:r>
        <w:rPr>
          <w:rFonts w:ascii="Times New Roman" w:cs="Times New Roman" w:eastAsia="Times New Roman" w:hAnsi="Times New Roman"/>
          <w:sz w:val="22"/>
          <w:szCs w:val="22"/>
          <w:color w:val="auto"/>
        </w:rPr>
        <w:t>If payment hereunder would result in the issuance of a fractional share of Common Stock, such fractional share shall be issued to the Director. The Company shall issue share certificates to the Director, or the Director’s designated beneficiary, for the shares of Common Stock represented by the Director’s vested RSUs, or if requested in writing by the Director and permitted under the Company’s Automatic Dividend Reinvestment Plan, the shares to be distributed shall be added to the Director’s account under such plan. As of the date on which the Director is entitled to receive payment of shares of Common Stock, a Director shall be a stockholder of the Company with respect to such shares.</w:t>
      </w: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ELECTIONS</w:t>
      </w:r>
    </w:p>
    <w:p>
      <w:pPr>
        <w:spacing w:after="0" w:line="229" w:lineRule="exact"/>
        <w:rPr>
          <w:sz w:val="20"/>
          <w:szCs w:val="20"/>
          <w:color w:val="auto"/>
        </w:rPr>
      </w:pPr>
    </w:p>
    <w:p>
      <w:pPr>
        <w:ind w:left="1300" w:hanging="320"/>
        <w:spacing w:after="0" w:line="262" w:lineRule="auto"/>
        <w:tabs>
          <w:tab w:leader="none" w:pos="128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Director Fee Payment and RSU Payment Alternatives. </w:t>
      </w:r>
      <w:r>
        <w:rPr>
          <w:rFonts w:ascii="Times New Roman" w:cs="Times New Roman" w:eastAsia="Times New Roman" w:hAnsi="Times New Roman"/>
          <w:sz w:val="22"/>
          <w:szCs w:val="22"/>
          <w:color w:val="auto"/>
        </w:rPr>
        <w:t>A Director may elect any one of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alternatives with respect to payment of Director Fees and RSUs:</w:t>
      </w:r>
    </w:p>
    <w:p>
      <w:pPr>
        <w:spacing w:after="0" w:line="181" w:lineRule="exact"/>
        <w:rPr>
          <w:sz w:val="20"/>
          <w:szCs w:val="20"/>
          <w:color w:val="auto"/>
        </w:rPr>
      </w:pPr>
    </w:p>
    <w:p>
      <w:pPr>
        <w:ind w:left="1960" w:right="20" w:hanging="436"/>
        <w:spacing w:after="0" w:line="258" w:lineRule="auto"/>
        <w:tabs>
          <w:tab w:leader="none" w:pos="1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receive currently full payment of Director Fees in cash and/or Common Stock, as set forth in Section 3(a) above, on the date or dates on which the Director Fees are payable;</w:t>
      </w:r>
    </w:p>
    <w:p>
      <w:pPr>
        <w:spacing w:after="0" w:line="185" w:lineRule="exact"/>
        <w:rPr>
          <w:sz w:val="20"/>
          <w:szCs w:val="20"/>
          <w:color w:val="auto"/>
        </w:rPr>
      </w:pPr>
    </w:p>
    <w:p>
      <w:pPr>
        <w:ind w:left="1960" w:hanging="436"/>
        <w:spacing w:after="0" w:line="258" w:lineRule="auto"/>
        <w:tabs>
          <w:tab w:leader="none" w:pos="1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defer payment of all or a portion of the Director Fees for subsequent payment in cash (a “Cash Deferral Election”);</w:t>
      </w:r>
    </w:p>
    <w:p>
      <w:pPr>
        <w:spacing w:after="0" w:line="185" w:lineRule="exact"/>
        <w:rPr>
          <w:sz w:val="20"/>
          <w:szCs w:val="20"/>
          <w:color w:val="auto"/>
        </w:rPr>
      </w:pPr>
    </w:p>
    <w:p>
      <w:pPr>
        <w:ind w:left="1960" w:right="20" w:hanging="436"/>
        <w:spacing w:after="0" w:line="258" w:lineRule="auto"/>
        <w:tabs>
          <w:tab w:leader="none" w:pos="1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defer payment of all or a portion of the Director Fees for subsequent payment in shares of Common Stock (a “Stock Deferral Election”);</w:t>
      </w:r>
    </w:p>
    <w:p>
      <w:pPr>
        <w:spacing w:after="0" w:line="185" w:lineRule="exact"/>
        <w:rPr>
          <w:sz w:val="20"/>
          <w:szCs w:val="20"/>
          <w:color w:val="auto"/>
        </w:rPr>
      </w:pPr>
    </w:p>
    <w:p>
      <w:pPr>
        <w:ind w:left="1960" w:hanging="436"/>
        <w:spacing w:after="0" w:line="245" w:lineRule="auto"/>
        <w:tabs>
          <w:tab w:leader="none" w:pos="1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defer payment of all or a portion of the RSUs for subsequent payment in shares of Common Stock (also a “Stock Deferral Election”); or</w:t>
      </w:r>
    </w:p>
    <w:p>
      <w:pPr>
        <w:spacing w:after="0" w:line="199" w:lineRule="exact"/>
        <w:rPr>
          <w:sz w:val="20"/>
          <w:szCs w:val="20"/>
          <w:color w:val="auto"/>
        </w:rPr>
      </w:pPr>
    </w:p>
    <w:p>
      <w:pPr>
        <w:ind w:left="1960" w:hanging="436"/>
        <w:spacing w:after="0"/>
        <w:tabs>
          <w:tab w:leader="none" w:pos="19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combination of (2), (3) and (4).</w:t>
      </w:r>
    </w:p>
    <w:p>
      <w:pPr>
        <w:spacing w:after="0" w:line="14" w:lineRule="exact"/>
        <w:rPr>
          <w:rFonts w:ascii="Times New Roman" w:cs="Times New Roman" w:eastAsia="Times New Roman" w:hAnsi="Times New Roman"/>
          <w:sz w:val="20"/>
          <w:szCs w:val="20"/>
          <w:color w:val="auto"/>
        </w:rPr>
      </w:pPr>
    </w:p>
    <w:p>
      <w:pPr>
        <w:ind w:left="1300" w:right="20" w:hanging="320"/>
        <w:spacing w:after="0" w:line="230" w:lineRule="auto"/>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General Section 409A Definitions</w:t>
      </w:r>
      <w:r>
        <w:rPr>
          <w:rFonts w:ascii="Times New Roman" w:cs="Times New Roman" w:eastAsia="Times New Roman" w:hAnsi="Times New Roman"/>
          <w:sz w:val="22"/>
          <w:szCs w:val="22"/>
          <w:color w:val="auto"/>
        </w:rPr>
        <w:t>. For purposes of this Plan, the following words shall have the meanings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below:</w:t>
      </w:r>
    </w:p>
    <w:p>
      <w:pPr>
        <w:spacing w:after="0" w:line="1" w:lineRule="exact"/>
        <w:rPr>
          <w:rFonts w:ascii="Times New Roman" w:cs="Times New Roman" w:eastAsia="Times New Roman" w:hAnsi="Times New Roman"/>
          <w:sz w:val="20"/>
          <w:szCs w:val="20"/>
          <w:color w:val="auto"/>
        </w:rPr>
      </w:pPr>
    </w:p>
    <w:p>
      <w:pPr>
        <w:ind w:left="1960" w:right="420" w:hanging="436"/>
        <w:spacing w:after="0" w:line="230" w:lineRule="auto"/>
        <w:tabs>
          <w:tab w:leader="none" w:pos="19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 in Control Event” means an event described in IRS regulations or other guidance under Code section 409A(a)(2)(A)(v).</w:t>
      </w:r>
    </w:p>
    <w:p>
      <w:pPr>
        <w:spacing w:after="0" w:line="1" w:lineRule="exact"/>
        <w:rPr>
          <w:sz w:val="20"/>
          <w:szCs w:val="20"/>
          <w:color w:val="auto"/>
        </w:rPr>
      </w:pPr>
    </w:p>
    <w:p>
      <w:pPr>
        <w:ind w:left="1960" w:right="640" w:hanging="491"/>
        <w:spacing w:after="0" w:line="237" w:lineRule="auto"/>
        <w:tabs>
          <w:tab w:leader="none" w:pos="19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“Separation from Service” or “Separate from Service” means a “separation from service” within the meaning of Code section 409A(a)(2)(A)(i).</w:t>
      </w:r>
    </w:p>
    <w:p>
      <w:pPr>
        <w:spacing w:after="0" w:line="201" w:lineRule="exact"/>
        <w:rPr>
          <w:rFonts w:ascii="Times New Roman" w:cs="Times New Roman" w:eastAsia="Times New Roman" w:hAnsi="Times New Roman"/>
          <w:sz w:val="20"/>
          <w:szCs w:val="20"/>
          <w:color w:val="auto"/>
        </w:rPr>
      </w:pPr>
    </w:p>
    <w:p>
      <w:pPr>
        <w:jc w:val="both"/>
        <w:ind w:left="1300" w:hanging="320"/>
        <w:spacing w:after="0" w:line="232" w:lineRule="auto"/>
        <w:tabs>
          <w:tab w:leader="none" w:pos="128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Filing and Effectiveness of Elections. </w:t>
      </w:r>
      <w:r>
        <w:rPr>
          <w:rFonts w:ascii="Times New Roman" w:cs="Times New Roman" w:eastAsia="Times New Roman" w:hAnsi="Times New Roman"/>
          <w:sz w:val="22"/>
          <w:szCs w:val="22"/>
          <w:color w:val="auto"/>
        </w:rPr>
        <w:t>The election by a Director to receive payment of Director Fees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set forth in Section 4(a)(1) on the date on which the Director Fees are otherwise payable, or to receive payment of shares of Common Stock attributable to the RSUs other than on the date on which the shares are otherwise payable, is made by filing with the Secretary of the Company, or its delegate, a Notice of Election in the form prescribed by the Company (an “Election”), including filing such Election electronically. In order to be effective for any calendar year, an Election must be received by the Secretary of the Company, or its delegate, on or before December 31 of the preceding calendar year. An Election may not be </w:t>
      </w:r>
      <w:r>
        <w:rPr>
          <w:rFonts w:ascii="Times New Roman" w:cs="Times New Roman" w:eastAsia="Times New Roman" w:hAnsi="Times New Roman"/>
          <w:sz w:val="19"/>
          <w:szCs w:val="19"/>
          <w:color w:val="auto"/>
        </w:rPr>
        <w:t>modified or terminated after the beginning of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calendar year for which it is </w:t>
      </w:r>
      <w:r>
        <w:rPr>
          <w:rFonts w:ascii="Times New Roman" w:cs="Times New Roman" w:eastAsia="Times New Roman" w:hAnsi="Times New Roman"/>
          <w:sz w:val="21"/>
          <w:szCs w:val="21"/>
          <w:color w:val="auto"/>
        </w:rPr>
        <w:t>effective.</w:t>
      </w:r>
    </w:p>
    <w:p>
      <w:pPr>
        <w:spacing w:after="0" w:line="2" w:lineRule="exact"/>
        <w:rPr>
          <w:sz w:val="20"/>
          <w:szCs w:val="20"/>
          <w:color w:val="auto"/>
        </w:rPr>
      </w:pPr>
    </w:p>
    <w:p>
      <w:pPr>
        <w:jc w:val="both"/>
        <w:ind w:firstLine="756"/>
        <w:spacing w:after="0" w:line="249" w:lineRule="auto"/>
        <w:rPr>
          <w:sz w:val="20"/>
          <w:szCs w:val="20"/>
          <w:color w:val="auto"/>
        </w:rPr>
      </w:pPr>
      <w:r>
        <w:rPr>
          <w:rFonts w:ascii="Times New Roman" w:cs="Times New Roman" w:eastAsia="Times New Roman" w:hAnsi="Times New Roman"/>
          <w:sz w:val="21"/>
          <w:szCs w:val="21"/>
          <w:color w:val="auto"/>
        </w:rPr>
        <w:t>Notwithstanding the foregoing, a Director may file a Notice of Election on or before 30 days after the Director’s initial election to the office of Director, provided that the Election shall be irrevocable and effective as of 30 days after the Director’s initial election and such Election shall apply as of the first day of the next calendar quarter for the remainder of the calendar year.</w:t>
      </w:r>
    </w:p>
    <w:p>
      <w:pPr>
        <w:spacing w:after="0" w:line="196" w:lineRule="exact"/>
        <w:rPr>
          <w:sz w:val="20"/>
          <w:szCs w:val="20"/>
          <w:color w:val="auto"/>
        </w:rPr>
      </w:pPr>
    </w:p>
    <w:p>
      <w:pPr>
        <w:jc w:val="both"/>
        <w:ind w:firstLine="756"/>
        <w:spacing w:after="0" w:line="236" w:lineRule="auto"/>
        <w:rPr>
          <w:sz w:val="20"/>
          <w:szCs w:val="20"/>
          <w:color w:val="auto"/>
        </w:rPr>
      </w:pPr>
      <w:r>
        <w:rPr>
          <w:rFonts w:ascii="Times New Roman" w:cs="Times New Roman" w:eastAsia="Times New Roman" w:hAnsi="Times New Roman"/>
          <w:sz w:val="22"/>
          <w:szCs w:val="22"/>
          <w:color w:val="auto"/>
        </w:rPr>
        <w:t>A Director must file a new Notice of Election on or before December 31 immediately preceding the next calendar year for such calendar year. If no new Notice of Election is made, then Director Fees earned or RSUs which vest at any time for which an Election is not effective shall be paid as set forth in Section 4(a)(1) on the date when the Director Fees or Section 7 on the date the</w:t>
      </w: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shares attributable to such RSUs are otherwise payable, as applicable. Any Election shall terminate on the date a Director Separates from Service. In addition to establishing the amount of each year’s deferral, a Director may elect from the following time and form of payment alternatives:</w:t>
      </w:r>
    </w:p>
    <w:p>
      <w:pPr>
        <w:spacing w:after="0" w:line="200" w:lineRule="exact"/>
        <w:rPr>
          <w:sz w:val="20"/>
          <w:szCs w:val="20"/>
          <w:color w:val="auto"/>
        </w:rPr>
      </w:pPr>
    </w:p>
    <w:p>
      <w:pPr>
        <w:jc w:val="both"/>
        <w:ind w:left="1960" w:hanging="436"/>
        <w:spacing w:after="0" w:line="233" w:lineRule="auto"/>
        <w:tabs>
          <w:tab w:leader="none" w:pos="1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 in Control Event. Notwithstanding any provision in the Plan to the contrary, a Director may make an Election each year to have the portion of his or her Deferred Cash Compensation Account and Deferred Stock Compensation Account (collectively referred to hereafter as the “Account Balance”) related to amounts deferred under such Election (and earnings thereon) distributed in the form selected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following the earlier of: (x) the date of a Change in Control Event; or (y) the date of the Director’s Separation from Service; provided that with respect to his or her Elections and the portions of Account Balances related to amounts earned during a service period beginning on and after January 1, 2025, such amounts (and related earnings) will be paid as of the first business day of the second month following the month of the applicable distribution event.</w:t>
      </w:r>
    </w:p>
    <w:p>
      <w:pPr>
        <w:spacing w:after="0" w:line="206" w:lineRule="exact"/>
        <w:rPr>
          <w:sz w:val="20"/>
          <w:szCs w:val="20"/>
          <w:color w:val="auto"/>
        </w:rPr>
      </w:pPr>
    </w:p>
    <w:p>
      <w:pPr>
        <w:jc w:val="both"/>
        <w:ind w:left="1960" w:hanging="436"/>
        <w:spacing w:after="0" w:line="232" w:lineRule="auto"/>
        <w:tabs>
          <w:tab w:leader="none" w:pos="19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Installment Form of Payment. Notwithstanding any provision in the Plan to the contrary, a Director may make an Election each year to have the portion of the Account Balance related to amounts deferred under such Election (and earnings thereon) distributed in annual installments over a period of up to 15 years with payments commencing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following the applicable payment date; provided that with respect to his or her Elections and the portions of Account Balances related to amounts earned during a service period beginning on and after January 1, 2025, such amounts (and related earnings) will be paid as of the first business day of the second month following the month of the applicable distribution event. Subsequent installment payments will be made each subsequent anniversary of the original payment date (without regard to any delay in the initial installment payment that may be required by Section 7(b)).</w:t>
      </w:r>
    </w:p>
    <w:p>
      <w:pPr>
        <w:spacing w:after="0" w:line="210" w:lineRule="exact"/>
        <w:rPr>
          <w:rFonts w:ascii="Times New Roman" w:cs="Times New Roman" w:eastAsia="Times New Roman" w:hAnsi="Times New Roman"/>
          <w:sz w:val="20"/>
          <w:szCs w:val="20"/>
          <w:color w:val="auto"/>
        </w:rPr>
      </w:pPr>
    </w:p>
    <w:p>
      <w:pPr>
        <w:ind w:left="1300" w:right="220" w:hanging="320"/>
        <w:spacing w:after="0" w:line="262" w:lineRule="auto"/>
        <w:tabs>
          <w:tab w:leader="none" w:pos="128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Cash Deferral Elections. </w:t>
      </w:r>
      <w:r>
        <w:rPr>
          <w:rFonts w:ascii="Times New Roman" w:cs="Times New Roman" w:eastAsia="Times New Roman" w:hAnsi="Times New Roman"/>
          <w:sz w:val="22"/>
          <w:szCs w:val="22"/>
          <w:color w:val="auto"/>
        </w:rPr>
        <w:t>Director Fees deferred pursuant to a Cash Deferral Election shall be deferred and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in Sections 5 and 7.</w:t>
      </w:r>
    </w:p>
    <w:p>
      <w:pPr>
        <w:spacing w:after="0" w:line="177" w:lineRule="exact"/>
        <w:rPr>
          <w:sz w:val="20"/>
          <w:szCs w:val="20"/>
          <w:color w:val="auto"/>
        </w:rPr>
      </w:pPr>
    </w:p>
    <w:p>
      <w:pPr>
        <w:ind w:left="1300" w:right="740" w:hanging="320"/>
        <w:spacing w:after="0" w:line="262" w:lineRule="auto"/>
        <w:tabs>
          <w:tab w:leader="none" w:pos="128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Stock Deferral Elections. </w:t>
      </w:r>
      <w:r>
        <w:rPr>
          <w:rFonts w:ascii="Times New Roman" w:cs="Times New Roman" w:eastAsia="Times New Roman" w:hAnsi="Times New Roman"/>
          <w:sz w:val="22"/>
          <w:szCs w:val="22"/>
          <w:color w:val="auto"/>
        </w:rPr>
        <w:t>Director Fees and RSUs deferred pursuant to a Stock Deferral Election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and paid as provided in Sections 6 and 7.</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DEFERRED CASH COMPENSATION ACCOUNT</w:t>
      </w:r>
    </w:p>
    <w:p>
      <w:pPr>
        <w:spacing w:after="0" w:line="229" w:lineRule="exact"/>
        <w:rPr>
          <w:sz w:val="20"/>
          <w:szCs w:val="20"/>
          <w:color w:val="auto"/>
        </w:rPr>
      </w:pPr>
    </w:p>
    <w:p>
      <w:pPr>
        <w:jc w:val="both"/>
        <w:ind w:left="660" w:hanging="328"/>
        <w:spacing w:after="0" w:line="236" w:lineRule="auto"/>
        <w:tabs>
          <w:tab w:leader="none" w:pos="6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amount of any Director Fees deferred in accordance with a Cash Deferral Election shall be credited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on which such Director Fees are otherwise payable to a deferred cash compensation account maintained by the Company in the name of the Director (a “Deferred Cash Compensation Account”). A separate Deferred Cash Compensation Account shall be maintained for each calendar year for which a Director has made a Cash Deferral Election or as otherwise may be agreed between the Director and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hanging="328"/>
        <w:spacing w:after="0" w:line="241"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Adjustment for Earnings or Losses. </w:t>
      </w:r>
      <w:r>
        <w:rPr>
          <w:rFonts w:ascii="Times New Roman" w:cs="Times New Roman" w:eastAsia="Times New Roman" w:hAnsi="Times New Roman"/>
          <w:sz w:val="22"/>
          <w:szCs w:val="22"/>
          <w:color w:val="auto"/>
        </w:rPr>
        <w:t>The amount in the Director’s Deferred Cash Compensation Account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to reflect net earnings, gains or losses in accordance with the provisions of The Hershey Company Deferred Compensation Plan relating to Investment Credits and Investment Options. The adjustment for earnings, gains or losses shall be equal to the amount determined under (1) below as follows:</w:t>
      </w:r>
    </w:p>
    <w:p>
      <w:pPr>
        <w:spacing w:after="0" w:line="196" w:lineRule="exact"/>
        <w:rPr>
          <w:rFonts w:ascii="Times New Roman" w:cs="Times New Roman" w:eastAsia="Times New Roman" w:hAnsi="Times New Roman"/>
          <w:sz w:val="20"/>
          <w:szCs w:val="20"/>
          <w:color w:val="auto"/>
        </w:rPr>
      </w:pPr>
    </w:p>
    <w:p>
      <w:pPr>
        <w:jc w:val="both"/>
        <w:ind w:left="1300" w:hanging="320"/>
        <w:spacing w:after="0" w:line="234" w:lineRule="auto"/>
        <w:tabs>
          <w:tab w:leader="none" w:pos="128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i w:val="1"/>
          <w:iCs w:val="1"/>
          <w:color w:val="auto"/>
        </w:rPr>
        <w:t xml:space="preserve">Deemed Investment Options. </w:t>
      </w:r>
      <w:r>
        <w:rPr>
          <w:rFonts w:ascii="Times New Roman" w:cs="Times New Roman" w:eastAsia="Times New Roman" w:hAnsi="Times New Roman"/>
          <w:sz w:val="22"/>
          <w:szCs w:val="22"/>
          <w:color w:val="auto"/>
        </w:rPr>
        <w:t>The total amount determined by multiplying the rate earned (positive or negative)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each fund available (taking into account earnings distributed and share appreciation (gains) or depreciation (losses) on the value of shares of the fund) for the applicable period by the portion of the balance in the Director’s Deferred Cash Compensation Account as of the end of each such period, respectively, which is deemed to be invested in such fund pursuant to paragraph (2) below. Subject to elimination, modification or addition by the Board, the funds available for the Director’s election of deemed investments pursuant to paragraph (2) below shall be one or more of the funds available (excluding Common Stock) under the Investment Options of The Hershey Company Deferred Compensation Plan.</w:t>
      </w:r>
    </w:p>
    <w:p>
      <w:pPr>
        <w:spacing w:after="0" w:line="200" w:lineRule="exact"/>
        <w:rPr>
          <w:sz w:val="20"/>
          <w:szCs w:val="20"/>
          <w:color w:val="auto"/>
        </w:rPr>
      </w:pPr>
    </w:p>
    <w:p>
      <w:pPr>
        <w:ind w:left="1300" w:hanging="320"/>
        <w:spacing w:after="0"/>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i w:val="1"/>
          <w:iCs w:val="1"/>
          <w:color w:val="auto"/>
        </w:rPr>
        <w:t>Deemed Investment Elections</w:t>
      </w:r>
      <w:r>
        <w:rPr>
          <w:rFonts w:ascii="Times New Roman" w:cs="Times New Roman" w:eastAsia="Times New Roman" w:hAnsi="Times New Roman"/>
          <w:sz w:val="22"/>
          <w:szCs w:val="22"/>
          <w:color w:val="auto"/>
        </w:rPr>
        <w:t>.</w:t>
      </w:r>
    </w:p>
    <w:p>
      <w:pPr>
        <w:spacing w:after="0" w:line="239"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4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Director shall designate, on a form prescribed by the Company, the percentage of the deferred Director Fees that are to be deemed to be invested in the available funds under paragraph (1) above. Said designation shall be effective on a date specified therein and remain in effect and apply to all subsequent deferred Director Fees until changed as provided below.</w:t>
      </w:r>
    </w:p>
    <w:p>
      <w:pPr>
        <w:spacing w:after="0" w:line="1" w:lineRule="exact"/>
        <w:rPr>
          <w:rFonts w:ascii="Times New Roman" w:cs="Times New Roman" w:eastAsia="Times New Roman" w:hAnsi="Times New Roman"/>
          <w:sz w:val="19"/>
          <w:szCs w:val="19"/>
          <w:color w:val="auto"/>
        </w:rPr>
      </w:pPr>
    </w:p>
    <w:p>
      <w:pPr>
        <w:jc w:val="both"/>
        <w:ind w:left="660" w:hanging="328"/>
        <w:spacing w:after="0" w:line="230" w:lineRule="auto"/>
        <w:tabs>
          <w:tab w:leader="none" w:pos="64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Director may elect to change, on such basis as permitted from time to time by the Board, the deemed investment election under paragraph (A) above with respect to future deferred Director Fees among one or more of the options then available by written notice to the Secretary of the Company, or its delegate, on a form prescribed by the Company (or other form of notice permitted by the Company), at such time and in such manner as permitted by the Board, with such change to be effective for Director Fees credited to the Deferred Cash Compensation Account on and after the effective date of the change.</w:t>
      </w:r>
    </w:p>
    <w:p>
      <w:pPr>
        <w:spacing w:after="0" w:line="209" w:lineRule="exact"/>
        <w:rPr>
          <w:sz w:val="20"/>
          <w:szCs w:val="20"/>
          <w:color w:val="auto"/>
        </w:rPr>
      </w:pPr>
    </w:p>
    <w:p>
      <w:pPr>
        <w:jc w:val="both"/>
        <w:ind w:left="660" w:right="20" w:hanging="328"/>
        <w:spacing w:after="0" w:line="244" w:lineRule="auto"/>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Director may elect to reallocate the balance of his or her Deferred Cash Compensation Account, subject to limitations imposed by the Board, on such basis as permitted from time to time by the Board, among the deemed investment options then available. A Director may make such an election by written notice to</w:t>
      </w:r>
    </w:p>
    <w:p>
      <w:pPr>
        <w:spacing w:after="0" w:line="200" w:lineRule="exact"/>
        <w:rPr>
          <w:sz w:val="20"/>
          <w:szCs w:val="20"/>
          <w:color w:val="auto"/>
        </w:rPr>
      </w:pPr>
    </w:p>
    <w:p>
      <w:pPr>
        <w:jc w:val="both"/>
        <w:ind w:firstLine="1404"/>
        <w:spacing w:after="0" w:line="244" w:lineRule="auto"/>
        <w:rPr>
          <w:sz w:val="20"/>
          <w:szCs w:val="20"/>
          <w:color w:val="auto"/>
        </w:rPr>
      </w:pPr>
      <w:r>
        <w:rPr>
          <w:rFonts w:ascii="Times New Roman" w:cs="Times New Roman" w:eastAsia="Times New Roman" w:hAnsi="Times New Roman"/>
          <w:sz w:val="22"/>
          <w:szCs w:val="22"/>
          <w:color w:val="auto"/>
        </w:rPr>
        <w:t>the Secretary of the Company, or its delegate, on a form prescribed by the Company (or other form of notice permitted by the Company), at such time and in such manner as permitted by the Board, with such transfer to be based on the value of the Deferred Cash Compensation Account on the last day preceding the effective date of the transfer election.</w:t>
      </w:r>
    </w:p>
    <w:p>
      <w:pPr>
        <w:spacing w:after="0" w:line="200" w:lineRule="exact"/>
        <w:rPr>
          <w:sz w:val="20"/>
          <w:szCs w:val="20"/>
          <w:color w:val="auto"/>
        </w:rPr>
      </w:pPr>
    </w:p>
    <w:p>
      <w:pPr>
        <w:jc w:val="both"/>
        <w:ind w:left="660" w:hanging="328"/>
        <w:spacing w:after="0" w:line="239" w:lineRule="auto"/>
        <w:tabs>
          <w:tab w:leader="none" w:pos="6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election of deemed investments among the options provided above shall be the sole responsibility of each Director. The Company and Board members are not authorized to make any recommendation to any Director with respect to such election. Each Director assumes all risk connected with any adjustment to the value of his or her Deferred Cash Compensation Account. Neither the Board nor the Company in any way guarantees against loss or depreciation.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0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328" w:hanging="328"/>
        <w:spacing w:after="0" w:line="244" w:lineRule="auto"/>
        <w:tabs>
          <w:tab w:leader="none" w:pos="32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payments from the Plan shall be made pro-rata from the portion of the Director’s Deferred Cash Compensation Account which is deemed to be invested in such funds as may be available from time to time for deemed investment elections under the Plan.</w:t>
      </w:r>
    </w:p>
    <w:p>
      <w:pPr>
        <w:spacing w:after="0" w:line="200" w:lineRule="exact"/>
        <w:rPr>
          <w:sz w:val="20"/>
          <w:szCs w:val="20"/>
          <w:color w:val="auto"/>
        </w:rPr>
      </w:pPr>
    </w:p>
    <w:p>
      <w:pPr>
        <w:jc w:val="both"/>
        <w:ind w:left="328" w:hanging="328"/>
        <w:spacing w:after="0" w:line="239" w:lineRule="auto"/>
        <w:tabs>
          <w:tab w:leader="none" w:pos="32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shall not be required or obligated to invest any amounts in the funds provided as deemed investment options, and such funds shall be used solely to measure investment performance. Further, the Company shall not be precluded from providing for its liabilities hereunder by investing in such funds or in any other investments deemed to be appropriate by the Board.</w:t>
      </w:r>
    </w:p>
    <w:p>
      <w:pPr>
        <w:spacing w:after="0" w:line="203" w:lineRule="exact"/>
        <w:rPr>
          <w:sz w:val="20"/>
          <w:szCs w:val="20"/>
          <w:color w:val="auto"/>
        </w:rPr>
      </w:pPr>
    </w:p>
    <w:p>
      <w:pPr>
        <w:jc w:val="both"/>
        <w:ind w:left="328" w:hanging="328"/>
        <w:spacing w:after="0" w:line="233"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Manner of Payment. </w:t>
      </w:r>
      <w:r>
        <w:rPr>
          <w:rFonts w:ascii="Times New Roman" w:cs="Times New Roman" w:eastAsia="Times New Roman" w:hAnsi="Times New Roman"/>
          <w:sz w:val="22"/>
          <w:szCs w:val="22"/>
          <w:color w:val="auto"/>
        </w:rPr>
        <w:t>The balance of a Director’s Deferred Cash Compensation Account will be paid to the Director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the Director’s death, to the Director’s designated beneficiary. A Director may elect at the time of filing the Notice of Election for a Cash Deferral Election to receive payment of the Director Fees in annual installments rather than a lump sum, provided that the payment period for installment payments shall not exceed fifteen years following the applicable payment date, as described in Section 7 hereof. The amount of any installment shall be determined by multiplying (i) the balance in the Director’s Deferred Cash Compensation Account on the date of such installment by (ii) a fraction, the numerator of which is one and the denominator of which is the number of remaining unpaid installments (including the installment payment then being determined). The balance of the Deferred Cash Compensation Account shall be appropriately reduced on the date of payment to the Director to reflect the installment payment made hereunder. Amounts held pending distribution pursuant to this Section 5(c) shall continue to be credited with the earnings, gains or losses as described in Section 5(b) hereof.</w:t>
      </w: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6</w:t>
      </w:r>
    </w:p>
    <w:p>
      <w:pPr>
        <w:spacing w:after="0" w:line="2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DEFERRED STOCK COMPENSATION ACCOUNT</w:t>
      </w:r>
    </w:p>
    <w:p>
      <w:pPr>
        <w:spacing w:after="0" w:line="14" w:lineRule="exact"/>
        <w:rPr>
          <w:sz w:val="20"/>
          <w:szCs w:val="20"/>
          <w:color w:val="auto"/>
        </w:rPr>
      </w:pPr>
    </w:p>
    <w:p>
      <w:pPr>
        <w:jc w:val="both"/>
        <w:ind w:left="328" w:hanging="328"/>
        <w:spacing w:after="0" w:line="251" w:lineRule="auto"/>
        <w:tabs>
          <w:tab w:leader="none" w:pos="31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The amount of any Director Fees and RSUs deferred in accordance with a Stock Deferral Election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credited to a deferred stock compensation account maintained by the Company in the name of the Director (a “Deferred Stock Compensation Account”). A separate Deferred Stock Compensation Account shall be maintained for each calendar year for </w:t>
      </w:r>
      <w:r>
        <w:rPr>
          <w:rFonts w:ascii="Times New Roman" w:cs="Times New Roman" w:eastAsia="Times New Roman" w:hAnsi="Times New Roman"/>
          <w:sz w:val="19"/>
          <w:szCs w:val="19"/>
          <w:color w:val="auto"/>
        </w:rPr>
        <w:t>which a Director has made a Stock Deferral Election or as otherwise may be agreed between the Director and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Company. On each date on which Director Fees and/or RSUs become vested and are otherwise payable and a Stock Deferral Election applicable to such Directors Fees and/or RSUs is effective for a Director, the Director’s Deferred Stock Compensation Account for that calendar year shall be credited with a number of full and fractional Deferred Stock Units (“DSUs”) equal, in the case of Director Fees, to the cash amount of the Director Fees payable divided by the Fair Market Value of one share of Common Stock on the date on which such Director Fees are payable and, in the case of RSUs, to the number of RSUs which became vested and were otherwise payable. If a dividend or distribution is paid on the Common Stock in cash or property other than Common Stock, on the date of payment of the dividend or distribution to holders of Common Stock, each Deferred Stock Compensation Account shall be credited with a number of full and fractional DSUs equal to the number of full and fractional DSUs credited to such Account on the date fixed for determining the stockholders entitled to receive such dividend or distribution times the amount of the dividend or distribution paid per share of Common Stock divided by the Fair Market Value of one share of Common Stock on the date on which the dividend or distribution is paid, it being intended that the number of full and fractional DSUs credited as a result of the dividend or distribution shall be equal to the number of full and fractional shares that would be issued if the DSUs credited to the Account were actual shares participating in the Company’s dividend reinvestment plan. If the dividend or distribution is paid in property, the amount of the dividend 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48"/>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08"/>
          </w:cols>
          <w:pgMar w:left="652" w:top="10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distribution shall equal the fair market value of the property on the date on which the dividend or distribution is paid. The Deferred Stock Compensation Account of a Director shall be charged on the date of distribution with any distribution of shares of Common Stock made to the Director from such Account pursuant to Section 6(c) hereof.</w:t>
      </w:r>
    </w:p>
    <w:p>
      <w:pPr>
        <w:spacing w:after="0" w:line="186" w:lineRule="exact"/>
        <w:rPr>
          <w:sz w:val="20"/>
          <w:szCs w:val="20"/>
          <w:color w:val="auto"/>
        </w:rPr>
      </w:pPr>
    </w:p>
    <w:p>
      <w:pPr>
        <w:jc w:val="both"/>
        <w:ind w:left="660" w:hanging="328"/>
        <w:spacing w:after="0" w:line="234"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Adjustment and Substitution. </w:t>
      </w:r>
      <w:r>
        <w:rPr>
          <w:rFonts w:ascii="Times New Roman" w:cs="Times New Roman" w:eastAsia="Times New Roman" w:hAnsi="Times New Roman"/>
          <w:sz w:val="22"/>
          <w:szCs w:val="22"/>
          <w:color w:val="auto"/>
        </w:rPr>
        <w:t>The number of DSUs credited to each Deferred Stock Compensation Account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adjusted to reflect any dividend or other distribution on the outstanding Common Stock payable in shares of Common Stock or any split or consolidation of the outstanding shares of Common Stock. If the outstanding Common Stock shall, in whole or in part, be changed into or exchangeable for a different class or classes of securities of the Company or securities of another Company or cash or property other than Common Stock, whether through reorganization, reclassification, recapitalization, merger, consolidation or otherwise, the Board shall adopt such amendments to the Plan as it deems necessary to carry out the purposes of the Plan, including the continuing deferral of any amount of any Deferred Stock Compensation Account.</w:t>
      </w:r>
    </w:p>
    <w:p>
      <w:pPr>
        <w:spacing w:after="0" w:line="200" w:lineRule="exact"/>
        <w:rPr>
          <w:sz w:val="20"/>
          <w:szCs w:val="20"/>
          <w:color w:val="auto"/>
        </w:rPr>
      </w:pPr>
    </w:p>
    <w:p>
      <w:pPr>
        <w:jc w:val="both"/>
        <w:ind w:left="660" w:hanging="328"/>
        <w:spacing w:after="0" w:line="232" w:lineRule="auto"/>
        <w:tabs>
          <w:tab w:leader="none" w:pos="6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Manner of Payment</w:t>
      </w:r>
      <w:r>
        <w:rPr>
          <w:rFonts w:ascii="Times New Roman" w:cs="Times New Roman" w:eastAsia="Times New Roman" w:hAnsi="Times New Roman"/>
          <w:sz w:val="22"/>
          <w:szCs w:val="22"/>
          <w:color w:val="auto"/>
        </w:rPr>
        <w:t>. The balance of a Director’s Deferred Stock Compensation Account will be paid in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to the Director or, in the event of the Director’s death, to the Director’s designated beneficiary. A Director may elect at the time of filing of the Notice of Election for a Stock Deferral Election to receive payment of the shares of Common Stock credited to the Director’s Deferred Stock Compensation Account in annual installments rather than a lump sum, provided that the payment period for installment payments shall not exceed fifteen years following the applicable payment date, as described in Section 7 hereof. The number of shares of Common Stock distributed in each installment shall be determined by multiplying (i) the number of DSUs credited to such Director’s Deferred Stock Compensation Account on the date of payment of such installment, by (ii) a fraction, the numerator of which is one and the denominator of which is the number of remaining unpaid installments (including the installment payment then being determined). To the extent an installment payment would result in the issuance of a fractional share of Common Stock, then (I) to the extent the Account relates to deferrals related to service prior to 2025 (and earnings thereon), the result will be rounded down to the nearest whole</w:t>
      </w:r>
    </w:p>
    <w:p>
      <w:pPr>
        <w:spacing w:after="0" w:line="215" w:lineRule="exact"/>
        <w:rPr>
          <w:sz w:val="20"/>
          <w:szCs w:val="20"/>
          <w:color w:val="auto"/>
        </w:rPr>
      </w:pPr>
    </w:p>
    <w:p>
      <w:pPr>
        <w:jc w:val="both"/>
        <w:ind w:firstLine="108"/>
        <w:spacing w:after="0" w:line="244" w:lineRule="auto"/>
        <w:rPr>
          <w:sz w:val="20"/>
          <w:szCs w:val="20"/>
          <w:color w:val="auto"/>
        </w:rPr>
      </w:pPr>
      <w:r>
        <w:rPr>
          <w:rFonts w:ascii="Times New Roman" w:cs="Times New Roman" w:eastAsia="Times New Roman" w:hAnsi="Times New Roman"/>
          <w:sz w:val="22"/>
          <w:szCs w:val="22"/>
          <w:color w:val="auto"/>
        </w:rPr>
        <w:t>number of shares, and (II) to the extent the Account relates to deferrals related to service on and after January 1, 2025 (and earnings thereon), such fractional share shall not be issued and cash in lieu of such fractional share shall be paid to the Director based on the Fair Market Value of one share of Common Stock on the date of such payment.</w:t>
      </w:r>
    </w:p>
    <w:p>
      <w:pPr>
        <w:spacing w:after="0" w:line="200" w:lineRule="exact"/>
        <w:rPr>
          <w:sz w:val="20"/>
          <w:szCs w:val="20"/>
          <w:color w:val="auto"/>
        </w:rPr>
      </w:pPr>
    </w:p>
    <w:p>
      <w:pPr>
        <w:jc w:val="both"/>
        <w:ind w:firstLine="756"/>
        <w:spacing w:after="0" w:line="232" w:lineRule="auto"/>
        <w:rPr>
          <w:sz w:val="20"/>
          <w:szCs w:val="20"/>
          <w:color w:val="auto"/>
        </w:rPr>
      </w:pPr>
      <w:r>
        <w:rPr>
          <w:rFonts w:ascii="Times New Roman" w:cs="Times New Roman" w:eastAsia="Times New Roman" w:hAnsi="Times New Roman"/>
          <w:sz w:val="22"/>
          <w:szCs w:val="22"/>
          <w:color w:val="auto"/>
        </w:rPr>
        <w:t>The balance of the number of DSUs credited to such Director’s Deferred Stock Compensation Account shall be appropriately reduced in accordance with this Section 6(c) to reflect the installment payments made hereunder. DSUs remaining in a Deferred Stock Compensation Account pending distribution of shares of Common Stock pursuant to this Section 6(c) shall continue to be credited with respect to dividends or distributions paid on the Common Stock pursuant to Section 6(a) hereof and shall be subject to adjustment pursuant to Section 6(b) hereof. If a lump sum payment or the final installment payment hereunder would result in the issuance of a fractional share of Common Stock, such fractional share shall not be issued and cash in lieu of such fractional share shall be paid to the Director based on the Fair Market Value of one share of Common Stock on the date immediately preceding the date of such payment. The Company shall issue share certificates to the Director, or the Director’s designated beneficiary, for the shares of Common Stock distributed hereunder, or if requested in writing by the Director and permitted under the Company’s Automatic Dividend Reinvestment Plan, the shares to be distributed shall be added to the Director’s account under such plan. As of the date on which the</w:t>
      </w: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0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Director is entitled to receive payment of shares of Common Stock, a Director shall be a stockholder of the Company with respect to such shares.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PAYMENT COMMENCEMENT DATE</w:t>
      </w:r>
    </w:p>
    <w:p>
      <w:pPr>
        <w:spacing w:after="0" w:line="14" w:lineRule="exact"/>
        <w:rPr>
          <w:sz w:val="20"/>
          <w:szCs w:val="20"/>
          <w:color w:val="auto"/>
        </w:rPr>
      </w:pPr>
    </w:p>
    <w:p>
      <w:pPr>
        <w:jc w:val="both"/>
        <w:ind w:left="660" w:hanging="328"/>
        <w:spacing w:after="0" w:line="232"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Payment of Account Balance Upon Separation. </w:t>
      </w:r>
      <w:r>
        <w:rPr>
          <w:rFonts w:ascii="Times New Roman" w:cs="Times New Roman" w:eastAsia="Times New Roman" w:hAnsi="Times New Roman"/>
          <w:sz w:val="22"/>
          <w:szCs w:val="22"/>
          <w:color w:val="auto"/>
        </w:rPr>
        <w:t>Unless otherwise elected by the Director under Section 4,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Director’s Account Balance shall be distributed to the Director in a lump sum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following the date of the Director’s Separation from Service (e.g., when the Director ceases to be a member of the Board for any reason and no longer provides services to the Board or the Company); provided that with respect to his or her Elections and the portions of Account Balances related to amounts earned during a service period beginning on and after January 1, 2025, such amounts (and related earnings) will be paid as of the first business day of the second month following the month of the applicable distribution event.</w:t>
      </w:r>
    </w:p>
    <w:p>
      <w:pPr>
        <w:spacing w:after="0" w:line="191" w:lineRule="exact"/>
        <w:rPr>
          <w:sz w:val="20"/>
          <w:szCs w:val="20"/>
          <w:color w:val="auto"/>
        </w:rPr>
      </w:pPr>
    </w:p>
    <w:p>
      <w:pPr>
        <w:jc w:val="both"/>
        <w:ind w:left="660" w:hanging="328"/>
        <w:spacing w:after="0" w:line="233"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Distribution to Key Employees</w:t>
      </w:r>
      <w:r>
        <w:rPr>
          <w:rFonts w:ascii="Times New Roman" w:cs="Times New Roman" w:eastAsia="Times New Roman" w:hAnsi="Times New Roman"/>
          <w:sz w:val="22"/>
          <w:szCs w:val="22"/>
          <w:color w:val="auto"/>
        </w:rPr>
        <w:t>. Notwithstanding any Elections or anything herein to the contrary, in the case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from Service of a Key Employee (as defined below), no payments may be made before the date which is six months after the date of the Key Employee’s Separation from Service (hereinafter called the “Waiting Period”); provided, however, in the event of the Key Employee’s death during the Waiting Period, distribution shall be made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following the date of the Key Employee’s death (provided that with respect to his or her Elections and the portions of Account Balances related to amounts earned during a service period beginning on and after January 1, 2025 (and related earnings thereon), distribution shall be made as of the first business day of the second month following the month of the Key Employee’s death). Any payments that would otherwise be made during the Waiting Period shall be accumulated and paid in the first month following the Waiting Period, and thereafter, made in accordance with the Director’s Election, if any, in Section 4. During the Waiting Period, a Key Employee’s Account Balance will continue to accrue investment</w:t>
      </w:r>
    </w:p>
    <w:p>
      <w:pPr>
        <w:spacing w:after="0" w:line="205" w:lineRule="exact"/>
        <w:rPr>
          <w:sz w:val="20"/>
          <w:szCs w:val="20"/>
          <w:color w:val="auto"/>
        </w:rPr>
      </w:pPr>
    </w:p>
    <w:p>
      <w:pPr>
        <w:jc w:val="both"/>
        <w:ind w:firstLine="108"/>
        <w:spacing w:after="0" w:line="238" w:lineRule="auto"/>
        <w:rPr>
          <w:sz w:val="20"/>
          <w:szCs w:val="20"/>
          <w:color w:val="auto"/>
        </w:rPr>
      </w:pPr>
      <w:r>
        <w:rPr>
          <w:rFonts w:ascii="Times New Roman" w:cs="Times New Roman" w:eastAsia="Times New Roman" w:hAnsi="Times New Roman"/>
          <w:sz w:val="22"/>
          <w:szCs w:val="22"/>
          <w:color w:val="auto"/>
        </w:rPr>
        <w:t>credits in accordance with Section 5. For purposes of this Section 7(b), “Key Employee” means a “specified employee” under Section 409A(a)(2)(B)(i) (i.e., a key employee (as defined under Code section 416(i) (without regard to paragraph (5) thereof)) of a corporation any stock in which is publicly traded on an established securities market or otherwise) and applicable Treasury regulations and other guidance under Section 409A. Key Employees shall be determined in accordance with Section 409A and pursuant to the methodology established by the Company.</w:t>
      </w:r>
    </w:p>
    <w:p>
      <w:pPr>
        <w:spacing w:after="0" w:line="200" w:lineRule="exact"/>
        <w:rPr>
          <w:sz w:val="20"/>
          <w:szCs w:val="20"/>
          <w:color w:val="auto"/>
        </w:rPr>
      </w:pPr>
    </w:p>
    <w:p>
      <w:pPr>
        <w:jc w:val="both"/>
        <w:ind w:left="660" w:hanging="328"/>
        <w:spacing w:after="0" w:line="233" w:lineRule="auto"/>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Payment of RSUs</w:t>
      </w:r>
      <w:r>
        <w:rPr>
          <w:rFonts w:ascii="Times New Roman" w:cs="Times New Roman" w:eastAsia="Times New Roman" w:hAnsi="Times New Roman"/>
          <w:sz w:val="22"/>
          <w:szCs w:val="22"/>
          <w:color w:val="auto"/>
        </w:rPr>
        <w:t>. Payment of shares of Common Stock attributable to a Director’s Restricted Stock Unit Account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vested on or prior to the Director’s Separation from Service and for which the Director has not made an effective Stock Deferral Election shall be paid in a lump sum on the earlier of: (1) the date of the Director’s Separation from Service; or (2) the first anniversary of the date of grant. In the event of payment upon the Director’s Separation from Service, the vested portion of the RSUs shall be paid to the Director, subject to Section 7(b),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following the date of such event; provided that with respect to his or her Elections and the portions of Account Balances related to amounts earned during a service period beginning on and after January 1, 2025 (and related earnings thereon), such amounts will be paid, subject to Section 7(b), as of the first business day of the second month following the month of the applicable distribution event. Otherwise, payments upon the first anniversary of the</w:t>
      </w: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0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grant shall be paid as soon as practicable and within the period permitted under Section 409A.</w:t>
      </w:r>
    </w:p>
    <w:p>
      <w:pPr>
        <w:spacing w:after="0" w:line="229" w:lineRule="exact"/>
        <w:rPr>
          <w:sz w:val="20"/>
          <w:szCs w:val="20"/>
          <w:color w:val="auto"/>
        </w:rPr>
      </w:pPr>
    </w:p>
    <w:p>
      <w:pPr>
        <w:ind w:left="660" w:hanging="328"/>
        <w:spacing w:after="0" w:line="262" w:lineRule="auto"/>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Effect of Taxation</w:t>
      </w:r>
      <w:r>
        <w:rPr>
          <w:rFonts w:ascii="Times New Roman" w:cs="Times New Roman" w:eastAsia="Times New Roman" w:hAnsi="Times New Roman"/>
          <w:sz w:val="22"/>
          <w:szCs w:val="22"/>
          <w:color w:val="auto"/>
        </w:rPr>
        <w:t>. If a portion of the Director’s Account Balance is includible in income under Section 409A,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shall be distributed immediately to the Director.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DEATH BENEFITS; BENEFICIARY DESIGNATION</w:t>
      </w:r>
    </w:p>
    <w:p>
      <w:pPr>
        <w:spacing w:after="0" w:line="233" w:lineRule="exact"/>
        <w:rPr>
          <w:sz w:val="20"/>
          <w:szCs w:val="20"/>
          <w:color w:val="auto"/>
        </w:rPr>
      </w:pPr>
    </w:p>
    <w:p>
      <w:pPr>
        <w:jc w:val="both"/>
        <w:ind w:firstLine="756"/>
        <w:spacing w:after="0" w:line="236" w:lineRule="auto"/>
        <w:rPr>
          <w:sz w:val="20"/>
          <w:szCs w:val="20"/>
          <w:color w:val="auto"/>
        </w:rPr>
      </w:pPr>
      <w:r>
        <w:rPr>
          <w:rFonts w:ascii="Times New Roman" w:cs="Times New Roman" w:eastAsia="Times New Roman" w:hAnsi="Times New Roman"/>
          <w:sz w:val="22"/>
          <w:szCs w:val="22"/>
          <w:color w:val="auto"/>
        </w:rPr>
        <w:t>A Director may designate, in the Beneficiary Designation form prescribed by the Company, any person to whom a lump sum payment of cash or shares of Common Stock shall be paid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following the date of the Director's death if he or she dies before receiving payment of any or all amounts due hereunder; provided that with respect to the portions of Account Balances related to amounts earned during a service period beginning on and after January 1, 2025, such amounts (and related earnings thereon) will be paid as of the first business day of the second month following the month of the applicable distribution event.</w:t>
      </w:r>
    </w:p>
    <w:p>
      <w:pPr>
        <w:spacing w:after="0" w:line="195" w:lineRule="exact"/>
        <w:rPr>
          <w:sz w:val="20"/>
          <w:szCs w:val="20"/>
          <w:color w:val="auto"/>
        </w:rPr>
      </w:pPr>
    </w:p>
    <w:p>
      <w:pPr>
        <w:jc w:val="both"/>
        <w:ind w:firstLine="756"/>
        <w:spacing w:after="0" w:line="261" w:lineRule="auto"/>
        <w:rPr>
          <w:sz w:val="20"/>
          <w:szCs w:val="20"/>
          <w:color w:val="auto"/>
        </w:rPr>
      </w:pPr>
      <w:r>
        <w:rPr>
          <w:rFonts w:ascii="Times New Roman" w:cs="Times New Roman" w:eastAsia="Times New Roman" w:hAnsi="Times New Roman"/>
          <w:sz w:val="20"/>
          <w:szCs w:val="20"/>
          <w:color w:val="auto"/>
        </w:rPr>
        <w:t>A beneficiary designation will be effective only after the signed beneficiary designation form is filed with the Secretary of the Company, or its delegate, while the Director is alive and will cancel all beneficiary designations signed and filed earlier. If the Director fails to designate a beneficiary, or if all designated beneficiaries of the Director die before the Director or before complete payment of any or all amounts due hereunder, any remaining unpaid amounts shall be paid on the first business day next succeeding the 59</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following the date of the Director's death in one lump sum payment to the estate of the last to die of the Director or the Director’s designated beneficiaries, if any; provided that with respect to the portions of Account Balances related to amounts earned during a service period beginning on and after January 1, 2025, such amounts (and related earnings thereon) will be paid as of the first business day of the second month following the month of the applicable distribution event.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NON-ALIENABILITY OF BENEFITS</w:t>
      </w:r>
    </w:p>
    <w:p>
      <w:pPr>
        <w:spacing w:after="0" w:line="220" w:lineRule="exact"/>
        <w:rPr>
          <w:sz w:val="20"/>
          <w:szCs w:val="20"/>
          <w:color w:val="auto"/>
        </w:rPr>
      </w:pPr>
    </w:p>
    <w:p>
      <w:pPr>
        <w:jc w:val="both"/>
        <w:ind w:firstLine="756"/>
        <w:spacing w:after="0" w:line="236" w:lineRule="auto"/>
        <w:rPr>
          <w:sz w:val="20"/>
          <w:szCs w:val="20"/>
          <w:color w:val="auto"/>
        </w:rPr>
      </w:pPr>
      <w:r>
        <w:rPr>
          <w:rFonts w:ascii="Times New Roman" w:cs="Times New Roman" w:eastAsia="Times New Roman" w:hAnsi="Times New Roman"/>
          <w:sz w:val="22"/>
          <w:szCs w:val="22"/>
          <w:color w:val="auto"/>
        </w:rPr>
        <w:t>Neither the Director nor any beneficiary designated by the Director shall have the right to, directly or indirectly, alienate, assign, transfer, pledge, anticipate or encumber (except by reason of death) any amount that is or may be payable hereunder, nor shall any such amount be subject to anticipation, alienation, sale, transfer, assignment, pledge, encumbrance, attachment, or garnishment by creditors of the Director or the Director’s designated beneficiary or to the debts, contracts, liabilities, engagements, or torts of any Director or designated beneficiary, or transfer by operation of law in the event of bankruptcy or insolvency of the Director or any beneficiary, or any legal process.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NATURE OF ACCOUNTS</w:t>
      </w:r>
    </w:p>
    <w:p>
      <w:pPr>
        <w:spacing w:after="0" w:line="14" w:lineRule="exact"/>
        <w:rPr>
          <w:sz w:val="20"/>
          <w:szCs w:val="20"/>
          <w:color w:val="auto"/>
        </w:rPr>
      </w:pPr>
    </w:p>
    <w:p>
      <w:pPr>
        <w:jc w:val="both"/>
        <w:ind w:firstLine="756"/>
        <w:spacing w:after="0" w:line="237" w:lineRule="auto"/>
        <w:rPr>
          <w:sz w:val="20"/>
          <w:szCs w:val="20"/>
          <w:color w:val="auto"/>
        </w:rPr>
      </w:pPr>
      <w:r>
        <w:rPr>
          <w:rFonts w:ascii="Times New Roman" w:cs="Times New Roman" w:eastAsia="Times New Roman" w:hAnsi="Times New Roman"/>
          <w:sz w:val="22"/>
          <w:szCs w:val="22"/>
          <w:color w:val="auto"/>
        </w:rPr>
        <w:t>Any Restricted Stock Unit Account, Deferred Cash Compensation Account or Deferred Stock Compensation Account shall be established and maintained only on the books and records of</w:t>
      </w: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0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and no assets or funds of the Company or the Plan or shares of Common Stock of the Company shall be removed from the claims of the Company’s general or judgment creditors or otherwise made available until such amounts are actually payable to Directors or their designated beneficiaries as provided herein. The Plan constitutes a mere promise by the Company to make payments in the future. The Directors and their designated beneficiaries shall have the status of, and their rights to receive a payment of cash or shares of Common Stock under the Plan shall be no greater than the rights of, general unsecured creditors of the Company. No person shall be entitled to any voting rights with respect to shares credited to any RSU or Deferred Stock Compensation Account which is not yet payable to a Director or the Director’s designated beneficiary. The Company shall not be obligated under any circumstance to fund its financial obligations under the Plan, and the Plan is intended to constitute an unfunded plan for tax purposes. However, the Company may, in its discretion, set aside funds in a trust or other vehicle, subject to the claims of its creditors, in order to assist it in meeting its obligations under the Plan, if such arrangement will not cause the Plan to be considered a funded deferred compensation plan under the Code.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ADMINISTRATION OF PLAN; HARDSHIP WITHDRAWAL</w:t>
      </w:r>
    </w:p>
    <w:p>
      <w:pPr>
        <w:spacing w:after="0" w:line="233" w:lineRule="exact"/>
        <w:rPr>
          <w:sz w:val="20"/>
          <w:szCs w:val="20"/>
          <w:color w:val="auto"/>
        </w:rPr>
      </w:pPr>
    </w:p>
    <w:p>
      <w:pPr>
        <w:jc w:val="both"/>
        <w:ind w:firstLine="755"/>
        <w:spacing w:after="0" w:line="258" w:lineRule="auto"/>
        <w:rPr>
          <w:sz w:val="20"/>
          <w:szCs w:val="20"/>
          <w:color w:val="auto"/>
        </w:rPr>
      </w:pPr>
      <w:r>
        <w:rPr>
          <w:rFonts w:ascii="Times New Roman" w:cs="Times New Roman" w:eastAsia="Times New Roman" w:hAnsi="Times New Roman"/>
          <w:sz w:val="22"/>
          <w:szCs w:val="22"/>
          <w:color w:val="auto"/>
        </w:rPr>
        <w:t>Full power and authority to construe, interpret, and administer the Plan shall be vested in the Board. Decisions of the Board shall be final, conclusive, and binding upon all parties.</w:t>
      </w:r>
    </w:p>
    <w:p>
      <w:pPr>
        <w:spacing w:after="0" w:line="185" w:lineRule="exact"/>
        <w:rPr>
          <w:sz w:val="20"/>
          <w:szCs w:val="20"/>
          <w:color w:val="auto"/>
        </w:rPr>
      </w:pPr>
    </w:p>
    <w:p>
      <w:pPr>
        <w:jc w:val="both"/>
        <w:ind w:firstLine="755"/>
        <w:spacing w:after="0" w:line="231" w:lineRule="auto"/>
        <w:rPr>
          <w:sz w:val="20"/>
          <w:szCs w:val="20"/>
          <w:color w:val="auto"/>
        </w:rPr>
      </w:pPr>
      <w:r>
        <w:rPr>
          <w:rFonts w:ascii="Times New Roman" w:cs="Times New Roman" w:eastAsia="Times New Roman" w:hAnsi="Times New Roman"/>
          <w:sz w:val="22"/>
          <w:szCs w:val="22"/>
          <w:color w:val="auto"/>
        </w:rPr>
        <w:t>Notwithstanding the terms of a Cash Deferral Election or a Stock Deferral Election made by a Director hereunder, the Board may, in its sole discretion, permit the withdrawal of amounts credited to a Deferred Cash Compensation Account or shares credited to a Deferred Stock Compensation Account with respect to Director Fees previously payable, or permit the early vesting and payment of RSUs previously awarded, upon the request of a Director or the Director’s representative, if the Board determines that the Director is confronted with an “unforeseeable emergency,” as described in Code section 409A(a)(2)(A)(vi). An unforeseeable emergency is a severe financial hardship to the Director resulting from illness or accident of the Director, the Director’s spouse, beneficiary or dependent, loss of the Director’s property due to casualty or similar extraordinary and unforeseeable circumstances beyond the Director’s control, which hardship cannot be relieved through insurance, cessation of deferrals under the Plan or liquidation of assets that would not cause a severe financial hardship. Cash needs arising from foreseeable events, such as the purchase or building of a house or education expenses, will not be considered to be the result of an unforeseeable financial emergency. The Director shall provide to the Board such evidence as the Board, in its discretion, may require to demonstrate that such emergency exists and financial hardship would occur if the withdrawal were not permitted. The withdrawal shall be limited to the amount or to the number of shares, as the case may be, necessary to meet the emergency. Payment shall be made within 30 days after the Board approves the payment and determines the amount of the payment or number of shares which shall be withdrawn. In the case of a distribution as a result of an unforeseeable emergency from the Deferred Cash Compensation Account or Deferred Stock Compensation Account, payment shall be made in a single lump sum from the portion of the Deferred Cash Compensation Account or Deferred Stock Compensation Account, as applicable, with the largest number and in reverse order of installment payments, in each case in accordance with Section 5(b)(2)(E) if the distribution is from the Deferred Cash Compensation Account. No Director shall participate in any decision of the Board regarding such Director’s request for a withdrawal under this Section 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0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0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FAIR MARKET VALUE</w:t>
      </w:r>
    </w:p>
    <w:p>
      <w:pPr>
        <w:spacing w:after="0" w:line="233" w:lineRule="exact"/>
        <w:rPr>
          <w:sz w:val="20"/>
          <w:szCs w:val="20"/>
          <w:color w:val="auto"/>
        </w:rPr>
      </w:pPr>
    </w:p>
    <w:p>
      <w:pPr>
        <w:jc w:val="both"/>
        <w:ind w:firstLine="755"/>
        <w:spacing w:after="0" w:line="239" w:lineRule="auto"/>
        <w:rPr>
          <w:sz w:val="20"/>
          <w:szCs w:val="20"/>
          <w:color w:val="auto"/>
        </w:rPr>
      </w:pPr>
      <w:r>
        <w:rPr>
          <w:rFonts w:ascii="Times New Roman" w:cs="Times New Roman" w:eastAsia="Times New Roman" w:hAnsi="Times New Roman"/>
          <w:sz w:val="22"/>
          <w:szCs w:val="22"/>
          <w:color w:val="auto"/>
        </w:rPr>
        <w:t>The Fair Market Value of the Common Stock (“Fair Market Value”) on a single date shall be the closing price of the Common Stock on the applicable date (or if not a trading date, the next following trading date). The closing price of the Common Stock for a single date shall be as reported in the New York Stock Exchange Composite Transactions Report (or in such other reliable publication as the Board or its delegate, in its discretion, may determine to rely upon).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SECURITIES LAWS; ISSUANCE OF SHARES; NONCERTIFICATED SHARES</w:t>
      </w:r>
    </w:p>
    <w:p>
      <w:pPr>
        <w:spacing w:after="0" w:line="233" w:lineRule="exact"/>
        <w:rPr>
          <w:sz w:val="20"/>
          <w:szCs w:val="20"/>
          <w:color w:val="auto"/>
        </w:rPr>
      </w:pPr>
    </w:p>
    <w:p>
      <w:pPr>
        <w:jc w:val="both"/>
        <w:ind w:firstLine="756"/>
        <w:spacing w:after="0" w:line="232" w:lineRule="auto"/>
        <w:rPr>
          <w:sz w:val="20"/>
          <w:szCs w:val="20"/>
          <w:color w:val="auto"/>
        </w:rPr>
      </w:pPr>
      <w:r>
        <w:rPr>
          <w:rFonts w:ascii="Times New Roman" w:cs="Times New Roman" w:eastAsia="Times New Roman" w:hAnsi="Times New Roman"/>
          <w:sz w:val="22"/>
          <w:szCs w:val="22"/>
          <w:color w:val="auto"/>
        </w:rPr>
        <w:t>The obligation of the Company to issue or credit shares of Common Stock under the Plan shall be subject to (i) the effectiveness of a registration statement under the Securities Act of 1933, as amended, with respect to such shares, if deemed necessary or appropriate by counsel for the Company, (ii) the condition that the shares shall have been listed (or authorized for listing upon official notice of issuance) upon each stock exchange, if any, on which the Common Stock shares may then be listed and (iii) all other applicable laws, regulations, rules and orders which may then be in effect. If, on the date on which any shares of Common Stock would be issued sufficient shares of Common Stock are not available under the Plan or the Company is not obligated to issue shares pursuant to this Section 13, then no shares of Common Stock shall be issued but rather, in the case of Common Stock to be issued currently, cash shall be paid in payment of the Director Fees payable. The Board shall adopt appropriate rules and regulations to carry out the intent of the immediately preceding sentence if the need for such rules and regulations arises. To the extent the Plan provides for issuance of share certificates to reflect the transfer of shares of Common Stock, the transfer of such shares may be effected on a noncertificated or “book-entry” basis.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GOVERNING LAW</w:t>
      </w:r>
    </w:p>
    <w:p>
      <w:pPr>
        <w:spacing w:after="0" w:line="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The provisions of this Plan shall be interpreted and construed in accordance with the laws of the State of Delaware.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DATE; AMENDMENT AND TERMINATION</w:t>
      </w:r>
    </w:p>
    <w:p>
      <w:pPr>
        <w:spacing w:after="0" w:line="220" w:lineRule="exact"/>
        <w:rPr>
          <w:sz w:val="20"/>
          <w:szCs w:val="20"/>
          <w:color w:val="auto"/>
        </w:rPr>
      </w:pPr>
    </w:p>
    <w:p>
      <w:pPr>
        <w:jc w:val="both"/>
        <w:ind w:firstLine="756"/>
        <w:spacing w:after="0" w:line="211" w:lineRule="auto"/>
        <w:rPr>
          <w:sz w:val="20"/>
          <w:szCs w:val="20"/>
          <w:color w:val="auto"/>
        </w:rPr>
      </w:pPr>
      <w:r>
        <w:rPr>
          <w:rFonts w:ascii="Times New Roman" w:cs="Times New Roman" w:eastAsia="Times New Roman" w:hAnsi="Times New Roman"/>
          <w:sz w:val="22"/>
          <w:szCs w:val="22"/>
          <w:color w:val="auto"/>
        </w:rPr>
        <w:t>The Plan was adopted by the Board on December 4, 1996, and became effective as of January 1, 1997. The Plan was previously amended and restated effective October 2, 2001, December 3, 2002, June 14, 2007, November 11, 2007, December 4, 2007, February 13, 2008, and December 2, 2008. The Plan, as amended and restated herein, shall be effective as of January 1, 2025. The Board may amend or terminate the Plan at any time, provided that no such amendment or termination shall adversely affect rights with respect to amounts or shares then credited to any Deferred Cash Compensation Account or Deferred Stock Compensation Account, unless the Board determines, in its sole discretion, that all such amounts shall be distributed upon Plan termination in accordance with the requirements under Section 409A. Upon termination of the Plan, no further deferrals of Director Fees or RSUs shall be permitted; however, earnings, gains and losses shall continue to be credited to the Account Balance in accordance with Section 5 until such amounts are fully distributed.</w:t>
      </w:r>
    </w:p>
    <w:p>
      <w:pPr>
        <w:spacing w:after="0" w:line="200" w:lineRule="exact"/>
        <w:rPr>
          <w:sz w:val="20"/>
          <w:szCs w:val="20"/>
          <w:color w:val="auto"/>
        </w:rPr>
      </w:pPr>
    </w:p>
    <w:p>
      <w:pPr>
        <w:spacing w:after="0" w:line="28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0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AUTHORIZED SHARES; DESIGNATION AS AWARD UNDER EQUITY AND INCENTIVE</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COMPENSATION PLAN</w:t>
      </w:r>
    </w:p>
    <w:p>
      <w:pPr>
        <w:spacing w:after="0" w:line="200" w:lineRule="exact"/>
        <w:rPr>
          <w:sz w:val="20"/>
          <w:szCs w:val="20"/>
          <w:color w:val="auto"/>
        </w:rPr>
      </w:pPr>
    </w:p>
    <w:p>
      <w:pPr>
        <w:spacing w:after="0" w:line="239" w:lineRule="exact"/>
        <w:rPr>
          <w:sz w:val="20"/>
          <w:szCs w:val="20"/>
          <w:color w:val="auto"/>
        </w:rPr>
      </w:pPr>
    </w:p>
    <w:p>
      <w:pPr>
        <w:jc w:val="both"/>
        <w:ind w:firstLine="756"/>
        <w:spacing w:after="0" w:line="211" w:lineRule="auto"/>
        <w:rPr>
          <w:sz w:val="20"/>
          <w:szCs w:val="20"/>
          <w:color w:val="auto"/>
        </w:rPr>
      </w:pPr>
      <w:r>
        <w:rPr>
          <w:rFonts w:ascii="Times New Roman" w:cs="Times New Roman" w:eastAsia="Times New Roman" w:hAnsi="Times New Roman"/>
          <w:sz w:val="22"/>
          <w:szCs w:val="22"/>
          <w:color w:val="auto"/>
        </w:rPr>
        <w:t>Shares issued hereunder with respect to RSUs and DSUs credited prior to April 17, 2007 shall be deemed issued as part of the aggregate of 300,000 (reflecting prior stock splits and stock dividends and as shall be adjusted and subject to adjustment to reflect future stock splits and stock dividends) shares of Common Stock previously authorized for issuance hereunder. Effective as of April 17, 2007, the crediting of RSUs and the ability to make elections to receive Directors Fees in shares of Common Stock or to defer payment of Directors Fees and RSUs and have such fees and/or RSUs credited as DSUs shall constitute a non-employee directors award under The Hershey Company Equity and Incentive Compensation Plan (the “EICP”). This Plan and the related Notice of Election and other documents contemplated hereunder shall constitute the award agreement for purposes of the EICP and shares of Common Stock issued with respect to such RSUs, Directors Fees or DSUs shall be deemed issued from the shares authorized for issuance under the EICP.</w:t>
      </w:r>
    </w:p>
    <w:p>
      <w:pPr>
        <w:spacing w:after="0" w:line="200" w:lineRule="exact"/>
        <w:rPr>
          <w:sz w:val="20"/>
          <w:szCs w:val="20"/>
          <w:color w:val="auto"/>
        </w:rPr>
      </w:pPr>
    </w:p>
    <w:p>
      <w:pPr>
        <w:spacing w:after="0" w:line="28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THE HERSHEY COMPANY</w:t>
      </w:r>
    </w:p>
    <w:p>
      <w:pPr>
        <w:spacing w:after="0" w:line="29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James Turoff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25400</wp:posOffset>
            </wp:positionV>
            <wp:extent cx="38830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James Turoff</w:t>
      </w:r>
    </w:p>
    <w:p>
      <w:pPr>
        <w:ind w:left="3960"/>
        <w:spacing w:after="0"/>
        <w:rPr>
          <w:sz w:val="20"/>
          <w:szCs w:val="20"/>
          <w:color w:val="auto"/>
        </w:rPr>
      </w:pPr>
      <w:r>
        <w:rPr>
          <w:rFonts w:ascii="Times New Roman" w:cs="Times New Roman" w:eastAsia="Times New Roman" w:hAnsi="Times New Roman"/>
          <w:sz w:val="20"/>
          <w:szCs w:val="20"/>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0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Below is a listing of our major subsidiaries as of December 31, 2024, their jurisdictions of incorporation, and the name under which they do business. Each is wholly owned unless otherwise noted.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Subsidiary Name</w:t>
            </w:r>
          </w:p>
        </w:tc>
        <w:tc>
          <w:tcPr>
            <w:tcW w:w="4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36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Netherlands B.V.</w:t>
            </w: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Canada,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Mexico S.A.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Hersmex S. de R.L.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Servicios de Hersmex S. de R.L.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Fantastic Candy Brands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Chocolate &amp; Confectionery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International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CSH Foods,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Sourcing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Sales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Investment Company,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Licensing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Insurance Company of Vermont</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Ripple Brand Collective,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Salty Snacks Sales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ONE Brands,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Artisan Confections Company,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Lily's Sweets,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Hershey Salty Snacks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Pretzel's,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Caribe,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UK Holding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UK Finance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Trading GmbH</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India Private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Nutrine Confectionery Company Private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(China) Investment Management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Chocolate Sales (Shanghai)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Japan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Philippines,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Regional Operating HQ</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Asia Pacific Pte.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Malaysia Sdn. Bhd.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(Thailand)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Hershey do Brasil Ltda.</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925"/>
        </w:trPr>
        <w:tc>
          <w:tcPr>
            <w:tcW w:w="3740" w:type="dxa"/>
            <w:vAlign w:val="bottom"/>
          </w:tcPr>
          <w:p>
            <w:pPr>
              <w:spacing w:after="0"/>
              <w:rPr>
                <w:sz w:val="24"/>
                <w:szCs w:val="24"/>
                <w:color w:val="auto"/>
              </w:rPr>
            </w:pPr>
          </w:p>
        </w:tc>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The Hershey Company | 2024 Form 10-K | Exhibit 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-175895</wp:posOffset>
            </wp:positionV>
            <wp:extent cx="19685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333-279759) pertaining to the prospectus for the sale of Debt Securities of The Hershey Company,</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333-174123) pertaining to the Equity and Incentive Compensation Plan of The Hershey Company,</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333-143764) pertaining to the Equity and Incentive Compensation Plan of The Hershey Company,</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333-107706) pertaining to the Directors’ Compensation Plan of Hershey Foods Corporation,</w:t>
      </w:r>
    </w:p>
    <w:p>
      <w:pPr>
        <w:spacing w:after="0" w:line="238" w:lineRule="exact"/>
        <w:rPr>
          <w:rFonts w:ascii="Times New Roman" w:cs="Times New Roman" w:eastAsia="Times New Roman" w:hAnsi="Times New Roman"/>
          <w:sz w:val="18"/>
          <w:szCs w:val="18"/>
          <w:color w:val="auto"/>
        </w:rPr>
      </w:pPr>
    </w:p>
    <w:p>
      <w:pPr>
        <w:ind w:left="660" w:right="900" w:hanging="4"/>
        <w:spacing w:after="0" w:line="266" w:lineRule="auto"/>
        <w:tabs>
          <w:tab w:leader="none" w:pos="9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333-72100) pertaining to the 2001 Nonqualified Stock Option Agreement of Hershey Foods Corporation,</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333-72112) pertaining to the Broad-Based Stock Option Plan of Hershey Foods Corporation,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333-52509) pertaining to the Key Employee Incentive Plan of Hershey Foods Corporation, and</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333-25853) pertaining to the Directors’ Compensation Plan of Hershey Foods Corporation;</w:t>
      </w:r>
    </w:p>
    <w:p>
      <w:pPr>
        <w:spacing w:after="0" w:line="2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of our reports dated February 18, 2025, with respect to the consolidated financial statements of The Hershey Company and the effectiveness of internal control over financial reporting of The Hershey Company included in this Annual Report on Form 10-K of The Hershey Company for the year ended December 31, 2024.</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3531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41"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9"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5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805180</wp:posOffset>
            </wp:positionV>
            <wp:extent cx="19685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2024 Form 10-K | Exhibit 31.1</w:t>
      </w:r>
    </w:p>
    <w:p>
      <w:pPr>
        <w:sectPr>
          <w:pgSz w:w="11900" w:h="16838" w:orient="portrait"/>
          <w:cols w:equalWidth="0" w:num="1">
            <w:col w:w="11200"/>
          </w:cols>
          <w:pgMar w:left="360" w:top="76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3531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41"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5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805180</wp:posOffset>
            </wp:positionV>
            <wp:extent cx="19685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2024 Form 10-K | Exhibit 31.2</w:t>
      </w:r>
    </w:p>
    <w:p>
      <w:pPr>
        <w:sectPr>
          <w:pgSz w:w="11900" w:h="16838" w:orient="portrait"/>
          <w:cols w:equalWidth="0" w:num="1">
            <w:col w:w="11200"/>
          </w:cols>
          <w:pgMar w:left="360" w:top="76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that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01" w:lineRule="exact"/>
        <w:rPr>
          <w:sz w:val="20"/>
          <w:szCs w:val="20"/>
          <w:color w:val="auto"/>
        </w:rPr>
      </w:pPr>
    </w:p>
    <w:tbl>
      <w:tblPr>
        <w:tblLayout w:type="fixed"/>
        <w:tblInd w:w="480" w:type="dxa"/>
        <w:tblCellMar>
          <w:top w:w="0" w:type="dxa"/>
          <w:left w:w="0" w:type="dxa"/>
          <w:bottom w:w="0" w:type="dxa"/>
          <w:right w:w="0" w:type="dxa"/>
        </w:tblCellMar>
      </w:tblP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18, 2025</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212"/>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49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18, 2025</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212"/>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1195070</wp:posOffset>
            </wp:positionV>
            <wp:extent cx="19685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2024 Form 10-K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lvl w:ilvl="1">
      <w:lvlJc w:val="left"/>
      <w:lvlText w:val="◦"/>
      <w:numFmt w:val="bullet"/>
      <w:start w:val="1"/>
    </w:lvl>
  </w:abstractNum>
  <w:abstractNum w:abstractNumId="14">
    <w:nsid w:val="70C6A529"/>
    <w:multiLevelType w:val="hybridMultilevel"/>
    <w:lvl w:ilvl="0">
      <w:lvlJc w:val="left"/>
      <w:lvlText w:val="•"/>
      <w:numFmt w:val="bullet"/>
      <w:start w:val="1"/>
    </w:lvl>
    <w:lvl w:ilvl="1">
      <w:lvlJc w:val="left"/>
      <w:lvlText w:val="◦"/>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lvl w:ilvl="1">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lvl w:ilvl="1">
      <w:lvlJc w:val="left"/>
      <w:lvlText w:val="(%2)"/>
      <w:numFmt w:val="decimal"/>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lvl w:ilvl="1">
      <w:lvlJc w:val="left"/>
      <w:lvlText w:val="(%2)"/>
      <w:numFmt w:val="decimal"/>
      <w:start w:val="1"/>
    </w:lvl>
  </w:abstractNum>
  <w:abstractNum w:abstractNumId="38">
    <w:nsid w:val="2F305DEF"/>
    <w:multiLevelType w:val="hybridMultilevel"/>
    <w:lvl w:ilvl="0">
      <w:lvlJc w:val="left"/>
      <w:lvlText w:val="%1."/>
      <w:numFmt w:val="decimal"/>
      <w:start w:val="10"/>
    </w:lvl>
    <w:lvl w:ilvl="1">
      <w:lvlJc w:val="left"/>
      <w:lvlText w:val="%2"/>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decimal"/>
      <w:start w:val="19"/>
    </w:lvl>
  </w:abstractNum>
  <w:abstractNum w:abstractNumId="49">
    <w:nsid w:val="98A3148"/>
    <w:multiLevelType w:val="hybridMultilevel"/>
    <w:lvl w:ilvl="0">
      <w:lvlJc w:val="left"/>
      <w:lvlText w:val="%1"/>
      <w:numFmt w:val="decimal"/>
      <w:start w:val="97"/>
    </w:lvl>
  </w:abstractNum>
  <w:abstractNum w:abstractNumId="50">
    <w:nsid w:val="799D0247"/>
    <w:multiLevelType w:val="hybridMultilevel"/>
    <w:lvl w:ilvl="0">
      <w:lvlJc w:val="left"/>
      <w:lvlText w:val="%1"/>
      <w:numFmt w:val="decimal"/>
      <w:start w:val="104"/>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Roman"/>
      <w:start w:val="1"/>
    </w:lvl>
  </w:abstractNum>
  <w:abstractNum w:abstractNumId="61">
    <w:nsid w:val="BF72B14"/>
    <w:multiLevelType w:val="hybridMultilevel"/>
    <w:lvl w:ilvl="0">
      <w:lvlJc w:val="left"/>
      <w:lvlText w:val="%1."/>
      <w:numFmt w:val="lowerRoman"/>
      <w:start w:val="1"/>
    </w:lvl>
  </w:abstractNum>
  <w:abstractNum w:abstractNumId="62">
    <w:nsid w:val="11447B73"/>
    <w:multiLevelType w:val="hybridMultilevel"/>
    <w:lvl w:ilvl="0">
      <w:lvlJc w:val="left"/>
      <w:lvlText w:val="%1."/>
      <w:numFmt w:val="lowerRoman"/>
      <w:start w:val="1"/>
    </w:lvl>
  </w:abstractNum>
  <w:abstractNum w:abstractNumId="63">
    <w:nsid w:val="42963E5A"/>
    <w:multiLevelType w:val="hybridMultilevel"/>
    <w:lvl w:ilvl="0">
      <w:lvlJc w:val="left"/>
      <w:lvlText w:val="%1."/>
      <w:numFmt w:val="lowerRoman"/>
      <w:start w:val="1"/>
    </w:lvl>
  </w:abstractNum>
  <w:abstractNum w:abstractNumId="64">
    <w:nsid w:val="A0382C5"/>
    <w:multiLevelType w:val="hybridMultilevel"/>
    <w:lvl w:ilvl="0">
      <w:lvlJc w:val="left"/>
      <w:lvlText w:val="%1"/>
      <w:numFmt w:val="lowerLetter"/>
      <w:start w:val="1"/>
    </w:lvl>
    <w:lvl w:ilvl="1">
      <w:lvlJc w:val="left"/>
      <w:lvlText w:val="%2."/>
      <w:numFmt w:val="lowerLetter"/>
      <w:start w:val="9"/>
    </w:lvl>
  </w:abstractNum>
  <w:abstractNum w:abstractNumId="65">
    <w:nsid w:val="8F2B15E"/>
    <w:multiLevelType w:val="hybridMultilevel"/>
    <w:lvl w:ilvl="0">
      <w:lvlJc w:val="left"/>
      <w:lvlText w:val="%1."/>
      <w:numFmt w:val="lowerLetter"/>
      <w:start w:val="2"/>
    </w:lvl>
    <w:lvl w:ilvl="1">
      <w:lvlJc w:val="left"/>
      <w:lvlText w:val="%2."/>
      <w:numFmt w:val="lowerLetter"/>
      <w:start w:val="9"/>
    </w:lvl>
  </w:abstractNum>
  <w:abstractNum w:abstractNumId="66">
    <w:nsid w:val="1A32234B"/>
    <w:multiLevelType w:val="hybridMultilevel"/>
    <w:lvl w:ilvl="0">
      <w:lvlJc w:val="left"/>
      <w:lvlText w:val="%1"/>
      <w:numFmt w:val="lowerLetter"/>
      <w:start w:val="1"/>
    </w:lvl>
    <w:lvl w:ilvl="1">
      <w:lvlJc w:val="left"/>
      <w:lvlText w:val="%2."/>
      <w:numFmt w:val="lowerLetter"/>
      <w:start w:val="35"/>
    </w:lvl>
  </w:abstractNum>
  <w:abstractNum w:abstractNumId="67">
    <w:nsid w:val="3B0FD379"/>
    <w:multiLevelType w:val="hybridMultilevel"/>
    <w:lvl w:ilvl="0">
      <w:lvlJc w:val="left"/>
      <w:lvlText w:val="%1."/>
      <w:numFmt w:val="lowerLetter"/>
      <w:start w:val="1"/>
    </w:lvl>
    <w:lvl w:ilvl="1">
      <w:lvlJc w:val="left"/>
      <w:lvlText w:val="%2"/>
      <w:numFmt w:val="lowerLetter"/>
      <w:start w:val="1"/>
    </w:lvl>
  </w:abstractNum>
  <w:abstractNum w:abstractNumId="68">
    <w:nsid w:val="68EB2F63"/>
    <w:multiLevelType w:val="hybridMultilevel"/>
    <w:lvl w:ilvl="0">
      <w:lvlJc w:val="left"/>
      <w:lvlText w:val="%1."/>
      <w:numFmt w:val="lowerRoman"/>
      <w:start w:val="1"/>
    </w:lvl>
  </w:abstractNum>
  <w:abstractNum w:abstractNumId="69">
    <w:nsid w:val="4962813B"/>
    <w:multiLevelType w:val="hybridMultilevel"/>
    <w:lvl w:ilvl="0">
      <w:lvlJc w:val="left"/>
      <w:lvlText w:val="%1"/>
      <w:numFmt w:val="lowerLetter"/>
      <w:start w:val="1"/>
    </w:lvl>
    <w:lvl w:ilvl="1">
      <w:lvlJc w:val="left"/>
      <w:lvlText w:val="%2."/>
      <w:numFmt w:val="lowerLetter"/>
      <w:start w:val="9"/>
    </w:lvl>
  </w:abstractNum>
  <w:abstractNum w:abstractNumId="70">
    <w:nsid w:val="60B6DF70"/>
    <w:multiLevelType w:val="hybridMultilevel"/>
    <w:lvl w:ilvl="0">
      <w:lvlJc w:val="left"/>
      <w:lvlText w:val="%1."/>
      <w:numFmt w:val="lowerLetter"/>
      <w:start w:val="1"/>
    </w:lvl>
    <w:lvl w:ilvl="1">
      <w:lvlJc w:val="left"/>
      <w:lvlText w:val="%2"/>
      <w:numFmt w:val="lowerLetter"/>
      <w:start w:val="1"/>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1"/>
    </w:lvl>
    <w:lvl w:ilvl="1">
      <w:lvlJc w:val="left"/>
      <w:lvlText w:val="%2."/>
      <w:numFmt w:val="lowerLetter"/>
      <w:start w:val="1"/>
    </w:lvl>
  </w:abstractNum>
  <w:abstractNum w:abstractNumId="74">
    <w:nsid w:val="1A27709E"/>
    <w:multiLevelType w:val="hybridMultilevel"/>
    <w:lvl w:ilvl="0">
      <w:lvlJc w:val="left"/>
      <w:lvlText w:val="%1"/>
      <w:numFmt w:val="decimal"/>
      <w:start w:val="1"/>
    </w:lvl>
    <w:lvl w:ilvl="1">
      <w:lvlJc w:val="left"/>
      <w:lvlText w:val="%2."/>
      <w:numFmt w:val="lowerLetter"/>
      <w:start w:val="1"/>
    </w:lvl>
  </w:abstractNum>
  <w:abstractNum w:abstractNumId="75">
    <w:nsid w:val="71EA1109"/>
    <w:multiLevelType w:val="hybridMultilevel"/>
    <w:lvl w:ilvl="0">
      <w:lvlJc w:val="left"/>
      <w:lvlText w:val="(%1)"/>
      <w:numFmt w:val="decimal"/>
      <w:start w:val="1"/>
    </w:lvl>
    <w:lvl w:ilvl="1">
      <w:lvlJc w:val="left"/>
      <w:lvlText w:val="%2"/>
      <w:numFmt w:val="lowerLetter"/>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5" Type="http://schemas.openxmlformats.org/officeDocument/2006/relationships/image" Target="media/image225.png"/><Relationship Id="rId243" Type="http://schemas.openxmlformats.org/officeDocument/2006/relationships/image" Target="media/image226.jpeg"/><Relationship Id="rId244" Type="http://schemas.openxmlformats.org/officeDocument/2006/relationships/image" Target="media/image227.png"/><Relationship Id="rId260" Type="http://schemas.openxmlformats.org/officeDocument/2006/relationships/image" Target="media/image228.jpeg"/><Relationship Id="rId261" Type="http://schemas.openxmlformats.org/officeDocument/2006/relationships/image" Target="media/image229.png"/><Relationship Id="rId279" Type="http://schemas.openxmlformats.org/officeDocument/2006/relationships/image" Target="media/image230.jpeg"/><Relationship Id="rId280" Type="http://schemas.openxmlformats.org/officeDocument/2006/relationships/image" Target="media/image231.png"/><Relationship Id="rId282" Type="http://schemas.openxmlformats.org/officeDocument/2006/relationships/image" Target="media/image232.jpe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jpeg"/><Relationship Id="rId286" Type="http://schemas.openxmlformats.org/officeDocument/2006/relationships/image" Target="media/image236.png"/><Relationship Id="rId287" Type="http://schemas.openxmlformats.org/officeDocument/2006/relationships/image" Target="media/image237.jpeg"/><Relationship Id="rId288" Type="http://schemas.openxmlformats.org/officeDocument/2006/relationships/image" Target="media/image238.png"/><Relationship Id="rId289" Type="http://schemas.openxmlformats.org/officeDocument/2006/relationships/image" Target="media/image239.jpeg"/><Relationship Id="rId290" Type="http://schemas.openxmlformats.org/officeDocument/2006/relationships/image" Target="media/image240.png"/><Relationship Id="rId291" Type="http://schemas.openxmlformats.org/officeDocument/2006/relationships/image" Target="media/image241.jpeg"/><Relationship Id="rId292" Type="http://schemas.openxmlformats.org/officeDocument/2006/relationships/image" Target="media/image242.png"/><Relationship Id="rId293" Type="http://schemas.openxmlformats.org/officeDocument/2006/relationships/image" Target="media/image243.jpeg"/><Relationship Id="rId294" Type="http://schemas.openxmlformats.org/officeDocument/2006/relationships/image" Target="media/image244.jpeg"/><Relationship Id="rId232" Type="http://schemas.openxmlformats.org/officeDocument/2006/relationships/hyperlink" Target="https://www.sec.gov/Archives/edgar/data/47111/000004711105000159/exhibit3.htm?_sm_byp=iVV7PRrr5tFtD2T5" TargetMode="External"/><Relationship Id="rId233" Type="http://schemas.openxmlformats.org/officeDocument/2006/relationships/hyperlink" Target="https://www.sec.gov/Archives/edgar/data/47111/000004711119000010/hsy_20181231exhibit32by-la.htm" TargetMode="External"/><Relationship Id="rId234" Type="http://schemas.openxmlformats.org/officeDocument/2006/relationships/hyperlink" Target="https://www.sec.gov/Archives/edgar/data/47111/000004711121000007/hsy_20201231exhibit42.htm" TargetMode="External"/><Relationship Id="rId236" Type="http://schemas.openxmlformats.org/officeDocument/2006/relationships/hyperlink" Target="https://www.sec.gov/Archives/edgar/data/47111/000110465920067136/tm2020790-2_424b5.htm" TargetMode="External"/><Relationship Id="rId237" Type="http://schemas.openxmlformats.org/officeDocument/2006/relationships/hyperlink" Target="https://www.sec.gov/Archives/edgar/data/47111/000119312515295854/d48982d424b5.htm?_sm_byp=iVV7PRrr5tFtD2T5" TargetMode="External"/><Relationship Id="rId238" Type="http://schemas.openxmlformats.org/officeDocument/2006/relationships/hyperlink" Target="https://www.sec.gov/Archives/edgar/data/47111/000119312516670259/d164282d424b5.htm?_sm_byp=iVV7PRrr5tFtD2T5" TargetMode="External"/><Relationship Id="rId239" Type="http://schemas.openxmlformats.org/officeDocument/2006/relationships/hyperlink" Target="https://www.sec.gov/Archives/edgar/data/47111/0000950109-97-005529.txt?_sm_byp=iVV7PRrr5tFtD2T5" TargetMode="External"/><Relationship Id="rId240" Type="http://schemas.openxmlformats.org/officeDocument/2006/relationships/hyperlink" Target="https://www.sec.gov/Archives/edgar/data/47111/000004711123000040/exhibit41-2028globalnote.htm" TargetMode="External"/><Relationship Id="rId241" Type="http://schemas.openxmlformats.org/officeDocument/2006/relationships/hyperlink" Target="https://www.sec.gov/Archives/edgar/data/47111/000119312519277764/d812621d424b5.htm" TargetMode="External"/><Relationship Id="rId242" Type="http://schemas.openxmlformats.org/officeDocument/2006/relationships/hyperlink" Target="https://www.sec.gov/Archives/edgar/data/47111/000004711123000040/exhibit42-2033globalnote.htm" TargetMode="External"/><Relationship Id="rId245" Type="http://schemas.openxmlformats.org/officeDocument/2006/relationships/hyperlink" Target="https://www.sec.gov/Archives/edgar/data/47111/0000047111-97-000004.txt?_sm_byp=iVV7PRrr5tFtD2T5" TargetMode="External"/><Relationship Id="rId246" Type="http://schemas.openxmlformats.org/officeDocument/2006/relationships/hyperlink" Target="https://www.sec.gov/Archives/edgar/data/47111/000004711100000070/0000047111-00-000070.txt?_sm_byp=iVVJrjKkjnjqPr4r" TargetMode="External"/><Relationship Id="rId247" Type="http://schemas.openxmlformats.org/officeDocument/2006/relationships/hyperlink" Target="https://www.sec.gov/Archives/edgar/data/47111/000004711123000026/exhibit101-creditagreement.htm" TargetMode="External"/><Relationship Id="rId248" Type="http://schemas.openxmlformats.org/officeDocument/2006/relationships/hyperlink" Target="https://www.sec.gov/Archives/edgar/data/47111/000004711123000008/stockpurchaseagreement-213.htm" TargetMode="External"/><Relationship Id="rId249" Type="http://schemas.openxmlformats.org/officeDocument/2006/relationships/hyperlink" Target="https://www.sec.gov/Archives/edgar/data/47111/000004711122000011/stockpurchaseagreement-214.htm" TargetMode="External"/><Relationship Id="rId250" Type="http://schemas.openxmlformats.org/officeDocument/2006/relationships/hyperlink" Target="https://www.sec.gov/Archives/edgar/data/47111/000004711123000012/hsy_20221231exhibit107.htm" TargetMode="External"/><Relationship Id="rId251" Type="http://schemas.openxmlformats.org/officeDocument/2006/relationships/hyperlink" Target="https://www.sec.gov/Archives/edgar/data/47111/000119312511066689/ddef14a.htm?_sm_byp=iVVJrjKkjnjqPr4r" TargetMode="External"/><Relationship Id="rId252" Type="http://schemas.openxmlformats.org/officeDocument/2006/relationships/hyperlink" Target="https://www.sec.gov/Archives/edgar/data/47111/000004711119000023/exhibit101-2019rsunoti.htm" TargetMode="External"/><Relationship Id="rId253" Type="http://schemas.openxmlformats.org/officeDocument/2006/relationships/hyperlink" Target="https://www.sec.gov/Archives/edgar/data/47111/000004711121000027/hsy_20210404exhibit101.htm" TargetMode="External"/><Relationship Id="rId254" Type="http://schemas.openxmlformats.org/officeDocument/2006/relationships/hyperlink" Target="https://www.sec.gov/Archives/edgar/data/47111/000004711121000027/hsy_20210404exhibit102.htm" TargetMode="External"/><Relationship Id="rId255" Type="http://schemas.openxmlformats.org/officeDocument/2006/relationships/hyperlink" Target="https://www.sec.gov/Archives/edgar/data/47111/000004711119000023/exhibit102-2019rsunoti.htm" TargetMode="External"/><Relationship Id="rId256" Type="http://schemas.openxmlformats.org/officeDocument/2006/relationships/hyperlink" Target="https://www.sec.gov/Archives/edgar/data/47111/000004711121000027/hsy_20210404exhibit103.htm" TargetMode="External"/><Relationship Id="rId257" Type="http://schemas.openxmlformats.org/officeDocument/2006/relationships/hyperlink" Target="https://www.sec.gov/Archives/edgar/data/47111/000004711119000023/exhibit103-2019rsunoti.htm" TargetMode="External"/><Relationship Id="rId258" Type="http://schemas.openxmlformats.org/officeDocument/2006/relationships/hyperlink" Target="https://www.sec.gov/Archives/edgar/data/47111/000004711117000005/hsy_20161231exhibit1012b.htm?_sm_byp=iVVJrjKkjnjqPr4r" TargetMode="External"/><Relationship Id="rId259" Type="http://schemas.openxmlformats.org/officeDocument/2006/relationships/hyperlink" Target="https://www.sec.gov/Archives/edgar/data/47111/000004711117000022/hsy_20170402exhibit103.htm?_sm_byp=iVV7PRrr5tFtD2T5" TargetMode="External"/><Relationship Id="rId262" Type="http://schemas.openxmlformats.org/officeDocument/2006/relationships/hyperlink" Target="https://www.sec.gov/Archives/edgar/data/47111/000004711121000055/hsy_20211003exhibit101.htm" TargetMode="External"/><Relationship Id="rId263" Type="http://schemas.openxmlformats.org/officeDocument/2006/relationships/hyperlink" Target="https://www.sec.gov/Archives/edgar/data/47111/000004711117000005/hsy_20161231exhibit1021b.htm" TargetMode="External"/><Relationship Id="rId264" Type="http://schemas.openxmlformats.org/officeDocument/2006/relationships/hyperlink" Target="https://www.sec.gov/Archives/edgar/data/47111/000004711113000019/hsy_2013033131exhibit101em.htm" TargetMode="External"/><Relationship Id="rId265" Type="http://schemas.openxmlformats.org/officeDocument/2006/relationships/hyperlink" Target="https://www.sec.gov/Archives/edgar/data/47111/000004711124000009/hsy_20231231exhibit1018b.htm" TargetMode="External"/><Relationship Id="rId266" Type="http://schemas.openxmlformats.org/officeDocument/2006/relationships/hyperlink" Target="https://www.sec.gov/Archives/edgar/data/47111/000119312509033670/dex106.htm" TargetMode="External"/><Relationship Id="rId267" Type="http://schemas.openxmlformats.org/officeDocument/2006/relationships/hyperlink" Target="https://www.sec.gov/Archives/edgar/data/47111/000119312509033670/dex105.htm" TargetMode="External"/><Relationship Id="rId268" Type="http://schemas.openxmlformats.org/officeDocument/2006/relationships/hyperlink" Target="https://www.sec.gov/Archives/edgar/data/47111/000119312508033182/dex106.htm" TargetMode="External"/><Relationship Id="rId269" Type="http://schemas.openxmlformats.org/officeDocument/2006/relationships/hyperlink" Target="https://www.sec.gov/Archives/edgar/data/47111/000004711121000027/hsy_20210404exhibit105.htm" TargetMode="External"/><Relationship Id="rId270" Type="http://schemas.openxmlformats.org/officeDocument/2006/relationships/hyperlink" Target="https://www.sec.gov/Archives/edgar/data/47111/000004711119000023/exhibit105-2019psunoti.htm" TargetMode="External"/><Relationship Id="rId271" Type="http://schemas.openxmlformats.org/officeDocument/2006/relationships/hyperlink" Target="https://www.sec.gov/Archives/edgar/data/47111/000004711121000027/hsy_20210404exhibit104.htm" TargetMode="External"/><Relationship Id="rId272" Type="http://schemas.openxmlformats.org/officeDocument/2006/relationships/hyperlink" Target="https://www.sec.gov/Archives/edgar/data/47111/000004711119000023/exhibit104-2019optiont.htm" TargetMode="External"/><Relationship Id="rId273" Type="http://schemas.openxmlformats.org/officeDocument/2006/relationships/hyperlink" Target="https://www.sec.gov/Archives/edgar/data/47111/000004711105000091/exhibit102.htm" TargetMode="External"/><Relationship Id="rId274" Type="http://schemas.openxmlformats.org/officeDocument/2006/relationships/hyperlink" Target="https://www.sec.gov/Archives/edgar/data/47111/000004711112000045/hsy-20120701exhibit103.htm" TargetMode="External"/><Relationship Id="rId275" Type="http://schemas.openxmlformats.org/officeDocument/2006/relationships/hyperlink" Target="https://www.sec.gov/Archives/edgar/data/47111/000004711112000045/hsy-20120701exhibit102.htm" TargetMode="External"/><Relationship Id="rId276" Type="http://schemas.openxmlformats.org/officeDocument/2006/relationships/hyperlink" Target="https://www.sec.gov/Archives/edgar/data/47111/000004711116000095/hsy_20151231exhibit1018.htm" TargetMode="External"/><Relationship Id="rId277" Type="http://schemas.openxmlformats.org/officeDocument/2006/relationships/hyperlink" Target="https://www.sec.gov/Archives/edgar/data/47111/000004711117000011/exhibit101-executiveemploy.htm" TargetMode="External"/><Relationship Id="rId278" Type="http://schemas.openxmlformats.org/officeDocument/2006/relationships/hyperlink" Target="https://www.sec.gov/Archives/edgar/data/47111/000004711124000009/hsy_20231231exhibit19.htm" TargetMode="External"/><Relationship Id="rId281" Type="http://schemas.openxmlformats.org/officeDocument/2006/relationships/hyperlink" Target="https://www.sec.gov/Archives/edgar/data/47111/000004711124000009/hsy_20231231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2025-02-18T10:05:05Z</dcterms:created>
  <dcterms:modified xsi:type="dcterms:W3CDTF">2025-02-18T10:05:05Z</dcterms:modified>
</cp:coreProperties>
</file>