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jc w:val="center"/>
        <w:spacing w:after="0" w:line="206" w:lineRule="auto"/>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10-Q</w:t>
      </w:r>
    </w:p>
    <w:p>
      <w:pPr>
        <w:spacing w:after="0" w:line="41"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April 3, 2022</w:t>
      </w:r>
    </w:p>
    <w:p>
      <w:pPr>
        <w:jc w:val="center"/>
        <w:spacing w:after="0"/>
        <w:rPr>
          <w:sz w:val="20"/>
          <w:szCs w:val="20"/>
          <w:color w:val="auto"/>
        </w:rPr>
      </w:pPr>
      <w:r>
        <w:rPr>
          <w:rFonts w:ascii="Arial" w:cs="Arial" w:eastAsia="Arial" w:hAnsi="Arial"/>
          <w:sz w:val="17"/>
          <w:szCs w:val="17"/>
          <w:b w:val="1"/>
          <w:bCs w:val="1"/>
          <w:color w:val="auto"/>
        </w:rPr>
        <w:t>OR</w:t>
      </w:r>
    </w:p>
    <w:p>
      <w:pPr>
        <w:spacing w:after="0" w:line="8"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6" w:lineRule="exact"/>
        <w:rPr>
          <w:sz w:val="24"/>
          <w:szCs w:val="24"/>
          <w:color w:val="auto"/>
        </w:rPr>
      </w:pPr>
    </w:p>
    <w:p>
      <w:pPr>
        <w:ind w:left="3860"/>
        <w:spacing w:after="0"/>
        <w:rPr>
          <w:sz w:val="20"/>
          <w:szCs w:val="20"/>
          <w:color w:val="auto"/>
        </w:rPr>
      </w:pPr>
      <w:r>
        <w:rPr>
          <w:rFonts w:ascii="Arial" w:cs="Arial" w:eastAsia="Arial" w:hAnsi="Arial"/>
          <w:sz w:val="17"/>
          <w:szCs w:val="17"/>
          <w:b w:val="1"/>
          <w:bCs w:val="1"/>
          <w:color w:val="auto"/>
        </w:rPr>
        <w:t>For the transition period from ______to_______</w:t>
      </w:r>
    </w:p>
    <w:p>
      <w:pPr>
        <w:jc w:val="center"/>
        <w:spacing w:after="0"/>
        <w:rPr>
          <w:sz w:val="20"/>
          <w:szCs w:val="20"/>
          <w:color w:val="auto"/>
        </w:rPr>
      </w:pPr>
      <w:r>
        <w:rPr>
          <w:rFonts w:ascii="Arial" w:cs="Arial" w:eastAsia="Arial" w:hAnsi="Arial"/>
          <w:sz w:val="17"/>
          <w:szCs w:val="17"/>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55245</wp:posOffset>
            </wp:positionV>
            <wp:extent cx="7138670" cy="769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THE HERSHEY COMPANY</w:t>
      </w: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600" w:type="dxa"/>
            <w:vAlign w:val="bottom"/>
          </w:tcPr>
          <w:p>
            <w:pPr>
              <w:jc w:val="center"/>
              <w:ind w:left="1774"/>
              <w:spacing w:after="0"/>
              <w:rPr>
                <w:sz w:val="20"/>
                <w:szCs w:val="20"/>
                <w:color w:val="auto"/>
              </w:rPr>
            </w:pPr>
            <w:r>
              <w:rPr>
                <w:rFonts w:ascii="Arial" w:cs="Arial" w:eastAsia="Arial" w:hAnsi="Arial"/>
                <w:sz w:val="17"/>
                <w:szCs w:val="17"/>
                <w:b w:val="1"/>
                <w:bCs w:val="1"/>
                <w:color w:val="auto"/>
                <w:w w:val="93"/>
              </w:rPr>
              <w:t>Delaware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194"/>
              <w:spacing w:after="0"/>
              <w:rPr>
                <w:sz w:val="20"/>
                <w:szCs w:val="20"/>
                <w:color w:val="auto"/>
              </w:rPr>
            </w:pPr>
            <w:r>
              <w:rPr>
                <w:rFonts w:ascii="Arial" w:cs="Arial" w:eastAsia="Arial" w:hAnsi="Arial"/>
                <w:sz w:val="17"/>
                <w:szCs w:val="17"/>
                <w:b w:val="1"/>
                <w:bCs w:val="1"/>
                <w:color w:val="auto"/>
              </w:rPr>
              <w:t>23-0691590</w:t>
            </w:r>
          </w:p>
        </w:tc>
      </w:tr>
      <w:tr>
        <w:trPr>
          <w:trHeight w:val="217"/>
        </w:trPr>
        <w:tc>
          <w:tcPr>
            <w:tcW w:w="6920" w:type="dxa"/>
            <w:vAlign w:val="bottom"/>
            <w:gridSpan w:val="5"/>
          </w:tcPr>
          <w:p>
            <w:pPr>
              <w:jc w:val="center"/>
              <w:ind w:right="146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280" w:type="dxa"/>
            <w:vAlign w:val="bottom"/>
          </w:tcPr>
          <w:p>
            <w:pPr>
              <w:jc w:val="center"/>
              <w:ind w:right="1014"/>
              <w:spacing w:after="0"/>
              <w:rPr>
                <w:sz w:val="20"/>
                <w:szCs w:val="20"/>
                <w:color w:val="auto"/>
              </w:rPr>
            </w:pPr>
            <w:r>
              <w:rPr>
                <w:rFonts w:ascii="Arial" w:cs="Arial" w:eastAsia="Arial" w:hAnsi="Arial"/>
                <w:sz w:val="17"/>
                <w:szCs w:val="17"/>
                <w:color w:val="auto"/>
                <w:w w:val="95"/>
              </w:rPr>
              <w:t>(I.R.S. Employer Identification No.)</w:t>
            </w:r>
          </w:p>
        </w:tc>
      </w:tr>
      <w:tr>
        <w:trPr>
          <w:trHeight w:val="234"/>
        </w:trPr>
        <w:tc>
          <w:tcPr>
            <w:tcW w:w="3600" w:type="dxa"/>
            <w:vAlign w:val="bottom"/>
          </w:tcPr>
          <w:p>
            <w:pPr>
              <w:spacing w:after="0"/>
              <w:rPr>
                <w:sz w:val="20"/>
                <w:szCs w:val="20"/>
                <w:color w:val="auto"/>
              </w:rPr>
            </w:pPr>
          </w:p>
        </w:tc>
        <w:tc>
          <w:tcPr>
            <w:tcW w:w="7600" w:type="dxa"/>
            <w:vAlign w:val="bottom"/>
            <w:gridSpan w:val="5"/>
          </w:tcPr>
          <w:p>
            <w:pPr>
              <w:jc w:val="center"/>
              <w:ind w:right="3434"/>
              <w:spacing w:after="0"/>
              <w:rPr>
                <w:sz w:val="20"/>
                <w:szCs w:val="20"/>
                <w:color w:val="auto"/>
              </w:rPr>
            </w:pPr>
            <w:r>
              <w:rPr>
                <w:rFonts w:ascii="Arial" w:cs="Arial" w:eastAsia="Arial" w:hAnsi="Arial"/>
                <w:sz w:val="17"/>
                <w:szCs w:val="17"/>
                <w:b w:val="1"/>
                <w:bCs w:val="1"/>
                <w:color w:val="auto"/>
                <w:w w:val="89"/>
              </w:rPr>
              <w:t>19 East Chocolate Avenue, Hershey, PA 17033</w:t>
            </w:r>
          </w:p>
        </w:tc>
      </w:tr>
      <w:tr>
        <w:trPr>
          <w:trHeight w:val="167"/>
        </w:trPr>
        <w:tc>
          <w:tcPr>
            <w:tcW w:w="3600" w:type="dxa"/>
            <w:vAlign w:val="bottom"/>
          </w:tcPr>
          <w:p>
            <w:pPr>
              <w:spacing w:after="0"/>
              <w:rPr>
                <w:sz w:val="14"/>
                <w:szCs w:val="14"/>
                <w:color w:val="auto"/>
              </w:rPr>
            </w:pPr>
          </w:p>
        </w:tc>
        <w:tc>
          <w:tcPr>
            <w:tcW w:w="7600" w:type="dxa"/>
            <w:vAlign w:val="bottom"/>
            <w:gridSpan w:val="5"/>
          </w:tcPr>
          <w:p>
            <w:pPr>
              <w:jc w:val="center"/>
              <w:ind w:right="3414"/>
              <w:spacing w:after="0" w:line="167" w:lineRule="exact"/>
              <w:rPr>
                <w:sz w:val="20"/>
                <w:szCs w:val="20"/>
                <w:color w:val="auto"/>
              </w:rPr>
            </w:pPr>
            <w:r>
              <w:rPr>
                <w:rFonts w:ascii="Arial" w:cs="Arial" w:eastAsia="Arial" w:hAnsi="Arial"/>
                <w:sz w:val="17"/>
                <w:szCs w:val="17"/>
                <w:color w:val="auto"/>
                <w:w w:val="93"/>
              </w:rPr>
              <w:t>(Address of principal executive offices and Zip Code)</w:t>
            </w:r>
          </w:p>
        </w:tc>
      </w:tr>
      <w:tr>
        <w:trPr>
          <w:trHeight w:val="168"/>
        </w:trPr>
        <w:tc>
          <w:tcPr>
            <w:tcW w:w="3600" w:type="dxa"/>
            <w:vAlign w:val="bottom"/>
          </w:tcPr>
          <w:p>
            <w:pPr>
              <w:spacing w:after="0"/>
              <w:rPr>
                <w:sz w:val="14"/>
                <w:szCs w:val="14"/>
                <w:color w:val="auto"/>
              </w:rPr>
            </w:pPr>
          </w:p>
        </w:tc>
        <w:tc>
          <w:tcPr>
            <w:tcW w:w="3220" w:type="dxa"/>
            <w:vAlign w:val="bottom"/>
            <w:gridSpan w:val="3"/>
          </w:tcPr>
          <w:p>
            <w:pPr>
              <w:jc w:val="center"/>
              <w:ind w:left="734"/>
              <w:spacing w:after="0" w:line="168" w:lineRule="exact"/>
              <w:rPr>
                <w:sz w:val="20"/>
                <w:szCs w:val="20"/>
                <w:color w:val="auto"/>
              </w:rPr>
            </w:pPr>
            <w:r>
              <w:rPr>
                <w:rFonts w:ascii="Arial" w:cs="Arial" w:eastAsia="Arial" w:hAnsi="Arial"/>
                <w:sz w:val="17"/>
                <w:szCs w:val="17"/>
                <w:b w:val="1"/>
                <w:bCs w:val="1"/>
                <w:color w:val="auto"/>
                <w:w w:val="92"/>
              </w:rPr>
              <w:t>(717) 534-4200</w:t>
            </w: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7"/>
        </w:trPr>
        <w:tc>
          <w:tcPr>
            <w:tcW w:w="3600" w:type="dxa"/>
            <w:vAlign w:val="bottom"/>
          </w:tcPr>
          <w:p>
            <w:pPr>
              <w:spacing w:after="0"/>
              <w:rPr>
                <w:sz w:val="14"/>
                <w:szCs w:val="14"/>
                <w:color w:val="auto"/>
              </w:rPr>
            </w:pPr>
          </w:p>
        </w:tc>
        <w:tc>
          <w:tcPr>
            <w:tcW w:w="7600" w:type="dxa"/>
            <w:vAlign w:val="bottom"/>
            <w:gridSpan w:val="5"/>
          </w:tcPr>
          <w:p>
            <w:pPr>
              <w:jc w:val="center"/>
              <w:ind w:right="3454"/>
              <w:spacing w:after="0" w:line="167" w:lineRule="exact"/>
              <w:rPr>
                <w:sz w:val="20"/>
                <w:szCs w:val="20"/>
                <w:color w:val="auto"/>
              </w:rPr>
            </w:pPr>
            <w:r>
              <w:rPr>
                <w:rFonts w:ascii="Arial" w:cs="Arial" w:eastAsia="Arial" w:hAnsi="Arial"/>
                <w:sz w:val="17"/>
                <w:szCs w:val="17"/>
                <w:color w:val="auto"/>
                <w:w w:val="90"/>
              </w:rPr>
              <w:t>(Registrant's telephone number, including area code)</w:t>
            </w:r>
          </w:p>
        </w:tc>
      </w:tr>
      <w:tr>
        <w:trPr>
          <w:trHeight w:val="214"/>
        </w:trPr>
        <w:tc>
          <w:tcPr>
            <w:tcW w:w="6920" w:type="dxa"/>
            <w:vAlign w:val="bottom"/>
            <w:gridSpan w:val="5"/>
          </w:tcPr>
          <w:p>
            <w:pPr>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4280" w:type="dxa"/>
            <w:vAlign w:val="bottom"/>
          </w:tcPr>
          <w:p>
            <w:pPr>
              <w:spacing w:after="0"/>
              <w:rPr>
                <w:sz w:val="18"/>
                <w:szCs w:val="18"/>
                <w:color w:val="auto"/>
              </w:rPr>
            </w:pPr>
          </w:p>
        </w:tc>
      </w:tr>
      <w:tr>
        <w:trPr>
          <w:trHeight w:val="224"/>
        </w:trPr>
        <w:tc>
          <w:tcPr>
            <w:tcW w:w="3600" w:type="dxa"/>
            <w:vAlign w:val="bottom"/>
            <w:tcBorders>
              <w:bottom w:val="single" w:sz="8" w:color="auto"/>
            </w:tcBorders>
          </w:tcPr>
          <w:p>
            <w:pPr>
              <w:jc w:val="center"/>
              <w:ind w:left="594"/>
              <w:spacing w:after="0"/>
              <w:rPr>
                <w:sz w:val="20"/>
                <w:szCs w:val="20"/>
                <w:color w:val="auto"/>
              </w:rPr>
            </w:pPr>
            <w:r>
              <w:rPr>
                <w:rFonts w:ascii="Arial" w:cs="Arial" w:eastAsia="Arial" w:hAnsi="Arial"/>
                <w:sz w:val="17"/>
                <w:szCs w:val="17"/>
                <w:b w:val="1"/>
                <w:bCs w:val="1"/>
                <w:color w:val="auto"/>
                <w:w w:val="87"/>
              </w:rPr>
              <w:t>Title of each class</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Symbol(s)</w:t>
            </w:r>
          </w:p>
        </w:tc>
        <w:tc>
          <w:tcPr>
            <w:tcW w:w="100" w:type="dxa"/>
            <w:vAlign w:val="bottom"/>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11"/>
        </w:trPr>
        <w:tc>
          <w:tcPr>
            <w:tcW w:w="3600" w:type="dxa"/>
            <w:vAlign w:val="bottom"/>
          </w:tcPr>
          <w:p>
            <w:pPr>
              <w:jc w:val="center"/>
              <w:ind w:left="594"/>
              <w:spacing w:after="0"/>
              <w:rPr>
                <w:sz w:val="20"/>
                <w:szCs w:val="20"/>
                <w:color w:val="auto"/>
              </w:rPr>
            </w:pPr>
            <w:r>
              <w:rPr>
                <w:rFonts w:ascii="Arial" w:cs="Arial" w:eastAsia="Arial" w:hAnsi="Arial"/>
                <w:sz w:val="17"/>
                <w:szCs w:val="17"/>
                <w:color w:val="auto"/>
                <w:w w:val="91"/>
              </w:rPr>
              <w:t>Common Stock, one dollar par value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7"/>
                <w:szCs w:val="17"/>
                <w:color w:val="auto"/>
              </w:rPr>
              <w:t>HSY</w:t>
            </w:r>
          </w:p>
        </w:tc>
        <w:tc>
          <w:tcPr>
            <w:tcW w:w="428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299" w:lineRule="exact"/>
        <w:rPr>
          <w:sz w:val="24"/>
          <w:szCs w:val="24"/>
          <w:color w:val="auto"/>
        </w:rPr>
      </w:pPr>
    </w:p>
    <w:p>
      <w:pPr>
        <w:jc w:val="both"/>
        <w:spacing w:after="0" w:line="19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63" w:lineRule="exact"/>
        <w:rPr>
          <w:sz w:val="24"/>
          <w:szCs w:val="24"/>
          <w:color w:val="auto"/>
        </w:rPr>
      </w:pPr>
    </w:p>
    <w:p>
      <w:pPr>
        <w:ind w:right="6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63" w:lineRule="exact"/>
        <w:rPr>
          <w:sz w:val="24"/>
          <w:szCs w:val="24"/>
          <w:color w:val="auto"/>
        </w:rPr>
      </w:pPr>
    </w:p>
    <w:p>
      <w:pPr>
        <w:jc w:val="both"/>
        <w:ind w:right="120"/>
        <w:spacing w:after="0" w:line="22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7" w:lineRule="exact"/>
        <w:rPr>
          <w:sz w:val="24"/>
          <w:szCs w:val="24"/>
          <w:color w:val="auto"/>
        </w:rPr>
      </w:pPr>
    </w:p>
    <w:p>
      <w:pPr>
        <w:ind w:left="180"/>
        <w:spacing w:after="0" w:line="196" w:lineRule="exact"/>
        <w:tabs>
          <w:tab w:leader="none" w:pos="1980" w:val="left"/>
          <w:tab w:leader="none" w:pos="2320" w:val="left"/>
          <w:tab w:leader="none" w:pos="3680" w:val="left"/>
          <w:tab w:leader="none" w:pos="4080" w:val="left"/>
          <w:tab w:leader="none" w:pos="5760" w:val="left"/>
          <w:tab w:leader="none" w:pos="6180" w:val="left"/>
          <w:tab w:leader="none" w:pos="8320" w:val="left"/>
          <w:tab w:leader="none" w:pos="8780" w:val="left"/>
          <w:tab w:leader="none" w:pos="109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27" w:lineRule="exact"/>
        <w:rPr>
          <w:sz w:val="24"/>
          <w:szCs w:val="24"/>
          <w:color w:val="auto"/>
        </w:rPr>
      </w:pPr>
    </w:p>
    <w:p>
      <w:pPr>
        <w:ind w:right="480"/>
        <w:spacing w:after="0" w:line="20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w:t>
      </w:r>
    </w:p>
    <w:p>
      <w:pPr>
        <w:ind w:left="620"/>
        <w:spacing w:after="0" w:line="205" w:lineRule="auto"/>
        <w:rPr>
          <w:sz w:val="20"/>
          <w:szCs w:val="20"/>
          <w:color w:val="auto"/>
        </w:rPr>
      </w:pPr>
      <w:r>
        <w:rPr>
          <w:rFonts w:ascii="Arial" w:cs="Arial" w:eastAsia="Arial" w:hAnsi="Arial"/>
          <w:sz w:val="17"/>
          <w:szCs w:val="17"/>
          <w:color w:val="auto"/>
        </w:rPr>
        <w:t>Common Stock, one dollar par value—145,990,869 shares, as of April 22, 2022.</w:t>
      </w:r>
    </w:p>
    <w:p>
      <w:pPr>
        <w:spacing w:after="0" w:line="1" w:lineRule="exact"/>
        <w:rPr>
          <w:sz w:val="24"/>
          <w:szCs w:val="24"/>
          <w:color w:val="auto"/>
        </w:rPr>
      </w:pPr>
    </w:p>
    <w:p>
      <w:pPr>
        <w:ind w:left="620"/>
        <w:spacing w:after="0"/>
        <w:rPr>
          <w:sz w:val="20"/>
          <w:szCs w:val="20"/>
          <w:color w:val="auto"/>
        </w:rPr>
      </w:pPr>
      <w:r>
        <w:rPr>
          <w:rFonts w:ascii="Arial" w:cs="Arial" w:eastAsia="Arial" w:hAnsi="Arial"/>
          <w:sz w:val="17"/>
          <w:szCs w:val="17"/>
          <w:color w:val="auto"/>
        </w:rPr>
        <w:t>Class B Common Stock, one dollar par value—59,613,777 shares, as of April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238760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Ended April 3, 2022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CCEEFF"/>
          </w:tcPr>
          <w:p>
            <w:pPr>
              <w:spacing w:after="0"/>
              <w:rPr>
                <w:sz w:val="14"/>
                <w:szCs w:val="14"/>
                <w:color w:val="auto"/>
              </w:rPr>
            </w:pPr>
          </w:p>
        </w:tc>
        <w:tc>
          <w:tcPr>
            <w:tcW w:w="2480" w:type="dxa"/>
            <w:vAlign w:val="bottom"/>
            <w:tcBorders>
              <w:right w:val="single" w:sz="8" w:color="CCEEFF"/>
            </w:tcBorders>
            <w:gridSpan w:val="13"/>
            <w:shd w:val="clear" w:color="auto" w:fill="CCEEFF"/>
          </w:tcPr>
          <w:p>
            <w:pPr>
              <w:spacing w:after="0"/>
              <w:rPr>
                <w:sz w:val="20"/>
                <w:szCs w:val="20"/>
                <w:color w:val="auto"/>
              </w:rPr>
            </w:pPr>
            <w:r>
              <w:rPr>
                <w:rFonts w:ascii="Arial" w:cs="Arial" w:eastAsia="Arial" w:hAnsi="Arial"/>
                <w:sz w:val="15"/>
                <w:szCs w:val="15"/>
                <w:color w:val="0000FF"/>
                <w:w w:val="99"/>
              </w:rPr>
              <w:t>PART I. FINANCIAL INFORMATION</w:t>
            </w:r>
          </w:p>
        </w:tc>
        <w:tc>
          <w:tcPr>
            <w:tcW w:w="6640" w:type="dxa"/>
            <w:vAlign w:val="bottom"/>
            <w:gridSpan w:val="15"/>
            <w:shd w:val="clear" w:color="auto" w:fill="CCEEFF"/>
          </w:tcPr>
          <w:p>
            <w:pPr>
              <w:spacing w:after="0"/>
              <w:rPr>
                <w:sz w:val="14"/>
                <w:szCs w:val="14"/>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2">
              <w:r>
                <w:rPr>
                  <w:rFonts w:ascii="Arial" w:cs="Arial" w:eastAsia="Arial" w:hAnsi="Arial"/>
                  <w:sz w:val="15"/>
                  <w:szCs w:val="15"/>
                  <w:color w:val="0000FF"/>
                </w:rPr>
                <w:t>2</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2480" w:type="dxa"/>
            <w:vAlign w:val="bottom"/>
            <w:gridSpan w:val="13"/>
          </w:tcPr>
          <w:p>
            <w:pPr>
              <w:ind w:left="120"/>
              <w:spacing w:after="0" w:line="168" w:lineRule="exact"/>
              <w:rPr>
                <w:sz w:val="20"/>
                <w:szCs w:val="20"/>
                <w:color w:val="auto"/>
              </w:rPr>
            </w:pPr>
            <w:r>
              <w:rPr>
                <w:rFonts w:ascii="Arial" w:cs="Arial" w:eastAsia="Arial" w:hAnsi="Arial"/>
                <w:sz w:val="15"/>
                <w:szCs w:val="15"/>
                <w:color w:val="0000FF"/>
              </w:rPr>
              <w:t>Item 1. Financial Statements</w:t>
            </w:r>
          </w:p>
        </w:tc>
        <w:tc>
          <w:tcPr>
            <w:tcW w:w="6640" w:type="dxa"/>
            <w:vAlign w:val="bottom"/>
            <w:gridSpan w:val="15"/>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3">
              <w:r>
                <w:rPr>
                  <w:rFonts w:ascii="Arial" w:cs="Arial" w:eastAsia="Arial" w:hAnsi="Arial"/>
                  <w:sz w:val="15"/>
                  <w:szCs w:val="15"/>
                  <w:color w:val="0000FF"/>
                </w:rPr>
                <w:t>2</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0" w:type="dxa"/>
            <w:vAlign w:val="bottom"/>
            <w:gridSpan w:val="27"/>
            <w:shd w:val="clear" w:color="auto" w:fill="CCEEFF"/>
          </w:tcPr>
          <w:p>
            <w:pPr>
              <w:ind w:left="80"/>
              <w:spacing w:after="0"/>
              <w:rPr>
                <w:rFonts w:ascii="Arial" w:cs="Arial" w:eastAsia="Arial" w:hAnsi="Arial"/>
                <w:sz w:val="15"/>
                <w:szCs w:val="15"/>
                <w:color w:val="0000FF"/>
              </w:rPr>
            </w:pPr>
            <w:hyperlink w:anchor="page3">
              <w:r>
                <w:rPr>
                  <w:rFonts w:ascii="Arial" w:cs="Arial" w:eastAsia="Arial" w:hAnsi="Arial"/>
                  <w:sz w:val="15"/>
                  <w:szCs w:val="15"/>
                  <w:color w:val="0000FF"/>
                </w:rPr>
                <w:t>Consolidated Statements of Income for the Three Months Ended April 3, 2022 and April 4, 2021</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3">
              <w:r>
                <w:rPr>
                  <w:rFonts w:ascii="Arial" w:cs="Arial" w:eastAsia="Arial" w:hAnsi="Arial"/>
                  <w:sz w:val="15"/>
                  <w:szCs w:val="15"/>
                  <w:color w:val="0000FF"/>
                </w:rPr>
                <w:t>2</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gridSpan w:val="27"/>
          </w:tcPr>
          <w:p>
            <w:pPr>
              <w:ind w:left="80"/>
              <w:spacing w:after="0" w:line="168" w:lineRule="exact"/>
              <w:rPr>
                <w:rFonts w:ascii="Arial" w:cs="Arial" w:eastAsia="Arial" w:hAnsi="Arial"/>
                <w:sz w:val="15"/>
                <w:szCs w:val="15"/>
                <w:color w:val="0000FF"/>
              </w:rPr>
            </w:pPr>
            <w:hyperlink w:anchor="page3">
              <w:r>
                <w:rPr>
                  <w:rFonts w:ascii="Arial" w:cs="Arial" w:eastAsia="Arial" w:hAnsi="Arial"/>
                  <w:sz w:val="15"/>
                  <w:szCs w:val="15"/>
                  <w:color w:val="0000FF"/>
                </w:rPr>
                <w:t>Consolidated Statements of Comprehensive Income for the Three Months Ended April 3, 2022 and April 4, 2021</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3">
              <w:r>
                <w:rPr>
                  <w:rFonts w:ascii="Arial" w:cs="Arial" w:eastAsia="Arial" w:hAnsi="Arial"/>
                  <w:sz w:val="15"/>
                  <w:szCs w:val="15"/>
                  <w:color w:val="0000FF"/>
                </w:rPr>
                <w:t>3</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0" w:type="dxa"/>
            <w:vAlign w:val="bottom"/>
            <w:gridSpan w:val="27"/>
            <w:shd w:val="clear" w:color="auto" w:fill="CCEEFF"/>
          </w:tcPr>
          <w:p>
            <w:pPr>
              <w:ind w:left="80"/>
              <w:spacing w:after="0"/>
              <w:rPr>
                <w:rFonts w:ascii="Arial" w:cs="Arial" w:eastAsia="Arial" w:hAnsi="Arial"/>
                <w:sz w:val="15"/>
                <w:szCs w:val="15"/>
                <w:color w:val="0000FF"/>
              </w:rPr>
            </w:pPr>
            <w:hyperlink w:anchor="page4">
              <w:r>
                <w:rPr>
                  <w:rFonts w:ascii="Arial" w:cs="Arial" w:eastAsia="Arial" w:hAnsi="Arial"/>
                  <w:sz w:val="15"/>
                  <w:szCs w:val="15"/>
                  <w:color w:val="0000FF"/>
                </w:rPr>
                <w:t>Consolidated Balance Sheets as of April 3, 2022 and December 31, 2021</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4">
              <w:r>
                <w:rPr>
                  <w:rFonts w:ascii="Arial" w:cs="Arial" w:eastAsia="Arial" w:hAnsi="Arial"/>
                  <w:sz w:val="15"/>
                  <w:szCs w:val="15"/>
                  <w:color w:val="0000FF"/>
                </w:rPr>
                <w:t>4</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gridSpan w:val="27"/>
          </w:tcPr>
          <w:p>
            <w:pPr>
              <w:ind w:left="80"/>
              <w:spacing w:after="0" w:line="168" w:lineRule="exact"/>
              <w:rPr>
                <w:rFonts w:ascii="Arial" w:cs="Arial" w:eastAsia="Arial" w:hAnsi="Arial"/>
                <w:sz w:val="15"/>
                <w:szCs w:val="15"/>
                <w:color w:val="0000FF"/>
              </w:rPr>
            </w:pPr>
            <w:hyperlink w:anchor="page5">
              <w:r>
                <w:rPr>
                  <w:rFonts w:ascii="Arial" w:cs="Arial" w:eastAsia="Arial" w:hAnsi="Arial"/>
                  <w:sz w:val="15"/>
                  <w:szCs w:val="15"/>
                  <w:color w:val="0000FF"/>
                </w:rPr>
                <w:t>Consolidated Statements of Cash Flows for the Three Months Ended April 3, 2022 and April 4, 2021</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5">
              <w:r>
                <w:rPr>
                  <w:rFonts w:ascii="Arial" w:cs="Arial" w:eastAsia="Arial" w:hAnsi="Arial"/>
                  <w:sz w:val="15"/>
                  <w:szCs w:val="15"/>
                  <w:color w:val="0000FF"/>
                </w:rPr>
                <w:t>5</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8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0" w:type="dxa"/>
            <w:vAlign w:val="bottom"/>
            <w:gridSpan w:val="27"/>
            <w:shd w:val="clear" w:color="auto" w:fill="CCEEFF"/>
          </w:tcPr>
          <w:p>
            <w:pPr>
              <w:ind w:left="80"/>
              <w:spacing w:after="0"/>
              <w:rPr>
                <w:rFonts w:ascii="Arial" w:cs="Arial" w:eastAsia="Arial" w:hAnsi="Arial"/>
                <w:sz w:val="15"/>
                <w:szCs w:val="15"/>
                <w:color w:val="0000FF"/>
              </w:rPr>
            </w:pPr>
            <w:hyperlink w:anchor="page6">
              <w:r>
                <w:rPr>
                  <w:rFonts w:ascii="Arial" w:cs="Arial" w:eastAsia="Arial" w:hAnsi="Arial"/>
                  <w:sz w:val="15"/>
                  <w:szCs w:val="15"/>
                  <w:color w:val="0000FF"/>
                </w:rPr>
                <w:t xml:space="preserve">Consolidated Statement of Stockholders’ Equity for the Three Months Ended April 3, 2022 and April </w:t>
              </w:r>
            </w:hyperlink>
            <w:r>
              <w:rPr>
                <w:rFonts w:ascii="Arial" w:cs="Arial" w:eastAsia="Arial" w:hAnsi="Arial"/>
                <w:sz w:val="15"/>
                <w:szCs w:val="15"/>
                <w:color w:val="0000FF"/>
              </w:rPr>
              <w:t xml:space="preserve">4, </w:t>
            </w:r>
            <w:hyperlink w:anchor="page6">
              <w:r>
                <w:rPr>
                  <w:rFonts w:ascii="Arial" w:cs="Arial" w:eastAsia="Arial" w:hAnsi="Arial"/>
                  <w:sz w:val="15"/>
                  <w:szCs w:val="15"/>
                  <w:color w:val="0000FF"/>
                </w:rPr>
                <w:t>2021</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6">
              <w:r>
                <w:rPr>
                  <w:rFonts w:ascii="Arial" w:cs="Arial" w:eastAsia="Arial" w:hAnsi="Arial"/>
                  <w:sz w:val="15"/>
                  <w:szCs w:val="15"/>
                  <w:color w:val="0000FF"/>
                </w:rPr>
                <w:t>6</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8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gridSpan w:val="27"/>
          </w:tcPr>
          <w:p>
            <w:pPr>
              <w:ind w:left="80"/>
              <w:spacing w:after="0" w:line="168" w:lineRule="exact"/>
              <w:rPr>
                <w:sz w:val="20"/>
                <w:szCs w:val="20"/>
                <w:color w:val="auto"/>
              </w:rPr>
            </w:pPr>
            <w:r>
              <w:rPr>
                <w:rFonts w:ascii="Arial" w:cs="Arial" w:eastAsia="Arial" w:hAnsi="Arial"/>
                <w:sz w:val="15"/>
                <w:szCs w:val="15"/>
                <w:color w:val="0000FF"/>
              </w:rPr>
              <w:t>Notes to Unaudited Consolidated Financial Statements</w:t>
            </w: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7">
              <w:r>
                <w:rPr>
                  <w:rFonts w:ascii="Arial" w:cs="Arial" w:eastAsia="Arial" w:hAnsi="Arial"/>
                  <w:sz w:val="15"/>
                  <w:szCs w:val="15"/>
                  <w:color w:val="0000FF"/>
                </w:rPr>
                <w:t>7</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20" w:type="dxa"/>
            <w:vAlign w:val="bottom"/>
            <w:gridSpan w:val="25"/>
            <w:shd w:val="clear" w:color="auto" w:fill="CCEEFF"/>
          </w:tcPr>
          <w:p>
            <w:pPr>
              <w:spacing w:after="0"/>
              <w:rPr>
                <w:rFonts w:ascii="Arial" w:cs="Arial" w:eastAsia="Arial" w:hAnsi="Arial"/>
                <w:sz w:val="15"/>
                <w:szCs w:val="15"/>
                <w:color w:val="0000FF"/>
              </w:rPr>
            </w:pPr>
            <w:hyperlink w:anchor="page8">
              <w:r>
                <w:rPr>
                  <w:rFonts w:ascii="Arial" w:cs="Arial" w:eastAsia="Arial" w:hAnsi="Arial"/>
                  <w:sz w:val="15"/>
                  <w:szCs w:val="15"/>
                  <w:color w:val="0000FF"/>
                </w:rPr>
                <w:t>Note 1 - Summary of Significant Accounting Policies</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8">
              <w:r>
                <w:rPr>
                  <w:rFonts w:ascii="Arial" w:cs="Arial" w:eastAsia="Arial" w:hAnsi="Arial"/>
                  <w:sz w:val="15"/>
                  <w:szCs w:val="15"/>
                  <w:color w:val="0000FF"/>
                </w:rPr>
                <w:t>7</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20" w:type="dxa"/>
            <w:vAlign w:val="bottom"/>
            <w:gridSpan w:val="17"/>
          </w:tcPr>
          <w:p>
            <w:pPr>
              <w:spacing w:after="0" w:line="168" w:lineRule="exact"/>
              <w:rPr>
                <w:rFonts w:ascii="Arial" w:cs="Arial" w:eastAsia="Arial" w:hAnsi="Arial"/>
                <w:sz w:val="15"/>
                <w:szCs w:val="15"/>
                <w:color w:val="0000FF"/>
              </w:rPr>
            </w:pPr>
            <w:hyperlink w:anchor="page9">
              <w:r>
                <w:rPr>
                  <w:rFonts w:ascii="Arial" w:cs="Arial" w:eastAsia="Arial" w:hAnsi="Arial"/>
                  <w:sz w:val="15"/>
                  <w:szCs w:val="15"/>
                  <w:color w:val="0000FF"/>
                </w:rPr>
                <w:t>Note 2 - Business Acquisitions and Divestiture</w:t>
              </w:r>
            </w:hyperlink>
          </w:p>
        </w:tc>
        <w:tc>
          <w:tcPr>
            <w:tcW w:w="5300" w:type="dxa"/>
            <w:vAlign w:val="bottom"/>
            <w:gridSpan w:val="8"/>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9">
              <w:r>
                <w:rPr>
                  <w:rFonts w:ascii="Arial" w:cs="Arial" w:eastAsia="Arial" w:hAnsi="Arial"/>
                  <w:sz w:val="15"/>
                  <w:szCs w:val="15"/>
                  <w:color w:val="0000FF"/>
                </w:rPr>
                <w:t>8</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900" w:type="dxa"/>
            <w:vAlign w:val="bottom"/>
            <w:gridSpan w:val="14"/>
            <w:shd w:val="clear" w:color="auto" w:fill="CCEEFF"/>
          </w:tcPr>
          <w:p>
            <w:pPr>
              <w:spacing w:after="0"/>
              <w:rPr>
                <w:rFonts w:ascii="Arial" w:cs="Arial" w:eastAsia="Arial" w:hAnsi="Arial"/>
                <w:sz w:val="15"/>
                <w:szCs w:val="15"/>
                <w:color w:val="0000FF"/>
              </w:rPr>
            </w:pPr>
            <w:hyperlink w:anchor="page11">
              <w:r>
                <w:rPr>
                  <w:rFonts w:ascii="Arial" w:cs="Arial" w:eastAsia="Arial" w:hAnsi="Arial"/>
                  <w:sz w:val="15"/>
                  <w:szCs w:val="15"/>
                  <w:color w:val="0000FF"/>
                </w:rPr>
                <w:t>Note 3 - Goodwill and Intangible Assets</w:t>
              </w:r>
            </w:hyperlink>
          </w:p>
        </w:tc>
        <w:tc>
          <w:tcPr>
            <w:tcW w:w="5720" w:type="dxa"/>
            <w:vAlign w:val="bottom"/>
            <w:gridSpan w:val="11"/>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11">
              <w:r>
                <w:rPr>
                  <w:rFonts w:ascii="Arial" w:cs="Arial" w:eastAsia="Arial" w:hAnsi="Arial"/>
                  <w:sz w:val="15"/>
                  <w:szCs w:val="15"/>
                  <w:color w:val="0000FF"/>
                </w:rPr>
                <w:t>11</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rFonts w:ascii="Arial" w:cs="Arial" w:eastAsia="Arial" w:hAnsi="Arial"/>
                <w:sz w:val="15"/>
                <w:szCs w:val="15"/>
                <w:color w:val="0000FF"/>
              </w:rPr>
            </w:pPr>
            <w:hyperlink w:anchor="page12">
              <w:r>
                <w:rPr>
                  <w:rFonts w:ascii="Arial" w:cs="Arial" w:eastAsia="Arial" w:hAnsi="Arial"/>
                  <w:sz w:val="15"/>
                  <w:szCs w:val="15"/>
                  <w:color w:val="0000FF"/>
                </w:rPr>
                <w:t>Note 4 - Short and Long-Term Debt</w:t>
              </w:r>
            </w:hyperlink>
          </w:p>
        </w:tc>
        <w:tc>
          <w:tcPr>
            <w:tcW w:w="6060" w:type="dxa"/>
            <w:vAlign w:val="bottom"/>
            <w:gridSpan w:val="12"/>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12">
              <w:r>
                <w:rPr>
                  <w:rFonts w:ascii="Arial" w:cs="Arial" w:eastAsia="Arial" w:hAnsi="Arial"/>
                  <w:sz w:val="15"/>
                  <w:szCs w:val="15"/>
                  <w:color w:val="0000FF"/>
                </w:rPr>
                <w:t>11</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tcBorders>
              <w:right w:val="single" w:sz="8" w:color="CCEEFF"/>
            </w:tcBorders>
            <w:gridSpan w:val="10"/>
            <w:shd w:val="clear" w:color="auto" w:fill="CCEEFF"/>
          </w:tcPr>
          <w:p>
            <w:pPr>
              <w:spacing w:after="0"/>
              <w:rPr>
                <w:rFonts w:ascii="Arial" w:cs="Arial" w:eastAsia="Arial" w:hAnsi="Arial"/>
                <w:sz w:val="15"/>
                <w:szCs w:val="15"/>
                <w:color w:val="0000FF"/>
                <w:w w:val="93"/>
              </w:rPr>
            </w:pPr>
            <w:hyperlink w:anchor="page13">
              <w:r>
                <w:rPr>
                  <w:rFonts w:ascii="Arial" w:cs="Arial" w:eastAsia="Arial" w:hAnsi="Arial"/>
                  <w:sz w:val="15"/>
                  <w:szCs w:val="15"/>
                  <w:color w:val="0000FF"/>
                  <w:w w:val="93"/>
                </w:rPr>
                <w:t>Note 5 - Derivative Instruments</w:t>
              </w:r>
            </w:hyperlink>
          </w:p>
        </w:tc>
        <w:tc>
          <w:tcPr>
            <w:tcW w:w="240" w:type="dxa"/>
            <w:vAlign w:val="bottom"/>
            <w:gridSpan w:val="2"/>
            <w:shd w:val="clear" w:color="auto" w:fill="CCEEFF"/>
          </w:tcPr>
          <w:p>
            <w:pPr>
              <w:spacing w:after="0"/>
              <w:rPr>
                <w:sz w:val="15"/>
                <w:szCs w:val="15"/>
                <w:color w:val="auto"/>
              </w:rPr>
            </w:pPr>
          </w:p>
        </w:tc>
        <w:tc>
          <w:tcPr>
            <w:tcW w:w="6400" w:type="dxa"/>
            <w:vAlign w:val="bottom"/>
            <w:tcBorders>
              <w:left w:val="single" w:sz="8" w:color="CCEEFF"/>
            </w:tcBorders>
            <w:gridSpan w:val="13"/>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13">
              <w:r>
                <w:rPr>
                  <w:rFonts w:ascii="Arial" w:cs="Arial" w:eastAsia="Arial" w:hAnsi="Arial"/>
                  <w:sz w:val="15"/>
                  <w:szCs w:val="15"/>
                  <w:color w:val="0000FF"/>
                </w:rPr>
                <w:t>12</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20" w:type="dxa"/>
            <w:vAlign w:val="bottom"/>
            <w:gridSpan w:val="25"/>
          </w:tcPr>
          <w:p>
            <w:pPr>
              <w:spacing w:after="0" w:line="168" w:lineRule="exact"/>
              <w:rPr>
                <w:rFonts w:ascii="Arial" w:cs="Arial" w:eastAsia="Arial" w:hAnsi="Arial"/>
                <w:sz w:val="15"/>
                <w:szCs w:val="15"/>
                <w:color w:val="0000FF"/>
              </w:rPr>
            </w:pPr>
            <w:hyperlink w:anchor="page16">
              <w:r>
                <w:rPr>
                  <w:rFonts w:ascii="Arial" w:cs="Arial" w:eastAsia="Arial" w:hAnsi="Arial"/>
                  <w:sz w:val="15"/>
                  <w:szCs w:val="15"/>
                  <w:color w:val="0000FF"/>
                </w:rPr>
                <w:t>Note 6 - Fair Value Measurements</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16">
              <w:r>
                <w:rPr>
                  <w:rFonts w:ascii="Arial" w:cs="Arial" w:eastAsia="Arial" w:hAnsi="Arial"/>
                  <w:sz w:val="15"/>
                  <w:szCs w:val="15"/>
                  <w:color w:val="0000FF"/>
                </w:rPr>
                <w:t>15</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gridSpan w:val="11"/>
            <w:shd w:val="clear" w:color="auto" w:fill="CCEEFF"/>
          </w:tcPr>
          <w:p>
            <w:pPr>
              <w:spacing w:after="0"/>
              <w:rPr>
                <w:rFonts w:ascii="Arial" w:cs="Arial" w:eastAsia="Arial" w:hAnsi="Arial"/>
                <w:sz w:val="15"/>
                <w:szCs w:val="15"/>
                <w:color w:val="0000FF"/>
              </w:rPr>
            </w:pPr>
            <w:hyperlink w:anchor="page17">
              <w:r>
                <w:rPr>
                  <w:rFonts w:ascii="Arial" w:cs="Arial" w:eastAsia="Arial" w:hAnsi="Arial"/>
                  <w:sz w:val="15"/>
                  <w:szCs w:val="15"/>
                  <w:color w:val="0000FF"/>
                </w:rPr>
                <w:t>Note 7 - Leases</w:t>
              </w:r>
            </w:hyperlink>
          </w:p>
        </w:tc>
        <w:tc>
          <w:tcPr>
            <w:tcW w:w="6520" w:type="dxa"/>
            <w:vAlign w:val="bottom"/>
            <w:tcBorders>
              <w:left w:val="single" w:sz="8" w:color="CCEEFF"/>
            </w:tcBorders>
            <w:gridSpan w:val="14"/>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17">
              <w:r>
                <w:rPr>
                  <w:rFonts w:ascii="Arial" w:cs="Arial" w:eastAsia="Arial" w:hAnsi="Arial"/>
                  <w:sz w:val="15"/>
                  <w:szCs w:val="15"/>
                  <w:color w:val="0000FF"/>
                </w:rPr>
                <w:t>16</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20" w:type="dxa"/>
            <w:vAlign w:val="bottom"/>
            <w:gridSpan w:val="25"/>
          </w:tcPr>
          <w:p>
            <w:pPr>
              <w:spacing w:after="0" w:line="168" w:lineRule="exact"/>
              <w:rPr>
                <w:rFonts w:ascii="Arial" w:cs="Arial" w:eastAsia="Arial" w:hAnsi="Arial"/>
                <w:sz w:val="15"/>
                <w:szCs w:val="15"/>
                <w:color w:val="0000FF"/>
              </w:rPr>
            </w:pPr>
            <w:hyperlink w:anchor="page19">
              <w:r>
                <w:rPr>
                  <w:rFonts w:ascii="Arial" w:cs="Arial" w:eastAsia="Arial" w:hAnsi="Arial"/>
                  <w:sz w:val="15"/>
                  <w:szCs w:val="15"/>
                  <w:color w:val="0000FF"/>
                </w:rPr>
                <w:t>Note 8 - Investments in Unconsolidated Affiliates</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19">
              <w:r>
                <w:rPr>
                  <w:rFonts w:ascii="Arial" w:cs="Arial" w:eastAsia="Arial" w:hAnsi="Arial"/>
                  <w:sz w:val="15"/>
                  <w:szCs w:val="15"/>
                  <w:color w:val="0000FF"/>
                </w:rPr>
                <w:t>18</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80" w:type="dxa"/>
            <w:vAlign w:val="bottom"/>
            <w:gridSpan w:val="15"/>
            <w:shd w:val="clear" w:color="auto" w:fill="CCEEFF"/>
          </w:tcPr>
          <w:p>
            <w:pPr>
              <w:spacing w:after="0"/>
              <w:rPr>
                <w:rFonts w:ascii="Arial" w:cs="Arial" w:eastAsia="Arial" w:hAnsi="Arial"/>
                <w:sz w:val="15"/>
                <w:szCs w:val="15"/>
                <w:color w:val="0000FF"/>
              </w:rPr>
            </w:pPr>
            <w:hyperlink w:anchor="page19">
              <w:r>
                <w:rPr>
                  <w:rFonts w:ascii="Arial" w:cs="Arial" w:eastAsia="Arial" w:hAnsi="Arial"/>
                  <w:sz w:val="15"/>
                  <w:szCs w:val="15"/>
                  <w:color w:val="0000FF"/>
                </w:rPr>
                <w:t>Note 9 - Business Realignment Activities</w:t>
              </w:r>
            </w:hyperlink>
          </w:p>
        </w:tc>
        <w:tc>
          <w:tcPr>
            <w:tcW w:w="5540" w:type="dxa"/>
            <w:vAlign w:val="bottom"/>
            <w:gridSpan w:val="10"/>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19">
              <w:r>
                <w:rPr>
                  <w:rFonts w:ascii="Arial" w:cs="Arial" w:eastAsia="Arial" w:hAnsi="Arial"/>
                  <w:sz w:val="15"/>
                  <w:szCs w:val="15"/>
                  <w:color w:val="0000FF"/>
                </w:rPr>
                <w:t>18</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13"/>
          </w:tcPr>
          <w:p>
            <w:pPr>
              <w:spacing w:after="0" w:line="168" w:lineRule="exact"/>
              <w:rPr>
                <w:rFonts w:ascii="Arial" w:cs="Arial" w:eastAsia="Arial" w:hAnsi="Arial"/>
                <w:sz w:val="15"/>
                <w:szCs w:val="15"/>
                <w:color w:val="0000FF"/>
              </w:rPr>
            </w:pPr>
            <w:hyperlink w:anchor="page20">
              <w:r>
                <w:rPr>
                  <w:rFonts w:ascii="Arial" w:cs="Arial" w:eastAsia="Arial" w:hAnsi="Arial"/>
                  <w:sz w:val="15"/>
                  <w:szCs w:val="15"/>
                  <w:color w:val="0000FF"/>
                </w:rPr>
                <w:t>Note 10 - Income Taxes</w:t>
              </w:r>
            </w:hyperlink>
          </w:p>
        </w:tc>
        <w:tc>
          <w:tcPr>
            <w:tcW w:w="6060" w:type="dxa"/>
            <w:vAlign w:val="bottom"/>
            <w:gridSpan w:val="12"/>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20">
              <w:r>
                <w:rPr>
                  <w:rFonts w:ascii="Arial" w:cs="Arial" w:eastAsia="Arial" w:hAnsi="Arial"/>
                  <w:sz w:val="15"/>
                  <w:szCs w:val="15"/>
                  <w:color w:val="0000FF"/>
                </w:rPr>
                <w:t>19</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80" w:type="dxa"/>
            <w:vAlign w:val="bottom"/>
            <w:gridSpan w:val="18"/>
            <w:shd w:val="clear" w:color="auto" w:fill="CCEEFF"/>
          </w:tcPr>
          <w:p>
            <w:pPr>
              <w:spacing w:after="0"/>
              <w:rPr>
                <w:rFonts w:ascii="Arial" w:cs="Arial" w:eastAsia="Arial" w:hAnsi="Arial"/>
                <w:sz w:val="15"/>
                <w:szCs w:val="15"/>
                <w:color w:val="0000FF"/>
                <w:w w:val="92"/>
              </w:rPr>
            </w:pPr>
            <w:hyperlink w:anchor="page21">
              <w:r>
                <w:rPr>
                  <w:rFonts w:ascii="Arial" w:cs="Arial" w:eastAsia="Arial" w:hAnsi="Arial"/>
                  <w:sz w:val="15"/>
                  <w:szCs w:val="15"/>
                  <w:color w:val="0000FF"/>
                  <w:w w:val="92"/>
                </w:rPr>
                <w:t>Note 11 - Pension and Other Post-Retirement Benefit Plans</w:t>
              </w:r>
            </w:hyperlink>
          </w:p>
        </w:tc>
        <w:tc>
          <w:tcPr>
            <w:tcW w:w="4940" w:type="dxa"/>
            <w:vAlign w:val="bottom"/>
            <w:gridSpan w:val="7"/>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21">
              <w:r>
                <w:rPr>
                  <w:rFonts w:ascii="Arial" w:cs="Arial" w:eastAsia="Arial" w:hAnsi="Arial"/>
                  <w:sz w:val="15"/>
                  <w:szCs w:val="15"/>
                  <w:color w:val="0000FF"/>
                </w:rPr>
                <w:t>20</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gridSpan w:val="18"/>
          </w:tcPr>
          <w:p>
            <w:pPr>
              <w:spacing w:after="0" w:line="168" w:lineRule="exact"/>
              <w:rPr>
                <w:rFonts w:ascii="Arial" w:cs="Arial" w:eastAsia="Arial" w:hAnsi="Arial"/>
                <w:sz w:val="15"/>
                <w:szCs w:val="15"/>
                <w:color w:val="0000FF"/>
              </w:rPr>
            </w:pPr>
            <w:hyperlink w:anchor="page21">
              <w:r>
                <w:rPr>
                  <w:rFonts w:ascii="Arial" w:cs="Arial" w:eastAsia="Arial" w:hAnsi="Arial"/>
                  <w:sz w:val="15"/>
                  <w:szCs w:val="15"/>
                  <w:color w:val="0000FF"/>
                </w:rPr>
                <w:t>Note 12 - Stock Compensation Plans</w:t>
              </w:r>
            </w:hyperlink>
          </w:p>
        </w:tc>
        <w:tc>
          <w:tcPr>
            <w:tcW w:w="4940" w:type="dxa"/>
            <w:vAlign w:val="bottom"/>
            <w:gridSpan w:val="7"/>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21">
              <w:r>
                <w:rPr>
                  <w:rFonts w:ascii="Arial" w:cs="Arial" w:eastAsia="Arial" w:hAnsi="Arial"/>
                  <w:sz w:val="15"/>
                  <w:szCs w:val="15"/>
                  <w:color w:val="0000FF"/>
                </w:rPr>
                <w:t>21</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20" w:type="dxa"/>
            <w:vAlign w:val="bottom"/>
            <w:gridSpan w:val="12"/>
            <w:shd w:val="clear" w:color="auto" w:fill="CCEEFF"/>
          </w:tcPr>
          <w:p>
            <w:pPr>
              <w:spacing w:after="0"/>
              <w:rPr>
                <w:rFonts w:ascii="Arial" w:cs="Arial" w:eastAsia="Arial" w:hAnsi="Arial"/>
                <w:sz w:val="15"/>
                <w:szCs w:val="15"/>
                <w:color w:val="0000FF"/>
              </w:rPr>
            </w:pPr>
            <w:hyperlink w:anchor="page24">
              <w:r>
                <w:rPr>
                  <w:rFonts w:ascii="Arial" w:cs="Arial" w:eastAsia="Arial" w:hAnsi="Arial"/>
                  <w:sz w:val="15"/>
                  <w:szCs w:val="15"/>
                  <w:color w:val="0000FF"/>
                </w:rPr>
                <w:t>Note 13 - Segment Information</w:t>
              </w:r>
            </w:hyperlink>
          </w:p>
        </w:tc>
        <w:tc>
          <w:tcPr>
            <w:tcW w:w="6400" w:type="dxa"/>
            <w:vAlign w:val="bottom"/>
            <w:tcBorders>
              <w:left w:val="single" w:sz="8" w:color="CCEEFF"/>
            </w:tcBorders>
            <w:gridSpan w:val="13"/>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24">
              <w:r>
                <w:rPr>
                  <w:rFonts w:ascii="Arial" w:cs="Arial" w:eastAsia="Arial" w:hAnsi="Arial"/>
                  <w:sz w:val="15"/>
                  <w:szCs w:val="15"/>
                  <w:color w:val="0000FF"/>
                </w:rPr>
                <w:t>23</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20" w:type="dxa"/>
            <w:vAlign w:val="bottom"/>
            <w:gridSpan w:val="25"/>
          </w:tcPr>
          <w:p>
            <w:pPr>
              <w:spacing w:after="0" w:line="168" w:lineRule="exact"/>
              <w:rPr>
                <w:rFonts w:ascii="Arial" w:cs="Arial" w:eastAsia="Arial" w:hAnsi="Arial"/>
                <w:sz w:val="15"/>
                <w:szCs w:val="15"/>
                <w:color w:val="0000FF"/>
              </w:rPr>
            </w:pPr>
            <w:hyperlink w:anchor="page26">
              <w:r>
                <w:rPr>
                  <w:rFonts w:ascii="Arial" w:cs="Arial" w:eastAsia="Arial" w:hAnsi="Arial"/>
                  <w:sz w:val="15"/>
                  <w:szCs w:val="15"/>
                  <w:color w:val="0000FF"/>
                </w:rPr>
                <w:t>Note 14 - Treasury Stock Activity</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26">
              <w:r>
                <w:rPr>
                  <w:rFonts w:ascii="Arial" w:cs="Arial" w:eastAsia="Arial" w:hAnsi="Arial"/>
                  <w:sz w:val="15"/>
                  <w:szCs w:val="15"/>
                  <w:color w:val="0000FF"/>
                </w:rPr>
                <w:t>26</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gridSpan w:val="6"/>
            <w:shd w:val="clear" w:color="auto" w:fill="CCEEFF"/>
          </w:tcPr>
          <w:p>
            <w:pPr>
              <w:spacing w:after="0"/>
              <w:rPr>
                <w:rFonts w:ascii="Arial" w:cs="Arial" w:eastAsia="Arial" w:hAnsi="Arial"/>
                <w:sz w:val="15"/>
                <w:szCs w:val="15"/>
                <w:color w:val="0000FF"/>
                <w:w w:val="89"/>
              </w:rPr>
            </w:pPr>
            <w:hyperlink w:anchor="page27">
              <w:r>
                <w:rPr>
                  <w:rFonts w:ascii="Arial" w:cs="Arial" w:eastAsia="Arial" w:hAnsi="Arial"/>
                  <w:sz w:val="15"/>
                  <w:szCs w:val="15"/>
                  <w:color w:val="0000FF"/>
                  <w:w w:val="89"/>
                </w:rPr>
                <w:t xml:space="preserve">Note </w:t>
              </w:r>
            </w:hyperlink>
            <w:r>
              <w:rPr>
                <w:rFonts w:ascii="Arial" w:cs="Arial" w:eastAsia="Arial" w:hAnsi="Arial"/>
                <w:sz w:val="15"/>
                <w:szCs w:val="15"/>
                <w:color w:val="0000FF"/>
                <w:w w:val="89"/>
              </w:rPr>
              <w:t xml:space="preserve">15 </w:t>
            </w:r>
            <w:hyperlink w:anchor="page27">
              <w:r>
                <w:rPr>
                  <w:rFonts w:ascii="Arial" w:cs="Arial" w:eastAsia="Arial" w:hAnsi="Arial"/>
                  <w:sz w:val="15"/>
                  <w:szCs w:val="15"/>
                  <w:color w:val="0000FF"/>
                  <w:w w:val="89"/>
                </w:rPr>
                <w:t>- Contingencies</w:t>
              </w:r>
            </w:hyperlink>
          </w:p>
        </w:tc>
        <w:tc>
          <w:tcPr>
            <w:tcW w:w="620" w:type="dxa"/>
            <w:vAlign w:val="bottom"/>
            <w:tcBorders>
              <w:left w:val="single" w:sz="8" w:color="CCEEFF"/>
            </w:tcBorders>
            <w:gridSpan w:val="5"/>
            <w:shd w:val="clear" w:color="auto" w:fill="CCEEFF"/>
          </w:tcPr>
          <w:p>
            <w:pPr>
              <w:spacing w:after="0"/>
              <w:rPr>
                <w:sz w:val="15"/>
                <w:szCs w:val="15"/>
                <w:color w:val="auto"/>
              </w:rPr>
            </w:pPr>
          </w:p>
        </w:tc>
        <w:tc>
          <w:tcPr>
            <w:tcW w:w="6520" w:type="dxa"/>
            <w:vAlign w:val="bottom"/>
            <w:tcBorders>
              <w:left w:val="single" w:sz="8" w:color="CCEEFF"/>
            </w:tcBorders>
            <w:gridSpan w:val="14"/>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27">
              <w:r>
                <w:rPr>
                  <w:rFonts w:ascii="Arial" w:cs="Arial" w:eastAsia="Arial" w:hAnsi="Arial"/>
                  <w:sz w:val="15"/>
                  <w:szCs w:val="15"/>
                  <w:color w:val="0000FF"/>
                </w:rPr>
                <w:t>26</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9"/>
          </w:tcPr>
          <w:p>
            <w:pPr>
              <w:spacing w:after="0" w:line="168" w:lineRule="exact"/>
              <w:rPr>
                <w:rFonts w:ascii="Arial" w:cs="Arial" w:eastAsia="Arial" w:hAnsi="Arial"/>
                <w:sz w:val="15"/>
                <w:szCs w:val="15"/>
                <w:color w:val="0000FF"/>
                <w:w w:val="91"/>
              </w:rPr>
            </w:pPr>
            <w:hyperlink w:anchor="page27">
              <w:r>
                <w:rPr>
                  <w:rFonts w:ascii="Arial" w:cs="Arial" w:eastAsia="Arial" w:hAnsi="Arial"/>
                  <w:sz w:val="15"/>
                  <w:szCs w:val="15"/>
                  <w:color w:val="0000FF"/>
                  <w:w w:val="91"/>
                </w:rPr>
                <w:t xml:space="preserve">Note </w:t>
              </w:r>
            </w:hyperlink>
            <w:r>
              <w:rPr>
                <w:rFonts w:ascii="Arial" w:cs="Arial" w:eastAsia="Arial" w:hAnsi="Arial"/>
                <w:sz w:val="15"/>
                <w:szCs w:val="15"/>
                <w:color w:val="0000FF"/>
                <w:w w:val="91"/>
              </w:rPr>
              <w:t xml:space="preserve">16 </w:t>
            </w:r>
            <w:hyperlink w:anchor="page27">
              <w:r>
                <w:rPr>
                  <w:rFonts w:ascii="Arial" w:cs="Arial" w:eastAsia="Arial" w:hAnsi="Arial"/>
                  <w:sz w:val="15"/>
                  <w:szCs w:val="15"/>
                  <w:color w:val="0000FF"/>
                  <w:w w:val="91"/>
                </w:rPr>
                <w:t>- Earnings Per Share</w:t>
              </w:r>
            </w:hyperlink>
          </w:p>
        </w:tc>
        <w:tc>
          <w:tcPr>
            <w:tcW w:w="6800" w:type="dxa"/>
            <w:vAlign w:val="bottom"/>
            <w:gridSpan w:val="16"/>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27">
              <w:r>
                <w:rPr>
                  <w:rFonts w:ascii="Arial" w:cs="Arial" w:eastAsia="Arial" w:hAnsi="Arial"/>
                  <w:sz w:val="15"/>
                  <w:szCs w:val="15"/>
                  <w:color w:val="0000FF"/>
                </w:rPr>
                <w:t>27</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20" w:type="dxa"/>
            <w:vAlign w:val="bottom"/>
            <w:gridSpan w:val="25"/>
            <w:shd w:val="clear" w:color="auto" w:fill="CCEEFF"/>
          </w:tcPr>
          <w:p>
            <w:pPr>
              <w:spacing w:after="0"/>
              <w:rPr>
                <w:rFonts w:ascii="Arial" w:cs="Arial" w:eastAsia="Arial" w:hAnsi="Arial"/>
                <w:sz w:val="15"/>
                <w:szCs w:val="15"/>
                <w:color w:val="0000FF"/>
              </w:rPr>
            </w:pPr>
            <w:hyperlink w:anchor="page28">
              <w:r>
                <w:rPr>
                  <w:rFonts w:ascii="Arial" w:cs="Arial" w:eastAsia="Arial" w:hAnsi="Arial"/>
                  <w:sz w:val="15"/>
                  <w:szCs w:val="15"/>
                  <w:color w:val="0000FF"/>
                </w:rPr>
                <w:t xml:space="preserve">Note </w:t>
              </w:r>
            </w:hyperlink>
            <w:r>
              <w:rPr>
                <w:rFonts w:ascii="Arial" w:cs="Arial" w:eastAsia="Arial" w:hAnsi="Arial"/>
                <w:sz w:val="15"/>
                <w:szCs w:val="15"/>
                <w:color w:val="0000FF"/>
              </w:rPr>
              <w:t xml:space="preserve">17 </w:t>
            </w:r>
            <w:hyperlink w:anchor="page28">
              <w:r>
                <w:rPr>
                  <w:rFonts w:ascii="Arial" w:cs="Arial" w:eastAsia="Arial" w:hAnsi="Arial"/>
                  <w:sz w:val="15"/>
                  <w:szCs w:val="15"/>
                  <w:color w:val="0000FF"/>
                </w:rPr>
                <w:t>- Other (Income) Expense, Net</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28">
              <w:r>
                <w:rPr>
                  <w:rFonts w:ascii="Arial" w:cs="Arial" w:eastAsia="Arial" w:hAnsi="Arial"/>
                  <w:sz w:val="15"/>
                  <w:szCs w:val="15"/>
                  <w:color w:val="0000FF"/>
                </w:rPr>
                <w:t>28</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gridSpan w:val="16"/>
          </w:tcPr>
          <w:p>
            <w:pPr>
              <w:spacing w:after="0" w:line="168" w:lineRule="exact"/>
              <w:rPr>
                <w:rFonts w:ascii="Arial" w:cs="Arial" w:eastAsia="Arial" w:hAnsi="Arial"/>
                <w:sz w:val="15"/>
                <w:szCs w:val="15"/>
                <w:color w:val="0000FF"/>
                <w:w w:val="93"/>
              </w:rPr>
            </w:pPr>
            <w:hyperlink w:anchor="page29">
              <w:r>
                <w:rPr>
                  <w:rFonts w:ascii="Arial" w:cs="Arial" w:eastAsia="Arial" w:hAnsi="Arial"/>
                  <w:sz w:val="15"/>
                  <w:szCs w:val="15"/>
                  <w:color w:val="0000FF"/>
                  <w:w w:val="93"/>
                </w:rPr>
                <w:t xml:space="preserve">Note </w:t>
              </w:r>
            </w:hyperlink>
            <w:r>
              <w:rPr>
                <w:rFonts w:ascii="Arial" w:cs="Arial" w:eastAsia="Arial" w:hAnsi="Arial"/>
                <w:sz w:val="15"/>
                <w:szCs w:val="15"/>
                <w:color w:val="0000FF"/>
                <w:w w:val="93"/>
              </w:rPr>
              <w:t xml:space="preserve">18 </w:t>
            </w:r>
            <w:hyperlink w:anchor="page29">
              <w:r>
                <w:rPr>
                  <w:rFonts w:ascii="Arial" w:cs="Arial" w:eastAsia="Arial" w:hAnsi="Arial"/>
                  <w:sz w:val="15"/>
                  <w:szCs w:val="15"/>
                  <w:color w:val="0000FF"/>
                  <w:w w:val="93"/>
                </w:rPr>
                <w:t>- Supplemental Balance Sheet Information</w:t>
              </w:r>
            </w:hyperlink>
          </w:p>
        </w:tc>
        <w:tc>
          <w:tcPr>
            <w:tcW w:w="5440" w:type="dxa"/>
            <w:vAlign w:val="bottom"/>
            <w:gridSpan w:val="9"/>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29">
              <w:r>
                <w:rPr>
                  <w:rFonts w:ascii="Arial" w:cs="Arial" w:eastAsia="Arial" w:hAnsi="Arial"/>
                  <w:sz w:val="15"/>
                  <w:szCs w:val="15"/>
                  <w:color w:val="0000FF"/>
                </w:rPr>
                <w:t>29</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9120" w:type="dxa"/>
            <w:vAlign w:val="bottom"/>
            <w:gridSpan w:val="28"/>
            <w:shd w:val="clear" w:color="auto" w:fill="CCEEFF"/>
          </w:tcPr>
          <w:p>
            <w:pPr>
              <w:ind w:left="120"/>
              <w:spacing w:after="0"/>
              <w:rPr>
                <w:rFonts w:ascii="Arial" w:cs="Arial" w:eastAsia="Arial" w:hAnsi="Arial"/>
                <w:sz w:val="15"/>
                <w:szCs w:val="15"/>
                <w:color w:val="0000FF"/>
              </w:rPr>
            </w:pPr>
            <w:hyperlink w:anchor="page30">
              <w:r>
                <w:rPr>
                  <w:rFonts w:ascii="Arial" w:cs="Arial" w:eastAsia="Arial" w:hAnsi="Arial"/>
                  <w:sz w:val="15"/>
                  <w:szCs w:val="15"/>
                  <w:color w:val="0000FF"/>
                </w:rPr>
                <w:t>Item 2. Management’s Discussion and Analysis of Financial Condition and Results of Operations</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30">
              <w:r>
                <w:rPr>
                  <w:rFonts w:ascii="Arial" w:cs="Arial" w:eastAsia="Arial" w:hAnsi="Arial"/>
                  <w:sz w:val="15"/>
                  <w:szCs w:val="15"/>
                  <w:color w:val="0000FF"/>
                </w:rPr>
                <w:t>30</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80" w:type="dxa"/>
            <w:vAlign w:val="bottom"/>
            <w:tcBorders>
              <w:right w:val="single" w:sz="8" w:color="CCEE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120" w:type="dxa"/>
            <w:vAlign w:val="bottom"/>
            <w:gridSpan w:val="28"/>
          </w:tcPr>
          <w:p>
            <w:pPr>
              <w:ind w:left="120"/>
              <w:spacing w:after="0" w:line="168" w:lineRule="exact"/>
              <w:rPr>
                <w:rFonts w:ascii="Arial" w:cs="Arial" w:eastAsia="Arial" w:hAnsi="Arial"/>
                <w:sz w:val="15"/>
                <w:szCs w:val="15"/>
                <w:color w:val="0000FF"/>
              </w:rPr>
            </w:pPr>
            <w:hyperlink w:anchor="page43">
              <w:r>
                <w:rPr>
                  <w:rFonts w:ascii="Arial" w:cs="Arial" w:eastAsia="Arial" w:hAnsi="Arial"/>
                  <w:sz w:val="15"/>
                  <w:szCs w:val="15"/>
                  <w:color w:val="0000FF"/>
                </w:rPr>
                <w:t>Item 3. Quantitative and Qualitative Disclosures About Market Risk</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43">
              <w:r>
                <w:rPr>
                  <w:rFonts w:ascii="Arial" w:cs="Arial" w:eastAsia="Arial" w:hAnsi="Arial"/>
                  <w:sz w:val="15"/>
                  <w:szCs w:val="15"/>
                  <w:color w:val="0000FF"/>
                </w:rPr>
                <w:t>42</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340" w:type="dxa"/>
            <w:vAlign w:val="bottom"/>
            <w:tcBorders>
              <w:left w:val="single" w:sz="8" w:color="0000FF"/>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9120" w:type="dxa"/>
            <w:vAlign w:val="bottom"/>
            <w:gridSpan w:val="28"/>
            <w:shd w:val="clear" w:color="auto" w:fill="CCEEFF"/>
          </w:tcPr>
          <w:p>
            <w:pPr>
              <w:ind w:left="120"/>
              <w:spacing w:after="0"/>
              <w:rPr>
                <w:rFonts w:ascii="Arial" w:cs="Arial" w:eastAsia="Arial" w:hAnsi="Arial"/>
                <w:sz w:val="15"/>
                <w:szCs w:val="15"/>
                <w:color w:val="0000FF"/>
              </w:rPr>
            </w:pPr>
            <w:hyperlink w:anchor="page43">
              <w:r>
                <w:rPr>
                  <w:rFonts w:ascii="Arial" w:cs="Arial" w:eastAsia="Arial" w:hAnsi="Arial"/>
                  <w:sz w:val="15"/>
                  <w:szCs w:val="15"/>
                  <w:color w:val="0000FF"/>
                </w:rPr>
                <w:t>Item 4. Controls and Procedures</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43">
              <w:r>
                <w:rPr>
                  <w:rFonts w:ascii="Arial" w:cs="Arial" w:eastAsia="Arial" w:hAnsi="Arial"/>
                  <w:sz w:val="15"/>
                  <w:szCs w:val="15"/>
                  <w:color w:val="0000FF"/>
                </w:rPr>
                <w:t>43</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2220" w:type="dxa"/>
            <w:vAlign w:val="bottom"/>
            <w:gridSpan w:val="11"/>
          </w:tcPr>
          <w:p>
            <w:pPr>
              <w:spacing w:after="0" w:line="168" w:lineRule="exact"/>
              <w:rPr>
                <w:rFonts w:ascii="Arial" w:cs="Arial" w:eastAsia="Arial" w:hAnsi="Arial"/>
                <w:sz w:val="15"/>
                <w:szCs w:val="15"/>
                <w:color w:val="0000FF"/>
                <w:w w:val="98"/>
              </w:rPr>
            </w:pPr>
            <w:hyperlink w:anchor="page44">
              <w:r>
                <w:rPr>
                  <w:rFonts w:ascii="Arial" w:cs="Arial" w:eastAsia="Arial" w:hAnsi="Arial"/>
                  <w:sz w:val="15"/>
                  <w:szCs w:val="15"/>
                  <w:color w:val="0000FF"/>
                  <w:w w:val="98"/>
                </w:rPr>
                <w:t>PART II. OTHER INFORMATION</w:t>
              </w:r>
            </w:hyperlink>
          </w:p>
        </w:tc>
        <w:tc>
          <w:tcPr>
            <w:tcW w:w="6900" w:type="dxa"/>
            <w:vAlign w:val="bottom"/>
            <w:gridSpan w:val="17"/>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44">
              <w:r>
                <w:rPr>
                  <w:rFonts w:ascii="Arial" w:cs="Arial" w:eastAsia="Arial" w:hAnsi="Arial"/>
                  <w:sz w:val="15"/>
                  <w:szCs w:val="15"/>
                  <w:color w:val="0000FF"/>
                </w:rPr>
                <w:t>44</w:t>
              </w:r>
            </w:hyperlink>
          </w:p>
        </w:tc>
      </w:tr>
      <w:tr>
        <w:trPr>
          <w:trHeight w:val="29"/>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2220" w:type="dxa"/>
            <w:vAlign w:val="bottom"/>
            <w:gridSpan w:val="11"/>
            <w:shd w:val="clear" w:color="auto" w:fill="CCEEFF"/>
          </w:tcPr>
          <w:p>
            <w:pPr>
              <w:ind w:left="120"/>
              <w:spacing w:after="0"/>
              <w:rPr>
                <w:rFonts w:ascii="Arial" w:cs="Arial" w:eastAsia="Arial" w:hAnsi="Arial"/>
                <w:sz w:val="15"/>
                <w:szCs w:val="15"/>
                <w:color w:val="0000FF"/>
              </w:rPr>
            </w:pPr>
            <w:hyperlink w:anchor="page45">
              <w:r>
                <w:rPr>
                  <w:rFonts w:ascii="Arial" w:cs="Arial" w:eastAsia="Arial" w:hAnsi="Arial"/>
                  <w:sz w:val="15"/>
                  <w:szCs w:val="15"/>
                  <w:color w:val="0000FF"/>
                </w:rPr>
                <w:t>Item 1. Legal Proceedings</w:t>
              </w:r>
            </w:hyperlink>
          </w:p>
        </w:tc>
        <w:tc>
          <w:tcPr>
            <w:tcW w:w="6900" w:type="dxa"/>
            <w:vAlign w:val="bottom"/>
            <w:gridSpan w:val="17"/>
            <w:shd w:val="clear" w:color="auto" w:fill="CCEEFF"/>
          </w:tcPr>
          <w:p>
            <w:pPr>
              <w:spacing w:after="0"/>
              <w:rPr>
                <w:sz w:val="15"/>
                <w:szCs w:val="15"/>
                <w:color w:val="auto"/>
              </w:rPr>
            </w:pPr>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45">
              <w:r>
                <w:rPr>
                  <w:rFonts w:ascii="Arial" w:cs="Arial" w:eastAsia="Arial" w:hAnsi="Arial"/>
                  <w:sz w:val="15"/>
                  <w:szCs w:val="15"/>
                  <w:color w:val="0000FF"/>
                </w:rPr>
                <w:t>44</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120" w:type="dxa"/>
            <w:vAlign w:val="bottom"/>
            <w:gridSpan w:val="28"/>
          </w:tcPr>
          <w:p>
            <w:pPr>
              <w:ind w:left="120"/>
              <w:spacing w:after="0" w:line="168" w:lineRule="exact"/>
              <w:rPr>
                <w:rFonts w:ascii="Arial" w:cs="Arial" w:eastAsia="Arial" w:hAnsi="Arial"/>
                <w:sz w:val="15"/>
                <w:szCs w:val="15"/>
                <w:color w:val="0000FF"/>
              </w:rPr>
            </w:pPr>
            <w:hyperlink w:anchor="page45">
              <w:r>
                <w:rPr>
                  <w:rFonts w:ascii="Arial" w:cs="Arial" w:eastAsia="Arial" w:hAnsi="Arial"/>
                  <w:sz w:val="15"/>
                  <w:szCs w:val="15"/>
                  <w:color w:val="0000FF"/>
                </w:rPr>
                <w:t>Item 1A. Risk Factors</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45">
              <w:r>
                <w:rPr>
                  <w:rFonts w:ascii="Arial" w:cs="Arial" w:eastAsia="Arial" w:hAnsi="Arial"/>
                  <w:sz w:val="15"/>
                  <w:szCs w:val="15"/>
                  <w:color w:val="0000FF"/>
                </w:rPr>
                <w:t>44</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9120" w:type="dxa"/>
            <w:vAlign w:val="bottom"/>
            <w:gridSpan w:val="28"/>
            <w:shd w:val="clear" w:color="auto" w:fill="CCEEFF"/>
          </w:tcPr>
          <w:p>
            <w:pPr>
              <w:ind w:left="120"/>
              <w:spacing w:after="0"/>
              <w:rPr>
                <w:rFonts w:ascii="Arial" w:cs="Arial" w:eastAsia="Arial" w:hAnsi="Arial"/>
                <w:sz w:val="15"/>
                <w:szCs w:val="15"/>
                <w:color w:val="0000FF"/>
              </w:rPr>
            </w:pPr>
            <w:hyperlink w:anchor="page45">
              <w:r>
                <w:rPr>
                  <w:rFonts w:ascii="Arial" w:cs="Arial" w:eastAsia="Arial" w:hAnsi="Arial"/>
                  <w:sz w:val="15"/>
                  <w:szCs w:val="15"/>
                  <w:color w:val="0000FF"/>
                </w:rPr>
                <w:t>Item 2. Unregistered Sales of Equity Securities and Use of Proceeds</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45">
              <w:r>
                <w:rPr>
                  <w:rFonts w:ascii="Arial" w:cs="Arial" w:eastAsia="Arial" w:hAnsi="Arial"/>
                  <w:sz w:val="15"/>
                  <w:szCs w:val="15"/>
                  <w:color w:val="0000FF"/>
                </w:rPr>
                <w:t>44</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340" w:type="dxa"/>
            <w:vAlign w:val="bottom"/>
            <w:tcBorders>
              <w:left w:val="single" w:sz="8" w:color="0000FF"/>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120" w:type="dxa"/>
            <w:vAlign w:val="bottom"/>
            <w:gridSpan w:val="28"/>
          </w:tcPr>
          <w:p>
            <w:pPr>
              <w:ind w:left="120"/>
              <w:spacing w:after="0" w:line="168" w:lineRule="exact"/>
              <w:rPr>
                <w:rFonts w:ascii="Arial" w:cs="Arial" w:eastAsia="Arial" w:hAnsi="Arial"/>
                <w:sz w:val="15"/>
                <w:szCs w:val="15"/>
                <w:color w:val="0000FF"/>
              </w:rPr>
            </w:pPr>
            <w:hyperlink w:anchor="page45">
              <w:r>
                <w:rPr>
                  <w:rFonts w:ascii="Arial" w:cs="Arial" w:eastAsia="Arial" w:hAnsi="Arial"/>
                  <w:sz w:val="15"/>
                  <w:szCs w:val="15"/>
                  <w:color w:val="0000FF"/>
                </w:rPr>
                <w:t>Item 3. Defaults Upon Senior Securities</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45">
              <w:r>
                <w:rPr>
                  <w:rFonts w:ascii="Arial" w:cs="Arial" w:eastAsia="Arial" w:hAnsi="Arial"/>
                  <w:sz w:val="15"/>
                  <w:szCs w:val="15"/>
                  <w:color w:val="0000FF"/>
                </w:rPr>
                <w:t>44</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9120" w:type="dxa"/>
            <w:vAlign w:val="bottom"/>
            <w:gridSpan w:val="28"/>
            <w:shd w:val="clear" w:color="auto" w:fill="CCEEFF"/>
          </w:tcPr>
          <w:p>
            <w:pPr>
              <w:ind w:left="120"/>
              <w:spacing w:after="0"/>
              <w:rPr>
                <w:rFonts w:ascii="Arial" w:cs="Arial" w:eastAsia="Arial" w:hAnsi="Arial"/>
                <w:sz w:val="15"/>
                <w:szCs w:val="15"/>
                <w:color w:val="0000FF"/>
              </w:rPr>
            </w:pPr>
            <w:hyperlink w:anchor="page45">
              <w:r>
                <w:rPr>
                  <w:rFonts w:ascii="Arial" w:cs="Arial" w:eastAsia="Arial" w:hAnsi="Arial"/>
                  <w:sz w:val="15"/>
                  <w:szCs w:val="15"/>
                  <w:color w:val="0000FF"/>
                </w:rPr>
                <w:t>Item 4. Mine Safety Disclosures</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45">
              <w:r>
                <w:rPr>
                  <w:rFonts w:ascii="Arial" w:cs="Arial" w:eastAsia="Arial" w:hAnsi="Arial"/>
                  <w:sz w:val="15"/>
                  <w:szCs w:val="15"/>
                  <w:color w:val="0000FF"/>
                </w:rPr>
                <w:t>44</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9120" w:type="dxa"/>
            <w:vAlign w:val="bottom"/>
            <w:gridSpan w:val="28"/>
          </w:tcPr>
          <w:p>
            <w:pPr>
              <w:ind w:left="120"/>
              <w:spacing w:after="0" w:line="168" w:lineRule="exact"/>
              <w:rPr>
                <w:rFonts w:ascii="Arial" w:cs="Arial" w:eastAsia="Arial" w:hAnsi="Arial"/>
                <w:sz w:val="15"/>
                <w:szCs w:val="15"/>
                <w:color w:val="0000FF"/>
              </w:rPr>
            </w:pPr>
            <w:hyperlink w:anchor="page45">
              <w:r>
                <w:rPr>
                  <w:rFonts w:ascii="Arial" w:cs="Arial" w:eastAsia="Arial" w:hAnsi="Arial"/>
                  <w:sz w:val="15"/>
                  <w:szCs w:val="15"/>
                  <w:color w:val="0000FF"/>
                </w:rPr>
                <w:t>Item 5. Other Information</w:t>
              </w:r>
            </w:hyperlink>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45">
              <w:r>
                <w:rPr>
                  <w:rFonts w:ascii="Arial" w:cs="Arial" w:eastAsia="Arial" w:hAnsi="Arial"/>
                  <w:sz w:val="15"/>
                  <w:szCs w:val="15"/>
                  <w:color w:val="0000FF"/>
                </w:rPr>
                <w:t>44</w:t>
              </w:r>
            </w:hyperlink>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9120" w:type="dxa"/>
            <w:vAlign w:val="bottom"/>
            <w:gridSpan w:val="28"/>
            <w:shd w:val="clear" w:color="auto" w:fill="CCEEFF"/>
          </w:tcPr>
          <w:p>
            <w:pPr>
              <w:ind w:left="120"/>
              <w:spacing w:after="0"/>
              <w:rPr>
                <w:rFonts w:ascii="Arial" w:cs="Arial" w:eastAsia="Arial" w:hAnsi="Arial"/>
                <w:sz w:val="15"/>
                <w:szCs w:val="15"/>
                <w:color w:val="0000FF"/>
              </w:rPr>
            </w:pPr>
            <w:hyperlink w:anchor="page45">
              <w:r>
                <w:rPr>
                  <w:rFonts w:ascii="Arial" w:cs="Arial" w:eastAsia="Arial" w:hAnsi="Arial"/>
                  <w:sz w:val="15"/>
                  <w:szCs w:val="15"/>
                  <w:color w:val="0000FF"/>
                </w:rPr>
                <w:t>Item 6. Exhibits</w:t>
              </w:r>
            </w:hyperlink>
          </w:p>
        </w:tc>
        <w:tc>
          <w:tcPr>
            <w:tcW w:w="2100" w:type="dxa"/>
            <w:vAlign w:val="bottom"/>
            <w:gridSpan w:val="3"/>
            <w:shd w:val="clear" w:color="auto" w:fill="CCEEFF"/>
          </w:tcPr>
          <w:p>
            <w:pPr>
              <w:jc w:val="right"/>
              <w:ind w:right="20"/>
              <w:spacing w:after="0"/>
              <w:rPr>
                <w:rFonts w:ascii="Arial" w:cs="Arial" w:eastAsia="Arial" w:hAnsi="Arial"/>
                <w:sz w:val="15"/>
                <w:szCs w:val="15"/>
                <w:color w:val="0000FF"/>
              </w:rPr>
            </w:pPr>
            <w:hyperlink w:anchor="page45">
              <w:r>
                <w:rPr>
                  <w:rFonts w:ascii="Arial" w:cs="Arial" w:eastAsia="Arial" w:hAnsi="Arial"/>
                  <w:sz w:val="15"/>
                  <w:szCs w:val="15"/>
                  <w:color w:val="0000FF"/>
                </w:rPr>
                <w:t>45</w:t>
              </w:r>
            </w:hyperlink>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4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8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660" w:type="dxa"/>
            <w:vAlign w:val="bottom"/>
            <w:gridSpan w:val="4"/>
          </w:tcPr>
          <w:p>
            <w:pPr>
              <w:spacing w:after="0" w:line="168" w:lineRule="exact"/>
              <w:rPr>
                <w:rFonts w:ascii="Arial" w:cs="Arial" w:eastAsia="Arial" w:hAnsi="Arial"/>
                <w:sz w:val="15"/>
                <w:szCs w:val="15"/>
                <w:color w:val="0000FF"/>
                <w:w w:val="89"/>
              </w:rPr>
            </w:pPr>
            <w:hyperlink w:anchor="page46">
              <w:r>
                <w:rPr>
                  <w:rFonts w:ascii="Arial" w:cs="Arial" w:eastAsia="Arial" w:hAnsi="Arial"/>
                  <w:sz w:val="15"/>
                  <w:szCs w:val="15"/>
                  <w:color w:val="0000FF"/>
                  <w:w w:val="89"/>
                </w:rPr>
                <w:t>Signatures</w:t>
              </w:r>
            </w:hyperlink>
          </w:p>
        </w:tc>
        <w:tc>
          <w:tcPr>
            <w:tcW w:w="8460" w:type="dxa"/>
            <w:vAlign w:val="bottom"/>
            <w:gridSpan w:val="24"/>
          </w:tcPr>
          <w:p>
            <w:pPr>
              <w:spacing w:after="0"/>
              <w:rPr>
                <w:sz w:val="14"/>
                <w:szCs w:val="14"/>
                <w:color w:val="auto"/>
              </w:rPr>
            </w:pPr>
          </w:p>
        </w:tc>
        <w:tc>
          <w:tcPr>
            <w:tcW w:w="2100" w:type="dxa"/>
            <w:vAlign w:val="bottom"/>
            <w:gridSpan w:val="3"/>
          </w:tcPr>
          <w:p>
            <w:pPr>
              <w:jc w:val="right"/>
              <w:ind w:right="20"/>
              <w:spacing w:after="0" w:line="168" w:lineRule="exact"/>
              <w:rPr>
                <w:rFonts w:ascii="Arial" w:cs="Arial" w:eastAsia="Arial" w:hAnsi="Arial"/>
                <w:sz w:val="15"/>
                <w:szCs w:val="15"/>
                <w:color w:val="0000FF"/>
              </w:rPr>
            </w:pPr>
            <w:hyperlink w:anchor="page46">
              <w:r>
                <w:rPr>
                  <w:rFonts w:ascii="Arial" w:cs="Arial" w:eastAsia="Arial" w:hAnsi="Arial"/>
                  <w:sz w:val="15"/>
                  <w:szCs w:val="15"/>
                  <w:color w:val="0000FF"/>
                </w:rPr>
                <w:t>46</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630555</wp:posOffset>
            </wp:positionV>
            <wp:extent cx="188595" cy="163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394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7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7"/>
                <w:szCs w:val="17"/>
                <w:b w:val="1"/>
                <w:bCs w:val="1"/>
                <w:color w:val="auto"/>
              </w:rPr>
              <w:t>Three Months Ended</w:t>
            </w:r>
          </w:p>
        </w:tc>
      </w:tr>
      <w:tr>
        <w:trPr>
          <w:trHeight w:val="213"/>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7"/>
                <w:szCs w:val="17"/>
                <w:b w:val="1"/>
                <w:bCs w:val="1"/>
                <w:color w:val="auto"/>
              </w:rPr>
              <w:t>April 3, 2022</w:t>
            </w:r>
          </w:p>
        </w:tc>
        <w:tc>
          <w:tcPr>
            <w:tcW w:w="360" w:type="dxa"/>
            <w:vAlign w:val="bottom"/>
          </w:tcPr>
          <w:p>
            <w:pPr>
              <w:spacing w:after="0"/>
              <w:rPr>
                <w:sz w:val="18"/>
                <w:szCs w:val="18"/>
                <w:color w:val="auto"/>
              </w:rPr>
            </w:pPr>
          </w:p>
        </w:tc>
        <w:tc>
          <w:tcPr>
            <w:tcW w:w="1440" w:type="dxa"/>
            <w:vAlign w:val="bottom"/>
          </w:tcPr>
          <w:p>
            <w:pPr>
              <w:jc w:val="right"/>
              <w:ind w:right="274"/>
              <w:spacing w:after="0"/>
              <w:rPr>
                <w:sz w:val="20"/>
                <w:szCs w:val="20"/>
                <w:color w:val="auto"/>
              </w:rPr>
            </w:pPr>
            <w:r>
              <w:rPr>
                <w:rFonts w:ascii="Arial" w:cs="Arial" w:eastAsia="Arial" w:hAnsi="Arial"/>
                <w:sz w:val="17"/>
                <w:szCs w:val="17"/>
                <w:b w:val="1"/>
                <w:bCs w:val="1"/>
                <w:color w:val="auto"/>
              </w:rPr>
              <w:t>April 4, 2021</w:t>
            </w:r>
          </w:p>
        </w:tc>
      </w:tr>
      <w:tr>
        <w:trPr>
          <w:trHeight w:val="212"/>
        </w:trPr>
        <w:tc>
          <w:tcPr>
            <w:tcW w:w="7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Net sales</w:t>
            </w:r>
          </w:p>
        </w:tc>
        <w:tc>
          <w:tcPr>
            <w:tcW w:w="3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2,666,221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2,295,948</w:t>
            </w:r>
          </w:p>
        </w:tc>
      </w:tr>
      <w:tr>
        <w:trPr>
          <w:trHeight w:val="218"/>
        </w:trPr>
        <w:tc>
          <w:tcPr>
            <w:tcW w:w="73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Cost of sales</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1,420,741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1,246,997</w:t>
            </w:r>
          </w:p>
        </w:tc>
      </w:tr>
      <w:tr>
        <w:trPr>
          <w:trHeight w:val="213"/>
        </w:trPr>
        <w:tc>
          <w:tcPr>
            <w:tcW w:w="73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Gross profit</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1,245,480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1,048,951</w:t>
            </w:r>
          </w:p>
        </w:tc>
      </w:tr>
      <w:tr>
        <w:trPr>
          <w:trHeight w:val="218"/>
        </w:trPr>
        <w:tc>
          <w:tcPr>
            <w:tcW w:w="7320" w:type="dxa"/>
            <w:vAlign w:val="bottom"/>
          </w:tcPr>
          <w:p>
            <w:pPr>
              <w:ind w:left="160"/>
              <w:spacing w:after="0"/>
              <w:rPr>
                <w:sz w:val="20"/>
                <w:szCs w:val="20"/>
                <w:color w:val="auto"/>
              </w:rPr>
            </w:pPr>
            <w:r>
              <w:rPr>
                <w:rFonts w:ascii="Arial" w:cs="Arial" w:eastAsia="Arial" w:hAnsi="Arial"/>
                <w:sz w:val="17"/>
                <w:szCs w:val="17"/>
                <w:color w:val="auto"/>
              </w:rPr>
              <w:t>Selling, marketing and administrative expense</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524,216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494,665</w:t>
            </w:r>
          </w:p>
        </w:tc>
      </w:tr>
      <w:tr>
        <w:trPr>
          <w:trHeight w:val="220"/>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Business realignment costs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w:t>
            </w:r>
          </w:p>
        </w:tc>
      </w:tr>
      <w:tr>
        <w:trPr>
          <w:trHeight w:val="211"/>
        </w:trPr>
        <w:tc>
          <w:tcPr>
            <w:tcW w:w="7320" w:type="dxa"/>
            <w:vAlign w:val="bottom"/>
          </w:tcPr>
          <w:p>
            <w:pPr>
              <w:ind w:left="60"/>
              <w:spacing w:after="0"/>
              <w:rPr>
                <w:sz w:val="20"/>
                <w:szCs w:val="20"/>
                <w:color w:val="auto"/>
              </w:rPr>
            </w:pPr>
            <w:r>
              <w:rPr>
                <w:rFonts w:ascii="Arial" w:cs="Arial" w:eastAsia="Arial" w:hAnsi="Arial"/>
                <w:sz w:val="17"/>
                <w:szCs w:val="17"/>
                <w:b w:val="1"/>
                <w:bCs w:val="1"/>
                <w:color w:val="auto"/>
              </w:rPr>
              <w:t>Operating profit</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720,990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553,044</w:t>
            </w:r>
          </w:p>
        </w:tc>
      </w:tr>
      <w:tr>
        <w:trPr>
          <w:trHeight w:val="220"/>
        </w:trPr>
        <w:tc>
          <w:tcPr>
            <w:tcW w:w="73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36,436</w:t>
            </w:r>
          </w:p>
        </w:tc>
      </w:tr>
      <w:tr>
        <w:trPr>
          <w:trHeight w:val="218"/>
        </w:trPr>
        <w:tc>
          <w:tcPr>
            <w:tcW w:w="732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Other (income) expense, net</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2,414</w:t>
            </w:r>
          </w:p>
        </w:tc>
      </w:tr>
      <w:tr>
        <w:trPr>
          <w:trHeight w:val="213"/>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Income before income taxes</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677,404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514,194</w:t>
            </w:r>
          </w:p>
        </w:tc>
      </w:tr>
      <w:tr>
        <w:trPr>
          <w:trHeight w:val="218"/>
        </w:trPr>
        <w:tc>
          <w:tcPr>
            <w:tcW w:w="732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143,926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117,323</w:t>
            </w:r>
          </w:p>
        </w:tc>
      </w:tr>
      <w:tr>
        <w:trPr>
          <w:trHeight w:val="213"/>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income including noncontrolling interest</w:t>
            </w: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533,478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396,871</w:t>
            </w:r>
          </w:p>
        </w:tc>
      </w:tr>
      <w:tr>
        <w:trPr>
          <w:trHeight w:val="218"/>
        </w:trPr>
        <w:tc>
          <w:tcPr>
            <w:tcW w:w="7320" w:type="dxa"/>
            <w:vAlign w:val="bottom"/>
          </w:tcPr>
          <w:p>
            <w:pPr>
              <w:ind w:left="160"/>
              <w:spacing w:after="0"/>
              <w:rPr>
                <w:sz w:val="20"/>
                <w:szCs w:val="20"/>
                <w:color w:val="auto"/>
              </w:rPr>
            </w:pPr>
            <w:r>
              <w:rPr>
                <w:rFonts w:ascii="Arial" w:cs="Arial" w:eastAsia="Arial" w:hAnsi="Arial"/>
                <w:sz w:val="17"/>
                <w:szCs w:val="17"/>
                <w:color w:val="auto"/>
              </w:rPr>
              <w:t>Less: Net gain attributable to noncontrolling interest</w:t>
            </w:r>
          </w:p>
        </w:tc>
        <w:tc>
          <w:tcPr>
            <w:tcW w:w="3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1,072</w:t>
            </w:r>
          </w:p>
        </w:tc>
      </w:tr>
      <w:tr>
        <w:trPr>
          <w:trHeight w:val="238"/>
        </w:trPr>
        <w:tc>
          <w:tcPr>
            <w:tcW w:w="73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Net income attributable to The Hershey Company</w:t>
            </w:r>
          </w:p>
        </w:tc>
        <w:tc>
          <w:tcPr>
            <w:tcW w:w="3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533,478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395,799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income per share—basic:</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8"/>
        </w:trPr>
        <w:tc>
          <w:tcPr>
            <w:tcW w:w="7320" w:type="dxa"/>
            <w:vAlign w:val="bottom"/>
          </w:tcPr>
          <w:p>
            <w:pPr>
              <w:ind w:left="520"/>
              <w:spacing w:after="0"/>
              <w:rPr>
                <w:sz w:val="20"/>
                <w:szCs w:val="20"/>
                <w:color w:val="auto"/>
              </w:rPr>
            </w:pPr>
            <w:r>
              <w:rPr>
                <w:rFonts w:ascii="Arial" w:cs="Arial" w:eastAsia="Arial" w:hAnsi="Arial"/>
                <w:sz w:val="17"/>
                <w:szCs w:val="17"/>
                <w:color w:val="auto"/>
              </w:rPr>
              <w:t>Common stock</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8"/>
                <w:szCs w:val="18"/>
                <w:color w:val="auto"/>
              </w:rPr>
            </w:pP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20"/>
        </w:trPr>
        <w:tc>
          <w:tcPr>
            <w:tcW w:w="73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Class B common stock</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58"/>
        </w:trPr>
        <w:tc>
          <w:tcPr>
            <w:tcW w:w="7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income per share—diluted:</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8"/>
        </w:trPr>
        <w:tc>
          <w:tcPr>
            <w:tcW w:w="7320" w:type="dxa"/>
            <w:vAlign w:val="bottom"/>
          </w:tcPr>
          <w:p>
            <w:pPr>
              <w:ind w:left="520"/>
              <w:spacing w:after="0"/>
              <w:rPr>
                <w:sz w:val="20"/>
                <w:szCs w:val="20"/>
                <w:color w:val="auto"/>
              </w:rPr>
            </w:pPr>
            <w:r>
              <w:rPr>
                <w:rFonts w:ascii="Arial" w:cs="Arial" w:eastAsia="Arial" w:hAnsi="Arial"/>
                <w:sz w:val="17"/>
                <w:szCs w:val="17"/>
                <w:color w:val="auto"/>
              </w:rPr>
              <w:t>Common stock</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1.90</w:t>
            </w:r>
          </w:p>
        </w:tc>
      </w:tr>
      <w:tr>
        <w:trPr>
          <w:trHeight w:val="220"/>
        </w:trPr>
        <w:tc>
          <w:tcPr>
            <w:tcW w:w="73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Class B common stock</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58"/>
        </w:trPr>
        <w:tc>
          <w:tcPr>
            <w:tcW w:w="7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9"/>
        </w:trPr>
        <w:tc>
          <w:tcPr>
            <w:tcW w:w="73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Dividends paid per share: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8"/>
        </w:trPr>
        <w:tc>
          <w:tcPr>
            <w:tcW w:w="7320" w:type="dxa"/>
            <w:vAlign w:val="bottom"/>
          </w:tcPr>
          <w:p>
            <w:pPr>
              <w:ind w:left="520"/>
              <w:spacing w:after="0"/>
              <w:rPr>
                <w:sz w:val="20"/>
                <w:szCs w:val="20"/>
                <w:color w:val="auto"/>
              </w:rPr>
            </w:pPr>
            <w:r>
              <w:rPr>
                <w:rFonts w:ascii="Arial" w:cs="Arial" w:eastAsia="Arial" w:hAnsi="Arial"/>
                <w:sz w:val="17"/>
                <w:szCs w:val="17"/>
                <w:color w:val="auto"/>
              </w:rPr>
              <w:t>Common stock</w:t>
            </w: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0.901</w:t>
            </w:r>
          </w:p>
        </w:tc>
        <w:tc>
          <w:tcPr>
            <w:tcW w:w="120" w:type="dxa"/>
            <w:vAlign w:val="bottom"/>
          </w:tcPr>
          <w:p>
            <w:pPr>
              <w:spacing w:after="0"/>
              <w:rPr>
                <w:sz w:val="18"/>
                <w:szCs w:val="18"/>
                <w:color w:val="auto"/>
              </w:rPr>
            </w:pPr>
          </w:p>
        </w:tc>
        <w:tc>
          <w:tcPr>
            <w:tcW w:w="3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0.804</w:t>
            </w:r>
          </w:p>
        </w:tc>
      </w:tr>
      <w:tr>
        <w:trPr>
          <w:trHeight w:val="220"/>
        </w:trPr>
        <w:tc>
          <w:tcPr>
            <w:tcW w:w="73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Class B common stock</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0.731</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427990</wp:posOffset>
            </wp:positionV>
            <wp:extent cx="188595" cy="163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394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7"/>
                <w:szCs w:val="17"/>
                <w:b w:val="1"/>
                <w:bCs w:val="1"/>
                <w:color w:val="auto"/>
              </w:rPr>
              <w:t>For the Three Months Ended</w:t>
            </w: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5"/>
              </w:rPr>
              <w:t>April 3, 2022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5"/>
              </w:rPr>
              <w:t>April 4, 2021</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9"/>
              </w:rPr>
              <w:t>Pre-Tax</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line="161" w:lineRule="exact"/>
              <w:rPr>
                <w:sz w:val="20"/>
                <w:szCs w:val="20"/>
                <w:color w:val="auto"/>
              </w:rPr>
            </w:pPr>
            <w:r>
              <w:rPr>
                <w:rFonts w:ascii="Arial" w:cs="Arial" w:eastAsia="Arial" w:hAnsi="Arial"/>
                <w:sz w:val="17"/>
                <w:szCs w:val="17"/>
                <w:b w:val="1"/>
                <w:bCs w:val="1"/>
                <w:color w:val="auto"/>
                <w:w w:val="95"/>
              </w:rPr>
              <w:t>Tax</w:t>
            </w:r>
          </w:p>
        </w:tc>
        <w:tc>
          <w:tcPr>
            <w:tcW w:w="120" w:type="dxa"/>
            <w:vAlign w:val="bottom"/>
          </w:tcPr>
          <w:p>
            <w:pPr>
              <w:spacing w:after="0"/>
              <w:rPr>
                <w:sz w:val="13"/>
                <w:szCs w:val="13"/>
                <w:color w:val="auto"/>
              </w:rPr>
            </w:pP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3"/>
              </w:rPr>
              <w:t>After-Tax</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6"/>
              </w:rPr>
              <w:t>Pre-Tax</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line="161" w:lineRule="exact"/>
              <w:rPr>
                <w:sz w:val="20"/>
                <w:szCs w:val="20"/>
                <w:color w:val="auto"/>
              </w:rPr>
            </w:pPr>
            <w:r>
              <w:rPr>
                <w:rFonts w:ascii="Arial" w:cs="Arial" w:eastAsia="Arial" w:hAnsi="Arial"/>
                <w:sz w:val="17"/>
                <w:szCs w:val="17"/>
                <w:b w:val="1"/>
                <w:bCs w:val="1"/>
                <w:color w:val="auto"/>
                <w:w w:val="95"/>
              </w:rPr>
              <w:t>Tax</w:t>
            </w:r>
          </w:p>
        </w:tc>
        <w:tc>
          <w:tcPr>
            <w:tcW w:w="120" w:type="dxa"/>
            <w:vAlign w:val="bottom"/>
          </w:tcPr>
          <w:p>
            <w:pPr>
              <w:spacing w:after="0"/>
              <w:rPr>
                <w:sz w:val="13"/>
                <w:szCs w:val="13"/>
                <w:color w:val="auto"/>
              </w:rPr>
            </w:pPr>
          </w:p>
        </w:tc>
        <w:tc>
          <w:tcPr>
            <w:tcW w:w="8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3"/>
              </w:rPr>
              <w:t>After-Tax</w:t>
            </w: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line="167" w:lineRule="exact"/>
              <w:rPr>
                <w:sz w:val="20"/>
                <w:szCs w:val="20"/>
                <w:color w:val="auto"/>
              </w:rPr>
            </w:pPr>
            <w:r>
              <w:rPr>
                <w:rFonts w:ascii="Arial" w:cs="Arial" w:eastAsia="Arial" w:hAnsi="Arial"/>
                <w:sz w:val="17"/>
                <w:szCs w:val="17"/>
                <w:b w:val="1"/>
                <w:bCs w:val="1"/>
                <w:color w:val="auto"/>
                <w:w w:val="88"/>
              </w:rPr>
              <w:t>(Expense)</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line="167" w:lineRule="exact"/>
              <w:rPr>
                <w:sz w:val="20"/>
                <w:szCs w:val="20"/>
                <w:color w:val="auto"/>
              </w:rPr>
            </w:pPr>
            <w:r>
              <w:rPr>
                <w:rFonts w:ascii="Arial" w:cs="Arial" w:eastAsia="Arial" w:hAnsi="Arial"/>
                <w:sz w:val="17"/>
                <w:szCs w:val="17"/>
                <w:b w:val="1"/>
                <w:bCs w:val="1"/>
                <w:color w:val="auto"/>
                <w:w w:val="88"/>
              </w:rPr>
              <w:t>(Expense)</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94"/>
              <w:spacing w:after="0"/>
              <w:rPr>
                <w:sz w:val="20"/>
                <w:szCs w:val="20"/>
                <w:color w:val="auto"/>
              </w:rPr>
            </w:pPr>
            <w:r>
              <w:rPr>
                <w:rFonts w:ascii="Arial" w:cs="Arial" w:eastAsia="Arial" w:hAnsi="Arial"/>
                <w:sz w:val="17"/>
                <w:szCs w:val="17"/>
                <w:b w:val="1"/>
                <w:bCs w:val="1"/>
                <w:color w:val="auto"/>
                <w:w w:val="96"/>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Benefit</w:t>
            </w:r>
          </w:p>
        </w:tc>
        <w:tc>
          <w:tcPr>
            <w:tcW w:w="12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4"/>
              <w:spacing w:after="0"/>
              <w:rPr>
                <w:sz w:val="20"/>
                <w:szCs w:val="20"/>
                <w:color w:val="auto"/>
              </w:rPr>
            </w:pPr>
            <w:r>
              <w:rPr>
                <w:rFonts w:ascii="Arial" w:cs="Arial" w:eastAsia="Arial" w:hAnsi="Arial"/>
                <w:sz w:val="17"/>
                <w:szCs w:val="17"/>
                <w:b w:val="1"/>
                <w:bCs w:val="1"/>
                <w:color w:val="auto"/>
                <w:w w:val="96"/>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Benefit</w:t>
            </w:r>
          </w:p>
        </w:tc>
        <w:tc>
          <w:tcPr>
            <w:tcW w:w="12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7"/>
                <w:szCs w:val="17"/>
                <w:b w:val="1"/>
                <w:bCs w:val="1"/>
                <w:color w:val="auto"/>
                <w:w w:val="99"/>
              </w:rPr>
              <w:t>Amount</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including noncontrolling interest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533,478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396,871</w:t>
            </w:r>
          </w:p>
        </w:tc>
        <w:tc>
          <w:tcPr>
            <w:tcW w:w="0" w:type="dxa"/>
            <w:vAlign w:val="bottom"/>
          </w:tcPr>
          <w:p>
            <w:pPr>
              <w:spacing w:after="0"/>
              <w:rPr>
                <w:sz w:val="1"/>
                <w:szCs w:val="1"/>
                <w:color w:val="auto"/>
              </w:rPr>
            </w:pPr>
          </w:p>
        </w:tc>
      </w:tr>
      <w:tr>
        <w:trPr>
          <w:trHeight w:val="199"/>
        </w:trPr>
        <w:tc>
          <w:tcPr>
            <w:tcW w:w="522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net of tax:</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20"/>
              <w:spacing w:after="0"/>
              <w:rPr>
                <w:sz w:val="20"/>
                <w:szCs w:val="20"/>
                <w:color w:val="auto"/>
              </w:rPr>
            </w:pPr>
            <w:r>
              <w:rPr>
                <w:rFonts w:ascii="Arial" w:cs="Arial" w:eastAsia="Arial" w:hAnsi="Arial"/>
                <w:sz w:val="17"/>
                <w:szCs w:val="17"/>
                <w:color w:val="auto"/>
              </w:rPr>
              <w:t>Foreign currency translation gains during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14,419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14,419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1,198</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1,198</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Reclassification to earnings due to the sale of businesses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5,210</w:t>
            </w:r>
          </w:p>
        </w:tc>
        <w:tc>
          <w:tcPr>
            <w:tcW w:w="0" w:type="dxa"/>
            <w:vAlign w:val="bottom"/>
          </w:tcPr>
          <w:p>
            <w:pPr>
              <w:spacing w:after="0"/>
              <w:rPr>
                <w:sz w:val="1"/>
                <w:szCs w:val="1"/>
                <w:color w:val="auto"/>
              </w:rPr>
            </w:pPr>
          </w:p>
        </w:tc>
      </w:tr>
      <w:tr>
        <w:trPr>
          <w:trHeight w:val="218"/>
        </w:trPr>
        <w:tc>
          <w:tcPr>
            <w:tcW w:w="5220" w:type="dxa"/>
            <w:vAlign w:val="bottom"/>
          </w:tcPr>
          <w:p>
            <w:pPr>
              <w:ind w:left="140"/>
              <w:spacing w:after="0"/>
              <w:rPr>
                <w:sz w:val="20"/>
                <w:szCs w:val="20"/>
                <w:color w:val="auto"/>
              </w:rPr>
            </w:pPr>
            <w:r>
              <w:rPr>
                <w:rFonts w:ascii="Arial" w:cs="Arial" w:eastAsia="Arial" w:hAnsi="Arial"/>
                <w:sz w:val="17"/>
                <w:szCs w:val="17"/>
                <w:color w:val="auto"/>
              </w:rPr>
              <w:t>Pension and post-retirement benefit plans: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actuarial (loss) gain and service cost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0" w:type="dxa"/>
            <w:vAlign w:val="bottom"/>
          </w:tcPr>
          <w:p>
            <w:pPr>
              <w:spacing w:after="0"/>
              <w:rPr>
                <w:sz w:val="1"/>
                <w:szCs w:val="1"/>
                <w:color w:val="auto"/>
              </w:rPr>
            </w:pPr>
          </w:p>
        </w:tc>
      </w:tr>
      <w:tr>
        <w:trPr>
          <w:trHeight w:val="218"/>
        </w:trPr>
        <w:tc>
          <w:tcPr>
            <w:tcW w:w="5220" w:type="dxa"/>
            <w:vAlign w:val="bottom"/>
          </w:tcPr>
          <w:p>
            <w:pPr>
              <w:ind w:left="220"/>
              <w:spacing w:after="0"/>
              <w:rPr>
                <w:sz w:val="20"/>
                <w:szCs w:val="20"/>
                <w:color w:val="auto"/>
              </w:rPr>
            </w:pPr>
            <w:r>
              <w:rPr>
                <w:rFonts w:ascii="Arial" w:cs="Arial" w:eastAsia="Arial" w:hAnsi="Arial"/>
                <w:sz w:val="17"/>
                <w:szCs w:val="17"/>
                <w:color w:val="auto"/>
              </w:rPr>
              <w:t>Reclassification to earnings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6,853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20"/>
        </w:trPr>
        <w:tc>
          <w:tcPr>
            <w:tcW w:w="5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flow hedges: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220"/>
              <w:spacing w:after="0"/>
              <w:rPr>
                <w:sz w:val="20"/>
                <w:szCs w:val="20"/>
                <w:color w:val="auto"/>
              </w:rPr>
            </w:pPr>
            <w:r>
              <w:rPr>
                <w:rFonts w:ascii="Arial" w:cs="Arial" w:eastAsia="Arial" w:hAnsi="Arial"/>
                <w:sz w:val="17"/>
                <w:szCs w:val="17"/>
                <w:color w:val="auto"/>
              </w:rPr>
              <w:t>Losses on cash flow hedging derivatives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Reclassification to earnings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2,597</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7"/>
                <w:szCs w:val="17"/>
                <w:b w:val="1"/>
                <w:bCs w:val="1"/>
                <w:color w:val="auto"/>
              </w:rPr>
              <w:t>Total other comprehensive income, net of tax</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8,577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7,206</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16,987</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14,338</w:t>
            </w:r>
          </w:p>
        </w:tc>
        <w:tc>
          <w:tcPr>
            <w:tcW w:w="0" w:type="dxa"/>
            <w:vAlign w:val="bottom"/>
          </w:tcPr>
          <w:p>
            <w:pPr>
              <w:spacing w:after="0"/>
              <w:rPr>
                <w:sz w:val="1"/>
                <w:szCs w:val="1"/>
                <w:color w:val="auto"/>
              </w:rPr>
            </w:pPr>
          </w:p>
        </w:tc>
      </w:tr>
      <w:tr>
        <w:trPr>
          <w:trHeight w:val="45"/>
        </w:trPr>
        <w:tc>
          <w:tcPr>
            <w:tcW w:w="522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20" w:type="dxa"/>
            <w:vAlign w:val="bottom"/>
            <w:tcBorders>
              <w:top w:val="single" w:sz="8" w:color="auto"/>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40" w:type="dxa"/>
            <w:vAlign w:val="bottom"/>
            <w:tcBorders>
              <w:top w:val="single" w:sz="8" w:color="auto"/>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8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2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220" w:type="dxa"/>
            <w:vAlign w:val="bottom"/>
            <w:tcBorders>
              <w:top w:val="single" w:sz="8" w:color="CCEEFF"/>
            </w:tcBorders>
            <w:shd w:val="clear" w:color="auto" w:fill="CCEEFF"/>
          </w:tcPr>
          <w:p>
            <w:pPr>
              <w:ind w:left="20"/>
              <w:spacing w:after="0" w:line="178" w:lineRule="exact"/>
              <w:rPr>
                <w:sz w:val="20"/>
                <w:szCs w:val="20"/>
                <w:color w:val="auto"/>
              </w:rPr>
            </w:pPr>
            <w:r>
              <w:rPr>
                <w:rFonts w:ascii="Arial" w:cs="Arial" w:eastAsia="Arial" w:hAnsi="Arial"/>
                <w:sz w:val="17"/>
                <w:szCs w:val="17"/>
                <w:b w:val="1"/>
                <w:bCs w:val="1"/>
                <w:color w:val="auto"/>
              </w:rPr>
              <w:t>Total comprehensive income including noncontrolling interest</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540,684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CCEEFF"/>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411,209</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Comprehensive income attributable to noncontrolling interest</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6,334</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attributable to The Hershey Company</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540,684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404,875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280670</wp:posOffset>
            </wp:positionV>
            <wp:extent cx="188595" cy="16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480"/>
        <w:spacing w:after="0"/>
        <w:tabs>
          <w:tab w:leader="none" w:pos="392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4" w:name="page5"/>
    <w:bookmarkEnd w:id="4"/>
    <w:tbl>
      <w:tblPr>
        <w:tblLayout w:type="fixed"/>
        <w:tblInd w:w="180" w:type="dxa"/>
        <w:tblCellMar>
          <w:top w:w="0" w:type="dxa"/>
          <w:left w:w="0" w:type="dxa"/>
          <w:bottom w:w="0" w:type="dxa"/>
          <w:right w:w="0" w:type="dxa"/>
        </w:tblCellMar>
      </w:tblPr>
      <w:tr>
        <w:trPr>
          <w:trHeight w:val="219"/>
        </w:trPr>
        <w:tc>
          <w:tcPr>
            <w:tcW w:w="6700" w:type="dxa"/>
            <w:vAlign w:val="bottom"/>
            <w:gridSpan w:val="2"/>
          </w:tcPr>
          <w:p>
            <w:pPr>
              <w:jc w:val="center"/>
              <w:ind w:left="4174"/>
              <w:spacing w:after="0"/>
              <w:rPr>
                <w:sz w:val="20"/>
                <w:szCs w:val="20"/>
                <w:color w:val="auto"/>
              </w:rPr>
            </w:pPr>
            <w:r>
              <w:rPr>
                <w:rFonts w:ascii="Arial" w:cs="Arial" w:eastAsia="Arial" w:hAnsi="Arial"/>
                <w:sz w:val="17"/>
                <w:szCs w:val="17"/>
                <w:b w:val="1"/>
                <w:bCs w:val="1"/>
                <w:color w:val="auto"/>
              </w:rPr>
              <w:t>THE HERSHEY COMPANY</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3"/>
          </w:tcPr>
          <w:p>
            <w:pPr>
              <w:jc w:val="center"/>
              <w:ind w:left="3754"/>
              <w:spacing w:after="0"/>
              <w:rPr>
                <w:sz w:val="20"/>
                <w:szCs w:val="20"/>
                <w:color w:val="auto"/>
              </w:rPr>
            </w:pPr>
            <w:r>
              <w:rPr>
                <w:rFonts w:ascii="Arial" w:cs="Arial" w:eastAsia="Arial" w:hAnsi="Arial"/>
                <w:sz w:val="17"/>
                <w:szCs w:val="17"/>
                <w:b w:val="1"/>
                <w:bCs w:val="1"/>
                <w:color w:val="auto"/>
                <w:w w:val="99"/>
              </w:rPr>
              <w:t>CONSOLIDATED BALANCE SHEETS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00" w:type="dxa"/>
            <w:vAlign w:val="bottom"/>
            <w:gridSpan w:val="2"/>
          </w:tcPr>
          <w:p>
            <w:pPr>
              <w:jc w:val="center"/>
              <w:ind w:left="4174"/>
              <w:spacing w:after="0"/>
              <w:rPr>
                <w:sz w:val="20"/>
                <w:szCs w:val="20"/>
                <w:color w:val="auto"/>
              </w:rPr>
            </w:pPr>
            <w:r>
              <w:rPr>
                <w:rFonts w:ascii="Arial" w:cs="Arial" w:eastAsia="Arial" w:hAnsi="Arial"/>
                <w:sz w:val="17"/>
                <w:szCs w:val="17"/>
                <w:b w:val="1"/>
                <w:bCs w:val="1"/>
                <w:color w:val="auto"/>
                <w:w w:val="88"/>
              </w:rPr>
              <w:t>(in thousands, except share data)</w:t>
            </w: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40" w:type="dxa"/>
            <w:vAlign w:val="bottom"/>
            <w:gridSpan w:val="2"/>
          </w:tcPr>
          <w:p>
            <w:pPr>
              <w:ind w:left="140"/>
              <w:spacing w:after="0"/>
              <w:rPr>
                <w:sz w:val="20"/>
                <w:szCs w:val="20"/>
                <w:color w:val="auto"/>
              </w:rPr>
            </w:pPr>
            <w:r>
              <w:rPr>
                <w:rFonts w:ascii="Arial" w:cs="Arial" w:eastAsia="Arial" w:hAnsi="Arial"/>
                <w:sz w:val="17"/>
                <w:szCs w:val="17"/>
                <w:b w:val="1"/>
                <w:bCs w:val="1"/>
                <w:color w:val="auto"/>
              </w:rPr>
              <w:t>April 3, 2022</w:t>
            </w:r>
          </w:p>
        </w:tc>
        <w:tc>
          <w:tcPr>
            <w:tcW w:w="340" w:type="dxa"/>
            <w:vAlign w:val="bottom"/>
          </w:tcPr>
          <w:p>
            <w:pPr>
              <w:spacing w:after="0"/>
              <w:rPr>
                <w:sz w:val="22"/>
                <w:szCs w:val="22"/>
                <w:color w:val="auto"/>
              </w:rPr>
            </w:pPr>
          </w:p>
        </w:tc>
        <w:tc>
          <w:tcPr>
            <w:tcW w:w="1840" w:type="dxa"/>
            <w:vAlign w:val="bottom"/>
          </w:tcPr>
          <w:p>
            <w:pPr>
              <w:jc w:val="right"/>
              <w:ind w:right="254"/>
              <w:spacing w:after="0"/>
              <w:rPr>
                <w:sz w:val="20"/>
                <w:szCs w:val="20"/>
                <w:color w:val="auto"/>
              </w:rPr>
            </w:pPr>
            <w:r>
              <w:rPr>
                <w:rFonts w:ascii="Arial" w:cs="Arial" w:eastAsia="Arial" w:hAnsi="Arial"/>
                <w:sz w:val="17"/>
                <w:szCs w:val="17"/>
                <w:b w:val="1"/>
                <w:bCs w:val="1"/>
                <w:color w:val="auto"/>
                <w:w w:val="96"/>
              </w:rPr>
              <w:t>December 31, 2021</w:t>
            </w:r>
          </w:p>
        </w:tc>
        <w:tc>
          <w:tcPr>
            <w:tcW w:w="0" w:type="dxa"/>
            <w:vAlign w:val="bottom"/>
          </w:tcPr>
          <w:p>
            <w:pPr>
              <w:spacing w:after="0"/>
              <w:rPr>
                <w:sz w:val="1"/>
                <w:szCs w:val="1"/>
                <w:color w:val="auto"/>
              </w:rPr>
            </w:pPr>
          </w:p>
        </w:tc>
      </w:tr>
      <w:tr>
        <w:trPr>
          <w:trHeight w:val="213"/>
        </w:trPr>
        <w:tc>
          <w:tcPr>
            <w:tcW w:w="6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(unaudited)</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ASSETS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b w:val="1"/>
                <w:bCs w:val="1"/>
                <w:color w:val="auto"/>
              </w:rPr>
              <w:t>Current assets:</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329,266</w:t>
            </w:r>
          </w:p>
        </w:tc>
        <w:tc>
          <w:tcPr>
            <w:tcW w:w="0" w:type="dxa"/>
            <w:vAlign w:val="bottom"/>
          </w:tcPr>
          <w:p>
            <w:pPr>
              <w:spacing w:after="0"/>
              <w:rPr>
                <w:sz w:val="1"/>
                <w:szCs w:val="1"/>
                <w:color w:val="auto"/>
              </w:rPr>
            </w:pPr>
          </w:p>
        </w:tc>
      </w:tr>
      <w:tr>
        <w:trPr>
          <w:trHeight w:val="218"/>
        </w:trPr>
        <w:tc>
          <w:tcPr>
            <w:tcW w:w="6700" w:type="dxa"/>
            <w:vAlign w:val="bottom"/>
            <w:gridSpan w:val="2"/>
          </w:tcPr>
          <w:p>
            <w:pPr>
              <w:ind w:left="340"/>
              <w:spacing w:after="0"/>
              <w:rPr>
                <w:sz w:val="20"/>
                <w:szCs w:val="20"/>
                <w:color w:val="auto"/>
              </w:rPr>
            </w:pPr>
            <w:r>
              <w:rPr>
                <w:rFonts w:ascii="Arial" w:cs="Arial" w:eastAsia="Arial" w:hAnsi="Arial"/>
                <w:sz w:val="17"/>
                <w:szCs w:val="17"/>
                <w:color w:val="auto"/>
              </w:rPr>
              <w:t>Accounts receivable—trade, net</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868,426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671,464</w:t>
            </w:r>
          </w:p>
        </w:tc>
        <w:tc>
          <w:tcPr>
            <w:tcW w:w="0" w:type="dxa"/>
            <w:vAlign w:val="bottom"/>
          </w:tcPr>
          <w:p>
            <w:pPr>
              <w:spacing w:after="0"/>
              <w:rPr>
                <w:sz w:val="1"/>
                <w:szCs w:val="1"/>
                <w:color w:val="auto"/>
              </w:rPr>
            </w:pPr>
          </w:p>
        </w:tc>
      </w:tr>
      <w:tr>
        <w:trPr>
          <w:trHeight w:val="22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988,511</w:t>
            </w:r>
          </w:p>
        </w:tc>
        <w:tc>
          <w:tcPr>
            <w:tcW w:w="0" w:type="dxa"/>
            <w:vAlign w:val="bottom"/>
          </w:tcPr>
          <w:p>
            <w:pPr>
              <w:spacing w:after="0"/>
              <w:rPr>
                <w:sz w:val="1"/>
                <w:szCs w:val="1"/>
                <w:color w:val="auto"/>
              </w:rPr>
            </w:pPr>
          </w:p>
        </w:tc>
      </w:tr>
      <w:tr>
        <w:trPr>
          <w:trHeight w:val="218"/>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Prepaid expenses and other</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256,965</w:t>
            </w:r>
          </w:p>
        </w:tc>
        <w:tc>
          <w:tcPr>
            <w:tcW w:w="0" w:type="dxa"/>
            <w:vAlign w:val="bottom"/>
          </w:tcPr>
          <w:p>
            <w:pPr>
              <w:spacing w:after="0"/>
              <w:rPr>
                <w:sz w:val="1"/>
                <w:szCs w:val="1"/>
                <w:color w:val="auto"/>
              </w:rPr>
            </w:pPr>
          </w:p>
        </w:tc>
      </w:tr>
      <w:tr>
        <w:trPr>
          <w:trHeight w:val="213"/>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current assets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2,246,206</w:t>
            </w:r>
          </w:p>
        </w:tc>
        <w:tc>
          <w:tcPr>
            <w:tcW w:w="0" w:type="dxa"/>
            <w:vAlign w:val="bottom"/>
          </w:tcPr>
          <w:p>
            <w:pPr>
              <w:spacing w:after="0"/>
              <w:rPr>
                <w:sz w:val="1"/>
                <w:szCs w:val="1"/>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b w:val="1"/>
                <w:bCs w:val="1"/>
                <w:color w:val="auto"/>
              </w:rPr>
              <w:t>Property, plant and equipment, net</w:t>
            </w:r>
          </w:p>
        </w:tc>
        <w:tc>
          <w:tcPr>
            <w:tcW w:w="4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2,592,628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2,586,187</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Goodwill</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2,633,174</w:t>
            </w:r>
          </w:p>
        </w:tc>
        <w:tc>
          <w:tcPr>
            <w:tcW w:w="0" w:type="dxa"/>
            <w:vAlign w:val="bottom"/>
          </w:tcPr>
          <w:p>
            <w:pPr>
              <w:spacing w:after="0"/>
              <w:rPr>
                <w:sz w:val="1"/>
                <w:szCs w:val="1"/>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b w:val="1"/>
                <w:bCs w:val="1"/>
                <w:color w:val="auto"/>
              </w:rPr>
              <w:t>Other intangibles</w:t>
            </w:r>
          </w:p>
        </w:tc>
        <w:tc>
          <w:tcPr>
            <w:tcW w:w="4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2,029,220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2,037,588</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Other non-current assets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868,203</w:t>
            </w:r>
          </w:p>
        </w:tc>
        <w:tc>
          <w:tcPr>
            <w:tcW w:w="0" w:type="dxa"/>
            <w:vAlign w:val="bottom"/>
          </w:tcPr>
          <w:p>
            <w:pPr>
              <w:spacing w:after="0"/>
              <w:rPr>
                <w:sz w:val="1"/>
                <w:szCs w:val="1"/>
                <w:color w:val="auto"/>
              </w:rPr>
            </w:pPr>
          </w:p>
        </w:tc>
      </w:tr>
      <w:tr>
        <w:trPr>
          <w:trHeight w:val="219"/>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b w:val="1"/>
                <w:bCs w:val="1"/>
                <w:color w:val="auto"/>
              </w:rPr>
              <w:t>Deferred income taxes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40,873</w:t>
            </w:r>
          </w:p>
        </w:tc>
        <w:tc>
          <w:tcPr>
            <w:tcW w:w="0" w:type="dxa"/>
            <w:vAlign w:val="bottom"/>
          </w:tcPr>
          <w:p>
            <w:pPr>
              <w:spacing w:after="0"/>
              <w:rPr>
                <w:sz w:val="1"/>
                <w:szCs w:val="1"/>
                <w:color w:val="auto"/>
              </w:rPr>
            </w:pPr>
          </w:p>
        </w:tc>
      </w:tr>
      <w:tr>
        <w:trPr>
          <w:trHeight w:val="232"/>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assets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10,645,044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10,412,231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Current liabilities: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gridSpan w:val="2"/>
          </w:tcPr>
          <w:p>
            <w:pPr>
              <w:ind w:left="340"/>
              <w:spacing w:after="0"/>
              <w:rPr>
                <w:sz w:val="20"/>
                <w:szCs w:val="20"/>
                <w:color w:val="auto"/>
              </w:rPr>
            </w:pPr>
            <w:r>
              <w:rPr>
                <w:rFonts w:ascii="Arial" w:cs="Arial" w:eastAsia="Arial" w:hAnsi="Arial"/>
                <w:sz w:val="17"/>
                <w:szCs w:val="17"/>
                <w:color w:val="auto"/>
              </w:rPr>
              <w:t>Accounts payable</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825,231</w:t>
            </w:r>
          </w:p>
        </w:tc>
        <w:tc>
          <w:tcPr>
            <w:tcW w:w="10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692,338</w:t>
            </w:r>
          </w:p>
        </w:tc>
        <w:tc>
          <w:tcPr>
            <w:tcW w:w="0" w:type="dxa"/>
            <w:vAlign w:val="bottom"/>
          </w:tcPr>
          <w:p>
            <w:pPr>
              <w:spacing w:after="0"/>
              <w:rPr>
                <w:sz w:val="1"/>
                <w:szCs w:val="1"/>
                <w:color w:val="auto"/>
              </w:rPr>
            </w:pPr>
          </w:p>
        </w:tc>
      </w:tr>
      <w:tr>
        <w:trPr>
          <w:trHeight w:val="22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Accrued liabilities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855,638</w:t>
            </w:r>
          </w:p>
        </w:tc>
        <w:tc>
          <w:tcPr>
            <w:tcW w:w="0" w:type="dxa"/>
            <w:vAlign w:val="bottom"/>
          </w:tcPr>
          <w:p>
            <w:pPr>
              <w:spacing w:after="0"/>
              <w:rPr>
                <w:sz w:val="1"/>
                <w:szCs w:val="1"/>
                <w:color w:val="auto"/>
              </w:rPr>
            </w:pPr>
          </w:p>
        </w:tc>
      </w:tr>
      <w:tr>
        <w:trPr>
          <w:trHeight w:val="218"/>
        </w:trPr>
        <w:tc>
          <w:tcPr>
            <w:tcW w:w="6700" w:type="dxa"/>
            <w:vAlign w:val="bottom"/>
            <w:gridSpan w:val="2"/>
          </w:tcPr>
          <w:p>
            <w:pPr>
              <w:ind w:left="340"/>
              <w:spacing w:after="0"/>
              <w:rPr>
                <w:sz w:val="20"/>
                <w:szCs w:val="20"/>
                <w:color w:val="auto"/>
              </w:rPr>
            </w:pPr>
            <w:r>
              <w:rPr>
                <w:rFonts w:ascii="Arial" w:cs="Arial" w:eastAsia="Arial" w:hAnsi="Arial"/>
                <w:sz w:val="17"/>
                <w:szCs w:val="17"/>
                <w:color w:val="auto"/>
              </w:rPr>
              <w:t>Accrued income taxes</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79,635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3,070</w:t>
            </w:r>
          </w:p>
        </w:tc>
        <w:tc>
          <w:tcPr>
            <w:tcW w:w="0" w:type="dxa"/>
            <w:vAlign w:val="bottom"/>
          </w:tcPr>
          <w:p>
            <w:pPr>
              <w:spacing w:after="0"/>
              <w:rPr>
                <w:sz w:val="1"/>
                <w:szCs w:val="1"/>
                <w:color w:val="auto"/>
              </w:rPr>
            </w:pPr>
          </w:p>
        </w:tc>
      </w:tr>
      <w:tr>
        <w:trPr>
          <w:trHeight w:val="22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Short-term debt</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939,423</w:t>
            </w:r>
          </w:p>
        </w:tc>
        <w:tc>
          <w:tcPr>
            <w:tcW w:w="0" w:type="dxa"/>
            <w:vAlign w:val="bottom"/>
          </w:tcPr>
          <w:p>
            <w:pPr>
              <w:spacing w:after="0"/>
              <w:rPr>
                <w:sz w:val="1"/>
                <w:szCs w:val="1"/>
                <w:color w:val="auto"/>
              </w:rPr>
            </w:pPr>
          </w:p>
        </w:tc>
      </w:tr>
      <w:tr>
        <w:trPr>
          <w:trHeight w:val="218"/>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w:t>
            </w:r>
          </w:p>
        </w:tc>
        <w:tc>
          <w:tcPr>
            <w:tcW w:w="0" w:type="dxa"/>
            <w:vAlign w:val="bottom"/>
          </w:tcPr>
          <w:p>
            <w:pPr>
              <w:spacing w:after="0"/>
              <w:rPr>
                <w:sz w:val="1"/>
                <w:szCs w:val="1"/>
                <w:color w:val="auto"/>
              </w:rPr>
            </w:pPr>
          </w:p>
        </w:tc>
      </w:tr>
      <w:tr>
        <w:trPr>
          <w:trHeight w:val="213"/>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2,493,313</w:t>
            </w:r>
          </w:p>
        </w:tc>
        <w:tc>
          <w:tcPr>
            <w:tcW w:w="0" w:type="dxa"/>
            <w:vAlign w:val="bottom"/>
          </w:tcPr>
          <w:p>
            <w:pPr>
              <w:spacing w:after="0"/>
              <w:rPr>
                <w:sz w:val="1"/>
                <w:szCs w:val="1"/>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b w:val="1"/>
                <w:bCs w:val="1"/>
                <w:color w:val="auto"/>
              </w:rPr>
              <w:t>Long-term debt</w:t>
            </w:r>
          </w:p>
        </w:tc>
        <w:tc>
          <w:tcPr>
            <w:tcW w:w="4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4,088,437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4,086,627</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Other long-term liabilities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787,058</w:t>
            </w:r>
          </w:p>
        </w:tc>
        <w:tc>
          <w:tcPr>
            <w:tcW w:w="0" w:type="dxa"/>
            <w:vAlign w:val="bottom"/>
          </w:tcPr>
          <w:p>
            <w:pPr>
              <w:spacing w:after="0"/>
              <w:rPr>
                <w:sz w:val="1"/>
                <w:szCs w:val="1"/>
                <w:color w:val="auto"/>
              </w:rPr>
            </w:pPr>
          </w:p>
        </w:tc>
      </w:tr>
      <w:tr>
        <w:trPr>
          <w:trHeight w:val="219"/>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b w:val="1"/>
                <w:bCs w:val="1"/>
                <w:color w:val="auto"/>
              </w:rPr>
              <w:t>Deferred income taxes</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294,373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288,004</w:t>
            </w:r>
          </w:p>
        </w:tc>
        <w:tc>
          <w:tcPr>
            <w:tcW w:w="0" w:type="dxa"/>
            <w:vAlign w:val="bottom"/>
          </w:tcPr>
          <w:p>
            <w:pPr>
              <w:spacing w:after="0"/>
              <w:rPr>
                <w:sz w:val="1"/>
                <w:szCs w:val="1"/>
                <w:color w:val="auto"/>
              </w:rPr>
            </w:pPr>
          </w:p>
        </w:tc>
      </w:tr>
      <w:tr>
        <w:trPr>
          <w:trHeight w:val="211"/>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liabilities</w:t>
            </w: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7,729,495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7,655,002</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Stockholders’ equity:</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gridSpan w:val="2"/>
          </w:tcPr>
          <w:p>
            <w:pPr>
              <w:ind w:left="260"/>
              <w:spacing w:after="0"/>
              <w:rPr>
                <w:sz w:val="20"/>
                <w:szCs w:val="20"/>
                <w:color w:val="auto"/>
              </w:rPr>
            </w:pPr>
            <w:r>
              <w:rPr>
                <w:rFonts w:ascii="Arial" w:cs="Arial" w:eastAsia="Arial" w:hAnsi="Arial"/>
                <w:sz w:val="17"/>
                <w:szCs w:val="17"/>
                <w:color w:val="auto"/>
              </w:rPr>
              <w:t>The Hershey Company stockholders’ equity</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Preferred stock, shares issued: none in 2022 and 2021</w:t>
            </w:r>
          </w:p>
        </w:tc>
        <w:tc>
          <w:tcPr>
            <w:tcW w:w="4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6700" w:type="dxa"/>
            <w:vAlign w:val="bottom"/>
            <w:gridSpan w:val="2"/>
          </w:tcPr>
          <w:p>
            <w:pPr>
              <w:ind w:left="340"/>
              <w:spacing w:after="0" w:line="168" w:lineRule="exact"/>
              <w:rPr>
                <w:sz w:val="20"/>
                <w:szCs w:val="20"/>
                <w:color w:val="auto"/>
              </w:rPr>
            </w:pPr>
            <w:r>
              <w:rPr>
                <w:rFonts w:ascii="Arial" w:cs="Arial" w:eastAsia="Arial" w:hAnsi="Arial"/>
                <w:sz w:val="17"/>
                <w:szCs w:val="17"/>
                <w:color w:val="auto"/>
              </w:rPr>
              <w:t>Common stock, shares issued: 161,939,248 at April 3, 2022 and 160,939,248 at</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161,939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7"/>
                <w:szCs w:val="17"/>
                <w:color w:val="auto"/>
              </w:rPr>
              <w:t>160,939</w:t>
            </w:r>
          </w:p>
        </w:tc>
        <w:tc>
          <w:tcPr>
            <w:tcW w:w="0" w:type="dxa"/>
            <w:vAlign w:val="bottom"/>
          </w:tcPr>
          <w:p>
            <w:pPr>
              <w:spacing w:after="0"/>
              <w:rPr>
                <w:sz w:val="1"/>
                <w:szCs w:val="1"/>
                <w:color w:val="auto"/>
              </w:rPr>
            </w:pPr>
          </w:p>
        </w:tc>
      </w:tr>
      <w:tr>
        <w:trPr>
          <w:trHeight w:val="218"/>
        </w:trPr>
        <w:tc>
          <w:tcPr>
            <w:tcW w:w="6700" w:type="dxa"/>
            <w:vAlign w:val="bottom"/>
            <w:gridSpan w:val="2"/>
          </w:tcPr>
          <w:p>
            <w:pPr>
              <w:ind w:left="220"/>
              <w:spacing w:after="0"/>
              <w:rPr>
                <w:sz w:val="20"/>
                <w:szCs w:val="20"/>
                <w:color w:val="auto"/>
              </w:rPr>
            </w:pPr>
            <w:r>
              <w:rPr>
                <w:rFonts w:ascii="Arial" w:cs="Arial" w:eastAsia="Arial" w:hAnsi="Arial"/>
                <w:sz w:val="17"/>
                <w:szCs w:val="17"/>
                <w:color w:val="auto"/>
              </w:rPr>
              <w:t>December 31, 2021</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00" w:type="dxa"/>
            <w:vAlign w:val="bottom"/>
            <w:gridSpan w:val="2"/>
            <w:shd w:val="clear" w:color="auto" w:fill="CCEEFF"/>
          </w:tcPr>
          <w:p>
            <w:pPr>
              <w:ind w:left="340"/>
              <w:spacing w:after="0" w:line="169" w:lineRule="exact"/>
              <w:rPr>
                <w:sz w:val="20"/>
                <w:szCs w:val="20"/>
                <w:color w:val="auto"/>
              </w:rPr>
            </w:pPr>
            <w:r>
              <w:rPr>
                <w:rFonts w:ascii="Arial" w:cs="Arial" w:eastAsia="Arial" w:hAnsi="Arial"/>
                <w:sz w:val="17"/>
                <w:szCs w:val="17"/>
                <w:color w:val="auto"/>
                <w:w w:val="98"/>
              </w:rPr>
              <w:t>Class B common stock, shares issued: 59,613,777 at April 3, 2022 and 60,613,777 at</w:t>
            </w:r>
          </w:p>
        </w:tc>
        <w:tc>
          <w:tcPr>
            <w:tcW w:w="42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59,614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60,614</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December 31, 2021</w:t>
            </w:r>
          </w:p>
        </w:tc>
        <w:tc>
          <w:tcPr>
            <w:tcW w:w="42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gridSpan w:val="2"/>
          </w:tcPr>
          <w:p>
            <w:pPr>
              <w:ind w:left="340"/>
              <w:spacing w:after="0"/>
              <w:rPr>
                <w:sz w:val="20"/>
                <w:szCs w:val="20"/>
                <w:color w:val="auto"/>
              </w:rPr>
            </w:pPr>
            <w:r>
              <w:rPr>
                <w:rFonts w:ascii="Arial" w:cs="Arial" w:eastAsia="Arial" w:hAnsi="Arial"/>
                <w:sz w:val="17"/>
                <w:szCs w:val="17"/>
                <w:color w:val="auto"/>
              </w:rPr>
              <w:t>Additional paid-in capital</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1,243,240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1,260,331</w:t>
            </w:r>
          </w:p>
        </w:tc>
        <w:tc>
          <w:tcPr>
            <w:tcW w:w="0" w:type="dxa"/>
            <w:vAlign w:val="bottom"/>
          </w:tcPr>
          <w:p>
            <w:pPr>
              <w:spacing w:after="0"/>
              <w:rPr>
                <w:sz w:val="1"/>
                <w:szCs w:val="1"/>
                <w:color w:val="auto"/>
              </w:rPr>
            </w:pPr>
          </w:p>
        </w:tc>
      </w:tr>
      <w:tr>
        <w:trPr>
          <w:trHeight w:val="22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Retained earnings</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2,719,936</w:t>
            </w:r>
          </w:p>
        </w:tc>
        <w:tc>
          <w:tcPr>
            <w:tcW w:w="0" w:type="dxa"/>
            <w:vAlign w:val="bottom"/>
          </w:tcPr>
          <w:p>
            <w:pPr>
              <w:spacing w:after="0"/>
              <w:rPr>
                <w:sz w:val="1"/>
                <w:szCs w:val="1"/>
                <w:color w:val="auto"/>
              </w:rPr>
            </w:pPr>
          </w:p>
        </w:tc>
      </w:tr>
      <w:tr>
        <w:trPr>
          <w:trHeight w:val="168"/>
        </w:trPr>
        <w:tc>
          <w:tcPr>
            <w:tcW w:w="6700" w:type="dxa"/>
            <w:vAlign w:val="bottom"/>
            <w:gridSpan w:val="2"/>
          </w:tcPr>
          <w:p>
            <w:pPr>
              <w:ind w:left="340"/>
              <w:spacing w:after="0" w:line="168" w:lineRule="exact"/>
              <w:rPr>
                <w:sz w:val="20"/>
                <w:szCs w:val="20"/>
                <w:color w:val="auto"/>
              </w:rPr>
            </w:pPr>
            <w:r>
              <w:rPr>
                <w:rFonts w:ascii="Arial" w:cs="Arial" w:eastAsia="Arial" w:hAnsi="Arial"/>
                <w:sz w:val="17"/>
                <w:szCs w:val="17"/>
                <w:color w:val="auto"/>
                <w:w w:val="95"/>
              </w:rPr>
              <w:t>Treasury—common stock shares, at cost: 15,961,542 at April 3, 2022 and 15,444,011 at</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7"/>
                <w:szCs w:val="17"/>
                <w:color w:val="auto"/>
              </w:rPr>
              <w:t>(1,378,651)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7"/>
                <w:szCs w:val="17"/>
                <w:color w:val="auto"/>
              </w:rPr>
              <w:t>(1,195,376)</w:t>
            </w:r>
          </w:p>
        </w:tc>
        <w:tc>
          <w:tcPr>
            <w:tcW w:w="0" w:type="dxa"/>
            <w:vAlign w:val="bottom"/>
          </w:tcPr>
          <w:p>
            <w:pPr>
              <w:spacing w:after="0"/>
              <w:rPr>
                <w:sz w:val="1"/>
                <w:szCs w:val="1"/>
                <w:color w:val="auto"/>
              </w:rPr>
            </w:pPr>
          </w:p>
        </w:tc>
      </w:tr>
      <w:tr>
        <w:trPr>
          <w:trHeight w:val="218"/>
        </w:trPr>
        <w:tc>
          <w:tcPr>
            <w:tcW w:w="6700" w:type="dxa"/>
            <w:vAlign w:val="bottom"/>
            <w:gridSpan w:val="2"/>
          </w:tcPr>
          <w:p>
            <w:pPr>
              <w:ind w:left="220"/>
              <w:spacing w:after="0"/>
              <w:rPr>
                <w:sz w:val="20"/>
                <w:szCs w:val="20"/>
                <w:color w:val="auto"/>
              </w:rPr>
            </w:pPr>
            <w:r>
              <w:rPr>
                <w:rFonts w:ascii="Arial" w:cs="Arial" w:eastAsia="Arial" w:hAnsi="Arial"/>
                <w:sz w:val="17"/>
                <w:szCs w:val="17"/>
                <w:color w:val="auto"/>
              </w:rPr>
              <w:t>December 31, 2021</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(242,009)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(249,215)</w:t>
            </w:r>
          </w:p>
        </w:tc>
        <w:tc>
          <w:tcPr>
            <w:tcW w:w="0" w:type="dxa"/>
            <w:vAlign w:val="bottom"/>
          </w:tcPr>
          <w:p>
            <w:pPr>
              <w:spacing w:after="0"/>
              <w:rPr>
                <w:sz w:val="1"/>
                <w:szCs w:val="1"/>
                <w:color w:val="auto"/>
              </w:rPr>
            </w:pPr>
          </w:p>
        </w:tc>
      </w:tr>
      <w:tr>
        <w:trPr>
          <w:trHeight w:val="212"/>
        </w:trPr>
        <w:tc>
          <w:tcPr>
            <w:tcW w:w="65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stockholders’ equity</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2,915,549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2,757,229</w:t>
            </w:r>
          </w:p>
        </w:tc>
        <w:tc>
          <w:tcPr>
            <w:tcW w:w="0" w:type="dxa"/>
            <w:vAlign w:val="bottom"/>
          </w:tcPr>
          <w:p>
            <w:pPr>
              <w:spacing w:after="0"/>
              <w:rPr>
                <w:sz w:val="1"/>
                <w:szCs w:val="1"/>
                <w:color w:val="auto"/>
              </w:rPr>
            </w:pPr>
          </w:p>
        </w:tc>
      </w:tr>
      <w:tr>
        <w:trPr>
          <w:trHeight w:val="233"/>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liabilities and stockholders’ equity</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10,645,044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10,412,231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6931025</wp:posOffset>
            </wp:positionH>
            <wp:positionV relativeFrom="paragraph">
              <wp:posOffset>280670</wp:posOffset>
            </wp:positionV>
            <wp:extent cx="188595" cy="16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tabs>
          <w:tab w:leader="none" w:pos="392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325120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204" w:right="3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5"/>
                <w:szCs w:val="15"/>
                <w:b w:val="1"/>
                <w:bCs w:val="1"/>
                <w:color w:val="auto"/>
              </w:rPr>
              <w:t>April 3, 2022</w:t>
            </w:r>
          </w:p>
        </w:tc>
        <w:tc>
          <w:tcPr>
            <w:tcW w:w="220" w:type="dxa"/>
            <w:vAlign w:val="bottom"/>
          </w:tcPr>
          <w:p>
            <w:pPr>
              <w:spacing w:after="0"/>
              <w:rPr>
                <w:sz w:val="17"/>
                <w:szCs w:val="17"/>
                <w:color w:val="auto"/>
              </w:rPr>
            </w:pPr>
          </w:p>
        </w:tc>
        <w:tc>
          <w:tcPr>
            <w:tcW w:w="1280" w:type="dxa"/>
            <w:vAlign w:val="bottom"/>
          </w:tcPr>
          <w:p>
            <w:pPr>
              <w:jc w:val="right"/>
              <w:ind w:right="243"/>
              <w:spacing w:after="0"/>
              <w:rPr>
                <w:sz w:val="20"/>
                <w:szCs w:val="20"/>
                <w:color w:val="auto"/>
              </w:rPr>
            </w:pPr>
            <w:r>
              <w:rPr>
                <w:rFonts w:ascii="Arial" w:cs="Arial" w:eastAsia="Arial" w:hAnsi="Arial"/>
                <w:sz w:val="15"/>
                <w:szCs w:val="15"/>
                <w:b w:val="1"/>
                <w:bCs w:val="1"/>
                <w:color w:val="auto"/>
              </w:rPr>
              <w:t>April 4, 2021</w:t>
            </w:r>
          </w:p>
        </w:tc>
      </w:tr>
      <w:tr>
        <w:trPr>
          <w:trHeight w:val="188"/>
        </w:trPr>
        <w:tc>
          <w:tcPr>
            <w:tcW w:w="39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4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Arial" w:cs="Arial" w:eastAsia="Arial" w:hAnsi="Arial"/>
                <w:sz w:val="15"/>
                <w:szCs w:val="15"/>
                <w:color w:val="auto"/>
              </w:rPr>
              <w:t>Net income including noncontrolling interest</w:t>
            </w:r>
          </w:p>
        </w:tc>
        <w:tc>
          <w:tcPr>
            <w:tcW w:w="42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533,478</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396,871</w:t>
            </w: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5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Arial" w:cs="Arial" w:eastAsia="Arial" w:hAnsi="Arial"/>
                <w:sz w:val="15"/>
                <w:szCs w:val="15"/>
                <w:color w:val="auto"/>
              </w:rPr>
              <w:t>Depreciation and amortization</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91,036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77,897</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Stock-based compensation expense</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15,656</w:t>
            </w: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Arial" w:cs="Arial" w:eastAsia="Arial" w:hAnsi="Arial"/>
                <w:sz w:val="15"/>
                <w:szCs w:val="15"/>
                <w:color w:val="auto"/>
              </w:rPr>
              <w:t>Deferred income taxes</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5,064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(713)</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Write-down of equity investments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12,592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2,891</w:t>
            </w:r>
          </w:p>
        </w:tc>
      </w:tr>
      <w:tr>
        <w:trPr>
          <w:trHeight w:val="203"/>
        </w:trPr>
        <w:tc>
          <w:tcPr>
            <w:tcW w:w="20" w:type="dxa"/>
            <w:vAlign w:val="bottom"/>
          </w:tcPr>
          <w:p>
            <w:pPr>
              <w:spacing w:after="0"/>
              <w:rPr>
                <w:sz w:val="17"/>
                <w:szCs w:val="17"/>
                <w:color w:val="auto"/>
              </w:rPr>
            </w:pPr>
          </w:p>
        </w:tc>
        <w:tc>
          <w:tcPr>
            <w:tcW w:w="3920" w:type="dxa"/>
            <w:vAlign w:val="bottom"/>
            <w:gridSpan w:val="2"/>
          </w:tcPr>
          <w:p>
            <w:pPr>
              <w:ind w:left="740"/>
              <w:spacing w:after="0"/>
              <w:rPr>
                <w:sz w:val="20"/>
                <w:szCs w:val="20"/>
                <w:color w:val="auto"/>
              </w:rPr>
            </w:pPr>
            <w:r>
              <w:rPr>
                <w:rFonts w:ascii="Arial" w:cs="Arial" w:eastAsia="Arial" w:hAnsi="Arial"/>
                <w:sz w:val="15"/>
                <w:szCs w:val="15"/>
                <w:color w:val="auto"/>
              </w:rPr>
              <w:t>Other</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24,043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22,027</w:t>
            </w: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Changes in assets and liabilities, net of business acquisitions and divestitures: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Arial" w:cs="Arial" w:eastAsia="Arial" w:hAnsi="Arial"/>
                <w:sz w:val="15"/>
                <w:szCs w:val="15"/>
                <w:color w:val="auto"/>
              </w:rPr>
              <w:t>Accounts receivable—trade, net</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(189,621)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(22,099)</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Inventories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53,323</w:t>
            </w: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Arial" w:cs="Arial" w:eastAsia="Arial" w:hAnsi="Arial"/>
                <w:sz w:val="15"/>
                <w:szCs w:val="15"/>
                <w:color w:val="auto"/>
              </w:rPr>
              <w:t>Prepaid expenses and other current assets</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(11,251)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28,272</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Accounts payable and accrued liabilities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98,027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(56,900)</w:t>
            </w:r>
          </w:p>
        </w:tc>
      </w:tr>
      <w:tr>
        <w:trPr>
          <w:trHeight w:val="203"/>
        </w:trPr>
        <w:tc>
          <w:tcPr>
            <w:tcW w:w="20" w:type="dxa"/>
            <w:vAlign w:val="bottom"/>
          </w:tcPr>
          <w:p>
            <w:pPr>
              <w:spacing w:after="0"/>
              <w:rPr>
                <w:sz w:val="17"/>
                <w:szCs w:val="17"/>
                <w:color w:val="auto"/>
              </w:rPr>
            </w:pPr>
          </w:p>
        </w:tc>
        <w:tc>
          <w:tcPr>
            <w:tcW w:w="3920" w:type="dxa"/>
            <w:vAlign w:val="bottom"/>
            <w:gridSpan w:val="2"/>
          </w:tcPr>
          <w:p>
            <w:pPr>
              <w:ind w:left="920"/>
              <w:spacing w:after="0"/>
              <w:rPr>
                <w:sz w:val="20"/>
                <w:szCs w:val="20"/>
                <w:color w:val="auto"/>
              </w:rPr>
            </w:pPr>
            <w:r>
              <w:rPr>
                <w:rFonts w:ascii="Arial" w:cs="Arial" w:eastAsia="Arial" w:hAnsi="Arial"/>
                <w:sz w:val="15"/>
                <w:szCs w:val="15"/>
                <w:color w:val="auto"/>
              </w:rPr>
              <w:t>Accrued income taxes</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127,258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104,677</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93"/>
              </w:rPr>
              <w:t>Contributions to pension and other benefit plans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(5,013)</w:t>
            </w:r>
          </w:p>
        </w:tc>
      </w:tr>
      <w:tr>
        <w:trPr>
          <w:trHeight w:val="203"/>
        </w:trPr>
        <w:tc>
          <w:tcPr>
            <w:tcW w:w="20" w:type="dxa"/>
            <w:vAlign w:val="bottom"/>
            <w:tcBorders>
              <w:bottom w:val="single" w:sz="8" w:color="CCEEFF"/>
            </w:tcBorders>
          </w:tcPr>
          <w:p>
            <w:pPr>
              <w:spacing w:after="0"/>
              <w:rPr>
                <w:sz w:val="17"/>
                <w:szCs w:val="17"/>
                <w:color w:val="auto"/>
              </w:rPr>
            </w:pPr>
          </w:p>
        </w:tc>
        <w:tc>
          <w:tcPr>
            <w:tcW w:w="3920" w:type="dxa"/>
            <w:vAlign w:val="bottom"/>
            <w:tcBorders>
              <w:bottom w:val="single" w:sz="8" w:color="CCEEFF"/>
            </w:tcBorders>
            <w:gridSpan w:val="2"/>
          </w:tcPr>
          <w:p>
            <w:pPr>
              <w:ind w:left="920"/>
              <w:spacing w:after="0"/>
              <w:rPr>
                <w:sz w:val="20"/>
                <w:szCs w:val="20"/>
                <w:color w:val="auto"/>
              </w:rPr>
            </w:pPr>
            <w:r>
              <w:rPr>
                <w:rFonts w:ascii="Arial" w:cs="Arial" w:eastAsia="Arial" w:hAnsi="Arial"/>
                <w:sz w:val="15"/>
                <w:szCs w:val="15"/>
                <w:color w:val="auto"/>
              </w:rPr>
              <w:t>Other assets and liabilities</w:t>
            </w:r>
          </w:p>
        </w:tc>
        <w:tc>
          <w:tcPr>
            <w:tcW w:w="4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(7,249)</w:t>
            </w:r>
          </w:p>
        </w:tc>
      </w:tr>
      <w:tr>
        <w:trPr>
          <w:trHeight w:val="202"/>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656,467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609,640</w:t>
            </w:r>
          </w:p>
        </w:tc>
      </w:tr>
      <w:tr>
        <w:trPr>
          <w:trHeight w:val="184"/>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Arial" w:cs="Arial" w:eastAsia="Arial" w:hAnsi="Arial"/>
                <w:sz w:val="15"/>
                <w:szCs w:val="15"/>
                <w:b w:val="1"/>
                <w:bCs w:val="1"/>
                <w:color w:val="auto"/>
              </w:rPr>
              <w:t>Investing Activities</w:t>
            </w: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8"/>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Capital additions (including software)</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(114,471)</w:t>
            </w:r>
          </w:p>
        </w:tc>
      </w:tr>
      <w:tr>
        <w:trPr>
          <w:trHeight w:val="203"/>
        </w:trPr>
        <w:tc>
          <w:tcPr>
            <w:tcW w:w="20" w:type="dxa"/>
            <w:vAlign w:val="bottom"/>
          </w:tcPr>
          <w:p>
            <w:pPr>
              <w:spacing w:after="0"/>
              <w:rPr>
                <w:sz w:val="17"/>
                <w:szCs w:val="17"/>
                <w:color w:val="auto"/>
              </w:rPr>
            </w:pPr>
          </w:p>
        </w:tc>
        <w:tc>
          <w:tcPr>
            <w:tcW w:w="8120" w:type="dxa"/>
            <w:vAlign w:val="bottom"/>
            <w:gridSpan w:val="3"/>
          </w:tcPr>
          <w:p>
            <w:pPr>
              <w:ind w:left="500"/>
              <w:spacing w:after="0"/>
              <w:rPr>
                <w:sz w:val="20"/>
                <w:szCs w:val="20"/>
                <w:color w:val="auto"/>
              </w:rPr>
            </w:pPr>
            <w:r>
              <w:rPr>
                <w:rFonts w:ascii="Arial" w:cs="Arial" w:eastAsia="Arial" w:hAnsi="Arial"/>
                <w:sz w:val="15"/>
                <w:szCs w:val="15"/>
                <w:color w:val="auto"/>
              </w:rPr>
              <w:t>Equity investments in tax credit qualifying partnerships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(22,503)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(25,064)</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Other investing activities</w:t>
            </w:r>
          </w:p>
        </w:tc>
        <w:tc>
          <w:tcPr>
            <w:tcW w:w="4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2,530</w:t>
            </w:r>
          </w:p>
        </w:tc>
      </w:tr>
      <w:tr>
        <w:trPr>
          <w:trHeight w:val="196"/>
        </w:trPr>
        <w:tc>
          <w:tcPr>
            <w:tcW w:w="39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Net cash used in investing activities</w:t>
            </w:r>
          </w:p>
        </w:tc>
        <w:tc>
          <w:tcPr>
            <w:tcW w:w="4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(137,005)</w:t>
            </w:r>
          </w:p>
        </w:tc>
      </w:tr>
      <w:tr>
        <w:trPr>
          <w:trHeight w:val="189"/>
        </w:trPr>
        <w:tc>
          <w:tcPr>
            <w:tcW w:w="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rPr>
              <w:t>Financing Activities</w:t>
            </w:r>
          </w:p>
        </w:tc>
        <w:tc>
          <w:tcPr>
            <w:tcW w:w="4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Arial" w:cs="Arial" w:eastAsia="Arial" w:hAnsi="Arial"/>
                <w:sz w:val="15"/>
                <w:szCs w:val="15"/>
                <w:color w:val="auto"/>
              </w:rPr>
              <w:t>Net decrease in short-term debt</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(65,640)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(6,079)</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Repayment of long-term debt and finance leases</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(85,863)</w:t>
            </w: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Arial" w:cs="Arial" w:eastAsia="Arial" w:hAnsi="Arial"/>
                <w:sz w:val="15"/>
                <w:szCs w:val="15"/>
                <w:color w:val="auto"/>
              </w:rPr>
              <w:t>Cash dividends paid</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(181,084)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(162,739)</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Repurchase of common stock</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(240,359)</w:t>
            </w:r>
          </w:p>
        </w:tc>
      </w:tr>
      <w:tr>
        <w:trPr>
          <w:trHeight w:val="203"/>
        </w:trPr>
        <w:tc>
          <w:tcPr>
            <w:tcW w:w="20" w:type="dxa"/>
            <w:vAlign w:val="bottom"/>
          </w:tcPr>
          <w:p>
            <w:pPr>
              <w:spacing w:after="0"/>
              <w:rPr>
                <w:sz w:val="17"/>
                <w:szCs w:val="17"/>
                <w:color w:val="auto"/>
              </w:rPr>
            </w:pPr>
          </w:p>
        </w:tc>
        <w:tc>
          <w:tcPr>
            <w:tcW w:w="3920" w:type="dxa"/>
            <w:vAlign w:val="bottom"/>
            <w:gridSpan w:val="2"/>
          </w:tcPr>
          <w:p>
            <w:pPr>
              <w:ind w:left="500"/>
              <w:spacing w:after="0"/>
              <w:rPr>
                <w:sz w:val="20"/>
                <w:szCs w:val="20"/>
                <w:color w:val="auto"/>
              </w:rPr>
            </w:pPr>
            <w:r>
              <w:rPr>
                <w:rFonts w:ascii="Arial" w:cs="Arial" w:eastAsia="Arial" w:hAnsi="Arial"/>
                <w:sz w:val="15"/>
                <w:szCs w:val="15"/>
                <w:color w:val="auto"/>
              </w:rPr>
              <w:t>Proceeds from exercised stock options</w:t>
            </w:r>
          </w:p>
        </w:tc>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16,711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15,117</w:t>
            </w:r>
          </w:p>
        </w:tc>
      </w:tr>
      <w:tr>
        <w:trPr>
          <w:trHeight w:val="209"/>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98"/>
              </w:rPr>
              <w:t>Taxes withheld and paid on employee stock awards</w:t>
            </w:r>
          </w:p>
        </w:tc>
        <w:tc>
          <w:tcPr>
            <w:tcW w:w="4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(11,939)</w:t>
            </w:r>
          </w:p>
        </w:tc>
      </w:tr>
      <w:tr>
        <w:trPr>
          <w:trHeight w:val="196"/>
        </w:trPr>
        <w:tc>
          <w:tcPr>
            <w:tcW w:w="39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Net cash used in financing activities</w:t>
            </w:r>
          </w:p>
        </w:tc>
        <w:tc>
          <w:tcPr>
            <w:tcW w:w="4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(463,454)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(491,862)</w:t>
            </w:r>
          </w:p>
        </w:tc>
      </w:tr>
      <w:tr>
        <w:trPr>
          <w:trHeight w:val="202"/>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3"/>
              </w:rPr>
              <w:t>Effect of exchange rate changes on cash and cash equivalents</w:t>
            </w:r>
          </w:p>
        </w:tc>
        <w:tc>
          <w:tcPr>
            <w:tcW w:w="4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(3,952)</w:t>
            </w:r>
          </w:p>
        </w:tc>
      </w:tr>
      <w:tr>
        <w:trPr>
          <w:trHeight w:val="196"/>
        </w:trPr>
        <w:tc>
          <w:tcPr>
            <w:tcW w:w="8140" w:type="dxa"/>
            <w:vAlign w:val="bottom"/>
            <w:gridSpan w:val="4"/>
          </w:tcPr>
          <w:p>
            <w:pPr>
              <w:ind w:left="20"/>
              <w:spacing w:after="0"/>
              <w:rPr>
                <w:sz w:val="20"/>
                <w:szCs w:val="20"/>
                <w:color w:val="auto"/>
              </w:rPr>
            </w:pPr>
            <w:r>
              <w:rPr>
                <w:rFonts w:ascii="Arial" w:cs="Arial" w:eastAsia="Arial" w:hAnsi="Arial"/>
                <w:sz w:val="15"/>
                <w:szCs w:val="15"/>
                <w:color w:val="auto"/>
              </w:rPr>
              <w:t>Increase (decrease) in cash and cash equivalents, including cash classified as held for sale</w:t>
            </w:r>
          </w:p>
        </w:tc>
        <w:tc>
          <w:tcPr>
            <w:tcW w:w="20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8,789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(23,179)</w:t>
            </w:r>
          </w:p>
        </w:tc>
      </w:tr>
      <w:tr>
        <w:trPr>
          <w:trHeight w:val="209"/>
        </w:trPr>
        <w:tc>
          <w:tcPr>
            <w:tcW w:w="81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Less: Increase in cash and cash equivalents classified as held for sale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11,434</w:t>
            </w:r>
          </w:p>
        </w:tc>
      </w:tr>
      <w:tr>
        <w:trPr>
          <w:trHeight w:val="196"/>
        </w:trPr>
        <w:tc>
          <w:tcPr>
            <w:tcW w:w="3940" w:type="dxa"/>
            <w:vAlign w:val="bottom"/>
            <w:gridSpan w:val="3"/>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4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8,789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(11,745)</w:t>
            </w:r>
          </w:p>
        </w:tc>
      </w:tr>
      <w:tr>
        <w:trPr>
          <w:trHeight w:val="206"/>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4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329,266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1,143,987</w:t>
            </w:r>
          </w:p>
        </w:tc>
      </w:tr>
      <w:tr>
        <w:trPr>
          <w:trHeight w:val="202"/>
        </w:trPr>
        <w:tc>
          <w:tcPr>
            <w:tcW w:w="3940" w:type="dxa"/>
            <w:vAlign w:val="bottom"/>
            <w:gridSpan w:val="3"/>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42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338,055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1,132,242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rPr>
              <w:t>Supplemental Disclosure</w:t>
            </w:r>
          </w:p>
        </w:tc>
        <w:tc>
          <w:tcPr>
            <w:tcW w:w="4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03"/>
        </w:trPr>
        <w:tc>
          <w:tcPr>
            <w:tcW w:w="3940" w:type="dxa"/>
            <w:vAlign w:val="bottom"/>
            <w:gridSpan w:val="3"/>
          </w:tcPr>
          <w:p>
            <w:pPr>
              <w:ind w:left="20"/>
              <w:spacing w:after="0"/>
              <w:rPr>
                <w:sz w:val="20"/>
                <w:szCs w:val="20"/>
                <w:color w:val="auto"/>
              </w:rPr>
            </w:pPr>
            <w:r>
              <w:rPr>
                <w:rFonts w:ascii="Arial" w:cs="Arial" w:eastAsia="Arial" w:hAnsi="Arial"/>
                <w:sz w:val="15"/>
                <w:szCs w:val="15"/>
                <w:color w:val="auto"/>
              </w:rPr>
              <w:t>Interest paid</w:t>
            </w:r>
          </w:p>
        </w:tc>
        <w:tc>
          <w:tcPr>
            <w:tcW w:w="42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24,782</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27,685</w:t>
            </w:r>
          </w:p>
        </w:tc>
      </w:tr>
      <w:tr>
        <w:trPr>
          <w:trHeight w:val="209"/>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Income taxes paid</w:t>
            </w:r>
          </w:p>
        </w:tc>
        <w:tc>
          <w:tcPr>
            <w:tcW w:w="4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14,350</w:t>
            </w:r>
          </w:p>
        </w:tc>
      </w:tr>
      <w:tr>
        <w:trPr>
          <w:trHeight w:val="52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20" w:type="dxa"/>
            <w:vAlign w:val="bottom"/>
            <w:gridSpan w:val="2"/>
          </w:tcPr>
          <w:p>
            <w:pPr>
              <w:jc w:val="center"/>
              <w:ind w:left="1914"/>
              <w:spacing w:after="0"/>
              <w:rPr>
                <w:sz w:val="20"/>
                <w:szCs w:val="20"/>
                <w:color w:val="auto"/>
              </w:rPr>
            </w:pPr>
            <w:r>
              <w:rPr>
                <w:rFonts w:ascii="Arial" w:cs="Arial" w:eastAsia="Arial" w:hAnsi="Arial"/>
                <w:sz w:val="17"/>
                <w:szCs w:val="17"/>
                <w:b w:val="1"/>
                <w:bCs w:val="1"/>
                <w:color w:val="auto"/>
                <w:w w:val="89"/>
              </w:rPr>
              <w:t>See Notes to Unaudited Consolidated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46"/>
        </w:trPr>
        <w:tc>
          <w:tcPr>
            <w:tcW w:w="3940" w:type="dxa"/>
            <w:vAlign w:val="bottom"/>
            <w:gridSpan w:val="3"/>
          </w:tcPr>
          <w:p>
            <w:pPr>
              <w:ind w:left="20"/>
              <w:spacing w:after="0"/>
              <w:rPr>
                <w:rFonts w:ascii="Arial" w:cs="Arial" w:eastAsia="Arial" w:hAnsi="Arial"/>
                <w:sz w:val="15"/>
                <w:szCs w:val="15"/>
                <w:color w:val="0000FF"/>
              </w:rPr>
            </w:pPr>
            <w:hyperlink w:anchor="page1">
              <w:r>
                <w:rPr>
                  <w:rFonts w:ascii="Arial" w:cs="Arial" w:eastAsia="Arial" w:hAnsi="Arial"/>
                  <w:sz w:val="15"/>
                  <w:szCs w:val="15"/>
                  <w:color w:val="0000FF"/>
                </w:rPr>
                <w:t>Table of Contents</w:t>
              </w:r>
            </w:hyperlink>
          </w:p>
        </w:tc>
        <w:tc>
          <w:tcPr>
            <w:tcW w:w="4200" w:type="dxa"/>
            <w:vAlign w:val="bottom"/>
          </w:tcPr>
          <w:p>
            <w:pPr>
              <w:jc w:val="center"/>
              <w:ind w:right="743"/>
              <w:spacing w:after="0"/>
              <w:rPr>
                <w:sz w:val="20"/>
                <w:szCs w:val="20"/>
                <w:color w:val="auto"/>
              </w:rPr>
            </w:pPr>
            <w:r>
              <w:rPr>
                <w:rFonts w:ascii="Arial" w:cs="Arial" w:eastAsia="Arial" w:hAnsi="Arial"/>
                <w:sz w:val="15"/>
                <w:szCs w:val="15"/>
                <w:color w:val="auto"/>
                <w:w w:val="92"/>
              </w:rPr>
              <w:t>The Hershey Company | Q1 2022 Form 10-Q | Page 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-506730</wp:posOffset>
            </wp:positionV>
            <wp:extent cx="188595"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THE HERSHEY COMPANY</w:t>
      </w:r>
    </w:p>
    <w:p>
      <w:pPr>
        <w:jc w:val="center"/>
        <w:ind w:right="-119"/>
        <w:spacing w:after="0" w:line="205" w:lineRule="auto"/>
        <w:rPr>
          <w:sz w:val="20"/>
          <w:szCs w:val="20"/>
          <w:color w:val="auto"/>
        </w:rPr>
      </w:pPr>
      <w:r>
        <w:rPr>
          <w:rFonts w:ascii="Arial" w:cs="Arial" w:eastAsia="Arial" w:hAnsi="Arial"/>
          <w:sz w:val="17"/>
          <w:szCs w:val="17"/>
          <w:b w:val="1"/>
          <w:bCs w:val="1"/>
          <w:color w:val="auto"/>
        </w:rPr>
        <w:t>CONSOLIDATED STATEMENTS OF STOCKHOLDERS’ EQUITY</w:t>
      </w:r>
    </w:p>
    <w:p>
      <w:pPr>
        <w:ind w:left="5160"/>
        <w:spacing w:after="0" w:line="206" w:lineRule="auto"/>
        <w:rPr>
          <w:sz w:val="20"/>
          <w:szCs w:val="20"/>
          <w:color w:val="auto"/>
        </w:rPr>
      </w:pPr>
      <w:r>
        <w:rPr>
          <w:rFonts w:ascii="Arial" w:cs="Arial" w:eastAsia="Arial" w:hAnsi="Arial"/>
          <w:sz w:val="17"/>
          <w:szCs w:val="17"/>
          <w:b w:val="1"/>
          <w:bCs w:val="1"/>
          <w:color w:val="auto"/>
        </w:rPr>
        <w:t>(in thousands)</w:t>
      </w:r>
    </w:p>
    <w:p>
      <w:pPr>
        <w:ind w:left="5200"/>
        <w:spacing w:after="0"/>
        <w:rPr>
          <w:sz w:val="20"/>
          <w:szCs w:val="20"/>
          <w:color w:val="auto"/>
        </w:rPr>
      </w:pPr>
      <w:r>
        <w:rPr>
          <w:rFonts w:ascii="Arial" w:cs="Arial" w:eastAsia="Arial" w:hAnsi="Arial"/>
          <w:sz w:val="17"/>
          <w:szCs w:val="17"/>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Class B</w:t>
            </w:r>
          </w:p>
        </w:tc>
        <w:tc>
          <w:tcPr>
            <w:tcW w:w="8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4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Common</w:t>
            </w:r>
          </w:p>
        </w:tc>
        <w:tc>
          <w:tcPr>
            <w:tcW w:w="10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9"/>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(Loss) Income</w:t>
            </w:r>
          </w:p>
        </w:tc>
        <w:tc>
          <w:tcPr>
            <w:tcW w:w="180" w:type="dxa"/>
            <w:vAlign w:val="bottom"/>
          </w:tcPr>
          <w:p>
            <w:pPr>
              <w:spacing w:after="0"/>
              <w:rPr>
                <w:sz w:val="15"/>
                <w:szCs w:val="15"/>
                <w:color w:val="auto"/>
              </w:rPr>
            </w:pPr>
          </w:p>
        </w:tc>
        <w:tc>
          <w:tcPr>
            <w:tcW w:w="7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4"/>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160,939</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60,614</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1,260,331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2,719,936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(1,195,376)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(249,215)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2,757,229</w:t>
            </w:r>
          </w:p>
        </w:tc>
        <w:tc>
          <w:tcPr>
            <w:tcW w:w="0" w:type="dxa"/>
            <w:vAlign w:val="bottom"/>
          </w:tcPr>
          <w:p>
            <w:pPr>
              <w:spacing w:after="0"/>
              <w:rPr>
                <w:sz w:val="1"/>
                <w:szCs w:val="1"/>
                <w:color w:val="auto"/>
              </w:rPr>
            </w:pPr>
          </w:p>
        </w:tc>
      </w:tr>
      <w:tr>
        <w:trPr>
          <w:trHeight w:val="177"/>
        </w:trPr>
        <w:tc>
          <w:tcPr>
            <w:tcW w:w="3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533,478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533,478</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7,206</w:t>
            </w:r>
          </w:p>
        </w:tc>
        <w:tc>
          <w:tcPr>
            <w:tcW w:w="0" w:type="dxa"/>
            <w:vAlign w:val="bottom"/>
          </w:tcPr>
          <w:p>
            <w:pPr>
              <w:spacing w:after="0"/>
              <w:rPr>
                <w:sz w:val="1"/>
                <w:szCs w:val="1"/>
                <w:color w:val="auto"/>
              </w:rPr>
            </w:pPr>
          </w:p>
        </w:tc>
      </w:tr>
      <w:tr>
        <w:trPr>
          <w:trHeight w:val="177"/>
        </w:trPr>
        <w:tc>
          <w:tcPr>
            <w:tcW w:w="3660" w:type="dxa"/>
            <w:vAlign w:val="bottom"/>
          </w:tcPr>
          <w:p>
            <w:pPr>
              <w:ind w:left="20"/>
              <w:spacing w:after="0"/>
              <w:rPr>
                <w:sz w:val="20"/>
                <w:szCs w:val="20"/>
                <w:color w:val="auto"/>
              </w:rPr>
            </w:pPr>
            <w:r>
              <w:rPr>
                <w:rFonts w:ascii="Arial" w:cs="Arial" w:eastAsia="Arial" w:hAnsi="Arial"/>
                <w:sz w:val="14"/>
                <w:szCs w:val="14"/>
                <w:color w:val="auto"/>
              </w:rPr>
              <w:t>Dividends (including dividend equivalents):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$0.901 per share</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(133,174)</w:t>
            </w:r>
          </w:p>
        </w:tc>
        <w:tc>
          <w:tcPr>
            <w:tcW w:w="0" w:type="dxa"/>
            <w:vAlign w:val="bottom"/>
          </w:tcPr>
          <w:p>
            <w:pPr>
              <w:spacing w:after="0"/>
              <w:rPr>
                <w:sz w:val="1"/>
                <w:szCs w:val="1"/>
                <w:color w:val="auto"/>
              </w:rPr>
            </w:pPr>
          </w:p>
        </w:tc>
      </w:tr>
      <w:tr>
        <w:trPr>
          <w:trHeight w:val="177"/>
        </w:trPr>
        <w:tc>
          <w:tcPr>
            <w:tcW w:w="3660" w:type="dxa"/>
            <w:vAlign w:val="bottom"/>
          </w:tcPr>
          <w:p>
            <w:pPr>
              <w:ind w:left="220"/>
              <w:spacing w:after="0"/>
              <w:rPr>
                <w:sz w:val="20"/>
                <w:szCs w:val="20"/>
                <w:color w:val="auto"/>
              </w:rPr>
            </w:pPr>
            <w:r>
              <w:rPr>
                <w:rFonts w:ascii="Arial" w:cs="Arial" w:eastAsia="Arial" w:hAnsi="Arial"/>
                <w:sz w:val="14"/>
                <w:szCs w:val="14"/>
                <w:color w:val="auto"/>
              </w:rPr>
              <w:t>Class B Common Stock, $0.819 per share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(48,824)</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Conversion of Class B Common Stock into Common Stock</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0"/>
              </w:rPr>
              <w:t>(1,000)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15,314</w:t>
            </w: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Exercise of stock options and incentive-based transactions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(12,330)</w:t>
            </w:r>
          </w:p>
        </w:tc>
        <w:tc>
          <w:tcPr>
            <w:tcW w:w="0" w:type="dxa"/>
            <w:vAlign w:val="bottom"/>
          </w:tcPr>
          <w:p>
            <w:pPr>
              <w:spacing w:after="0"/>
              <w:rPr>
                <w:sz w:val="1"/>
                <w:szCs w:val="1"/>
                <w:color w:val="auto"/>
              </w:rPr>
            </w:pPr>
          </w:p>
        </w:tc>
      </w:tr>
      <w:tr>
        <w:trPr>
          <w:trHeight w:val="17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Repurchase of common stock</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(203,350)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(203,350)</w:t>
            </w: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April 3,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161,939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7"/>
              </w:rPr>
              <w:t>59,614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1,243,240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3,071,416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(1,378,651)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(242,009)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2,915,549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right="1160"/>
        <w:spacing w:after="0" w:line="272" w:lineRule="auto"/>
        <w:rPr>
          <w:sz w:val="20"/>
          <w:szCs w:val="20"/>
          <w:color w:val="auto"/>
        </w:rPr>
      </w:pPr>
      <w:r>
        <w:rPr>
          <w:rFonts w:ascii="Arial" w:cs="Arial" w:eastAsia="Arial" w:hAnsi="Arial"/>
          <w:sz w:val="14"/>
          <w:szCs w:val="14"/>
          <w:b w:val="1"/>
          <w:bCs w:val="1"/>
          <w:color w:val="auto"/>
        </w:rPr>
        <w:t xml:space="preserve">Balance, December 31, 2020 </w:t>
      </w:r>
      <w:r>
        <w:rPr>
          <w:rFonts w:ascii="Arial" w:cs="Arial" w:eastAsia="Arial" w:hAnsi="Arial"/>
          <w:sz w:val="14"/>
          <w:szCs w:val="14"/>
          <w:color w:val="auto"/>
        </w:rPr>
        <w:t>Net income</w:t>
      </w:r>
    </w:p>
    <w:p>
      <w:pPr>
        <w:ind w:left="20"/>
        <w:spacing w:after="0"/>
        <w:rPr>
          <w:sz w:val="20"/>
          <w:szCs w:val="20"/>
          <w:color w:val="auto"/>
        </w:rPr>
      </w:pPr>
      <w:r>
        <w:rPr>
          <w:rFonts w:ascii="Arial" w:cs="Arial" w:eastAsia="Arial" w:hAnsi="Arial"/>
          <w:sz w:val="14"/>
          <w:szCs w:val="14"/>
          <w:color w:val="auto"/>
        </w:rPr>
        <w:t>Other comprehensive income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(including dividend equivalents):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Common Stock, $0.804 per share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Class B Common Stock, $0.731 per share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19" w:lineRule="exact"/>
        <w:rPr>
          <w:sz w:val="20"/>
          <w:szCs w:val="20"/>
          <w:color w:val="auto"/>
        </w:rPr>
      </w:pPr>
    </w:p>
    <w:p>
      <w:pPr>
        <w:ind w:left="20"/>
        <w:spacing w:after="0" w:line="226" w:lineRule="auto"/>
        <w:rPr>
          <w:sz w:val="20"/>
          <w:szCs w:val="20"/>
          <w:color w:val="auto"/>
        </w:rPr>
      </w:pPr>
      <w:r>
        <w:rPr>
          <w:rFonts w:ascii="Arial" w:cs="Arial" w:eastAsia="Arial" w:hAnsi="Arial"/>
          <w:sz w:val="14"/>
          <w:szCs w:val="14"/>
          <w:color w:val="auto"/>
        </w:rPr>
        <w:t>Exercise of stock options and incentive-based transactions</w:t>
      </w:r>
    </w:p>
    <w:p>
      <w:pPr>
        <w:spacing w:after="0" w:line="6" w:lineRule="exact"/>
        <w:rPr>
          <w:sz w:val="20"/>
          <w:szCs w:val="20"/>
          <w:color w:val="auto"/>
        </w:rPr>
      </w:pPr>
    </w:p>
    <w:p>
      <w:pPr>
        <w:ind w:left="20" w:right="760"/>
        <w:spacing w:after="0" w:line="375" w:lineRule="auto"/>
        <w:rPr>
          <w:sz w:val="20"/>
          <w:szCs w:val="20"/>
          <w:color w:val="auto"/>
        </w:rPr>
      </w:pPr>
      <w:r>
        <w:rPr>
          <w:rFonts w:ascii="Arial" w:cs="Arial" w:eastAsia="Arial" w:hAnsi="Arial"/>
          <w:sz w:val="11"/>
          <w:szCs w:val="11"/>
          <w:color w:val="auto"/>
        </w:rPr>
        <w:t>Repurchase of common stock Divestiture of noncontrolling interest</w:t>
      </w:r>
    </w:p>
    <w:p>
      <w:pPr>
        <w:ind w:left="20"/>
        <w:spacing w:after="0"/>
        <w:rPr>
          <w:sz w:val="20"/>
          <w:szCs w:val="20"/>
          <w:color w:val="auto"/>
        </w:rPr>
      </w:pPr>
      <w:r>
        <w:rPr>
          <w:rFonts w:ascii="Arial" w:cs="Arial" w:eastAsia="Arial" w:hAnsi="Arial"/>
          <w:sz w:val="14"/>
          <w:szCs w:val="14"/>
          <w:b w:val="1"/>
          <w:bCs w:val="1"/>
          <w:color w:val="auto"/>
        </w:rPr>
        <w:t>Balance, April 4, 2021</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Class B</w:t>
            </w:r>
          </w:p>
        </w:tc>
        <w:tc>
          <w:tcPr>
            <w:tcW w:w="8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Noncontrolling</w:t>
            </w:r>
          </w:p>
        </w:tc>
        <w:tc>
          <w:tcPr>
            <w:tcW w:w="180" w:type="dxa"/>
            <w:vAlign w:val="bottom"/>
          </w:tcPr>
          <w:p>
            <w:pPr>
              <w:spacing w:after="0"/>
              <w:rPr>
                <w:sz w:val="14"/>
                <w:szCs w:val="14"/>
                <w:color w:val="auto"/>
              </w:rPr>
            </w:pPr>
          </w:p>
        </w:tc>
        <w:tc>
          <w:tcPr>
            <w:tcW w:w="740" w:type="dxa"/>
            <w:vAlign w:val="bottom"/>
            <w:vMerge w:val="restart"/>
          </w:tcPr>
          <w:p>
            <w:pPr>
              <w:jc w:val="center"/>
              <w:ind w:right="13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Interests in</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5"/>
                <w:szCs w:val="15"/>
                <w:color w:val="auto"/>
              </w:rPr>
            </w:pPr>
          </w:p>
        </w:tc>
        <w:tc>
          <w:tcPr>
            <w:tcW w:w="7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160,939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1,191,200</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1,928,673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(768,992)</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(338,082)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center"/>
              <w:ind w:left="351"/>
              <w:spacing w:after="0"/>
              <w:rPr>
                <w:sz w:val="20"/>
                <w:szCs w:val="20"/>
                <w:color w:val="auto"/>
              </w:rPr>
            </w:pPr>
            <w:r>
              <w:rPr>
                <w:rFonts w:ascii="Arial" w:cs="Arial" w:eastAsia="Arial" w:hAnsi="Arial"/>
                <w:sz w:val="14"/>
                <w:szCs w:val="14"/>
                <w:color w:val="auto"/>
                <w:w w:val="85"/>
              </w:rPr>
              <w:t>3,531</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2,237,883</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395,799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left="351"/>
              <w:spacing w:after="0"/>
              <w:rPr>
                <w:sz w:val="20"/>
                <w:szCs w:val="20"/>
                <w:color w:val="auto"/>
              </w:rPr>
            </w:pPr>
            <w:r>
              <w:rPr>
                <w:rFonts w:ascii="Arial" w:cs="Arial" w:eastAsia="Arial" w:hAnsi="Arial"/>
                <w:sz w:val="14"/>
                <w:szCs w:val="14"/>
                <w:color w:val="auto"/>
                <w:w w:val="85"/>
              </w:rPr>
              <w:t>1,072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396,871</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left="351"/>
              <w:spacing w:after="0"/>
              <w:rPr>
                <w:sz w:val="20"/>
                <w:szCs w:val="20"/>
                <w:color w:val="auto"/>
              </w:rPr>
            </w:pPr>
            <w:r>
              <w:rPr>
                <w:rFonts w:ascii="Arial" w:cs="Arial" w:eastAsia="Arial" w:hAnsi="Arial"/>
                <w:sz w:val="14"/>
                <w:szCs w:val="14"/>
                <w:color w:val="auto"/>
                <w:w w:val="85"/>
              </w:rPr>
              <w:t>5,262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14,338</w:t>
            </w:r>
          </w:p>
        </w:tc>
        <w:tc>
          <w:tcPr>
            <w:tcW w:w="0" w:type="dxa"/>
            <w:vAlign w:val="bottom"/>
          </w:tcPr>
          <w:p>
            <w:pPr>
              <w:spacing w:after="0"/>
              <w:rPr>
                <w:sz w:val="1"/>
                <w:szCs w:val="1"/>
                <w:color w:val="auto"/>
              </w:rPr>
            </w:pPr>
          </w:p>
        </w:tc>
      </w:tr>
      <w:tr>
        <w:trPr>
          <w:trHeight w:val="361"/>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(117,699)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(117,699)</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(44,309)</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15,955</w:t>
            </w:r>
          </w:p>
        </w:tc>
        <w:tc>
          <w:tcPr>
            <w:tcW w:w="0" w:type="dxa"/>
            <w:vAlign w:val="bottom"/>
          </w:tcPr>
          <w:p>
            <w:pPr>
              <w:spacing w:after="0"/>
              <w:rPr>
                <w:sz w:val="1"/>
                <w:szCs w:val="1"/>
                <w:color w:val="auto"/>
              </w:rPr>
            </w:pPr>
          </w:p>
        </w:tc>
      </w:tr>
      <w:tr>
        <w:trPr>
          <w:trHeight w:val="309"/>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(11,407)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14,586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(240,359)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(240,359)</w:t>
            </w:r>
          </w:p>
        </w:tc>
        <w:tc>
          <w:tcPr>
            <w:tcW w:w="0" w:type="dxa"/>
            <w:vAlign w:val="bottom"/>
          </w:tcPr>
          <w:p>
            <w:pPr>
              <w:spacing w:after="0"/>
              <w:rPr>
                <w:sz w:val="1"/>
                <w:szCs w:val="1"/>
                <w:color w:val="auto"/>
              </w:rPr>
            </w:pPr>
          </w:p>
        </w:tc>
      </w:tr>
      <w:tr>
        <w:trPr>
          <w:trHeight w:val="186"/>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331"/>
              <w:spacing w:after="0"/>
              <w:rPr>
                <w:sz w:val="20"/>
                <w:szCs w:val="20"/>
                <w:color w:val="auto"/>
              </w:rPr>
            </w:pPr>
            <w:r>
              <w:rPr>
                <w:rFonts w:ascii="Arial" w:cs="Arial" w:eastAsia="Arial" w:hAnsi="Arial"/>
                <w:sz w:val="14"/>
                <w:szCs w:val="14"/>
                <w:color w:val="auto"/>
                <w:w w:val="90"/>
              </w:rPr>
              <w:t>(1,013)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7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160,939</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60,614</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1,195,748</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2,162,464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(994,765)</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(329,006)</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center"/>
              <w:ind w:left="351"/>
              <w:spacing w:after="0"/>
              <w:rPr>
                <w:sz w:val="20"/>
                <w:szCs w:val="20"/>
                <w:color w:val="auto"/>
              </w:rPr>
            </w:pPr>
            <w:r>
              <w:rPr>
                <w:rFonts w:ascii="Arial" w:cs="Arial" w:eastAsia="Arial" w:hAnsi="Arial"/>
                <w:sz w:val="14"/>
                <w:szCs w:val="14"/>
                <w:color w:val="auto"/>
                <w:w w:val="85"/>
              </w:rPr>
              <w:t>8,852</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2,264,846</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-1391285</wp:posOffset>
            </wp:positionV>
            <wp:extent cx="7138670" cy="122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-1153795</wp:posOffset>
            </wp:positionV>
            <wp:extent cx="713867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-924560</wp:posOffset>
            </wp:positionV>
            <wp:extent cx="713867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-695325</wp:posOffset>
            </wp:positionV>
            <wp:extent cx="713867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-384175</wp:posOffset>
            </wp:positionV>
            <wp:extent cx="713867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-1851660</wp:posOffset>
            </wp:positionH>
            <wp:positionV relativeFrom="paragraph">
              <wp:posOffset>-154940</wp:posOffset>
            </wp:positionV>
            <wp:extent cx="7138670" cy="139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100"/>
            <w:col w:w="8320"/>
          </w:cols>
          <w:pgMar w:left="320" w:top="1183" w:right="339" w:bottom="1440" w:gutter="0" w:footer="0" w:header="0"/>
          <w:type w:val="continuous"/>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6010910</wp:posOffset>
            </wp:positionH>
            <wp:positionV relativeFrom="paragraph">
              <wp:posOffset>287020</wp:posOffset>
            </wp:positionV>
            <wp:extent cx="188595" cy="163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480"/>
        <w:spacing w:after="0"/>
        <w:tabs>
          <w:tab w:leader="none" w:pos="392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48"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Operating results for the quarter ended April 3, 2022 may not be indicative of the results that may be expected for the year ending December 31, 2022 because of seasonal effects on our business. These financial statements should be read in conjunction with our Annual Report on Form 10-K for the year ended December 31, 2021 (our “2021 Annual Report on Form 10-K”), which provides a more complete understanding of our accounting policies, financial position, operating results and other matters.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However, beginning in 2021 and continuing into 2022, ongoing strong demand for consumer goods and the effects of COVID-19 mitigation strategies have led to broad-based supply chain disruptions across the U.S. and globally, including inflation on many consumer products, labor shortages and demand outpacing supply. We continue to work closely with our business units, contract manufacturers, distributors, contractors and other external business partners to minimize the potential impact on our business.</w:t>
      </w:r>
    </w:p>
    <w:p>
      <w:pPr>
        <w:spacing w:after="0" w:line="5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ultimate impact that COVID-19 will have on our consolidated financial statements remains uncertain and ultimately will be dictated by the length and severity of the pandemic, including broad-based supply chain disruptions, rising levels of inflation, the spread of COVID-19 variants or resurgences, as well as the economic recovery and actions taken in response by local, state and national governments around the world, including the distribution of vaccinations. We will continue to evaluate the nature and extent of these potential and evolving impacts to our business and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In March 2020, the the Financial Accounting Standards Board (“FASB”) issued Accounting Standards Update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 Facilitation of the Effects of Reference Rate Reform on Financial Reporting</w:t>
      </w:r>
      <w:r>
        <w:rPr>
          <w:rFonts w:ascii="Arial" w:cs="Arial" w:eastAsia="Arial" w:hAnsi="Arial"/>
          <w:sz w:val="17"/>
          <w:szCs w:val="17"/>
          <w:color w:val="auto"/>
        </w:rPr>
        <w:t>. The ASU is intended to provide temporary optional expedients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to the GAAP guidance on contract modifications and hedge accounting to ease the financial reporting burdens related to the expected market transition from the London Interbank Offered Rate (LIBOR) and other interbank offered rates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251460</wp:posOffset>
            </wp:positionV>
            <wp:extent cx="188595"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94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alternative reference rates. Entities may apply this ASU upon issuance through December 31, 2022 on a prospective basis. We early adopted the provisions of this ASU in the first quarter of 2022. Adoption of the new standard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This ASU requires an acquirer to recognize and measure contract assets and contract liabilities acquired in a business combination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rather than adjust them to fair value at the acquisition date. ASU 2021-08 is effective for annual periods beginning after December 15, 2022 and interim periods within those annual periods. This ASU should be applied prospectively to business combinations occurring on or after the date of adoption. Evaluation of this new standard is dependent on multiple circumstances including the timing and complexity of completed business combinations. As a result, we intend to adopt the provisions of this ASU in the first quarter of 2023.</w:t>
      </w:r>
    </w:p>
    <w:p>
      <w:pPr>
        <w:spacing w:after="0" w:line="118"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No other new accounting pronouncement issued or effective during the fiscal year had or is expected to have a material impact on our consolidated financial statements or disclosures.</w:t>
      </w:r>
    </w:p>
    <w:p>
      <w:pPr>
        <w:spacing w:after="0" w:line="197" w:lineRule="exact"/>
        <w:rPr>
          <w:sz w:val="20"/>
          <w:szCs w:val="20"/>
          <w:color w:val="auto"/>
        </w:rPr>
      </w:pPr>
    </w:p>
    <w:p>
      <w:pPr>
        <w:ind w:right="7280" w:firstLine="3"/>
        <w:spacing w:after="0" w:line="446" w:lineRule="auto"/>
        <w:tabs>
          <w:tab w:leader="none" w:pos="172"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ACQUISITIONS AND DIVESTITURE 2021 Activity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Pretzels Inc.</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December 14,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The initial cash consideration paid for Pretzels totaled $304,477 and consisted of cash on hand and short-term borrowings. Acquisition-related costs for the Pretzels acquisition were immaterial.</w:t>
      </w:r>
    </w:p>
    <w:p>
      <w:pPr>
        <w:spacing w:after="0" w:line="118" w:lineRule="exact"/>
        <w:rPr>
          <w:sz w:val="20"/>
          <w:szCs w:val="20"/>
          <w:color w:val="auto"/>
        </w:rPr>
      </w:pPr>
    </w:p>
    <w:p>
      <w:pPr>
        <w:ind w:right="220"/>
        <w:spacing w:after="0" w:line="349" w:lineRule="auto"/>
        <w:rPr>
          <w:sz w:val="20"/>
          <w:szCs w:val="20"/>
          <w:color w:val="auto"/>
        </w:rPr>
      </w:pPr>
      <w:r>
        <w:rPr>
          <w:rFonts w:ascii="Arial" w:cs="Arial" w:eastAsia="Arial" w:hAnsi="Arial"/>
          <w:sz w:val="15"/>
          <w:szCs w:val="15"/>
          <w:color w:val="auto"/>
        </w:rPr>
        <w:t>The acquisition has been accounted for as a business combination and, accordingly, Pretzels has been included within the North America Salty Snacks segment from the date of acquisition. The purchase consideration was allocated to assets acquired and liabilities assumed based on their respective fair values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5"/>
                <w:szCs w:val="15"/>
                <w:b w:val="1"/>
                <w:bCs w:val="1"/>
                <w:color w:val="auto"/>
              </w:rPr>
              <w:t>Initial Allocation (1)</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Adjustments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35"/>
              <w:spacing w:after="0"/>
              <w:rPr>
                <w:sz w:val="20"/>
                <w:szCs w:val="20"/>
                <w:color w:val="auto"/>
              </w:rPr>
            </w:pPr>
            <w:r>
              <w:rPr>
                <w:rFonts w:ascii="Arial" w:cs="Arial" w:eastAsia="Arial" w:hAnsi="Arial"/>
                <w:sz w:val="15"/>
                <w:szCs w:val="15"/>
                <w:b w:val="1"/>
                <w:bCs w:val="1"/>
                <w:color w:val="auto"/>
                <w:w w:val="99"/>
              </w:rPr>
              <w:t>Updated Allocation</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165,301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19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166,334</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Other intangible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32,100</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9"/>
              </w:rPr>
              <w:t>(6,000)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26,100</w:t>
            </w: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 acquired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30,835</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96,099</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100,716</w:t>
            </w: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 primarily operating lease ROU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111,787</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773</w:t>
            </w: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 assumed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(22,713)</w:t>
            </w:r>
          </w:p>
        </w:tc>
      </w:tr>
      <w:tr>
        <w:trPr>
          <w:trHeight w:val="21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primarily operating lease liabilities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(109,355)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(109,355)</w:t>
            </w:r>
          </w:p>
        </w:tc>
      </w:tr>
      <w:tr>
        <w:trPr>
          <w:trHeight w:val="233"/>
        </w:trPr>
        <w:tc>
          <w:tcPr>
            <w:tcW w:w="5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assets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304,477</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97"/>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304,477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 As reported in the Company’s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775970</wp:posOffset>
            </wp:positionV>
            <wp:extent cx="188595"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394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purchase price allocation presented above is preliminary. The measurement period adjustments to the initial allocation are based on more detailed information obtained about the specific assets acquired. We are in the process of evaluating additional information necessary to finalize the valuation of assets acquired and liabilities assumed as of the acquisition date including, but not limited to, post-closing adjustments to the working capital acquired including certain holdbacks. The final fair value determination could result in material adjustments to the values presented in the preliminary purchase price allocation, including other intangible assets, goodwill and the related tax impact of such adjustments. We expect to finalize the purchase price allocation by mid-2022.</w:t>
      </w:r>
    </w:p>
    <w:p>
      <w:pPr>
        <w:spacing w:after="0" w:line="10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A portion of goodwill derived from this acquisition is expected to be deductible for tax purposes and reflects the value of leveraging our brand building expertise, supply chain capabilities and retail relationships to accelerate growth and access to the portfolio of Pretzels’ products.</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Other intangible assets include trademarks valued at $5,700 and customer relationships valued at $20,400. Trademarks were assigned an estimated useful life of five years and customer relationships were assigned an estimated useful life of 19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Dot's Pretzels, LLC</w:t>
      </w:r>
    </w:p>
    <w:p>
      <w:pPr>
        <w:spacing w:after="0" w:line="16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 xml:space="preserve">On December 13, 2021, we completed the acquisition of Dot’s Pretzels, LLC (“Dot’s”), previously a privately held company that produces and sells pretzels and other snack food products to retailers and distributors in the United States, with </w:t>
      </w:r>
      <w:r>
        <w:rPr>
          <w:rFonts w:ascii="Arial" w:cs="Arial" w:eastAsia="Arial" w:hAnsi="Arial"/>
          <w:sz w:val="16"/>
          <w:szCs w:val="16"/>
          <w:i w:val="1"/>
          <w:iCs w:val="1"/>
          <w:color w:val="auto"/>
        </w:rPr>
        <w:t>Dot’s Homestyle Pretzels</w:t>
      </w:r>
      <w:r>
        <w:rPr>
          <w:rFonts w:ascii="Arial" w:cs="Arial" w:eastAsia="Arial" w:hAnsi="Arial"/>
          <w:sz w:val="16"/>
          <w:szCs w:val="16"/>
          <w:color w:val="auto"/>
        </w:rPr>
        <w:t xml:space="preserve"> snacks as its primary product. Dot’s is the fastest-growing scale brand in the pretzel category and complements Hershey’s snacks portfolio. The initial cash consideration paid for Dot’s totaled $894,166 and consisted of cash on hand and short-term borrowings. Acquisition-related costs for the Dot’s acquisition were immaterial.</w:t>
      </w:r>
    </w:p>
    <w:p>
      <w:pPr>
        <w:spacing w:after="0" w:line="112" w:lineRule="exact"/>
        <w:rPr>
          <w:sz w:val="20"/>
          <w:szCs w:val="20"/>
          <w:color w:val="auto"/>
        </w:rPr>
      </w:pPr>
    </w:p>
    <w:p>
      <w:pPr>
        <w:ind w:right="80"/>
        <w:spacing w:after="0" w:line="349" w:lineRule="auto"/>
        <w:rPr>
          <w:sz w:val="20"/>
          <w:szCs w:val="20"/>
          <w:color w:val="auto"/>
        </w:rPr>
      </w:pPr>
      <w:r>
        <w:rPr>
          <w:rFonts w:ascii="Arial" w:cs="Arial" w:eastAsia="Arial" w:hAnsi="Arial"/>
          <w:sz w:val="15"/>
          <w:szCs w:val="15"/>
          <w:color w:val="auto"/>
        </w:rPr>
        <w:t>The acquisition has been accounted for as a business combination and, accordingly, Dot’s has been included within the North America Salty Snacks segment from the date of acquisition. The purchase consideration was allocated to assets acquired and liabilities assumed based on their respective fair values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5"/>
                <w:szCs w:val="15"/>
                <w:b w:val="1"/>
                <w:bCs w:val="1"/>
                <w:color w:val="auto"/>
              </w:rPr>
              <w:t>Initial Allocation (1)</w:t>
            </w:r>
          </w:p>
        </w:tc>
        <w:tc>
          <w:tcPr>
            <w:tcW w:w="32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5"/>
                <w:szCs w:val="15"/>
                <w:b w:val="1"/>
                <w:bCs w:val="1"/>
                <w:color w:val="auto"/>
              </w:rPr>
              <w:t>Adjustments</w:t>
            </w:r>
          </w:p>
        </w:tc>
        <w:tc>
          <w:tcPr>
            <w:tcW w:w="220" w:type="dxa"/>
            <w:vAlign w:val="bottom"/>
          </w:tcPr>
          <w:p>
            <w:pPr>
              <w:spacing w:after="0"/>
              <w:rPr>
                <w:sz w:val="17"/>
                <w:szCs w:val="17"/>
                <w:color w:val="auto"/>
              </w:rPr>
            </w:pPr>
          </w:p>
        </w:tc>
        <w:tc>
          <w:tcPr>
            <w:tcW w:w="1700" w:type="dxa"/>
            <w:vAlign w:val="bottom"/>
          </w:tcPr>
          <w:p>
            <w:pPr>
              <w:jc w:val="right"/>
              <w:ind w:right="235"/>
              <w:spacing w:after="0"/>
              <w:rPr>
                <w:sz w:val="20"/>
                <w:szCs w:val="20"/>
                <w:color w:val="auto"/>
              </w:rPr>
            </w:pPr>
            <w:r>
              <w:rPr>
                <w:rFonts w:ascii="Arial" w:cs="Arial" w:eastAsia="Arial" w:hAnsi="Arial"/>
                <w:sz w:val="15"/>
                <w:szCs w:val="15"/>
                <w:b w:val="1"/>
                <w:bCs w:val="1"/>
                <w:color w:val="auto"/>
                <w:w w:val="99"/>
              </w:rPr>
              <w:t>Updated Allocation</w:t>
            </w: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303,345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288,385</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Other intangible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526,300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16,800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543,100</w:t>
            </w: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 acquired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51,121</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39,256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40,266</w:t>
            </w: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w:t>
            </w:r>
          </w:p>
        </w:tc>
      </w:tr>
      <w:tr>
        <w:trPr>
          <w:trHeight w:val="218"/>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assumed, primarily current liabilities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(30,907)</w:t>
            </w:r>
          </w:p>
        </w:tc>
      </w:tr>
      <w:tr>
        <w:trPr>
          <w:trHeight w:val="233"/>
        </w:trPr>
        <w:tc>
          <w:tcPr>
            <w:tcW w:w="52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assets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894,166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(1) As reported in the Company’s 2021 Annual Report on Form 10-K.</w:t>
      </w:r>
    </w:p>
    <w:p>
      <w:pPr>
        <w:spacing w:after="0" w:line="165"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purchase price allocation presented above is preliminary. The measurement period adjustments, specifically to other intangible assets and resulting impact on the valuation of goodwill, are principally related to the refinement of certain assumptions in the value of customer relationships based on an analysis of historical customer-specific data. The remaining measurement period adjustments to the initial allocation are based on more detailed information obtained about the specific assets acquired and liabilities assumed. We are in the process of evaluating additional information necessary to finalize the valuation of assets acquired and liabilities assumed as of the acquisition date including, but not limited to, post-closing adjustments to the working capital acquired including certain holdbacks. The final fair value determination could result in material adjustments to the values presented in the preliminary purchase price allocation, including other intangible assets and goodwill. We expect to finalize the purchase price allocation by mid-2022.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246380</wp:posOffset>
            </wp:positionV>
            <wp:extent cx="188595" cy="163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394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goodwill derived from this acquisition is expected to be deductible for tax purposes and reflects the value of leveraging our brand building expertise, supply chain capabilities and retail relationships to accelerate growth and access to the portfolio of Dot’s products.</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Other intangible assets include trademarks valued at $336,600 and customer relationships valued at $206,500. Trademarks were assigned an estimated useful life of 33 years and customer relationships were assigned an estimated useful life of 18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Lily's Sweets, LLC</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June 25,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 The cash consideration paid for Lily’s totaled $422,210 and the Company may be required to pay additional cash consideration if certain defined targets related to net sales and gross margin were exceeded during the period from the closing date through December 31, 2021. As of the acquisition date, the estimated fair value of the contingent consideration obligation was classified as a liability of $5,000 and was determined using a scenario-based analysis on forecasted future results. Based on financial results through December 31, 2021, the fair value was reduced during the fourth quarter of 2021 to $1,250, with the adjustment to fair value recorded in the selling, marketing and administrative (“SM&amp;A”) expense caption within the Consolidated Statements of Income. We expect to pay the contingent consideration during 2022. Acquisition-related costs for the Lily’s acquisition were immaterial.</w:t>
      </w:r>
    </w:p>
    <w:p>
      <w:pPr>
        <w:spacing w:after="0" w:line="198"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The acquisition has been accounted for as a business combination and, accordingly, Lily’s has been included within the North America Confectionery segment from the date of acquisition. The purchase consideration, inclusive of the acquisition date fair value of the contingent consideration, was allocated to assets acquired and liabilities assumed based on their respective fair values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175,826</w:t>
            </w:r>
          </w:p>
        </w:tc>
      </w:tr>
      <w:tr>
        <w:trPr>
          <w:trHeight w:val="218"/>
        </w:trPr>
        <w:tc>
          <w:tcPr>
            <w:tcW w:w="9240" w:type="dxa"/>
            <w:vAlign w:val="bottom"/>
          </w:tcPr>
          <w:p>
            <w:pPr>
              <w:ind w:left="20"/>
              <w:spacing w:after="0"/>
              <w:rPr>
                <w:sz w:val="20"/>
                <w:szCs w:val="20"/>
                <w:color w:val="auto"/>
              </w:rPr>
            </w:pPr>
            <w:r>
              <w:rPr>
                <w:rFonts w:ascii="Arial" w:cs="Arial" w:eastAsia="Arial" w:hAnsi="Arial"/>
                <w:sz w:val="17"/>
                <w:szCs w:val="17"/>
                <w:color w:val="auto"/>
              </w:rPr>
              <w:t>Other intangible assets</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235,800</w:t>
            </w:r>
          </w:p>
        </w:tc>
      </w:tr>
      <w:tr>
        <w:trPr>
          <w:trHeight w:val="220"/>
        </w:trPr>
        <w:tc>
          <w:tcPr>
            <w:tcW w:w="9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acquired, primarily current assets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33,092</w:t>
            </w:r>
          </w:p>
        </w:tc>
      </w:tr>
      <w:tr>
        <w:trPr>
          <w:trHeight w:val="218"/>
        </w:trPr>
        <w:tc>
          <w:tcPr>
            <w:tcW w:w="9240" w:type="dxa"/>
            <w:vAlign w:val="bottom"/>
          </w:tcPr>
          <w:p>
            <w:pPr>
              <w:ind w:left="20"/>
              <w:spacing w:after="0"/>
              <w:rPr>
                <w:sz w:val="20"/>
                <w:szCs w:val="20"/>
                <w:color w:val="auto"/>
              </w:rPr>
            </w:pPr>
            <w:r>
              <w:rPr>
                <w:rFonts w:ascii="Arial" w:cs="Arial" w:eastAsia="Arial" w:hAnsi="Arial"/>
                <w:sz w:val="17"/>
                <w:szCs w:val="17"/>
                <w:color w:val="auto"/>
              </w:rPr>
              <w:t>Other liabilities assumed, primarily current liabilities</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(9,620)</w:t>
            </w:r>
          </w:p>
        </w:tc>
      </w:tr>
      <w:tr>
        <w:trPr>
          <w:trHeight w:val="219"/>
        </w:trPr>
        <w:tc>
          <w:tcPr>
            <w:tcW w:w="9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7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(7,888)</w:t>
            </w:r>
          </w:p>
        </w:tc>
      </w:tr>
      <w:tr>
        <w:trPr>
          <w:trHeight w:val="213"/>
        </w:trPr>
        <w:tc>
          <w:tcPr>
            <w:tcW w:w="9240" w:type="dxa"/>
            <w:vAlign w:val="bottom"/>
          </w:tcPr>
          <w:p>
            <w:pPr>
              <w:ind w:left="120"/>
              <w:spacing w:after="0"/>
              <w:rPr>
                <w:sz w:val="20"/>
                <w:szCs w:val="20"/>
                <w:color w:val="auto"/>
              </w:rPr>
            </w:pPr>
            <w:r>
              <w:rPr>
                <w:rFonts w:ascii="Arial" w:cs="Arial" w:eastAsia="Arial" w:hAnsi="Arial"/>
                <w:sz w:val="17"/>
                <w:szCs w:val="17"/>
                <w:color w:val="auto"/>
              </w:rPr>
              <w:t>Net assets acquired</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427,210</w:t>
            </w: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purchase price allocation presented above has been finalized as of the fourth quarter of 2021 and includes an immaterial amount of measurement period adjustments. The measurement period adjustments to the initial allocation were based on more detailed information obtained about the specific assets acquired and liabilities assumed.</w:t>
      </w:r>
    </w:p>
    <w:p>
      <w:pPr>
        <w:spacing w:after="0" w:line="20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Goodwill was determined as the excess of the purchase price over the fair value of the net assets acquired (including the identifiable intangible assets). The majority of goodwill derived from this acquisition is expected to be deductible for tax purposes and reflects the value of leveraging our brand building expertise, supply chain capabilities and retail relationships to accelerate growth and access to the portfolio of Lily’s products.</w:t>
      </w:r>
    </w:p>
    <w:p>
      <w:pPr>
        <w:spacing w:after="0" w:line="20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Other intangible assets include trademarks valued at $151,600 and customer relationships valued at $84,200. Trademarks were assigned an estimated useful life of 33 years and customer relationships were assigned estimated useful lives ranging from 17 to 18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Lotte Shanghai Foods Co., Ltd.</w:t>
      </w:r>
    </w:p>
    <w:p>
      <w:pPr>
        <w:spacing w:after="0" w:line="165"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 January 2021, we completed the divestiture of Lotte Shanghai Foods Co., Ltd., which was previously included within the International segment results in our consolidated financial statements. Total proceeds from the divestiture and the impact on our consolidated financial statements were immaterial and were recorded in the SM&amp;A expense caption within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258445</wp:posOffset>
            </wp:positionV>
            <wp:extent cx="188595"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gridSpan w:val="3"/>
          </w:tcPr>
          <w:p>
            <w:pPr>
              <w:spacing w:after="0"/>
              <w:rPr>
                <w:sz w:val="20"/>
                <w:szCs w:val="20"/>
                <w:color w:val="auto"/>
              </w:rPr>
            </w:pPr>
            <w:r>
              <w:rPr>
                <w:rFonts w:ascii="Arial" w:cs="Arial" w:eastAsia="Arial" w:hAnsi="Arial"/>
                <w:sz w:val="17"/>
                <w:szCs w:val="17"/>
                <w:b w:val="1"/>
                <w:bCs w:val="1"/>
                <w:color w:val="auto"/>
              </w:rPr>
              <w:t>3. GOODWILL AND INTANGIBLE ASSETS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9440" w:type="dxa"/>
            <w:vAlign w:val="bottom"/>
            <w:gridSpan w:val="19"/>
          </w:tcPr>
          <w:p>
            <w:pPr>
              <w:spacing w:after="0"/>
              <w:rPr>
                <w:sz w:val="20"/>
                <w:szCs w:val="20"/>
                <w:color w:val="auto"/>
              </w:rPr>
            </w:pPr>
            <w:r>
              <w:rPr>
                <w:rFonts w:ascii="Arial" w:cs="Arial" w:eastAsia="Arial" w:hAnsi="Arial"/>
                <w:sz w:val="17"/>
                <w:szCs w:val="17"/>
                <w:color w:val="auto"/>
              </w:rPr>
              <w:t>The changes in the carrying value of goodwill by reportable segment for the three months ended April 3, 2022 are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North America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4"/>
          </w:tcPr>
          <w:p>
            <w:pPr>
              <w:jc w:val="right"/>
              <w:ind w:right="74"/>
              <w:spacing w:after="0"/>
              <w:rPr>
                <w:sz w:val="20"/>
                <w:szCs w:val="20"/>
                <w:color w:val="auto"/>
              </w:rPr>
            </w:pPr>
            <w:r>
              <w:rPr>
                <w:rFonts w:ascii="Arial" w:cs="Arial" w:eastAsia="Arial" w:hAnsi="Arial"/>
                <w:sz w:val="17"/>
                <w:szCs w:val="17"/>
                <w:b w:val="1"/>
                <w:bCs w:val="1"/>
                <w:color w:val="auto"/>
                <w:w w:val="95"/>
              </w:rPr>
              <w:t>North America Salty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3"/>
            <w:vMerge w:val="restart"/>
          </w:tcPr>
          <w:p>
            <w:pPr>
              <w:jc w:val="right"/>
              <w:ind w:right="314"/>
              <w:spacing w:after="0"/>
              <w:rPr>
                <w:sz w:val="20"/>
                <w:szCs w:val="20"/>
                <w:color w:val="auto"/>
              </w:rPr>
            </w:pPr>
            <w:r>
              <w:rPr>
                <w:rFonts w:ascii="Arial" w:cs="Arial" w:eastAsia="Arial" w:hAnsi="Arial"/>
                <w:sz w:val="17"/>
                <w:szCs w:val="17"/>
                <w:b w:val="1"/>
                <w:bCs w:val="1"/>
                <w:color w:val="auto"/>
                <w:w w:val="97"/>
              </w:rPr>
              <w:t>International</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restart"/>
          </w:tcPr>
          <w:p>
            <w:pPr>
              <w:jc w:val="right"/>
              <w:ind w:right="61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b w:val="1"/>
                <w:bCs w:val="1"/>
                <w:color w:val="auto"/>
              </w:rPr>
              <w:t>Confectionery</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w w:val="90"/>
              </w:rPr>
              <w:t>Snacks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2,026,006</w:t>
            </w:r>
          </w:p>
        </w:tc>
        <w:tc>
          <w:tcPr>
            <w:tcW w:w="760" w:type="dxa"/>
            <w:vAlign w:val="bottom"/>
            <w:gridSpan w:val="3"/>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589,798</w:t>
            </w:r>
          </w:p>
        </w:tc>
        <w:tc>
          <w:tcPr>
            <w:tcW w:w="540" w:type="dxa"/>
            <w:vAlign w:val="bottom"/>
            <w:gridSpan w:val="3"/>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2,633,174</w:t>
            </w:r>
          </w:p>
        </w:tc>
        <w:tc>
          <w:tcPr>
            <w:tcW w:w="0" w:type="dxa"/>
            <w:vAlign w:val="bottom"/>
          </w:tcPr>
          <w:p>
            <w:pPr>
              <w:spacing w:after="0"/>
              <w:rPr>
                <w:sz w:val="1"/>
                <w:szCs w:val="1"/>
                <w:color w:val="auto"/>
              </w:rPr>
            </w:pPr>
          </w:p>
        </w:tc>
      </w:tr>
      <w:tr>
        <w:trPr>
          <w:trHeight w:val="190"/>
        </w:trPr>
        <w:tc>
          <w:tcPr>
            <w:tcW w:w="3680" w:type="dxa"/>
            <w:vAlign w:val="bottom"/>
            <w:gridSpan w:val="3"/>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 xml:space="preserve">Measurement period adjustments (see </w:t>
            </w:r>
            <w:hyperlink w:anchor="page9">
              <w:r>
                <w:rPr>
                  <w:rFonts w:ascii="Arial" w:cs="Arial" w:eastAsia="Arial" w:hAnsi="Arial"/>
                  <w:sz w:val="17"/>
                  <w:szCs w:val="17"/>
                  <w:color w:val="0000FF"/>
                </w:rPr>
                <w:t>Note 2</w:t>
              </w:r>
            </w:hyperlink>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(13,927)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7"/>
                <w:szCs w:val="17"/>
                <w:color w:val="auto"/>
              </w:rPr>
              <w:t>(13,927)</w:t>
            </w: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w:t>
            </w:r>
          </w:p>
        </w:tc>
        <w:tc>
          <w:tcPr>
            <w:tcW w:w="460" w:type="dxa"/>
            <w:vAlign w:val="bottom"/>
            <w:tcBorders>
              <w:top w:val="single" w:sz="8" w:color="0000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13"/>
        </w:trPr>
        <w:tc>
          <w:tcPr>
            <w:tcW w:w="3680" w:type="dxa"/>
            <w:vAlign w:val="bottom"/>
            <w:gridSpan w:val="3"/>
          </w:tcPr>
          <w:p>
            <w:pPr>
              <w:ind w:left="20"/>
              <w:spacing w:after="0"/>
              <w:rPr>
                <w:sz w:val="20"/>
                <w:szCs w:val="20"/>
                <w:color w:val="auto"/>
              </w:rPr>
            </w:pPr>
            <w:r>
              <w:rPr>
                <w:rFonts w:ascii="Arial" w:cs="Arial" w:eastAsia="Arial" w:hAnsi="Arial"/>
                <w:sz w:val="17"/>
                <w:szCs w:val="17"/>
                <w:color w:val="auto"/>
              </w:rPr>
              <w:t>Balance at April 3,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2,027,201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575,871</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2,620,594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9440" w:type="dxa"/>
            <w:vAlign w:val="bottom"/>
            <w:gridSpan w:val="19"/>
          </w:tcPr>
          <w:p>
            <w:pPr>
              <w:spacing w:after="0"/>
              <w:rPr>
                <w:sz w:val="20"/>
                <w:szCs w:val="20"/>
                <w:color w:val="auto"/>
              </w:rPr>
            </w:pPr>
            <w:r>
              <w:rPr>
                <w:rFonts w:ascii="Arial" w:cs="Arial" w:eastAsia="Arial" w:hAnsi="Arial"/>
                <w:sz w:val="17"/>
                <w:szCs w:val="17"/>
                <w:color w:val="auto"/>
                <w:w w:val="99"/>
              </w:rPr>
              <w:t>The following table provides the gross carrying amount and accumulated amortization for each major class of intangible asset: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7"/>
                <w:szCs w:val="17"/>
                <w:b w:val="1"/>
                <w:bCs w:val="1"/>
                <w:color w:val="auto"/>
              </w:rPr>
              <w:t>April 3, 2022</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right"/>
              <w:ind w:right="834"/>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4"/>
          </w:tcPr>
          <w:p>
            <w:pPr>
              <w:jc w:val="right"/>
              <w:ind w:right="94"/>
              <w:spacing w:after="0" w:line="162" w:lineRule="exact"/>
              <w:rPr>
                <w:sz w:val="20"/>
                <w:szCs w:val="20"/>
                <w:color w:val="auto"/>
              </w:rPr>
            </w:pPr>
            <w:r>
              <w:rPr>
                <w:rFonts w:ascii="Arial" w:cs="Arial" w:eastAsia="Arial" w:hAnsi="Arial"/>
                <w:sz w:val="17"/>
                <w:szCs w:val="17"/>
                <w:b w:val="1"/>
                <w:bCs w:val="1"/>
                <w:color w:val="auto"/>
              </w:rPr>
              <w:t>Gross Carrying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4"/>
          </w:tcPr>
          <w:p>
            <w:pPr>
              <w:jc w:val="right"/>
              <w:ind w:right="194"/>
              <w:spacing w:after="0" w:line="162" w:lineRule="exact"/>
              <w:rPr>
                <w:sz w:val="20"/>
                <w:szCs w:val="20"/>
                <w:color w:val="auto"/>
              </w:rPr>
            </w:pPr>
            <w:r>
              <w:rPr>
                <w:rFonts w:ascii="Arial" w:cs="Arial" w:eastAsia="Arial" w:hAnsi="Arial"/>
                <w:sz w:val="17"/>
                <w:szCs w:val="17"/>
                <w:b w:val="1"/>
                <w:bCs w:val="1"/>
                <w:color w:val="auto"/>
                <w:w w:val="99"/>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0"/>
              <w:spacing w:after="0" w:line="162" w:lineRule="exact"/>
              <w:rPr>
                <w:sz w:val="20"/>
                <w:szCs w:val="20"/>
                <w:color w:val="auto"/>
              </w:rPr>
            </w:pPr>
            <w:r>
              <w:rPr>
                <w:rFonts w:ascii="Arial" w:cs="Arial" w:eastAsia="Arial" w:hAnsi="Arial"/>
                <w:sz w:val="17"/>
                <w:szCs w:val="17"/>
                <w:b w:val="1"/>
                <w:bCs w:val="1"/>
                <w:color w:val="auto"/>
                <w:w w:val="92"/>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194"/>
              <w:spacing w:after="0" w:line="162" w:lineRule="exact"/>
              <w:rPr>
                <w:sz w:val="20"/>
                <w:szCs w:val="20"/>
                <w:color w:val="auto"/>
              </w:rPr>
            </w:pPr>
            <w:r>
              <w:rPr>
                <w:rFonts w:ascii="Arial" w:cs="Arial" w:eastAsia="Arial" w:hAnsi="Arial"/>
                <w:sz w:val="17"/>
                <w:szCs w:val="17"/>
                <w:b w:val="1"/>
                <w:bCs w:val="1"/>
                <w:color w:val="auto"/>
                <w:w w:val="99"/>
              </w:rPr>
              <w:t>Accumulated</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Amortization</w:t>
            </w:r>
          </w:p>
        </w:tc>
        <w:tc>
          <w:tcPr>
            <w:tcW w:w="0" w:type="dxa"/>
            <w:vAlign w:val="bottom"/>
          </w:tcPr>
          <w:p>
            <w:pPr>
              <w:spacing w:after="0"/>
              <w:rPr>
                <w:sz w:val="1"/>
                <w:szCs w:val="1"/>
                <w:color w:val="auto"/>
              </w:rPr>
            </w:pPr>
          </w:p>
        </w:tc>
      </w:tr>
      <w:tr>
        <w:trPr>
          <w:trHeight w:val="19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gridSpan w:val="3"/>
          </w:tcPr>
          <w:p>
            <w:pPr>
              <w:ind w:left="320"/>
              <w:spacing w:after="0"/>
              <w:rPr>
                <w:sz w:val="20"/>
                <w:szCs w:val="20"/>
                <w:color w:val="auto"/>
              </w:rPr>
            </w:pPr>
            <w:r>
              <w:rPr>
                <w:rFonts w:ascii="Arial" w:cs="Arial" w:eastAsia="Arial" w:hAnsi="Arial"/>
                <w:sz w:val="17"/>
                <w:szCs w:val="17"/>
                <w:color w:val="auto"/>
              </w:rPr>
              <w:t>Trademarks</w:t>
            </w:r>
          </w:p>
        </w:tc>
        <w:tc>
          <w:tcPr>
            <w:tcW w:w="180" w:type="dxa"/>
            <w:vAlign w:val="bottom"/>
          </w:tcPr>
          <w:p>
            <w:pPr>
              <w:spacing w:after="0"/>
              <w:rPr>
                <w:sz w:val="18"/>
                <w:szCs w:val="18"/>
                <w:color w:val="auto"/>
              </w:rPr>
            </w:pPr>
          </w:p>
        </w:tc>
        <w:tc>
          <w:tcPr>
            <w:tcW w:w="160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w w:val="89"/>
              </w:rPr>
              <w:t>1,705,644</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4"/>
          </w:tcPr>
          <w:p>
            <w:pPr>
              <w:jc w:val="right"/>
              <w:spacing w:after="0"/>
              <w:rPr>
                <w:sz w:val="20"/>
                <w:szCs w:val="20"/>
                <w:color w:val="auto"/>
              </w:rPr>
            </w:pPr>
            <w:r>
              <w:rPr>
                <w:rFonts w:ascii="Arial" w:cs="Arial" w:eastAsia="Arial" w:hAnsi="Arial"/>
                <w:sz w:val="17"/>
                <w:szCs w:val="17"/>
                <w:color w:val="auto"/>
              </w:rPr>
              <w:t>(154,417)</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spacing w:after="0"/>
              <w:rPr>
                <w:sz w:val="20"/>
                <w:szCs w:val="20"/>
                <w:color w:val="auto"/>
              </w:rPr>
            </w:pPr>
            <w:r>
              <w:rPr>
                <w:rFonts w:ascii="Arial" w:cs="Arial" w:eastAsia="Arial" w:hAnsi="Arial"/>
                <w:sz w:val="17"/>
                <w:szCs w:val="17"/>
                <w:color w:val="auto"/>
              </w:rPr>
              <w:t>1,705,390</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(141,760)</w:t>
            </w:r>
          </w:p>
        </w:tc>
        <w:tc>
          <w:tcPr>
            <w:tcW w:w="0" w:type="dxa"/>
            <w:vAlign w:val="bottom"/>
          </w:tcPr>
          <w:p>
            <w:pPr>
              <w:spacing w:after="0"/>
              <w:rPr>
                <w:sz w:val="1"/>
                <w:szCs w:val="1"/>
                <w:color w:val="auto"/>
              </w:rPr>
            </w:pPr>
          </w:p>
        </w:tc>
      </w:tr>
      <w:tr>
        <w:trPr>
          <w:trHeight w:val="220"/>
        </w:trPr>
        <w:tc>
          <w:tcPr>
            <w:tcW w:w="36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Customer-related</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515,827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(72,685)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504,667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(65,131)</w:t>
            </w:r>
          </w:p>
        </w:tc>
        <w:tc>
          <w:tcPr>
            <w:tcW w:w="0" w:type="dxa"/>
            <w:vAlign w:val="bottom"/>
          </w:tcPr>
          <w:p>
            <w:pPr>
              <w:spacing w:after="0"/>
              <w:rPr>
                <w:sz w:val="1"/>
                <w:szCs w:val="1"/>
                <w:color w:val="auto"/>
              </w:rPr>
            </w:pPr>
          </w:p>
        </w:tc>
      </w:tr>
      <w:tr>
        <w:trPr>
          <w:trHeight w:val="218"/>
        </w:trPr>
        <w:tc>
          <w:tcPr>
            <w:tcW w:w="368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Patents</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8,713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2"/>
              </w:rPr>
              <w:t>(8,713)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8,623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(8,623)</w:t>
            </w:r>
          </w:p>
        </w:tc>
        <w:tc>
          <w:tcPr>
            <w:tcW w:w="0" w:type="dxa"/>
            <w:vAlign w:val="bottom"/>
          </w:tcPr>
          <w:p>
            <w:pPr>
              <w:spacing w:after="0"/>
              <w:rPr>
                <w:sz w:val="1"/>
                <w:szCs w:val="1"/>
                <w:color w:val="auto"/>
              </w:rPr>
            </w:pPr>
          </w:p>
        </w:tc>
      </w:tr>
      <w:tr>
        <w:trPr>
          <w:trHeight w:val="213"/>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2,230,184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(235,815)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2,218,680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(215,514)</w:t>
            </w:r>
          </w:p>
        </w:tc>
        <w:tc>
          <w:tcPr>
            <w:tcW w:w="0" w:type="dxa"/>
            <w:vAlign w:val="bottom"/>
          </w:tcPr>
          <w:p>
            <w:pPr>
              <w:spacing w:after="0"/>
              <w:rPr>
                <w:sz w:val="1"/>
                <w:szCs w:val="1"/>
                <w:color w:val="auto"/>
              </w:rPr>
            </w:pPr>
          </w:p>
        </w:tc>
      </w:tr>
      <w:tr>
        <w:trPr>
          <w:trHeight w:val="258"/>
        </w:trPr>
        <w:tc>
          <w:tcPr>
            <w:tcW w:w="3680" w:type="dxa"/>
            <w:vAlign w:val="bottom"/>
            <w:gridSpan w:val="3"/>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Borders>
              <w:bottom w:val="single" w:sz="8" w:color="CCEEFF"/>
            </w:tcBorders>
            <w:gridSpan w:val="3"/>
          </w:tcPr>
          <w:p>
            <w:pPr>
              <w:ind w:left="320"/>
              <w:spacing w:after="0"/>
              <w:rPr>
                <w:sz w:val="20"/>
                <w:szCs w:val="20"/>
                <w:color w:val="auto"/>
              </w:rPr>
            </w:pPr>
            <w:r>
              <w:rPr>
                <w:rFonts w:ascii="Arial" w:cs="Arial" w:eastAsia="Arial" w:hAnsi="Arial"/>
                <w:sz w:val="17"/>
                <w:szCs w:val="17"/>
                <w:color w:val="auto"/>
              </w:rPr>
              <w:t>Trademarks</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34,851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34,422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other intangible assets</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2,029,220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2,037,588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40"/>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Total amortization expense for the three months ended April 3, 2022 and April 4, 2021 was $19,859 and $11,621, respectively. In 2022, our amortization expense increased as a result of our 2021 business combination activity (see </w:t>
      </w:r>
      <w:hyperlink w:anchor="page9">
        <w:r>
          <w:rPr>
            <w:rFonts w:ascii="Arial" w:cs="Arial" w:eastAsia="Arial" w:hAnsi="Arial"/>
            <w:sz w:val="17"/>
            <w:szCs w:val="17"/>
            <w:u w:val="single" w:color="auto"/>
            <w:color w:val="0000FF"/>
          </w:rPr>
          <w:t>Note 2</w:t>
        </w:r>
      </w:hyperlink>
      <w:r>
        <w:rPr>
          <w:rFonts w:ascii="Arial" w:cs="Arial" w:eastAsia="Arial" w:hAnsi="Arial"/>
          <w:sz w:val="17"/>
          <w:szCs w:val="17"/>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SHORT AND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Debt</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62" w:lineRule="exact"/>
        <w:rPr>
          <w:sz w:val="20"/>
          <w:szCs w:val="20"/>
          <w:color w:val="auto"/>
        </w:rPr>
      </w:pPr>
    </w:p>
    <w:p>
      <w:pPr>
        <w:jc w:val="both"/>
        <w:ind w:right="160"/>
        <w:spacing w:after="0" w:line="290"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April 3, 2022, we were in compliance with all covenants pertaining to the credit agreement, and we had no significant compensating balance agreements that legally restricted these funds. For more information, refer to the Consolidated Financial Statements included in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443865</wp:posOffset>
            </wp:positionV>
            <wp:extent cx="188595" cy="163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354" w:lineRule="exact"/>
        <w:rPr>
          <w:sz w:val="20"/>
          <w:szCs w:val="20"/>
          <w:color w:val="auto"/>
        </w:rPr>
      </w:pPr>
    </w:p>
    <w:p>
      <w:pPr>
        <w:ind w:left="20" w:right="640"/>
        <w:spacing w:after="0" w:line="276" w:lineRule="auto"/>
        <w:rPr>
          <w:sz w:val="20"/>
          <w:szCs w:val="20"/>
          <w:color w:val="auto"/>
        </w:rPr>
      </w:pPr>
      <w:r>
        <w:rPr>
          <w:rFonts w:ascii="Arial" w:cs="Arial" w:eastAsia="Arial" w:hAnsi="Arial"/>
          <w:sz w:val="17"/>
          <w:szCs w:val="17"/>
          <w:color w:val="auto"/>
        </w:rPr>
        <w:t>In addition to the revolving credit facility, we maintain lines of credit with domestic and international commercial banks. Commitment fees relating to our revolving credit facility and lines of credit are not material. Short-term debt consisted of the following:</w:t>
      </w: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95"/>
              <w:spacing w:after="0"/>
              <w:rPr>
                <w:sz w:val="20"/>
                <w:szCs w:val="20"/>
                <w:color w:val="auto"/>
              </w:rPr>
            </w:pPr>
            <w:r>
              <w:rPr>
                <w:rFonts w:ascii="Arial" w:cs="Arial" w:eastAsia="Arial" w:hAnsi="Arial"/>
                <w:sz w:val="15"/>
                <w:szCs w:val="15"/>
                <w:b w:val="1"/>
                <w:bCs w:val="1"/>
                <w:color w:val="auto"/>
              </w:rPr>
              <w:t>April 3, 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Short-term foreign bank borrowings against lines of credit</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149,102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ind w:left="1200"/>
              <w:spacing w:after="0"/>
              <w:rPr>
                <w:sz w:val="20"/>
                <w:szCs w:val="20"/>
                <w:color w:val="auto"/>
              </w:rPr>
            </w:pPr>
            <w:r>
              <w:rPr>
                <w:rFonts w:ascii="Arial" w:cs="Arial" w:eastAsia="Arial" w:hAnsi="Arial"/>
                <w:sz w:val="17"/>
                <w:szCs w:val="17"/>
                <w:color w:val="auto"/>
                <w:w w:val="97"/>
              </w:rPr>
              <w:t>119,038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U.S. commercial paper</w:t>
            </w:r>
          </w:p>
        </w:tc>
        <w:tc>
          <w:tcPr>
            <w:tcW w:w="1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724,681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rPr>
              <w:t>820,385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short-term debt</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873,783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939,423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7"/>
                <w:szCs w:val="17"/>
                <w:color w:val="auto"/>
                <w:w w:val="96"/>
              </w:rPr>
              <w:t>Weighted average interest rate on outstanding commercial paper</w:t>
            </w: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vMerge w:val="continue"/>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7"/>
                <w:szCs w:val="17"/>
                <w:color w:val="auto"/>
              </w:rPr>
              <w:t>0.4 %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tcPr>
          <w:p>
            <w:pPr>
              <w:ind w:left="1440"/>
              <w:spacing w:after="0" w:line="189" w:lineRule="exact"/>
              <w:rPr>
                <w:sz w:val="20"/>
                <w:szCs w:val="20"/>
                <w:color w:val="auto"/>
              </w:rPr>
            </w:pPr>
            <w:r>
              <w:rPr>
                <w:rFonts w:ascii="Arial" w:cs="Arial" w:eastAsia="Arial" w:hAnsi="Arial"/>
                <w:sz w:val="17"/>
                <w:szCs w:val="17"/>
                <w:color w:val="auto"/>
                <w:w w:val="91"/>
              </w:rPr>
              <w:t>0.1 %</w:t>
            </w:r>
          </w:p>
        </w:tc>
        <w:tc>
          <w:tcPr>
            <w:tcW w:w="0" w:type="dxa"/>
            <w:vAlign w:val="bottom"/>
          </w:tcPr>
          <w:p>
            <w:pPr>
              <w:spacing w:after="0"/>
              <w:rPr>
                <w:sz w:val="1"/>
                <w:szCs w:val="1"/>
                <w:color w:val="auto"/>
              </w:rPr>
            </w:pPr>
          </w:p>
        </w:tc>
      </w:tr>
      <w:tr>
        <w:trPr>
          <w:trHeight w:val="516"/>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7"/>
                <w:szCs w:val="17"/>
                <w:b w:val="1"/>
                <w:bCs w:val="1"/>
                <w:color w:val="auto"/>
              </w:rPr>
              <w:t>Long-term Debt</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7"/>
                <w:szCs w:val="17"/>
                <w:color w:val="auto"/>
              </w:rPr>
              <w:t>Long-term debt consisted of the following:</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60" w:type="dxa"/>
            <w:vAlign w:val="bottom"/>
            <w:gridSpan w:val="6"/>
          </w:tcPr>
          <w:p>
            <w:pPr>
              <w:spacing w:after="0"/>
              <w:rPr>
                <w:sz w:val="20"/>
                <w:szCs w:val="20"/>
                <w:color w:val="auto"/>
              </w:rPr>
            </w:pPr>
            <w:r>
              <w:rPr>
                <w:rFonts w:ascii="Arial" w:cs="Arial" w:eastAsia="Arial" w:hAnsi="Arial"/>
                <w:sz w:val="15"/>
                <w:szCs w:val="15"/>
                <w:b w:val="1"/>
                <w:bCs w:val="1"/>
                <w:color w:val="auto"/>
              </w:rPr>
              <w:t>Debt Type and Rate</w:t>
            </w:r>
          </w:p>
        </w:tc>
        <w:tc>
          <w:tcPr>
            <w:tcW w:w="2480" w:type="dxa"/>
            <w:vAlign w:val="bottom"/>
            <w:gridSpan w:val="5"/>
          </w:tcPr>
          <w:p>
            <w:pPr>
              <w:jc w:val="right"/>
              <w:ind w:right="1060"/>
              <w:spacing w:after="0"/>
              <w:rPr>
                <w:sz w:val="20"/>
                <w:szCs w:val="20"/>
                <w:color w:val="auto"/>
              </w:rPr>
            </w:pPr>
            <w:r>
              <w:rPr>
                <w:rFonts w:ascii="Arial" w:cs="Arial" w:eastAsia="Arial" w:hAnsi="Arial"/>
                <w:sz w:val="15"/>
                <w:szCs w:val="15"/>
                <w:b w:val="1"/>
                <w:bCs w:val="1"/>
                <w:color w:val="auto"/>
              </w:rPr>
              <w:t>Maturity Date</w:t>
            </w:r>
          </w:p>
        </w:tc>
        <w:tc>
          <w:tcPr>
            <w:tcW w:w="180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April 3, 2022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93"/>
              </w:rPr>
              <w:t>2.625%</w:t>
            </w:r>
          </w:p>
        </w:tc>
        <w:tc>
          <w:tcPr>
            <w:tcW w:w="40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4"/>
              </w:rPr>
              <w:t>May 1, 2023</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w w:val="97"/>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ind w:left="40"/>
              <w:spacing w:after="0"/>
              <w:rPr>
                <w:sz w:val="20"/>
                <w:szCs w:val="20"/>
                <w:color w:val="auto"/>
              </w:rPr>
            </w:pPr>
            <w:r>
              <w:rPr>
                <w:rFonts w:ascii="Arial" w:cs="Arial" w:eastAsia="Arial" w:hAnsi="Arial"/>
                <w:sz w:val="17"/>
                <w:szCs w:val="17"/>
                <w:color w:val="auto"/>
                <w:w w:val="93"/>
              </w:rPr>
              <w:t>3.375%</w:t>
            </w:r>
          </w:p>
        </w:tc>
        <w:tc>
          <w:tcPr>
            <w:tcW w:w="4160" w:type="dxa"/>
            <w:vAlign w:val="bottom"/>
            <w:gridSpan w:val="4"/>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tcPr>
          <w:p>
            <w:pPr>
              <w:jc w:val="center"/>
              <w:ind w:right="360"/>
              <w:spacing w:after="0"/>
              <w:rPr>
                <w:sz w:val="20"/>
                <w:szCs w:val="20"/>
                <w:color w:val="auto"/>
              </w:rPr>
            </w:pPr>
            <w:r>
              <w:rPr>
                <w:rFonts w:ascii="Arial" w:cs="Arial" w:eastAsia="Arial" w:hAnsi="Arial"/>
                <w:sz w:val="17"/>
                <w:szCs w:val="17"/>
                <w:color w:val="auto"/>
                <w:w w:val="93"/>
              </w:rPr>
              <w:t>May 15, 2023</w:t>
            </w:r>
          </w:p>
        </w:tc>
        <w:tc>
          <w:tcPr>
            <w:tcW w:w="1800" w:type="dxa"/>
            <w:vAlign w:val="bottom"/>
            <w:gridSpan w:val="2"/>
          </w:tcPr>
          <w:p>
            <w:pPr>
              <w:jc w:val="right"/>
              <w:ind w:right="60"/>
              <w:spacing w:after="0"/>
              <w:rPr>
                <w:sz w:val="20"/>
                <w:szCs w:val="20"/>
                <w:color w:val="auto"/>
              </w:rPr>
            </w:pPr>
            <w:r>
              <w:rPr>
                <w:rFonts w:ascii="Arial" w:cs="Arial" w:eastAsia="Arial" w:hAnsi="Arial"/>
                <w:sz w:val="17"/>
                <w:szCs w:val="17"/>
                <w:color w:val="auto"/>
              </w:rPr>
              <w:t>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ind w:left="1200"/>
              <w:spacing w:after="0"/>
              <w:rPr>
                <w:sz w:val="20"/>
                <w:szCs w:val="20"/>
                <w:color w:val="auto"/>
              </w:rPr>
            </w:pPr>
            <w:r>
              <w:rPr>
                <w:rFonts w:ascii="Arial" w:cs="Arial" w:eastAsia="Arial" w:hAnsi="Arial"/>
                <w:sz w:val="17"/>
                <w:szCs w:val="17"/>
                <w:color w:val="auto"/>
                <w:w w:val="97"/>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2.050%</w:t>
            </w:r>
          </w:p>
        </w:tc>
        <w:tc>
          <w:tcPr>
            <w:tcW w:w="41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shd w:val="clear" w:color="auto" w:fill="CCEEFF"/>
          </w:tcPr>
          <w:p>
            <w:pPr>
              <w:jc w:val="center"/>
              <w:ind w:right="360"/>
              <w:spacing w:after="0"/>
              <w:rPr>
                <w:sz w:val="20"/>
                <w:szCs w:val="20"/>
                <w:color w:val="auto"/>
              </w:rPr>
            </w:pPr>
            <w:r>
              <w:rPr>
                <w:rFonts w:ascii="Arial" w:cs="Arial" w:eastAsia="Arial" w:hAnsi="Arial"/>
                <w:sz w:val="17"/>
                <w:szCs w:val="17"/>
                <w:color w:val="auto"/>
                <w:w w:val="91"/>
              </w:rPr>
              <w:t>November 15, 2024</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ind w:left="1200"/>
              <w:spacing w:after="0"/>
              <w:rPr>
                <w:sz w:val="20"/>
                <w:szCs w:val="20"/>
                <w:color w:val="auto"/>
              </w:rPr>
            </w:pPr>
            <w:r>
              <w:rPr>
                <w:rFonts w:ascii="Arial" w:cs="Arial" w:eastAsia="Arial" w:hAnsi="Arial"/>
                <w:sz w:val="17"/>
                <w:szCs w:val="17"/>
                <w:color w:val="auto"/>
                <w:w w:val="97"/>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ind w:left="40"/>
              <w:spacing w:after="0"/>
              <w:rPr>
                <w:sz w:val="20"/>
                <w:szCs w:val="20"/>
                <w:color w:val="auto"/>
              </w:rPr>
            </w:pPr>
            <w:r>
              <w:rPr>
                <w:rFonts w:ascii="Arial" w:cs="Arial" w:eastAsia="Arial" w:hAnsi="Arial"/>
                <w:sz w:val="17"/>
                <w:szCs w:val="17"/>
                <w:color w:val="auto"/>
                <w:w w:val="93"/>
              </w:rPr>
              <w:t>0.900%</w:t>
            </w:r>
          </w:p>
        </w:tc>
        <w:tc>
          <w:tcPr>
            <w:tcW w:w="4160" w:type="dxa"/>
            <w:vAlign w:val="bottom"/>
            <w:gridSpan w:val="4"/>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tcPr>
          <w:p>
            <w:pPr>
              <w:jc w:val="center"/>
              <w:ind w:right="360"/>
              <w:spacing w:after="0"/>
              <w:rPr>
                <w:sz w:val="20"/>
                <w:szCs w:val="20"/>
                <w:color w:val="auto"/>
              </w:rPr>
            </w:pPr>
            <w:r>
              <w:rPr>
                <w:rFonts w:ascii="Arial" w:cs="Arial" w:eastAsia="Arial" w:hAnsi="Arial"/>
                <w:sz w:val="17"/>
                <w:szCs w:val="17"/>
                <w:color w:val="auto"/>
                <w:w w:val="89"/>
              </w:rPr>
              <w:t>June 1, 2025</w:t>
            </w:r>
          </w:p>
        </w:tc>
        <w:tc>
          <w:tcPr>
            <w:tcW w:w="1800" w:type="dxa"/>
            <w:vAlign w:val="bottom"/>
            <w:gridSpan w:val="2"/>
          </w:tcPr>
          <w:p>
            <w:pPr>
              <w:jc w:val="right"/>
              <w:ind w:right="60"/>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ind w:left="1200"/>
              <w:spacing w:after="0"/>
              <w:rPr>
                <w:sz w:val="20"/>
                <w:szCs w:val="20"/>
                <w:color w:val="auto"/>
              </w:rPr>
            </w:pPr>
            <w:r>
              <w:rPr>
                <w:rFonts w:ascii="Arial" w:cs="Arial" w:eastAsia="Arial" w:hAnsi="Arial"/>
                <w:sz w:val="17"/>
                <w:szCs w:val="17"/>
                <w:color w:val="auto"/>
                <w:w w:val="97"/>
              </w:rPr>
              <w:t>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3.200%</w:t>
            </w:r>
          </w:p>
        </w:tc>
        <w:tc>
          <w:tcPr>
            <w:tcW w:w="41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shd w:val="clear" w:color="auto" w:fill="CCEEFF"/>
          </w:tcPr>
          <w:p>
            <w:pPr>
              <w:jc w:val="center"/>
              <w:ind w:right="380"/>
              <w:spacing w:after="0"/>
              <w:rPr>
                <w:sz w:val="20"/>
                <w:szCs w:val="20"/>
                <w:color w:val="auto"/>
              </w:rPr>
            </w:pPr>
            <w:r>
              <w:rPr>
                <w:rFonts w:ascii="Arial" w:cs="Arial" w:eastAsia="Arial" w:hAnsi="Arial"/>
                <w:sz w:val="17"/>
                <w:szCs w:val="17"/>
                <w:color w:val="auto"/>
                <w:w w:val="92"/>
              </w:rPr>
              <w:t>August 21, 2025</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ind w:left="1200"/>
              <w:spacing w:after="0"/>
              <w:rPr>
                <w:sz w:val="20"/>
                <w:szCs w:val="20"/>
                <w:color w:val="auto"/>
              </w:rPr>
            </w:pPr>
            <w:r>
              <w:rPr>
                <w:rFonts w:ascii="Arial" w:cs="Arial" w:eastAsia="Arial" w:hAnsi="Arial"/>
                <w:sz w:val="17"/>
                <w:szCs w:val="17"/>
                <w:color w:val="auto"/>
                <w:w w:val="97"/>
              </w:rPr>
              <w:t>300,000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ind w:left="40"/>
              <w:spacing w:after="0"/>
              <w:rPr>
                <w:sz w:val="20"/>
                <w:szCs w:val="20"/>
                <w:color w:val="auto"/>
              </w:rPr>
            </w:pPr>
            <w:r>
              <w:rPr>
                <w:rFonts w:ascii="Arial" w:cs="Arial" w:eastAsia="Arial" w:hAnsi="Arial"/>
                <w:sz w:val="17"/>
                <w:szCs w:val="17"/>
                <w:color w:val="auto"/>
                <w:w w:val="93"/>
              </w:rPr>
              <w:t>2.300%</w:t>
            </w:r>
          </w:p>
        </w:tc>
        <w:tc>
          <w:tcPr>
            <w:tcW w:w="4160" w:type="dxa"/>
            <w:vAlign w:val="bottom"/>
            <w:gridSpan w:val="4"/>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tcPr>
          <w:p>
            <w:pPr>
              <w:jc w:val="center"/>
              <w:ind w:right="380"/>
              <w:spacing w:after="0"/>
              <w:rPr>
                <w:sz w:val="20"/>
                <w:szCs w:val="20"/>
                <w:color w:val="auto"/>
              </w:rPr>
            </w:pPr>
            <w:r>
              <w:rPr>
                <w:rFonts w:ascii="Arial" w:cs="Arial" w:eastAsia="Arial" w:hAnsi="Arial"/>
                <w:sz w:val="17"/>
                <w:szCs w:val="17"/>
                <w:color w:val="auto"/>
                <w:w w:val="92"/>
              </w:rPr>
              <w:t>August 15, 2026</w:t>
            </w:r>
          </w:p>
        </w:tc>
        <w:tc>
          <w:tcPr>
            <w:tcW w:w="1800" w:type="dxa"/>
            <w:vAlign w:val="bottom"/>
            <w:gridSpan w:val="2"/>
          </w:tcPr>
          <w:p>
            <w:pPr>
              <w:jc w:val="right"/>
              <w:ind w:right="60"/>
              <w:spacing w:after="0"/>
              <w:rPr>
                <w:sz w:val="20"/>
                <w:szCs w:val="20"/>
                <w:color w:val="auto"/>
              </w:rPr>
            </w:pPr>
            <w:r>
              <w:rPr>
                <w:rFonts w:ascii="Arial" w:cs="Arial" w:eastAsia="Arial" w:hAnsi="Arial"/>
                <w:sz w:val="17"/>
                <w:szCs w:val="17"/>
                <w:color w:val="auto"/>
              </w:rPr>
              <w:t>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ind w:left="1200"/>
              <w:spacing w:after="0"/>
              <w:rPr>
                <w:sz w:val="20"/>
                <w:szCs w:val="20"/>
                <w:color w:val="auto"/>
              </w:rPr>
            </w:pPr>
            <w:r>
              <w:rPr>
                <w:rFonts w:ascii="Arial" w:cs="Arial" w:eastAsia="Arial" w:hAnsi="Arial"/>
                <w:sz w:val="17"/>
                <w:szCs w:val="17"/>
                <w:color w:val="auto"/>
                <w:w w:val="97"/>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7.200%</w:t>
            </w:r>
          </w:p>
        </w:tc>
        <w:tc>
          <w:tcPr>
            <w:tcW w:w="41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Debentures</w:t>
            </w:r>
          </w:p>
        </w:tc>
        <w:tc>
          <w:tcPr>
            <w:tcW w:w="2480" w:type="dxa"/>
            <w:vAlign w:val="bottom"/>
            <w:gridSpan w:val="5"/>
            <w:shd w:val="clear" w:color="auto" w:fill="CCEEFF"/>
          </w:tcPr>
          <w:p>
            <w:pPr>
              <w:jc w:val="center"/>
              <w:ind w:right="380"/>
              <w:spacing w:after="0"/>
              <w:rPr>
                <w:sz w:val="20"/>
                <w:szCs w:val="20"/>
                <w:color w:val="auto"/>
              </w:rPr>
            </w:pPr>
            <w:r>
              <w:rPr>
                <w:rFonts w:ascii="Arial" w:cs="Arial" w:eastAsia="Arial" w:hAnsi="Arial"/>
                <w:sz w:val="17"/>
                <w:szCs w:val="17"/>
                <w:color w:val="auto"/>
                <w:w w:val="92"/>
              </w:rPr>
              <w:t>August 15, 2027</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193,639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ind w:left="1200"/>
              <w:spacing w:after="0"/>
              <w:rPr>
                <w:sz w:val="20"/>
                <w:szCs w:val="20"/>
                <w:color w:val="auto"/>
              </w:rPr>
            </w:pPr>
            <w:r>
              <w:rPr>
                <w:rFonts w:ascii="Arial" w:cs="Arial" w:eastAsia="Arial" w:hAnsi="Arial"/>
                <w:sz w:val="17"/>
                <w:szCs w:val="17"/>
                <w:color w:val="auto"/>
                <w:w w:val="97"/>
              </w:rPr>
              <w:t>193,639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ind w:left="40"/>
              <w:spacing w:after="0"/>
              <w:rPr>
                <w:sz w:val="20"/>
                <w:szCs w:val="20"/>
                <w:color w:val="auto"/>
              </w:rPr>
            </w:pPr>
            <w:r>
              <w:rPr>
                <w:rFonts w:ascii="Arial" w:cs="Arial" w:eastAsia="Arial" w:hAnsi="Arial"/>
                <w:sz w:val="17"/>
                <w:szCs w:val="17"/>
                <w:color w:val="auto"/>
                <w:w w:val="93"/>
              </w:rPr>
              <w:t>2.450%</w:t>
            </w:r>
          </w:p>
        </w:tc>
        <w:tc>
          <w:tcPr>
            <w:tcW w:w="4160" w:type="dxa"/>
            <w:vAlign w:val="bottom"/>
            <w:gridSpan w:val="4"/>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tcPr>
          <w:p>
            <w:pPr>
              <w:jc w:val="center"/>
              <w:ind w:right="360"/>
              <w:spacing w:after="0"/>
              <w:rPr>
                <w:sz w:val="20"/>
                <w:szCs w:val="20"/>
                <w:color w:val="auto"/>
              </w:rPr>
            </w:pPr>
            <w:r>
              <w:rPr>
                <w:rFonts w:ascii="Arial" w:cs="Arial" w:eastAsia="Arial" w:hAnsi="Arial"/>
                <w:sz w:val="17"/>
                <w:szCs w:val="17"/>
                <w:color w:val="auto"/>
                <w:w w:val="91"/>
              </w:rPr>
              <w:t>November 15, 2029</w:t>
            </w:r>
          </w:p>
        </w:tc>
        <w:tc>
          <w:tcPr>
            <w:tcW w:w="1800" w:type="dxa"/>
            <w:vAlign w:val="bottom"/>
            <w:gridSpan w:val="2"/>
          </w:tcPr>
          <w:p>
            <w:pPr>
              <w:jc w:val="right"/>
              <w:ind w:right="60"/>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ind w:left="1200"/>
              <w:spacing w:after="0"/>
              <w:rPr>
                <w:sz w:val="20"/>
                <w:szCs w:val="20"/>
                <w:color w:val="auto"/>
              </w:rPr>
            </w:pPr>
            <w:r>
              <w:rPr>
                <w:rFonts w:ascii="Arial" w:cs="Arial" w:eastAsia="Arial" w:hAnsi="Arial"/>
                <w:sz w:val="17"/>
                <w:szCs w:val="17"/>
                <w:color w:val="auto"/>
                <w:w w:val="97"/>
              </w:rPr>
              <w:t>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1.700%</w:t>
            </w:r>
          </w:p>
        </w:tc>
        <w:tc>
          <w:tcPr>
            <w:tcW w:w="41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shd w:val="clear" w:color="auto" w:fill="CCEEFF"/>
          </w:tcPr>
          <w:p>
            <w:pPr>
              <w:jc w:val="center"/>
              <w:ind w:right="360"/>
              <w:spacing w:after="0"/>
              <w:rPr>
                <w:sz w:val="20"/>
                <w:szCs w:val="20"/>
                <w:color w:val="auto"/>
              </w:rPr>
            </w:pPr>
            <w:r>
              <w:rPr>
                <w:rFonts w:ascii="Arial" w:cs="Arial" w:eastAsia="Arial" w:hAnsi="Arial"/>
                <w:sz w:val="17"/>
                <w:szCs w:val="17"/>
                <w:color w:val="auto"/>
                <w:w w:val="89"/>
              </w:rPr>
              <w:t>June 1, 2030</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ind w:left="1200"/>
              <w:spacing w:after="0"/>
              <w:rPr>
                <w:sz w:val="20"/>
                <w:szCs w:val="20"/>
                <w:color w:val="auto"/>
              </w:rPr>
            </w:pPr>
            <w:r>
              <w:rPr>
                <w:rFonts w:ascii="Arial" w:cs="Arial" w:eastAsia="Arial" w:hAnsi="Arial"/>
                <w:sz w:val="17"/>
                <w:szCs w:val="17"/>
                <w:color w:val="auto"/>
                <w:w w:val="97"/>
              </w:rPr>
              <w:t>350,000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ind w:left="40"/>
              <w:spacing w:after="0"/>
              <w:rPr>
                <w:sz w:val="20"/>
                <w:szCs w:val="20"/>
                <w:color w:val="auto"/>
              </w:rPr>
            </w:pPr>
            <w:r>
              <w:rPr>
                <w:rFonts w:ascii="Arial" w:cs="Arial" w:eastAsia="Arial" w:hAnsi="Arial"/>
                <w:sz w:val="17"/>
                <w:szCs w:val="17"/>
                <w:color w:val="auto"/>
                <w:w w:val="93"/>
              </w:rPr>
              <w:t>3.375%</w:t>
            </w:r>
          </w:p>
        </w:tc>
        <w:tc>
          <w:tcPr>
            <w:tcW w:w="4160" w:type="dxa"/>
            <w:vAlign w:val="bottom"/>
            <w:gridSpan w:val="4"/>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tcPr>
          <w:p>
            <w:pPr>
              <w:jc w:val="center"/>
              <w:ind w:right="380"/>
              <w:spacing w:after="0"/>
              <w:rPr>
                <w:sz w:val="20"/>
                <w:szCs w:val="20"/>
                <w:color w:val="auto"/>
              </w:rPr>
            </w:pPr>
            <w:r>
              <w:rPr>
                <w:rFonts w:ascii="Arial" w:cs="Arial" w:eastAsia="Arial" w:hAnsi="Arial"/>
                <w:sz w:val="17"/>
                <w:szCs w:val="17"/>
                <w:color w:val="auto"/>
                <w:w w:val="92"/>
              </w:rPr>
              <w:t>August 15, 2046</w:t>
            </w:r>
          </w:p>
        </w:tc>
        <w:tc>
          <w:tcPr>
            <w:tcW w:w="1800" w:type="dxa"/>
            <w:vAlign w:val="bottom"/>
            <w:gridSpan w:val="2"/>
          </w:tcPr>
          <w:p>
            <w:pPr>
              <w:jc w:val="right"/>
              <w:ind w:right="60"/>
              <w:spacing w:after="0"/>
              <w:rPr>
                <w:sz w:val="20"/>
                <w:szCs w:val="20"/>
                <w:color w:val="auto"/>
              </w:rPr>
            </w:pPr>
            <w:r>
              <w:rPr>
                <w:rFonts w:ascii="Arial" w:cs="Arial" w:eastAsia="Arial" w:hAnsi="Arial"/>
                <w:sz w:val="17"/>
                <w:szCs w:val="17"/>
                <w:color w:val="auto"/>
              </w:rPr>
              <w:t>300,000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ind w:left="1200"/>
              <w:spacing w:after="0"/>
              <w:rPr>
                <w:sz w:val="20"/>
                <w:szCs w:val="20"/>
                <w:color w:val="auto"/>
              </w:rPr>
            </w:pPr>
            <w:r>
              <w:rPr>
                <w:rFonts w:ascii="Arial" w:cs="Arial" w:eastAsia="Arial" w:hAnsi="Arial"/>
                <w:sz w:val="17"/>
                <w:szCs w:val="17"/>
                <w:color w:val="auto"/>
                <w:w w:val="97"/>
              </w:rPr>
              <w:t>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3.125%</w:t>
            </w:r>
          </w:p>
        </w:tc>
        <w:tc>
          <w:tcPr>
            <w:tcW w:w="41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shd w:val="clear" w:color="auto" w:fill="CCEEFF"/>
          </w:tcPr>
          <w:p>
            <w:pPr>
              <w:jc w:val="center"/>
              <w:ind w:right="360"/>
              <w:spacing w:after="0"/>
              <w:rPr>
                <w:sz w:val="20"/>
                <w:szCs w:val="20"/>
                <w:color w:val="auto"/>
              </w:rPr>
            </w:pPr>
            <w:r>
              <w:rPr>
                <w:rFonts w:ascii="Arial" w:cs="Arial" w:eastAsia="Arial" w:hAnsi="Arial"/>
                <w:sz w:val="17"/>
                <w:szCs w:val="17"/>
                <w:color w:val="auto"/>
                <w:w w:val="91"/>
              </w:rPr>
              <w:t>November 15, 2049</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0" w:type="dxa"/>
            <w:vAlign w:val="bottom"/>
            <w:gridSpan w:val="2"/>
          </w:tcPr>
          <w:p>
            <w:pPr>
              <w:ind w:left="40"/>
              <w:spacing w:after="0"/>
              <w:rPr>
                <w:sz w:val="20"/>
                <w:szCs w:val="20"/>
                <w:color w:val="auto"/>
              </w:rPr>
            </w:pPr>
            <w:r>
              <w:rPr>
                <w:rFonts w:ascii="Arial" w:cs="Arial" w:eastAsia="Arial" w:hAnsi="Arial"/>
                <w:sz w:val="17"/>
                <w:szCs w:val="17"/>
                <w:color w:val="auto"/>
                <w:w w:val="93"/>
              </w:rPr>
              <w:t>2.650%</w:t>
            </w:r>
          </w:p>
        </w:tc>
        <w:tc>
          <w:tcPr>
            <w:tcW w:w="4160" w:type="dxa"/>
            <w:vAlign w:val="bottom"/>
            <w:gridSpan w:val="4"/>
          </w:tcPr>
          <w:p>
            <w:pPr>
              <w:ind w:left="20"/>
              <w:spacing w:after="0"/>
              <w:rPr>
                <w:sz w:val="20"/>
                <w:szCs w:val="20"/>
                <w:color w:val="auto"/>
              </w:rPr>
            </w:pPr>
            <w:r>
              <w:rPr>
                <w:rFonts w:ascii="Arial" w:cs="Arial" w:eastAsia="Arial" w:hAnsi="Arial"/>
                <w:sz w:val="17"/>
                <w:szCs w:val="17"/>
                <w:color w:val="auto"/>
              </w:rPr>
              <w:t>Notes</w:t>
            </w:r>
          </w:p>
        </w:tc>
        <w:tc>
          <w:tcPr>
            <w:tcW w:w="2480" w:type="dxa"/>
            <w:vAlign w:val="bottom"/>
            <w:gridSpan w:val="5"/>
          </w:tcPr>
          <w:p>
            <w:pPr>
              <w:jc w:val="center"/>
              <w:ind w:right="360"/>
              <w:spacing w:after="0"/>
              <w:rPr>
                <w:sz w:val="20"/>
                <w:szCs w:val="20"/>
                <w:color w:val="auto"/>
              </w:rPr>
            </w:pPr>
            <w:r>
              <w:rPr>
                <w:rFonts w:ascii="Arial" w:cs="Arial" w:eastAsia="Arial" w:hAnsi="Arial"/>
                <w:sz w:val="17"/>
                <w:szCs w:val="17"/>
                <w:color w:val="auto"/>
                <w:w w:val="89"/>
              </w:rPr>
              <w:t>June 1, 2050</w:t>
            </w:r>
          </w:p>
        </w:tc>
        <w:tc>
          <w:tcPr>
            <w:tcW w:w="1800" w:type="dxa"/>
            <w:vAlign w:val="bottom"/>
            <w:gridSpan w:val="2"/>
          </w:tcPr>
          <w:p>
            <w:pPr>
              <w:jc w:val="right"/>
              <w:ind w:right="80"/>
              <w:spacing w:after="0"/>
              <w:rPr>
                <w:sz w:val="20"/>
                <w:szCs w:val="20"/>
                <w:color w:val="auto"/>
              </w:rPr>
            </w:pPr>
            <w:r>
              <w:rPr>
                <w:rFonts w:ascii="Arial" w:cs="Arial" w:eastAsia="Arial" w:hAnsi="Arial"/>
                <w:sz w:val="17"/>
                <w:szCs w:val="17"/>
                <w:color w:val="auto"/>
              </w:rPr>
              <w:t>350,000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gridSpan w:val="5"/>
            <w:shd w:val="clear" w:color="auto" w:fill="CCEEFF"/>
          </w:tcPr>
          <w:p>
            <w:pPr>
              <w:ind w:left="20"/>
              <w:spacing w:after="0" w:line="181" w:lineRule="exact"/>
              <w:rPr>
                <w:rFonts w:ascii="Arial" w:cs="Arial" w:eastAsia="Arial" w:hAnsi="Arial"/>
                <w:sz w:val="17"/>
                <w:szCs w:val="17"/>
                <w:color w:val="auto"/>
              </w:rPr>
            </w:pPr>
            <w:r>
              <w:rPr>
                <w:rFonts w:ascii="Arial" w:cs="Arial" w:eastAsia="Arial" w:hAnsi="Arial"/>
                <w:sz w:val="17"/>
                <w:szCs w:val="17"/>
                <w:color w:val="auto"/>
              </w:rPr>
              <w:t xml:space="preserve">Finance lease obligations (see </w:t>
            </w:r>
            <w:hyperlink w:anchor="page17">
              <w:r>
                <w:rPr>
                  <w:rFonts w:ascii="Arial" w:cs="Arial" w:eastAsia="Arial" w:hAnsi="Arial"/>
                  <w:sz w:val="17"/>
                  <w:szCs w:val="17"/>
                  <w:color w:val="0000FF"/>
                </w:rPr>
                <w:t>Note 7</w:t>
              </w:r>
            </w:hyperlink>
            <w:r>
              <w:rPr>
                <w:rFonts w:ascii="Arial" w:cs="Arial" w:eastAsia="Arial" w:hAnsi="Arial"/>
                <w:sz w:val="17"/>
                <w:szCs w:val="17"/>
                <w:color w:val="auto"/>
              </w:rPr>
              <w:t>)</w:t>
            </w:r>
          </w:p>
        </w:tc>
        <w:tc>
          <w:tcPr>
            <w:tcW w:w="1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7"/>
                <w:szCs w:val="17"/>
                <w:color w:val="auto"/>
              </w:rPr>
              <w:t>68,601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69,146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740" w:type="dxa"/>
            <w:vAlign w:val="bottom"/>
            <w:gridSpan w:val="5"/>
          </w:tcPr>
          <w:p>
            <w:pPr>
              <w:ind w:left="20"/>
              <w:spacing w:after="0" w:line="168" w:lineRule="exact"/>
              <w:rPr>
                <w:sz w:val="20"/>
                <w:szCs w:val="20"/>
                <w:color w:val="auto"/>
              </w:rPr>
            </w:pPr>
            <w:r>
              <w:rPr>
                <w:rFonts w:ascii="Arial" w:cs="Arial" w:eastAsia="Arial" w:hAnsi="Arial"/>
                <w:sz w:val="17"/>
                <w:szCs w:val="17"/>
                <w:color w:val="auto"/>
              </w:rPr>
              <w:t>Net impact of interest rate swaps, debt issuance costs and</w:t>
            </w: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(21,475)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7"/>
                <w:szCs w:val="17"/>
                <w:color w:val="auto"/>
              </w:rPr>
              <w:t>(23,314)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unamortized debt discounts</w:t>
            </w:r>
          </w:p>
        </w:tc>
        <w:tc>
          <w:tcPr>
            <w:tcW w:w="1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Total long-term debt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4,090,765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5"/>
              </w:rPr>
              <w:t>4,089,471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Less—current portion</w:t>
            </w:r>
          </w:p>
        </w:tc>
        <w:tc>
          <w:tcPr>
            <w:tcW w:w="1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2,328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Long-term portion</w:t>
            </w:r>
          </w:p>
        </w:tc>
        <w:tc>
          <w:tcPr>
            <w:tcW w:w="248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4,088,437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5"/>
              </w:rPr>
              <w:t>4,086,627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7"/>
                <w:szCs w:val="17"/>
                <w:b w:val="1"/>
                <w:bCs w:val="1"/>
                <w:color w:val="auto"/>
              </w:rPr>
              <w:t>Interest Expense</w:t>
            </w: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740" w:type="dxa"/>
            <w:vAlign w:val="bottom"/>
            <w:gridSpan w:val="5"/>
            <w:vMerge w:val="continue"/>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40" w:type="dxa"/>
            <w:vAlign w:val="bottom"/>
            <w:gridSpan w:val="5"/>
          </w:tcPr>
          <w:p>
            <w:pPr>
              <w:spacing w:after="0"/>
              <w:rPr>
                <w:sz w:val="20"/>
                <w:szCs w:val="20"/>
                <w:color w:val="auto"/>
              </w:rPr>
            </w:pPr>
            <w:r>
              <w:rPr>
                <w:rFonts w:ascii="Arial" w:cs="Arial" w:eastAsia="Arial" w:hAnsi="Arial"/>
                <w:sz w:val="17"/>
                <w:szCs w:val="17"/>
                <w:color w:val="auto"/>
              </w:rPr>
              <w:t>Net interest expense consists of the following:</w:t>
            </w: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5"/>
                <w:szCs w:val="15"/>
                <w:b w:val="1"/>
                <w:bCs w:val="1"/>
                <w:color w:val="auto"/>
                <w:w w:val="95"/>
              </w:rPr>
              <w:t>Three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5"/>
                <w:szCs w:val="15"/>
                <w:b w:val="1"/>
                <w:bCs w:val="1"/>
                <w:color w:val="auto"/>
              </w:rPr>
              <w:t>April 3, 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rPr>
              <w:t>April 4, 2021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8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35,371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ind w:left="1320"/>
              <w:spacing w:after="0"/>
              <w:rPr>
                <w:sz w:val="20"/>
                <w:szCs w:val="20"/>
                <w:color w:val="auto"/>
              </w:rPr>
            </w:pPr>
            <w:r>
              <w:rPr>
                <w:rFonts w:ascii="Arial" w:cs="Arial" w:eastAsia="Arial" w:hAnsi="Arial"/>
                <w:sz w:val="17"/>
                <w:szCs w:val="17"/>
                <w:color w:val="auto"/>
                <w:w w:val="92"/>
              </w:rPr>
              <w:t>38,763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Capitalized interest</w:t>
            </w:r>
          </w:p>
        </w:tc>
        <w:tc>
          <w:tcPr>
            <w:tcW w:w="1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(1,835)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(1,717)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ind w:left="1320"/>
              <w:spacing w:after="0"/>
              <w:rPr>
                <w:sz w:val="20"/>
                <w:szCs w:val="20"/>
                <w:color w:val="auto"/>
              </w:rPr>
            </w:pPr>
            <w:r>
              <w:rPr>
                <w:rFonts w:ascii="Arial" w:cs="Arial" w:eastAsia="Arial" w:hAnsi="Arial"/>
                <w:sz w:val="17"/>
                <w:szCs w:val="17"/>
                <w:color w:val="auto"/>
                <w:w w:val="92"/>
              </w:rPr>
              <w:t>37,046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Interest income</w:t>
            </w:r>
          </w:p>
        </w:tc>
        <w:tc>
          <w:tcPr>
            <w:tcW w:w="1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48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33,179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ind w:left="1320"/>
              <w:spacing w:after="0"/>
              <w:rPr>
                <w:sz w:val="20"/>
                <w:szCs w:val="20"/>
                <w:color w:val="auto"/>
              </w:rPr>
            </w:pPr>
            <w:r>
              <w:rPr>
                <w:rFonts w:ascii="Arial" w:cs="Arial" w:eastAsia="Arial" w:hAnsi="Arial"/>
                <w:sz w:val="17"/>
                <w:szCs w:val="17"/>
                <w:color w:val="auto"/>
                <w:w w:val="92"/>
              </w:rPr>
              <w:t>36,436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6956425</wp:posOffset>
            </wp:positionH>
            <wp:positionV relativeFrom="paragraph">
              <wp:posOffset>761365</wp:posOffset>
            </wp:positionV>
            <wp:extent cx="188595" cy="163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392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DERIVATIVE INSTRUMENTS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107" w:lineRule="exact"/>
        <w:rPr>
          <w:sz w:val="20"/>
          <w:szCs w:val="20"/>
          <w:color w:val="auto"/>
        </w:rPr>
      </w:pPr>
    </w:p>
    <w:p>
      <w:pPr>
        <w:jc w:val="both"/>
        <w:ind w:right="340"/>
        <w:spacing w:after="0" w:line="262" w:lineRule="auto"/>
        <w:rPr>
          <w:sz w:val="20"/>
          <w:szCs w:val="20"/>
          <w:color w:val="auto"/>
        </w:rPr>
      </w:pPr>
      <w:r>
        <w:rPr>
          <w:rFonts w:ascii="Arial" w:cs="Arial" w:eastAsia="Arial" w:hAnsi="Arial"/>
          <w:sz w:val="17"/>
          <w:szCs w:val="17"/>
          <w:color w:val="auto"/>
        </w:rPr>
        <w:t>In entering into these contracts, we have assumed the risk that might arise from the possible inability of counterparties to meet the terms of their contracts. We mitigate this risk by entering into exchange-traded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171" w:lineRule="exact"/>
        <w:rPr>
          <w:sz w:val="20"/>
          <w:szCs w:val="20"/>
          <w:color w:val="auto"/>
        </w:rPr>
      </w:pPr>
    </w:p>
    <w:p>
      <w:pPr>
        <w:jc w:val="both"/>
        <w:ind w:right="220"/>
        <w:spacing w:after="0" w:line="290"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$284,752 as of April 3, 2022 and $313,200 as of December 31, 2021.</w:t>
      </w:r>
    </w:p>
    <w:p>
      <w:pPr>
        <w:spacing w:after="0" w:line="107" w:lineRule="exact"/>
        <w:rPr>
          <w:sz w:val="20"/>
          <w:szCs w:val="20"/>
          <w:color w:val="auto"/>
        </w:rPr>
      </w:pPr>
    </w:p>
    <w:p>
      <w:pPr>
        <w:jc w:val="both"/>
        <w:ind w:right="140"/>
        <w:spacing w:after="0" w:line="307" w:lineRule="auto"/>
        <w:rPr>
          <w:rFonts w:ascii="Arial" w:cs="Arial" w:eastAsia="Arial" w:hAnsi="Arial"/>
          <w:sz w:val="15"/>
          <w:szCs w:val="15"/>
          <w:color w:val="auto"/>
        </w:rPr>
      </w:pPr>
      <w:r>
        <w:rPr>
          <w:rFonts w:ascii="Arial" w:cs="Arial" w:eastAsia="Arial" w:hAnsi="Arial"/>
          <w:sz w:val="15"/>
          <w:szCs w:val="15"/>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4">
        <w:r>
          <w:rPr>
            <w:rFonts w:ascii="Arial" w:cs="Arial" w:eastAsia="Arial" w:hAnsi="Arial"/>
            <w:sz w:val="15"/>
            <w:szCs w:val="15"/>
            <w:u w:val="single" w:color="auto"/>
            <w:color w:val="0000FF"/>
          </w:rPr>
          <w:t>Note 13</w:t>
        </w:r>
      </w:hyperlink>
      <w:r>
        <w:rPr>
          <w:rFonts w:ascii="Arial" w:cs="Arial" w:eastAsia="Arial" w:hAnsi="Arial"/>
          <w:sz w:val="15"/>
          <w:szCs w:val="15"/>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Exchange Price Risk</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$149,170 at April 3, 2022 and $94,623 at December 31, 2021.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$2,098 at April 3, 2022 and $2,993 at December 31, 2021. The change in fair value on these instruments is recorded directly in cost of sales or selling, marketing and administrative expense, depending on the nature of the underlying exposure.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Price Risk</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April 3, 2022 and December 31, 2021 was $24,697 and $24,975,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255270</wp:posOffset>
            </wp:positionV>
            <wp:extent cx="188595" cy="163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April 3, 2022 and December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00" w:type="dxa"/>
            <w:vAlign w:val="bottom"/>
            <w:gridSpan w:val="5"/>
          </w:tcPr>
          <w:p>
            <w:pPr>
              <w:ind w:left="880"/>
              <w:spacing w:after="0"/>
              <w:rPr>
                <w:sz w:val="20"/>
                <w:szCs w:val="20"/>
                <w:color w:val="auto"/>
              </w:rPr>
            </w:pPr>
            <w:r>
              <w:rPr>
                <w:rFonts w:ascii="Arial" w:cs="Arial" w:eastAsia="Arial" w:hAnsi="Arial"/>
                <w:sz w:val="17"/>
                <w:szCs w:val="17"/>
                <w:b w:val="1"/>
                <w:bCs w:val="1"/>
                <w:color w:val="auto"/>
              </w:rPr>
              <w:t>April 3, 2022</w:t>
            </w:r>
          </w:p>
        </w:tc>
        <w:tc>
          <w:tcPr>
            <w:tcW w:w="260" w:type="dxa"/>
            <w:vAlign w:val="bottom"/>
          </w:tcPr>
          <w:p>
            <w:pPr>
              <w:spacing w:after="0"/>
              <w:rPr>
                <w:sz w:val="19"/>
                <w:szCs w:val="19"/>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December 31, 2021</w:t>
            </w:r>
          </w:p>
        </w:tc>
      </w:tr>
      <w:tr>
        <w:trPr>
          <w:trHeight w:val="213"/>
        </w:trPr>
        <w:tc>
          <w:tcPr>
            <w:tcW w:w="4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Assets (1)</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Liabilities (1)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Assets (1)</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Liabilities (1)</w:t>
            </w:r>
          </w:p>
        </w:tc>
      </w:tr>
      <w:tr>
        <w:trPr>
          <w:trHeight w:val="19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7"/>
              </w:rPr>
              <w:t>Derivatives designated as cash flow hedging instruments:</w:t>
            </w: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8"/>
        </w:trPr>
        <w:tc>
          <w:tcPr>
            <w:tcW w:w="4620" w:type="dxa"/>
            <w:vAlign w:val="bottom"/>
          </w:tcPr>
          <w:p>
            <w:pPr>
              <w:ind w:left="20"/>
              <w:spacing w:after="0"/>
              <w:rPr>
                <w:sz w:val="20"/>
                <w:szCs w:val="20"/>
                <w:color w:val="auto"/>
              </w:rPr>
            </w:pPr>
            <w:r>
              <w:rPr>
                <w:rFonts w:ascii="Arial" w:cs="Arial" w:eastAsia="Arial" w:hAnsi="Arial"/>
                <w:sz w:val="17"/>
                <w:szCs w:val="17"/>
                <w:color w:val="auto"/>
              </w:rPr>
              <w:t>Foreign exchange contracts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3,525</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2,949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59"/>
        </w:trPr>
        <w:tc>
          <w:tcPr>
            <w:tcW w:w="4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19"/>
        </w:trPr>
        <w:tc>
          <w:tcPr>
            <w:tcW w:w="4620" w:type="dxa"/>
            <w:vAlign w:val="bottom"/>
          </w:tcPr>
          <w:p>
            <w:pPr>
              <w:ind w:left="20"/>
              <w:spacing w:after="0"/>
              <w:rPr>
                <w:sz w:val="20"/>
                <w:szCs w:val="20"/>
                <w:color w:val="auto"/>
              </w:rPr>
            </w:pPr>
            <w:r>
              <w:rPr>
                <w:rFonts w:ascii="Arial" w:cs="Arial" w:eastAsia="Arial" w:hAnsi="Arial"/>
                <w:sz w:val="17"/>
                <w:szCs w:val="17"/>
                <w:b w:val="1"/>
                <w:bCs w:val="1"/>
                <w:color w:val="auto"/>
              </w:rPr>
              <w:t>Derivatives not designated as hedging instruments: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Commodities futures and options (2)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r>
      <w:tr>
        <w:trPr>
          <w:trHeight w:val="218"/>
        </w:trPr>
        <w:tc>
          <w:tcPr>
            <w:tcW w:w="4620" w:type="dxa"/>
            <w:vAlign w:val="bottom"/>
          </w:tcPr>
          <w:p>
            <w:pPr>
              <w:ind w:left="20"/>
              <w:spacing w:after="0"/>
              <w:rPr>
                <w:sz w:val="20"/>
                <w:szCs w:val="20"/>
                <w:color w:val="auto"/>
              </w:rPr>
            </w:pPr>
            <w:r>
              <w:rPr>
                <w:rFonts w:ascii="Arial" w:cs="Arial" w:eastAsia="Arial" w:hAnsi="Arial"/>
                <w:sz w:val="17"/>
                <w:szCs w:val="17"/>
                <w:color w:val="auto"/>
              </w:rPr>
              <w:t>Deferred compensation derivatives</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3,971</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2,592</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5,385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1,376</w:t>
            </w:r>
          </w:p>
        </w:tc>
      </w:tr>
      <w:tr>
        <w:trPr>
          <w:trHeight w:val="23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460" w:right="460" w:hanging="302"/>
        <w:spacing w:after="0" w:line="279" w:lineRule="auto"/>
        <w:tabs>
          <w:tab w:leader="none" w:pos="454" w:val="left"/>
        </w:tabs>
        <w:numPr>
          <w:ilvl w:val="0"/>
          <w:numId w:val="4"/>
        </w:numPr>
        <w:rPr>
          <w:rFonts w:ascii="Arial" w:cs="Arial" w:eastAsia="Arial" w:hAnsi="Arial"/>
          <w:sz w:val="17"/>
          <w:szCs w:val="17"/>
          <w:color w:val="auto"/>
        </w:rPr>
      </w:pPr>
      <w:r>
        <w:rPr>
          <w:rFonts w:ascii="Arial" w:cs="Arial" w:eastAsia="Arial" w:hAnsi="Arial"/>
          <w:sz w:val="17"/>
          <w:szCs w:val="17"/>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9" w:lineRule="exact"/>
        <w:rPr>
          <w:rFonts w:ascii="Arial" w:cs="Arial" w:eastAsia="Arial" w:hAnsi="Arial"/>
          <w:sz w:val="17"/>
          <w:szCs w:val="17"/>
          <w:color w:val="auto"/>
        </w:rPr>
      </w:pPr>
    </w:p>
    <w:p>
      <w:pPr>
        <w:ind w:left="460" w:right="60" w:hanging="302"/>
        <w:spacing w:after="0" w:line="307" w:lineRule="auto"/>
        <w:tabs>
          <w:tab w:leader="none" w:pos="454" w:val="left"/>
        </w:tabs>
        <w:numPr>
          <w:ilvl w:val="0"/>
          <w:numId w:val="4"/>
        </w:numPr>
        <w:rPr>
          <w:rFonts w:ascii="Arial" w:cs="Arial" w:eastAsia="Arial" w:hAnsi="Arial"/>
          <w:sz w:val="15"/>
          <w:szCs w:val="15"/>
          <w:color w:val="auto"/>
        </w:rPr>
      </w:pPr>
      <w:r>
        <w:rPr>
          <w:rFonts w:ascii="Arial" w:cs="Arial" w:eastAsia="Arial" w:hAnsi="Arial"/>
          <w:sz w:val="15"/>
          <w:szCs w:val="15"/>
          <w:color w:val="auto"/>
        </w:rPr>
        <w:t>As of April 3, 2022, amounts reflected on a net basis in liabilities were assets of $62,985 and liabilities of $63,378, which are associated with cash transfers receivable or payable on commodities futures contracts reflecting the change in quoted market prices on the last trading day for the period. The comparable amounts reflected on a net basis in liabilities at December 31, 2021 were assets of $31,774 and liabilities of $32,701. At April 3, 2022 and December 31, 2021, the remaining amount reflected in assets and liabilities related to the fair value of other non-exchange traded derivative instruments,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Statement Impact of Derivative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on the Consolidated Statements of Income for the three months ended April 3, 2022 and April 4, 2021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center"/>
              <w:ind w:right="196"/>
              <w:spacing w:after="0"/>
              <w:rPr>
                <w:sz w:val="20"/>
                <w:szCs w:val="20"/>
                <w:color w:val="auto"/>
              </w:rPr>
            </w:pPr>
            <w:r>
              <w:rPr>
                <w:rFonts w:ascii="Arial" w:cs="Arial" w:eastAsia="Arial" w:hAnsi="Arial"/>
                <w:sz w:val="15"/>
                <w:szCs w:val="15"/>
                <w:b w:val="1"/>
                <w:bCs w:val="1"/>
                <w:color w:val="auto"/>
                <w:w w:val="89"/>
              </w:rPr>
              <w:t>Non-designated Hedges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Cash Flow Hedges</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5"/>
                <w:szCs w:val="15"/>
                <w:b w:val="1"/>
                <w:bCs w:val="1"/>
                <w:color w:val="auto"/>
                <w:w w:val="89"/>
              </w:rPr>
              <w:t>Gains (losses) recognized in income</w:t>
            </w:r>
          </w:p>
        </w:tc>
        <w:tc>
          <w:tcPr>
            <w:tcW w:w="140" w:type="dxa"/>
            <w:vAlign w:val="bottom"/>
          </w:tcPr>
          <w:p>
            <w:pPr>
              <w:spacing w:after="0"/>
              <w:rPr>
                <w:sz w:val="13"/>
                <w:szCs w:val="13"/>
                <w:color w:val="auto"/>
              </w:rPr>
            </w:pPr>
          </w:p>
        </w:tc>
        <w:tc>
          <w:tcPr>
            <w:tcW w:w="2480" w:type="dxa"/>
            <w:vAlign w:val="bottom"/>
            <w:gridSpan w:val="5"/>
            <w:vMerge w:val="restart"/>
          </w:tcPr>
          <w:p>
            <w:pPr>
              <w:jc w:val="center"/>
              <w:ind w:right="260"/>
              <w:spacing w:after="0"/>
              <w:rPr>
                <w:sz w:val="20"/>
                <w:szCs w:val="20"/>
                <w:color w:val="auto"/>
              </w:rPr>
            </w:pPr>
            <w:r>
              <w:rPr>
                <w:rFonts w:ascii="Arial" w:cs="Arial" w:eastAsia="Arial" w:hAnsi="Arial"/>
                <w:sz w:val="15"/>
                <w:szCs w:val="15"/>
                <w:b w:val="1"/>
                <w:bCs w:val="1"/>
                <w:color w:val="auto"/>
                <w:w w:val="90"/>
              </w:rPr>
              <w:t>Gains (losses) recognized in other</w:t>
            </w:r>
          </w:p>
        </w:tc>
        <w:tc>
          <w:tcPr>
            <w:tcW w:w="120" w:type="dxa"/>
            <w:vAlign w:val="bottom"/>
          </w:tcPr>
          <w:p>
            <w:pPr>
              <w:spacing w:after="0"/>
              <w:rPr>
                <w:sz w:val="13"/>
                <w:szCs w:val="13"/>
                <w:color w:val="auto"/>
              </w:rPr>
            </w:pPr>
          </w:p>
        </w:tc>
        <w:tc>
          <w:tcPr>
            <w:tcW w:w="2360" w:type="dxa"/>
            <w:vAlign w:val="bottom"/>
            <w:gridSpan w:val="4"/>
          </w:tcPr>
          <w:p>
            <w:pPr>
              <w:jc w:val="center"/>
              <w:ind w:right="36"/>
              <w:spacing w:after="0" w:line="151" w:lineRule="exact"/>
              <w:rPr>
                <w:sz w:val="20"/>
                <w:szCs w:val="20"/>
                <w:color w:val="auto"/>
              </w:rPr>
            </w:pPr>
            <w:r>
              <w:rPr>
                <w:rFonts w:ascii="Arial" w:cs="Arial" w:eastAsia="Arial" w:hAnsi="Arial"/>
                <w:sz w:val="15"/>
                <w:szCs w:val="15"/>
                <w:b w:val="1"/>
                <w:bCs w:val="1"/>
                <w:color w:val="auto"/>
                <w:w w:val="89"/>
              </w:rPr>
              <w:t>Gains (losses) reclassified from</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4"/>
          </w:tcPr>
          <w:p>
            <w:pPr>
              <w:jc w:val="center"/>
              <w:ind w:right="36"/>
              <w:spacing w:after="0" w:line="155" w:lineRule="exact"/>
              <w:rPr>
                <w:sz w:val="20"/>
                <w:szCs w:val="20"/>
                <w:color w:val="auto"/>
              </w:rPr>
            </w:pPr>
            <w:r>
              <w:rPr>
                <w:rFonts w:ascii="Arial" w:cs="Arial" w:eastAsia="Arial" w:hAnsi="Arial"/>
                <w:sz w:val="15"/>
                <w:szCs w:val="15"/>
                <w:b w:val="1"/>
                <w:bCs w:val="1"/>
                <w:color w:val="auto"/>
                <w:w w:val="97"/>
              </w:rPr>
              <w:t>accumulated OCI (“AOCI”) into</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jc w:val="center"/>
              <w:ind w:left="557"/>
              <w:spacing w:after="0"/>
              <w:rPr>
                <w:sz w:val="20"/>
                <w:szCs w:val="20"/>
                <w:color w:val="auto"/>
              </w:rPr>
            </w:pPr>
            <w:r>
              <w:rPr>
                <w:rFonts w:ascii="Arial" w:cs="Arial" w:eastAsia="Arial" w:hAnsi="Arial"/>
                <w:sz w:val="15"/>
                <w:szCs w:val="15"/>
                <w:b w:val="1"/>
                <w:bCs w:val="1"/>
                <w:color w:val="auto"/>
                <w:w w:val="97"/>
              </w:rPr>
              <w:t>(a)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4"/>
              </w:rPr>
              <w:t>comprehensive income (“OCI”)</w:t>
            </w:r>
          </w:p>
        </w:tc>
        <w:tc>
          <w:tcPr>
            <w:tcW w:w="120" w:type="dxa"/>
            <w:vAlign w:val="bottom"/>
          </w:tcPr>
          <w:p>
            <w:pPr>
              <w:spacing w:after="0"/>
              <w:rPr>
                <w:sz w:val="17"/>
                <w:szCs w:val="17"/>
                <w:color w:val="auto"/>
              </w:rPr>
            </w:pPr>
          </w:p>
        </w:tc>
        <w:tc>
          <w:tcPr>
            <w:tcW w:w="1540" w:type="dxa"/>
            <w:vAlign w:val="bottom"/>
            <w:gridSpan w:val="3"/>
          </w:tcPr>
          <w:p>
            <w:pPr>
              <w:jc w:val="center"/>
              <w:ind w:left="598"/>
              <w:spacing w:after="0"/>
              <w:rPr>
                <w:sz w:val="20"/>
                <w:szCs w:val="20"/>
                <w:color w:val="auto"/>
              </w:rPr>
            </w:pPr>
            <w:r>
              <w:rPr>
                <w:rFonts w:ascii="Arial" w:cs="Arial" w:eastAsia="Arial" w:hAnsi="Arial"/>
                <w:sz w:val="15"/>
                <w:szCs w:val="15"/>
                <w:b w:val="1"/>
                <w:bCs w:val="1"/>
                <w:color w:val="auto"/>
                <w:w w:val="92"/>
              </w:rPr>
              <w:t>income (b)</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Commodities futures and options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Foreign exchange contracts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 agreements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w:t>
            </w:r>
          </w:p>
        </w:tc>
        <w:tc>
          <w:tcPr>
            <w:tcW w:w="0" w:type="dxa"/>
            <w:vAlign w:val="bottom"/>
          </w:tcPr>
          <w:p>
            <w:pPr>
              <w:spacing w:after="0"/>
              <w:rPr>
                <w:sz w:val="1"/>
                <w:szCs w:val="1"/>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Deferred compensation derivatives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ind w:left="320" w:right="40" w:hanging="317"/>
        <w:spacing w:after="0" w:line="266" w:lineRule="auto"/>
        <w:tabs>
          <w:tab w:leader="none" w:pos="317" w:val="left"/>
        </w:tabs>
        <w:numPr>
          <w:ilvl w:val="0"/>
          <w:numId w:val="5"/>
        </w:numPr>
        <w:rPr>
          <w:rFonts w:ascii="Arial" w:cs="Arial" w:eastAsia="Arial" w:hAnsi="Arial"/>
          <w:sz w:val="17"/>
          <w:szCs w:val="17"/>
          <w:color w:val="auto"/>
        </w:rPr>
      </w:pPr>
      <w:r>
        <w:rPr>
          <w:rFonts w:ascii="Arial" w:cs="Arial" w:eastAsia="Arial" w:hAnsi="Arial"/>
          <w:sz w:val="17"/>
          <w:szCs w:val="17"/>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0" w:lineRule="exact"/>
        <w:rPr>
          <w:rFonts w:ascii="Arial" w:cs="Arial" w:eastAsia="Arial" w:hAnsi="Arial"/>
          <w:sz w:val="17"/>
          <w:szCs w:val="17"/>
          <w:color w:val="auto"/>
        </w:rPr>
      </w:pPr>
    </w:p>
    <w:p>
      <w:pPr>
        <w:ind w:left="320" w:right="260" w:hanging="317"/>
        <w:spacing w:after="0" w:line="279" w:lineRule="auto"/>
        <w:tabs>
          <w:tab w:leader="none" w:pos="314" w:val="left"/>
        </w:tabs>
        <w:numPr>
          <w:ilvl w:val="0"/>
          <w:numId w:val="5"/>
        </w:numPr>
        <w:rPr>
          <w:rFonts w:ascii="Arial" w:cs="Arial" w:eastAsia="Arial" w:hAnsi="Arial"/>
          <w:sz w:val="17"/>
          <w:szCs w:val="17"/>
          <w:color w:val="auto"/>
        </w:rPr>
      </w:pPr>
      <w:r>
        <w:rPr>
          <w:rFonts w:ascii="Arial" w:cs="Arial" w:eastAsia="Arial" w:hAnsi="Arial"/>
          <w:sz w:val="17"/>
          <w:szCs w:val="17"/>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251460</wp:posOffset>
            </wp:positionV>
            <wp:extent cx="188595" cy="163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amount of pre-tax net losses on derivative instruments, including interest rate swap agreements and foreign currency forward exchange contracts expected to be reclassified into earnings in the next 12 months was approximately $14,679 as of April 3, 2022. This amount is primarily associated with interest rate swap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 MEASUREMENTS</w:t>
      </w:r>
    </w:p>
    <w:p>
      <w:pPr>
        <w:spacing w:after="0" w:line="9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Based on unadjusted quoted prices for identical assets or liabilities in an active market.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Based on observable market-based inputs or unobservable inputs that are corroborated by market data.</w:t>
      </w:r>
    </w:p>
    <w:p>
      <w:pPr>
        <w:spacing w:after="0" w:line="24" w:lineRule="exact"/>
        <w:rPr>
          <w:sz w:val="20"/>
          <w:szCs w:val="20"/>
          <w:color w:val="auto"/>
        </w:rPr>
      </w:pPr>
    </w:p>
    <w:p>
      <w:pPr>
        <w:ind w:left="20" w:right="120"/>
        <w:spacing w:after="0" w:line="23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Based on unobservable inputs that reflect the entity’s own assumptions about the assumptions that a market participant would use in pricing the asset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any Level 3 financial assets or liabilities, nor were there any transfers between levels during the periods presented.</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assets and liabilities that were measured at fair value in the Consolidated Balance Sheets on a recurring basis as of April 3, 2022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5"/>
                <w:szCs w:val="15"/>
                <w:b w:val="1"/>
                <w:bCs w:val="1"/>
                <w:color w:val="auto"/>
              </w:rPr>
              <w:t>Assets (Liabilities)</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0"/>
        </w:trPr>
        <w:tc>
          <w:tcPr>
            <w:tcW w:w="4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1</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Total</w:t>
            </w:r>
          </w:p>
        </w:tc>
      </w:tr>
      <w:tr>
        <w:trPr>
          <w:trHeight w:val="36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April 3, 2022:</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18"/>
        </w:trPr>
        <w:tc>
          <w:tcPr>
            <w:tcW w:w="4800" w:type="dxa"/>
            <w:vAlign w:val="bottom"/>
            <w:gridSpan w:val="2"/>
          </w:tcPr>
          <w:p>
            <w:pPr>
              <w:ind w:left="20"/>
              <w:spacing w:after="0"/>
              <w:rPr>
                <w:sz w:val="20"/>
                <w:szCs w:val="20"/>
                <w:color w:val="auto"/>
              </w:rPr>
            </w:pPr>
            <w:r>
              <w:rPr>
                <w:rFonts w:ascii="Arial" w:cs="Arial" w:eastAsia="Arial" w:hAnsi="Arial"/>
                <w:sz w:val="17"/>
                <w:szCs w:val="17"/>
                <w:color w:val="auto"/>
              </w:rPr>
              <w:t>Derivative Instruments: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4800" w:type="dxa"/>
            <w:vAlign w:val="bottom"/>
            <w:gridSpan w:val="2"/>
          </w:tcPr>
          <w:p>
            <w:pPr>
              <w:ind w:left="320"/>
              <w:spacing w:after="0"/>
              <w:rPr>
                <w:sz w:val="20"/>
                <w:szCs w:val="20"/>
                <w:color w:val="auto"/>
              </w:rPr>
            </w:pPr>
            <w:r>
              <w:rPr>
                <w:rFonts w:ascii="Arial" w:cs="Arial" w:eastAsia="Arial" w:hAnsi="Arial"/>
                <w:sz w:val="17"/>
                <w:szCs w:val="17"/>
                <w:color w:val="auto"/>
              </w:rPr>
              <w:t>Foreign exchange contracts (1)</w:t>
            </w:r>
          </w:p>
        </w:tc>
        <w:tc>
          <w:tcPr>
            <w:tcW w:w="1040" w:type="dxa"/>
            <w:vAlign w:val="bottom"/>
          </w:tcPr>
          <w:p>
            <w:pPr>
              <w:jc w:val="right"/>
              <w:ind w:right="857"/>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8"/>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rPr>
                <w:sz w:val="18"/>
                <w:szCs w:val="18"/>
                <w:color w:val="auto"/>
              </w:rPr>
            </w:pPr>
          </w:p>
        </w:tc>
        <w:tc>
          <w:tcPr>
            <w:tcW w:w="1140" w:type="dxa"/>
            <w:vAlign w:val="bottom"/>
          </w:tcPr>
          <w:p>
            <w:pPr>
              <w:jc w:val="right"/>
              <w:ind w:right="957"/>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4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3,709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3,709</w:t>
            </w:r>
          </w:p>
        </w:tc>
      </w:tr>
      <w:tr>
        <w:trPr>
          <w:trHeight w:val="218"/>
        </w:trPr>
        <w:tc>
          <w:tcPr>
            <w:tcW w:w="4800" w:type="dxa"/>
            <w:vAlign w:val="bottom"/>
            <w:gridSpan w:val="2"/>
          </w:tcPr>
          <w:p>
            <w:pPr>
              <w:ind w:left="140"/>
              <w:spacing w:after="0"/>
              <w:rPr>
                <w:sz w:val="20"/>
                <w:szCs w:val="20"/>
                <w:color w:val="auto"/>
              </w:rPr>
            </w:pPr>
            <w:r>
              <w:rPr>
                <w:rFonts w:ascii="Arial" w:cs="Arial" w:eastAsia="Arial" w:hAnsi="Arial"/>
                <w:sz w:val="17"/>
                <w:szCs w:val="17"/>
                <w:color w:val="auto"/>
              </w:rPr>
              <w:t>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4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Foreign exchange contracts (1)</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3,525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w:t>
            </w:r>
          </w:p>
        </w:tc>
      </w:tr>
      <w:tr>
        <w:trPr>
          <w:trHeight w:val="218"/>
        </w:trPr>
        <w:tc>
          <w:tcPr>
            <w:tcW w:w="4800" w:type="dxa"/>
            <w:vAlign w:val="bottom"/>
            <w:gridSpan w:val="2"/>
          </w:tcPr>
          <w:p>
            <w:pPr>
              <w:ind w:left="320"/>
              <w:spacing w:after="0"/>
              <w:rPr>
                <w:sz w:val="20"/>
                <w:szCs w:val="20"/>
                <w:color w:val="auto"/>
              </w:rPr>
            </w:pPr>
            <w:r>
              <w:rPr>
                <w:rFonts w:ascii="Arial" w:cs="Arial" w:eastAsia="Arial" w:hAnsi="Arial"/>
                <w:sz w:val="17"/>
                <w:szCs w:val="17"/>
                <w:color w:val="auto"/>
              </w:rPr>
              <w:t>Deferred compensation derivatives (2)</w:t>
            </w:r>
          </w:p>
        </w:tc>
        <w:tc>
          <w:tcPr>
            <w:tcW w:w="1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800</w:t>
            </w:r>
          </w:p>
        </w:tc>
      </w:tr>
      <w:tr>
        <w:trPr>
          <w:trHeight w:val="220"/>
        </w:trPr>
        <w:tc>
          <w:tcPr>
            <w:tcW w:w="4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1,792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r>
      <w:tr>
        <w:trPr>
          <w:trHeight w:val="457"/>
        </w:trPr>
        <w:tc>
          <w:tcPr>
            <w:tcW w:w="48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 2021:</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4800" w:type="dxa"/>
            <w:vAlign w:val="bottom"/>
            <w:gridSpan w:val="2"/>
          </w:tcPr>
          <w:p>
            <w:pPr>
              <w:ind w:left="320"/>
              <w:spacing w:after="0"/>
              <w:rPr>
                <w:sz w:val="20"/>
                <w:szCs w:val="20"/>
                <w:color w:val="auto"/>
              </w:rPr>
            </w:pPr>
            <w:r>
              <w:rPr>
                <w:rFonts w:ascii="Arial" w:cs="Arial" w:eastAsia="Arial" w:hAnsi="Arial"/>
                <w:sz w:val="17"/>
                <w:szCs w:val="17"/>
                <w:color w:val="auto"/>
              </w:rPr>
              <w:t>Foreign exchange contracts (1)</w:t>
            </w:r>
          </w:p>
        </w:tc>
        <w:tc>
          <w:tcPr>
            <w:tcW w:w="1040" w:type="dxa"/>
            <w:vAlign w:val="bottom"/>
          </w:tcPr>
          <w:p>
            <w:pPr>
              <w:jc w:val="right"/>
              <w:ind w:right="857"/>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8"/>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3,499</w:t>
            </w:r>
          </w:p>
        </w:tc>
        <w:tc>
          <w:tcPr>
            <w:tcW w:w="120" w:type="dxa"/>
            <w:vAlign w:val="bottom"/>
          </w:tcPr>
          <w:p>
            <w:pPr>
              <w:spacing w:after="0"/>
              <w:rPr>
                <w:sz w:val="18"/>
                <w:szCs w:val="18"/>
                <w:color w:val="auto"/>
              </w:rPr>
            </w:pPr>
          </w:p>
        </w:tc>
        <w:tc>
          <w:tcPr>
            <w:tcW w:w="1140" w:type="dxa"/>
            <w:vAlign w:val="bottom"/>
          </w:tcPr>
          <w:p>
            <w:pPr>
              <w:jc w:val="right"/>
              <w:ind w:right="957"/>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3,499</w:t>
            </w:r>
          </w:p>
        </w:tc>
      </w:tr>
      <w:tr>
        <w:trPr>
          <w:trHeight w:val="220"/>
        </w:trPr>
        <w:tc>
          <w:tcPr>
            <w:tcW w:w="4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2,412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w:t>
            </w:r>
          </w:p>
        </w:tc>
      </w:tr>
      <w:tr>
        <w:trPr>
          <w:trHeight w:val="218"/>
        </w:trPr>
        <w:tc>
          <w:tcPr>
            <w:tcW w:w="4800" w:type="dxa"/>
            <w:vAlign w:val="bottom"/>
            <w:gridSpan w:val="2"/>
          </w:tcPr>
          <w:p>
            <w:pPr>
              <w:ind w:left="320"/>
              <w:spacing w:after="0"/>
              <w:rPr>
                <w:sz w:val="20"/>
                <w:szCs w:val="20"/>
                <w:color w:val="auto"/>
              </w:rPr>
            </w:pPr>
            <w:r>
              <w:rPr>
                <w:rFonts w:ascii="Arial" w:cs="Arial" w:eastAsia="Arial" w:hAnsi="Arial"/>
                <w:sz w:val="17"/>
                <w:szCs w:val="17"/>
                <w:color w:val="auto"/>
              </w:rPr>
              <w:t>Commodities futures and options (3)</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2,423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2,423</w:t>
            </w:r>
          </w:p>
        </w:tc>
      </w:tr>
      <w:tr>
        <w:trPr>
          <w:trHeight w:val="22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4800" w:type="dxa"/>
            <w:vAlign w:val="bottom"/>
            <w:gridSpan w:val="2"/>
          </w:tcPr>
          <w:p>
            <w:pPr>
              <w:ind w:left="320"/>
              <w:spacing w:after="0"/>
              <w:rPr>
                <w:sz w:val="20"/>
                <w:szCs w:val="20"/>
                <w:color w:val="auto"/>
              </w:rPr>
            </w:pPr>
            <w:r>
              <w:rPr>
                <w:rFonts w:ascii="Arial" w:cs="Arial" w:eastAsia="Arial" w:hAnsi="Arial"/>
                <w:sz w:val="17"/>
                <w:szCs w:val="17"/>
                <w:color w:val="auto"/>
              </w:rPr>
              <w:t>Foreign exchange contracts (1)</w:t>
            </w:r>
          </w:p>
        </w:tc>
        <w:tc>
          <w:tcPr>
            <w:tcW w:w="10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20"/>
        </w:trPr>
        <w:tc>
          <w:tcPr>
            <w:tcW w:w="48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1,376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w:t>
            </w:r>
          </w:p>
        </w:tc>
      </w:tr>
    </w:tbl>
    <w:p>
      <w:pPr>
        <w:spacing w:after="0" w:line="65" w:lineRule="exact"/>
        <w:rPr>
          <w:sz w:val="20"/>
          <w:szCs w:val="20"/>
          <w:color w:val="auto"/>
        </w:rPr>
      </w:pPr>
    </w:p>
    <w:p>
      <w:pPr>
        <w:ind w:left="620" w:right="20" w:hanging="307"/>
        <w:spacing w:after="0" w:line="266" w:lineRule="auto"/>
        <w:tabs>
          <w:tab w:leader="none" w:pos="61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1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commodities futures and options contracts is based on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596265</wp:posOffset>
            </wp:positionV>
            <wp:extent cx="188595" cy="163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Financial Instruments</w:t>
      </w:r>
    </w:p>
    <w:p>
      <w:pPr>
        <w:spacing w:after="0" w:line="15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carrying amounts of cash and cash equivalents, accounts receivable, accounts payable and short-term debt approximated fair values as of April 3, 2022 and December 31, 2021 because of the relatively short maturity of these instruments.</w:t>
      </w:r>
    </w:p>
    <w:p>
      <w:pPr>
        <w:spacing w:after="0" w:line="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tbl>
      <w:tblPr>
        <w:tblLayout w:type="fixed"/>
        <w:tblInd w:w="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Fair Value</w:t>
            </w:r>
          </w:p>
        </w:tc>
        <w:tc>
          <w:tcPr>
            <w:tcW w:w="1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336"/>
              <w:spacing w:after="0"/>
              <w:rPr>
                <w:sz w:val="20"/>
                <w:szCs w:val="20"/>
                <w:color w:val="auto"/>
              </w:rPr>
            </w:pPr>
            <w:r>
              <w:rPr>
                <w:rFonts w:ascii="Arial" w:cs="Arial" w:eastAsia="Arial" w:hAnsi="Arial"/>
                <w:sz w:val="15"/>
                <w:szCs w:val="15"/>
                <w:b w:val="1"/>
                <w:bCs w:val="1"/>
                <w:color w:val="auto"/>
              </w:rPr>
              <w:t>Carrying Value</w:t>
            </w:r>
          </w:p>
        </w:tc>
      </w:tr>
      <w:tr>
        <w:trPr>
          <w:trHeight w:val="200"/>
        </w:trPr>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00" w:type="dxa"/>
            <w:vAlign w:val="bottom"/>
          </w:tcPr>
          <w:p>
            <w:pPr>
              <w:spacing w:after="0"/>
              <w:rPr>
                <w:sz w:val="17"/>
                <w:szCs w:val="17"/>
                <w:color w:val="auto"/>
              </w:rPr>
            </w:pPr>
          </w:p>
        </w:tc>
        <w:tc>
          <w:tcPr>
            <w:tcW w:w="1580" w:type="dxa"/>
            <w:vAlign w:val="bottom"/>
          </w:tcPr>
          <w:p>
            <w:pPr>
              <w:jc w:val="right"/>
              <w:ind w:right="236"/>
              <w:spacing w:after="0"/>
              <w:rPr>
                <w:sz w:val="20"/>
                <w:szCs w:val="20"/>
                <w:color w:val="auto"/>
              </w:rPr>
            </w:pPr>
            <w:r>
              <w:rPr>
                <w:rFonts w:ascii="Arial" w:cs="Arial" w:eastAsia="Arial" w:hAnsi="Arial"/>
                <w:sz w:val="15"/>
                <w:szCs w:val="15"/>
                <w:b w:val="1"/>
                <w:bCs w:val="1"/>
                <w:color w:val="auto"/>
                <w:w w:val="91"/>
              </w:rPr>
              <w:t>December 31, 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Arial" w:cs="Arial" w:eastAsia="Arial" w:hAnsi="Arial"/>
                <w:sz w:val="15"/>
                <w:szCs w:val="15"/>
                <w:b w:val="1"/>
                <w:bCs w:val="1"/>
                <w:color w:val="auto"/>
              </w:rPr>
              <w:t>April 3, 2022</w:t>
            </w:r>
          </w:p>
        </w:tc>
        <w:tc>
          <w:tcPr>
            <w:tcW w:w="220" w:type="dxa"/>
            <w:vAlign w:val="bottom"/>
          </w:tcPr>
          <w:p>
            <w:pPr>
              <w:spacing w:after="0"/>
              <w:rPr>
                <w:sz w:val="17"/>
                <w:szCs w:val="17"/>
                <w:color w:val="auto"/>
              </w:rPr>
            </w:pPr>
          </w:p>
        </w:tc>
        <w:tc>
          <w:tcPr>
            <w:tcW w:w="1640" w:type="dxa"/>
            <w:vAlign w:val="bottom"/>
          </w:tcPr>
          <w:p>
            <w:pPr>
              <w:jc w:val="right"/>
              <w:ind w:right="216"/>
              <w:spacing w:after="0"/>
              <w:rPr>
                <w:sz w:val="20"/>
                <w:szCs w:val="20"/>
                <w:color w:val="auto"/>
              </w:rPr>
            </w:pPr>
            <w:r>
              <w:rPr>
                <w:rFonts w:ascii="Arial" w:cs="Arial" w:eastAsia="Arial" w:hAnsi="Arial"/>
                <w:sz w:val="15"/>
                <w:szCs w:val="15"/>
                <w:b w:val="1"/>
                <w:bCs w:val="1"/>
                <w:color w:val="auto"/>
                <w:w w:val="97"/>
              </w:rPr>
              <w:t>December 31, 2021</w:t>
            </w:r>
          </w:p>
        </w:tc>
      </w:tr>
      <w:tr>
        <w:trPr>
          <w:trHeight w:val="214"/>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portion of long-term debt</w:t>
            </w: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2,844</w:t>
            </w:r>
          </w:p>
        </w:tc>
      </w:tr>
      <w:tr>
        <w:trPr>
          <w:trHeight w:val="218"/>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3,959,621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4,274,304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4,088,437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4,086,627</w:t>
            </w:r>
          </w:p>
        </w:tc>
      </w:tr>
      <w:tr>
        <w:trPr>
          <w:trHeight w:val="23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3,961,949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4,277,148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4,090,765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4,089,471</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Fair Value Measurements</w:t>
      </w:r>
    </w:p>
    <w:p>
      <w:pPr>
        <w:spacing w:after="0" w:line="2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addition to assets and liabilities that are recorded at fair value on a recurring basis, GAAP requires that, under certain circumstances, we also record assets and liabilities at fair value on a nonrecurring basis.</w:t>
      </w:r>
    </w:p>
    <w:p>
      <w:pPr>
        <w:spacing w:after="0" w:line="97" w:lineRule="exact"/>
        <w:rPr>
          <w:sz w:val="20"/>
          <w:szCs w:val="20"/>
          <w:color w:val="auto"/>
        </w:rPr>
      </w:pPr>
    </w:p>
    <w:p>
      <w:pPr>
        <w:ind w:right="80"/>
        <w:spacing w:after="0" w:line="266" w:lineRule="auto"/>
        <w:rPr>
          <w:rFonts w:ascii="Arial" w:cs="Arial" w:eastAsia="Arial" w:hAnsi="Arial"/>
          <w:sz w:val="17"/>
          <w:szCs w:val="17"/>
          <w:color w:val="auto"/>
        </w:rPr>
      </w:pPr>
      <w:r>
        <w:rPr>
          <w:rFonts w:ascii="Arial" w:cs="Arial" w:eastAsia="Arial" w:hAnsi="Arial"/>
          <w:sz w:val="17"/>
          <w:szCs w:val="17"/>
          <w:color w:val="auto"/>
        </w:rPr>
        <w:t xml:space="preserve">In connection with the acquisitions of Pretzels, Dot’s and Lily’s during 2021, as discussed in </w:t>
      </w:r>
      <w:hyperlink w:anchor="page9">
        <w:r>
          <w:rPr>
            <w:rFonts w:ascii="Arial" w:cs="Arial" w:eastAsia="Arial" w:hAnsi="Arial"/>
            <w:sz w:val="17"/>
            <w:szCs w:val="17"/>
            <w:u w:val="single" w:color="auto"/>
            <w:color w:val="0000FF"/>
          </w:rPr>
          <w:t>Note 2</w:t>
        </w:r>
      </w:hyperlink>
      <w:r>
        <w:rPr>
          <w:rFonts w:ascii="Arial" w:cs="Arial" w:eastAsia="Arial" w:hAnsi="Arial"/>
          <w:sz w:val="17"/>
          <w:szCs w:val="17"/>
          <w:color w:val="auto"/>
        </w:rPr>
        <w:t>, we used various valuation techniques to determine fair value, with the primary techniques being discounted cash flow analysis and the relief-from-royalty, a form of the multi-period excess earnings, which use significant unobservable inputs, or Level 3 inputs, as defined by the fair value hierarchy.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April 3, 2022 and April 4, 2021, we recorded no impairment charges.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46"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We lease office and retail space, warehouse and distribution facilities, land, vehicles, and equipment. We determine if an agreement is or contains a lease at inception. Leases with an initial term of 12 months or less are not recorded on the consolidated balance sheet.</w:t>
      </w:r>
    </w:p>
    <w:p>
      <w:pPr>
        <w:spacing w:after="0" w:line="10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1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most of our leases do not provide an implicit rate, we use our estimated incremental borrowing rate in determining the present value of lease payments. The estimated incremental borrowing rate is derived from information available at the lease commencement date.</w:t>
      </w:r>
    </w:p>
    <w:p>
      <w:pPr>
        <w:spacing w:after="0" w:line="8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11"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and non-lease components based upon relative standalone prices either observable or estimated if observable prices are not readily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323215</wp:posOffset>
            </wp:positionV>
            <wp:extent cx="188595" cy="163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for the three months ended April 3, 2022 and April 4, 2021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4"/>
          </w:tcPr>
          <w:p>
            <w:pPr>
              <w:jc w:val="right"/>
              <w:ind w:right="1356"/>
              <w:spacing w:after="0"/>
              <w:rPr>
                <w:sz w:val="20"/>
                <w:szCs w:val="20"/>
                <w:color w:val="auto"/>
              </w:rPr>
            </w:pPr>
            <w:r>
              <w:rPr>
                <w:rFonts w:ascii="Arial" w:cs="Arial" w:eastAsia="Arial" w:hAnsi="Arial"/>
                <w:sz w:val="15"/>
                <w:szCs w:val="15"/>
                <w:b w:val="1"/>
                <w:bCs w:val="1"/>
                <w:color w:val="auto"/>
              </w:rPr>
              <w:t>Three Months Ended</w:t>
            </w:r>
          </w:p>
        </w:tc>
      </w:tr>
      <w:tr>
        <w:trPr>
          <w:trHeight w:val="20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Lease expense</w:t>
            </w:r>
          </w:p>
        </w:tc>
        <w:tc>
          <w:tcPr>
            <w:tcW w:w="120" w:type="dxa"/>
            <w:vAlign w:val="bottom"/>
            <w:tcBorders>
              <w:bottom w:val="single" w:sz="8" w:color="CCEEFF"/>
            </w:tcBorders>
          </w:tcPr>
          <w:p>
            <w:pPr>
              <w:spacing w:after="0"/>
              <w:rPr>
                <w:sz w:val="17"/>
                <w:szCs w:val="17"/>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April 3, 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April 4, 2021</w:t>
            </w:r>
          </w:p>
        </w:tc>
      </w:tr>
      <w:tr>
        <w:trPr>
          <w:trHeight w:val="21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sales or SM&amp;A (1)</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11,466</w:t>
            </w:r>
          </w:p>
        </w:tc>
      </w:tr>
      <w:tr>
        <w:trPr>
          <w:trHeight w:val="218"/>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Finance lease cost:</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Amortization of ROU assets</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Depreciation and amortization (1)</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w:t>
            </w:r>
          </w:p>
        </w:tc>
      </w:tr>
      <w:tr>
        <w:trPr>
          <w:trHeight w:val="218"/>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Interest on lease liabilities</w:t>
            </w:r>
          </w:p>
        </w:tc>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Interest expense, net</w:t>
            </w: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w:t>
            </w:r>
          </w:p>
        </w:tc>
      </w:tr>
      <w:tr>
        <w:trPr>
          <w:trHeight w:val="23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lease cost (2)</w:t>
            </w: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60" w:hanging="30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Supply chain-related amounts were included in cost of sales.</w:t>
      </w:r>
    </w:p>
    <w:p>
      <w:pPr>
        <w:spacing w:after="0" w:line="62" w:lineRule="exact"/>
        <w:rPr>
          <w:rFonts w:ascii="Arial" w:cs="Arial" w:eastAsia="Arial" w:hAnsi="Arial"/>
          <w:sz w:val="17"/>
          <w:szCs w:val="17"/>
          <w:color w:val="auto"/>
        </w:rPr>
      </w:pPr>
    </w:p>
    <w:p>
      <w:pPr>
        <w:ind w:right="2680" w:firstLine="158"/>
        <w:spacing w:after="0" w:line="307" w:lineRule="auto"/>
        <w:tabs>
          <w:tab w:leader="none" w:pos="458"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lease cost does not include short-term leases, variable lease costs or sublease income, all of which are immaterial. Information regarding our lease terms and discount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April 3, 2022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December 31, 2021</w:t>
            </w: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18"/>
        </w:trPr>
        <w:tc>
          <w:tcPr>
            <w:tcW w:w="8600" w:type="dxa"/>
            <w:vAlign w:val="bottom"/>
            <w:gridSpan w:val="2"/>
          </w:tcPr>
          <w:p>
            <w:pPr>
              <w:ind w:left="140"/>
              <w:spacing w:after="0"/>
              <w:rPr>
                <w:sz w:val="20"/>
                <w:szCs w:val="20"/>
                <w:color w:val="auto"/>
              </w:rPr>
            </w:pPr>
            <w:r>
              <w:rPr>
                <w:rFonts w:ascii="Arial" w:cs="Arial" w:eastAsia="Arial" w:hAnsi="Arial"/>
                <w:sz w:val="17"/>
                <w:szCs w:val="17"/>
                <w:color w:val="auto"/>
              </w:rPr>
              <w:t>Operating leases</w:t>
            </w:r>
          </w:p>
        </w:tc>
        <w:tc>
          <w:tcPr>
            <w:tcW w:w="500" w:type="dxa"/>
            <w:vAlign w:val="bottom"/>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20"/>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58"/>
        </w:trPr>
        <w:tc>
          <w:tcPr>
            <w:tcW w:w="7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1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discount rate</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18"/>
        </w:trPr>
        <w:tc>
          <w:tcPr>
            <w:tcW w:w="8600" w:type="dxa"/>
            <w:vAlign w:val="bottom"/>
            <w:gridSpan w:val="2"/>
          </w:tcPr>
          <w:p>
            <w:pPr>
              <w:ind w:left="140"/>
              <w:spacing w:after="0"/>
              <w:rPr>
                <w:sz w:val="20"/>
                <w:szCs w:val="20"/>
                <w:color w:val="auto"/>
              </w:rPr>
            </w:pPr>
            <w:r>
              <w:rPr>
                <w:rFonts w:ascii="Arial" w:cs="Arial" w:eastAsia="Arial" w:hAnsi="Arial"/>
                <w:sz w:val="17"/>
                <w:szCs w:val="17"/>
                <w:color w:val="auto"/>
              </w:rPr>
              <w:t>Operating leases</w:t>
            </w:r>
          </w:p>
        </w:tc>
        <w:tc>
          <w:tcPr>
            <w:tcW w:w="500" w:type="dxa"/>
            <w:vAlign w:val="bottom"/>
          </w:tcPr>
          <w:p>
            <w:pPr>
              <w:jc w:val="right"/>
              <w:spacing w:after="0"/>
              <w:rPr>
                <w:sz w:val="20"/>
                <w:szCs w:val="20"/>
                <w:color w:val="auto"/>
              </w:rPr>
            </w:pPr>
            <w:r>
              <w:rPr>
                <w:rFonts w:ascii="Arial" w:cs="Arial" w:eastAsia="Arial" w:hAnsi="Arial"/>
                <w:sz w:val="17"/>
                <w:szCs w:val="17"/>
                <w:color w:val="auto"/>
              </w:rPr>
              <w:t>3.1 %</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leases were as follows:</w:t>
      </w: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Leases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Operating lease ROU assets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Accumulated amortization</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Finance lease ROU assets, net</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leased assets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Liabilities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Current</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Finance</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Non-current</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lease liabilities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35"/>
              <w:spacing w:after="0"/>
              <w:rPr>
                <w:sz w:val="20"/>
                <w:szCs w:val="20"/>
                <w:color w:val="auto"/>
              </w:rPr>
            </w:pPr>
            <w:r>
              <w:rPr>
                <w:rFonts w:ascii="Arial" w:cs="Arial" w:eastAsia="Arial" w:hAnsi="Arial"/>
                <w:sz w:val="15"/>
                <w:szCs w:val="15"/>
                <w:b w:val="1"/>
                <w:bCs w:val="1"/>
                <w:color w:val="auto"/>
              </w:rPr>
              <w:t>April 3, 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w w:val="99"/>
              </w:rPr>
              <w:t>December 31, 2021</w:t>
            </w:r>
          </w:p>
        </w:tc>
      </w:tr>
      <w:tr>
        <w:trPr>
          <w:trHeight w:val="432"/>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Other non-current assets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352,385</w:t>
            </w:r>
          </w:p>
        </w:tc>
        <w:tc>
          <w:tcPr>
            <w:tcW w:w="12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351,712</w:t>
            </w:r>
          </w:p>
        </w:tc>
      </w:tr>
      <w:tr>
        <w:trPr>
          <w:trHeight w:val="477"/>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gross</w:t>
            </w: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86,192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89,190</w:t>
            </w:r>
          </w:p>
        </w:tc>
      </w:tr>
      <w:tr>
        <w:trPr>
          <w:trHeight w:val="219"/>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Accumulated depreciation</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(16,694)</w:t>
            </w:r>
          </w:p>
        </w:tc>
      </w:tr>
      <w:tr>
        <w:trPr>
          <w:trHeight w:val="212"/>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70,737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72,496</w:t>
            </w:r>
          </w:p>
        </w:tc>
      </w:tr>
      <w:tr>
        <w:trPr>
          <w:trHeight w:val="259"/>
        </w:trPr>
        <w:tc>
          <w:tcPr>
            <w:tcW w:w="3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11"/>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423,122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424,208</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880"/>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Accrued liabilities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36,481</w:t>
            </w:r>
          </w:p>
        </w:tc>
        <w:tc>
          <w:tcPr>
            <w:tcW w:w="12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36,292</w:t>
            </w:r>
          </w:p>
        </w:tc>
      </w:tr>
      <w:tr>
        <w:trPr>
          <w:trHeight w:val="219"/>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Current portion of long-term debt</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3,564</w:t>
            </w:r>
          </w:p>
        </w:tc>
      </w:tr>
      <w:tr>
        <w:trPr>
          <w:trHeight w:val="438"/>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312,595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310,899</w:t>
            </w:r>
          </w:p>
        </w:tc>
      </w:tr>
      <w:tr>
        <w:trPr>
          <w:trHeight w:val="220"/>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65,566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65,582</w:t>
            </w:r>
          </w:p>
        </w:tc>
      </w:tr>
      <w:tr>
        <w:trPr>
          <w:trHeight w:val="212"/>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417,677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416,337</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-2233930</wp:posOffset>
            </wp:positionV>
            <wp:extent cx="7138670" cy="163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-1931035</wp:posOffset>
            </wp:positionV>
            <wp:extent cx="7138670"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-1644650</wp:posOffset>
            </wp:positionV>
            <wp:extent cx="7138670" cy="163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-1317625</wp:posOffset>
            </wp:positionV>
            <wp:extent cx="7138670" cy="163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-1014730</wp:posOffset>
            </wp:positionV>
            <wp:extent cx="7138670" cy="13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-735965</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-457835</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-179705</wp:posOffset>
            </wp:positionV>
            <wp:extent cx="7138670" cy="163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-2520950</wp:posOffset>
            </wp:positionV>
            <wp:extent cx="7138670" cy="14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466725</wp:posOffset>
            </wp:positionV>
            <wp:extent cx="188595" cy="16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maturity of our lease liabilities as of April 3, 2022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2"/>
          </w:tcPr>
          <w:p>
            <w:pPr>
              <w:ind w:left="260"/>
              <w:spacing w:after="0"/>
              <w:rPr>
                <w:sz w:val="20"/>
                <w:szCs w:val="20"/>
                <w:color w:val="auto"/>
              </w:rPr>
            </w:pPr>
            <w:r>
              <w:rPr>
                <w:rFonts w:ascii="Arial" w:cs="Arial" w:eastAsia="Arial" w:hAnsi="Arial"/>
                <w:sz w:val="15"/>
                <w:szCs w:val="15"/>
                <w:b w:val="1"/>
                <w:bCs w:val="1"/>
                <w:color w:val="auto"/>
              </w:rPr>
              <w:t>Operating leases</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Finance leases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jc w:val="right"/>
              <w:ind w:right="915"/>
              <w:spacing w:after="0"/>
              <w:rPr>
                <w:sz w:val="20"/>
                <w:szCs w:val="20"/>
                <w:color w:val="auto"/>
              </w:rPr>
            </w:pPr>
            <w:r>
              <w:rPr>
                <w:rFonts w:ascii="Arial" w:cs="Arial" w:eastAsia="Arial" w:hAnsi="Arial"/>
                <w:sz w:val="15"/>
                <w:szCs w:val="15"/>
                <w:b w:val="1"/>
                <w:bCs w:val="1"/>
                <w:color w:val="auto"/>
              </w:rPr>
              <w:t>Total</w:t>
            </w:r>
          </w:p>
        </w:tc>
      </w:tr>
      <w:tr>
        <w:trPr>
          <w:trHeight w:val="21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 (rest of year)</w:t>
            </w: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33,111</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497"/>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5,357</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38,468</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2023</w:t>
            </w: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40,271</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5,363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45,634</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37,169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41,504</w:t>
            </w: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2025</w:t>
            </w: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26,127</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30,219</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3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26,292</w:t>
            </w:r>
          </w:p>
        </w:tc>
      </w:tr>
      <w:tr>
        <w:trPr>
          <w:trHeight w:val="218"/>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284,648</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146,085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430,733</w:t>
            </w:r>
          </w:p>
        </w:tc>
      </w:tr>
      <w:tr>
        <w:trPr>
          <w:trHeight w:val="213"/>
        </w:trPr>
        <w:tc>
          <w:tcPr>
            <w:tcW w:w="3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lease payments</w:t>
            </w: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443,613</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169,237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612,850</w:t>
            </w:r>
          </w:p>
        </w:tc>
      </w:tr>
      <w:tr>
        <w:trPr>
          <w:trHeight w:val="218"/>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94,537</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100,636</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195,173</w:t>
            </w:r>
          </w:p>
        </w:tc>
      </w:tr>
      <w:tr>
        <w:trPr>
          <w:trHeight w:val="238"/>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lease liabilities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349,076</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497"/>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68,601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417,677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and other information related to leases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5"/>
                <w:szCs w:val="15"/>
                <w:b w:val="1"/>
                <w:bCs w:val="1"/>
                <w:color w:val="auto"/>
              </w:rPr>
              <w:t>Three Months Ended</w:t>
            </w:r>
          </w:p>
        </w:tc>
        <w:tc>
          <w:tcPr>
            <w:tcW w:w="540" w:type="dxa"/>
            <w:vAlign w:val="bottom"/>
            <w:tcBorders>
              <w:bottom w:val="single" w:sz="8" w:color="auto"/>
            </w:tcBorders>
          </w:tcPr>
          <w:p>
            <w:pPr>
              <w:spacing w:after="0"/>
              <w:rPr>
                <w:sz w:val="17"/>
                <w:szCs w:val="17"/>
                <w:color w:val="auto"/>
              </w:rPr>
            </w:pPr>
          </w:p>
        </w:tc>
      </w:tr>
      <w:tr>
        <w:trPr>
          <w:trHeight w:val="200"/>
        </w:trPr>
        <w:tc>
          <w:tcPr>
            <w:tcW w:w="72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2021</w:t>
            </w:r>
          </w:p>
        </w:tc>
        <w:tc>
          <w:tcPr>
            <w:tcW w:w="540" w:type="dxa"/>
            <w:vAlign w:val="bottom"/>
            <w:tcBorders>
              <w:bottom w:val="single" w:sz="8" w:color="auto"/>
            </w:tcBorders>
          </w:tcPr>
          <w:p>
            <w:pPr>
              <w:spacing w:after="0"/>
              <w:rPr>
                <w:sz w:val="17"/>
                <w:szCs w:val="17"/>
                <w:color w:val="auto"/>
              </w:rPr>
            </w:pPr>
          </w:p>
        </w:tc>
      </w:tr>
      <w:tr>
        <w:trPr>
          <w:trHeight w:val="201"/>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8"/>
        </w:trPr>
        <w:tc>
          <w:tcPr>
            <w:tcW w:w="720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1420" w:type="dxa"/>
            <w:vAlign w:val="bottom"/>
          </w:tcPr>
          <w:p>
            <w:pPr>
              <w:jc w:val="right"/>
              <w:ind w:right="1218"/>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8"/>
              </w:rPr>
              <w:t>11,896</w:t>
            </w:r>
          </w:p>
        </w:tc>
        <w:tc>
          <w:tcPr>
            <w:tcW w:w="120" w:type="dxa"/>
            <w:vAlign w:val="bottom"/>
          </w:tcPr>
          <w:p>
            <w:pPr>
              <w:spacing w:after="0"/>
              <w:rPr>
                <w:sz w:val="18"/>
                <w:szCs w:val="18"/>
                <w:color w:val="auto"/>
              </w:rPr>
            </w:pPr>
          </w:p>
        </w:tc>
        <w:tc>
          <w:tcPr>
            <w:tcW w:w="1420" w:type="dxa"/>
            <w:vAlign w:val="bottom"/>
          </w:tcPr>
          <w:p>
            <w:pPr>
              <w:jc w:val="right"/>
              <w:ind w:right="1237"/>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8"/>
              </w:rPr>
              <w:t>10,932</w:t>
            </w:r>
          </w:p>
        </w:tc>
      </w:tr>
      <w:tr>
        <w:trPr>
          <w:trHeight w:val="220"/>
        </w:trPr>
        <w:tc>
          <w:tcPr>
            <w:tcW w:w="7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cash flows from finance leases</w:t>
            </w: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r>
      <w:tr>
        <w:trPr>
          <w:trHeight w:val="218"/>
        </w:trPr>
        <w:tc>
          <w:tcPr>
            <w:tcW w:w="7200" w:type="dxa"/>
            <w:vAlign w:val="bottom"/>
          </w:tcPr>
          <w:p>
            <w:pPr>
              <w:ind w:left="140"/>
              <w:spacing w:after="0"/>
              <w:rPr>
                <w:sz w:val="20"/>
                <w:szCs w:val="20"/>
                <w:color w:val="auto"/>
              </w:rPr>
            </w:pPr>
            <w:r>
              <w:rPr>
                <w:rFonts w:ascii="Arial" w:cs="Arial" w:eastAsia="Arial" w:hAnsi="Arial"/>
                <w:sz w:val="17"/>
                <w:szCs w:val="17"/>
                <w:color w:val="auto"/>
              </w:rPr>
              <w:t>Financing cash flows from finance leases</w:t>
            </w: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1,148</w:t>
            </w:r>
          </w:p>
        </w:tc>
      </w:tr>
      <w:tr>
        <w:trPr>
          <w:trHeight w:val="259"/>
        </w:trPr>
        <w:tc>
          <w:tcPr>
            <w:tcW w:w="72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ROU assets obtained in exchange for lease liabilities:</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0"/>
        </w:trPr>
        <w:tc>
          <w:tcPr>
            <w:tcW w:w="7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1420" w:type="dxa"/>
            <w:vAlign w:val="bottom"/>
            <w:shd w:val="clear" w:color="auto" w:fill="CCEEFF"/>
          </w:tcPr>
          <w:p>
            <w:pPr>
              <w:jc w:val="right"/>
              <w:ind w:right="121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10,266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7"/>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5,211</w:t>
            </w:r>
          </w:p>
        </w:tc>
      </w:tr>
      <w:tr>
        <w:trPr>
          <w:trHeight w:val="218"/>
        </w:trPr>
        <w:tc>
          <w:tcPr>
            <w:tcW w:w="7200" w:type="dxa"/>
            <w:vAlign w:val="bottom"/>
          </w:tcPr>
          <w:p>
            <w:pPr>
              <w:ind w:left="140"/>
              <w:spacing w:after="0"/>
              <w:rPr>
                <w:sz w:val="20"/>
                <w:szCs w:val="20"/>
                <w:color w:val="auto"/>
              </w:rPr>
            </w:pPr>
            <w:r>
              <w:rPr>
                <w:rFonts w:ascii="Arial" w:cs="Arial" w:eastAsia="Arial" w:hAnsi="Arial"/>
                <w:sz w:val="17"/>
                <w:szCs w:val="17"/>
                <w:color w:val="auto"/>
              </w:rPr>
              <w:t>Finance leases</w:t>
            </w: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436</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INVESTMENTS IN UNCONSOLIDATED AFFILIATES</w:t>
      </w:r>
    </w:p>
    <w:p>
      <w:pPr>
        <w:spacing w:after="0" w:line="107" w:lineRule="exact"/>
        <w:rPr>
          <w:sz w:val="20"/>
          <w:szCs w:val="20"/>
          <w:color w:val="auto"/>
        </w:rPr>
      </w:pPr>
    </w:p>
    <w:p>
      <w:pPr>
        <w:ind w:right="2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We invest in partnerships that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page28">
        <w:r>
          <w:rPr>
            <w:rFonts w:ascii="Arial" w:cs="Arial" w:eastAsia="Arial" w:hAnsi="Arial"/>
            <w:sz w:val="17"/>
            <w:szCs w:val="17"/>
            <w:u w:val="single" w:color="auto"/>
            <w:color w:val="0000FF"/>
          </w:rPr>
          <w:t>Note 17</w:t>
        </w:r>
      </w:hyperlink>
      <w:r>
        <w:rPr>
          <w:rFonts w:ascii="Arial" w:cs="Arial" w:eastAsia="Arial" w:hAnsi="Arial"/>
          <w:sz w:val="17"/>
          <w:szCs w:val="17"/>
          <w:color w:val="auto"/>
        </w:rPr>
        <w:t>).</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9" w:lineRule="exact"/>
        <w:rPr>
          <w:sz w:val="20"/>
          <w:szCs w:val="20"/>
          <w:color w:val="auto"/>
        </w:rPr>
      </w:pPr>
    </w:p>
    <w:p>
      <w:pPr>
        <w:jc w:val="both"/>
        <w:ind w:right="260"/>
        <w:spacing w:after="0" w:line="250"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were $109,380 and $93,089 as of April 3,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553085</wp:posOffset>
            </wp:positionV>
            <wp:extent cx="188595" cy="163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BUSINESS REALIGNMENT ACTIVITIES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5"/>
                <w:szCs w:val="15"/>
                <w:b w:val="1"/>
                <w:bCs w:val="1"/>
                <w:color w:val="auto"/>
              </w:rPr>
              <w:t>Three Months Ended</w:t>
            </w:r>
          </w:p>
        </w:tc>
        <w:tc>
          <w:tcPr>
            <w:tcW w:w="480" w:type="dxa"/>
            <w:vAlign w:val="bottom"/>
            <w:tcBorders>
              <w:bottom w:val="single" w:sz="8" w:color="auto"/>
            </w:tcBorders>
          </w:tcPr>
          <w:p>
            <w:pPr>
              <w:spacing w:after="0"/>
              <w:rPr>
                <w:sz w:val="17"/>
                <w:szCs w:val="17"/>
                <w:color w:val="auto"/>
              </w:rPr>
            </w:pPr>
          </w:p>
        </w:tc>
      </w:tr>
      <w:tr>
        <w:trPr>
          <w:trHeight w:val="200"/>
        </w:trPr>
        <w:tc>
          <w:tcPr>
            <w:tcW w:w="72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2021</w:t>
            </w:r>
          </w:p>
        </w:tc>
        <w:tc>
          <w:tcPr>
            <w:tcW w:w="480" w:type="dxa"/>
            <w:vAlign w:val="bottom"/>
            <w:tcBorders>
              <w:bottom w:val="single" w:sz="8" w:color="auto"/>
            </w:tcBorders>
          </w:tcPr>
          <w:p>
            <w:pPr>
              <w:spacing w:after="0"/>
              <w:rPr>
                <w:sz w:val="17"/>
                <w:szCs w:val="17"/>
                <w:color w:val="auto"/>
              </w:rPr>
            </w:pPr>
          </w:p>
        </w:tc>
      </w:tr>
      <w:tr>
        <w:trPr>
          <w:trHeight w:val="214"/>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1440" w:type="dxa"/>
            <w:vAlign w:val="bottom"/>
            <w:shd w:val="clear" w:color="auto" w:fill="CCEEFF"/>
          </w:tcPr>
          <w:p>
            <w:pPr>
              <w:jc w:val="right"/>
              <w:ind w:right="1238"/>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7"/>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3,995</w:t>
            </w:r>
          </w:p>
        </w:tc>
      </w:tr>
      <w:tr>
        <w:trPr>
          <w:trHeight w:val="218"/>
        </w:trPr>
        <w:tc>
          <w:tcPr>
            <w:tcW w:w="7280" w:type="dxa"/>
            <w:vAlign w:val="bottom"/>
          </w:tcPr>
          <w:p>
            <w:pPr>
              <w:ind w:left="20"/>
              <w:spacing w:after="0"/>
              <w:rPr>
                <w:sz w:val="20"/>
                <w:szCs w:val="20"/>
                <w:color w:val="auto"/>
              </w:rPr>
            </w:pPr>
            <w:r>
              <w:rPr>
                <w:rFonts w:ascii="Arial" w:cs="Arial" w:eastAsia="Arial" w:hAnsi="Arial"/>
                <w:sz w:val="17"/>
                <w:szCs w:val="17"/>
                <w:color w:val="auto"/>
              </w:rPr>
              <w:t>Selling, marketing and administrative expense</w:t>
            </w:r>
          </w:p>
        </w:tc>
        <w:tc>
          <w:tcPr>
            <w:tcW w:w="1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980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1,690</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realignment costs</w:t>
            </w:r>
          </w:p>
        </w:tc>
        <w:tc>
          <w:tcPr>
            <w:tcW w:w="1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1,242</w:t>
            </w:r>
          </w:p>
        </w:tc>
      </w:tr>
      <w:tr>
        <w:trPr>
          <w:trHeight w:val="213"/>
        </w:trPr>
        <w:tc>
          <w:tcPr>
            <w:tcW w:w="7280" w:type="dxa"/>
            <w:vAlign w:val="bottom"/>
          </w:tcPr>
          <w:p>
            <w:pPr>
              <w:ind w:left="20"/>
              <w:spacing w:after="0"/>
              <w:rPr>
                <w:sz w:val="20"/>
                <w:szCs w:val="20"/>
                <w:color w:val="auto"/>
              </w:rPr>
            </w:pPr>
            <w:r>
              <w:rPr>
                <w:rFonts w:ascii="Arial" w:cs="Arial" w:eastAsia="Arial" w:hAnsi="Arial"/>
                <w:sz w:val="17"/>
                <w:szCs w:val="17"/>
                <w:color w:val="auto"/>
              </w:rPr>
              <w:t>Costs associated with business realignment activities</w:t>
            </w:r>
          </w:p>
        </w:tc>
        <w:tc>
          <w:tcPr>
            <w:tcW w:w="1440" w:type="dxa"/>
            <w:vAlign w:val="bottom"/>
            <w:tcBorders>
              <w:bottom w:val="single" w:sz="8" w:color="auto"/>
            </w:tcBorders>
          </w:tcPr>
          <w:p>
            <w:pPr>
              <w:jc w:val="right"/>
              <w:ind w:right="1238"/>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1,281</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1257"/>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6,927</w:t>
            </w:r>
          </w:p>
        </w:tc>
      </w:tr>
      <w:tr>
        <w:trPr>
          <w:trHeight w:val="20"/>
        </w:trPr>
        <w:tc>
          <w:tcPr>
            <w:tcW w:w="7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Costs recorded by program during the three months ended April 3, 2022 and April 4, 2021 related to these activities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5"/>
                <w:szCs w:val="15"/>
                <w:b w:val="1"/>
                <w:bCs w:val="1"/>
                <w:color w:val="auto"/>
              </w:rPr>
              <w:t>Three Months Ended</w:t>
            </w:r>
          </w:p>
        </w:tc>
        <w:tc>
          <w:tcPr>
            <w:tcW w:w="480" w:type="dxa"/>
            <w:vAlign w:val="bottom"/>
            <w:tcBorders>
              <w:bottom w:val="single" w:sz="8" w:color="auto"/>
            </w:tcBorders>
          </w:tcPr>
          <w:p>
            <w:pPr>
              <w:spacing w:after="0"/>
              <w:rPr>
                <w:sz w:val="17"/>
                <w:szCs w:val="17"/>
                <w:color w:val="auto"/>
              </w:rPr>
            </w:pPr>
          </w:p>
        </w:tc>
      </w:tr>
      <w:tr>
        <w:trPr>
          <w:trHeight w:val="200"/>
        </w:trPr>
        <w:tc>
          <w:tcPr>
            <w:tcW w:w="72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2021</w:t>
            </w:r>
          </w:p>
        </w:tc>
        <w:tc>
          <w:tcPr>
            <w:tcW w:w="480" w:type="dxa"/>
            <w:vAlign w:val="bottom"/>
            <w:tcBorders>
              <w:bottom w:val="single" w:sz="8" w:color="auto"/>
            </w:tcBorders>
          </w:tcPr>
          <w:p>
            <w:pPr>
              <w:spacing w:after="0"/>
              <w:rPr>
                <w:sz w:val="17"/>
                <w:szCs w:val="17"/>
                <w:color w:val="auto"/>
              </w:rPr>
            </w:pPr>
          </w:p>
        </w:tc>
      </w:tr>
      <w:tr>
        <w:trPr>
          <w:trHeight w:val="201"/>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Optimization Program:</w:t>
            </w: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8"/>
        </w:trPr>
        <w:tc>
          <w:tcPr>
            <w:tcW w:w="7280" w:type="dxa"/>
            <w:vAlign w:val="bottom"/>
          </w:tcPr>
          <w:p>
            <w:pPr>
              <w:ind w:left="220"/>
              <w:spacing w:after="0"/>
              <w:rPr>
                <w:sz w:val="20"/>
                <w:szCs w:val="20"/>
                <w:color w:val="auto"/>
              </w:rPr>
            </w:pPr>
            <w:r>
              <w:rPr>
                <w:rFonts w:ascii="Arial" w:cs="Arial" w:eastAsia="Arial" w:hAnsi="Arial"/>
                <w:sz w:val="17"/>
                <w:szCs w:val="17"/>
                <w:color w:val="auto"/>
              </w:rPr>
              <w:t>Severance and employee benefit costs</w:t>
            </w:r>
          </w:p>
        </w:tc>
        <w:tc>
          <w:tcPr>
            <w:tcW w:w="1440" w:type="dxa"/>
            <w:vAlign w:val="bottom"/>
          </w:tcPr>
          <w:p>
            <w:pPr>
              <w:jc w:val="right"/>
              <w:ind w:right="1238"/>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8"/>
                <w:szCs w:val="18"/>
                <w:color w:val="auto"/>
              </w:rPr>
            </w:pPr>
          </w:p>
        </w:tc>
        <w:tc>
          <w:tcPr>
            <w:tcW w:w="1440" w:type="dxa"/>
            <w:vAlign w:val="bottom"/>
          </w:tcPr>
          <w:p>
            <w:pPr>
              <w:jc w:val="right"/>
              <w:ind w:right="1257"/>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1,624</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program costs</w:t>
            </w:r>
          </w:p>
        </w:tc>
        <w:tc>
          <w:tcPr>
            <w:tcW w:w="1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1,001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5,303</w:t>
            </w:r>
          </w:p>
        </w:tc>
      </w:tr>
      <w:tr>
        <w:trPr>
          <w:trHeight w:val="213"/>
        </w:trPr>
        <w:tc>
          <w:tcPr>
            <w:tcW w:w="7280" w:type="dxa"/>
            <w:vAlign w:val="bottom"/>
          </w:tcPr>
          <w:p>
            <w:pPr>
              <w:ind w:left="20"/>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auto"/>
            </w:tcBorders>
          </w:tcPr>
          <w:p>
            <w:pPr>
              <w:jc w:val="right"/>
              <w:ind w:right="1238"/>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1,281</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1257"/>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6,927</w:t>
            </w:r>
          </w:p>
        </w:tc>
      </w:tr>
      <w:tr>
        <w:trPr>
          <w:trHeight w:val="20"/>
        </w:trPr>
        <w:tc>
          <w:tcPr>
            <w:tcW w:w="7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Amounts classified as liabilities qualifying as exit and disposal costs primarily represent employee-related and certain third-party service provider charges, however, such amounts at April 3, 2022 are not significant.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2020 International Optimization Program</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International Optimization Program is expected to be completed in early 2023,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segment. However, segment operating results do not include these business realignment expenses because we evaluate segment performance excluding such costs.</w:t>
      </w:r>
    </w:p>
    <w:p>
      <w:pPr>
        <w:spacing w:after="0" w:line="131" w:lineRule="exact"/>
        <w:rPr>
          <w:sz w:val="20"/>
          <w:szCs w:val="20"/>
          <w:color w:val="auto"/>
        </w:rPr>
      </w:pPr>
    </w:p>
    <w:p>
      <w:pPr>
        <w:jc w:val="both"/>
        <w:ind w:right="400"/>
        <w:spacing w:after="0" w:line="290" w:lineRule="auto"/>
        <w:rPr>
          <w:sz w:val="20"/>
          <w:szCs w:val="20"/>
          <w:color w:val="auto"/>
        </w:rPr>
      </w:pPr>
      <w:r>
        <w:rPr>
          <w:rFonts w:ascii="Arial" w:cs="Arial" w:eastAsia="Arial" w:hAnsi="Arial"/>
          <w:sz w:val="16"/>
          <w:szCs w:val="16"/>
          <w:color w:val="auto"/>
        </w:rPr>
        <w:t>For the three months ended April 3, 2022 and April 4, 2021, we recognized total costs associated with the International Optimization Program of $1,281 and $6,927, respectively. These charges predominantly included third-party charges in support of our initiative to transform our China operating model, as well as severance and employee benefit costs. Since inception, we have incurred pre-tax charges to execute the program totaling $47,223.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majority of our taxable income is generated in the United States and taxed at the United States statutory rate of 21%. The effective tax rates for the three months ended April 3, 2022 and April 4, 2021 were 21.2% and 22.8%, respectively. Relative to the statutory rate, the 2022 effective tax rate was impacted by state taxes, partially offset by investment tax credits and the benefit of employee share-based payments.</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and its subsidiaries file tax returns in the United States, including various state and local returns, and in other foreign jurisdictions. We are routinely audited by taxing authorities in our filing jurisdictions, and a number of these disputes are currently underway, including multi-year controversies at various stages of review, negotiation and litigation in Malaysia, Mexico, China, Canada and the United States. The outcome of tax audits cannot be predicted with certainty, including the timing of resolution or potential settlements. If any issues addressed in our tax audits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251460</wp:posOffset>
            </wp:positionV>
            <wp:extent cx="188595" cy="163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color w:val="auto"/>
        </w:rPr>
        <w:t>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$14,531 within the next 12 months because of the expiration of statutes of limitations and settlements of tax audits.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American Rescue Plan Act</w:t>
      </w:r>
    </w:p>
    <w:p>
      <w:pPr>
        <w:spacing w:after="0" w:line="165"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On March 11, 2021, the American Rescue Plan Act (“ARPA”) was signed into law. The ARPA strengthens and extends certain federal programs enacted through the Coronavirus Aid, Relief, and Economic Security (“CARES”) Act and other COVID-19 relief measures, and establishes new federal programs, including provisions on taxes, healthcare and unemployment benefits. The ARPA did not have a material impact on our consolidated financial statements for the three months ended April 4, 2021.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Coronavirus Aid, Relief, and Economic Security Act</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On March 27, 2020, the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three months ended April 4,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PENSION AND OTHER POST-RETIREMENT BENEFIT PLANS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Periodic Benefit Cost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benefit cost for the three months ended April 3, 2022 and April 4, 2021 were as follows:</w:t>
      </w:r>
    </w:p>
    <w:p>
      <w:pPr>
        <w:spacing w:after="0" w:line="138" w:lineRule="exact"/>
        <w:rPr>
          <w:sz w:val="20"/>
          <w:szCs w:val="20"/>
          <w:color w:val="auto"/>
        </w:rPr>
      </w:pPr>
    </w:p>
    <w:p>
      <w:pPr>
        <w:ind w:left="5820"/>
        <w:spacing w:after="0"/>
        <w:tabs>
          <w:tab w:leader="none" w:pos="9160" w:val="left"/>
        </w:tabs>
        <w:rPr>
          <w:sz w:val="20"/>
          <w:szCs w:val="20"/>
          <w:color w:val="auto"/>
        </w:rPr>
      </w:pPr>
      <w:r>
        <w:rPr>
          <w:rFonts w:ascii="Arial" w:cs="Arial" w:eastAsia="Arial" w:hAnsi="Arial"/>
          <w:sz w:val="15"/>
          <w:szCs w:val="15"/>
          <w:b w:val="1"/>
          <w:bCs w:val="1"/>
          <w:color w:val="auto"/>
        </w:rPr>
        <w:t>Pension Benefits</w:t>
      </w:r>
      <w:r>
        <w:rPr>
          <w:sz w:val="20"/>
          <w:szCs w:val="20"/>
          <w:color w:val="auto"/>
        </w:rPr>
        <w:tab/>
      </w:r>
      <w:r>
        <w:rPr>
          <w:rFonts w:ascii="Arial" w:cs="Arial" w:eastAsia="Arial" w:hAnsi="Arial"/>
          <w:sz w:val="13"/>
          <w:szCs w:val="13"/>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22225</wp:posOffset>
            </wp:positionV>
            <wp:extent cx="4101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p>
      <w:pPr>
        <w:jc w:val="center"/>
        <w:ind w:left="506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22225</wp:posOffset>
            </wp:positionV>
            <wp:extent cx="20135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13585" cy="8255"/>
                    </a:xfrm>
                    <a:prstGeom prst="rect">
                      <a:avLst/>
                    </a:prstGeom>
                    <a:noFill/>
                  </pic:spPr>
                </pic:pic>
              </a:graphicData>
            </a:graphic>
          </wp:anchor>
        </w:drawing>
      </w:r>
    </w:p>
    <w:p>
      <w:pPr>
        <w:spacing w:after="0" w:line="27" w:lineRule="exact"/>
        <w:rPr>
          <w:sz w:val="20"/>
          <w:szCs w:val="20"/>
          <w:color w:val="auto"/>
        </w:rPr>
      </w:pPr>
    </w:p>
    <w:p>
      <w:pPr>
        <w:ind w:left="5120"/>
        <w:spacing w:after="0"/>
        <w:tabs>
          <w:tab w:leader="none" w:pos="6740" w:val="left"/>
        </w:tabs>
        <w:rPr>
          <w:sz w:val="20"/>
          <w:szCs w:val="20"/>
          <w:color w:val="auto"/>
        </w:rPr>
      </w:pPr>
      <w:r>
        <w:rPr>
          <w:rFonts w:ascii="Arial" w:cs="Arial" w:eastAsia="Arial" w:hAnsi="Arial"/>
          <w:sz w:val="15"/>
          <w:szCs w:val="15"/>
          <w:b w:val="1"/>
          <w:bCs w:val="1"/>
          <w:color w:val="auto"/>
        </w:rPr>
        <w:t>April 3, 2022</w:t>
      </w:r>
      <w:r>
        <w:rPr>
          <w:sz w:val="20"/>
          <w:szCs w:val="20"/>
          <w:color w:val="auto"/>
        </w:rPr>
        <w:tab/>
      </w:r>
      <w:r>
        <w:rPr>
          <w:rFonts w:ascii="Arial" w:cs="Arial" w:eastAsia="Arial" w:hAnsi="Arial"/>
          <w:sz w:val="14"/>
          <w:szCs w:val="14"/>
          <w:b w:val="1"/>
          <w:bCs w:val="1"/>
          <w:color w:val="auto"/>
        </w:rPr>
        <w:t>April 4, 2021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22225</wp:posOffset>
            </wp:positionV>
            <wp:extent cx="20135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13585" cy="8255"/>
                    </a:xfrm>
                    <a:prstGeom prst="rect">
                      <a:avLst/>
                    </a:prstGeom>
                    <a:noFill/>
                  </pic:spPr>
                </pic:pic>
              </a:graphicData>
            </a:graphic>
          </wp:anchor>
        </w:drawing>
      </w:r>
    </w:p>
    <w:p>
      <w:pPr>
        <w:spacing w:after="0" w:line="27" w:lineRule="exact"/>
        <w:rPr>
          <w:sz w:val="20"/>
          <w:szCs w:val="20"/>
          <w:color w:val="auto"/>
        </w:rPr>
      </w:pPr>
    </w:p>
    <w:p>
      <w:pPr>
        <w:spacing w:after="0"/>
        <w:tabs>
          <w:tab w:leader="none" w:pos="1640" w:val="left"/>
        </w:tabs>
        <w:rPr>
          <w:sz w:val="20"/>
          <w:szCs w:val="20"/>
          <w:color w:val="auto"/>
        </w:rPr>
      </w:pPr>
      <w:r>
        <w:rPr>
          <w:rFonts w:ascii="Arial" w:cs="Arial" w:eastAsia="Arial" w:hAnsi="Arial"/>
          <w:sz w:val="15"/>
          <w:szCs w:val="15"/>
          <w:b w:val="1"/>
          <w:bCs w:val="1"/>
          <w:color w:val="auto"/>
        </w:rPr>
        <w:t>April 3, 2022</w:t>
      </w:r>
      <w:r>
        <w:rPr>
          <w:sz w:val="20"/>
          <w:szCs w:val="20"/>
          <w:color w:val="auto"/>
        </w:rPr>
        <w:tab/>
      </w:r>
      <w:r>
        <w:rPr>
          <w:rFonts w:ascii="Arial" w:cs="Arial" w:eastAsia="Arial" w:hAnsi="Arial"/>
          <w:sz w:val="14"/>
          <w:szCs w:val="14"/>
          <w:b w:val="1"/>
          <w:bCs w:val="1"/>
          <w:color w:val="auto"/>
        </w:rPr>
        <w:t>April 4, 2021</w:t>
      </w:r>
    </w:p>
    <w:p>
      <w:pPr>
        <w:spacing w:after="0" w:line="29"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4,853</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5,489</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5,365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964</w:t>
            </w:r>
          </w:p>
        </w:tc>
      </w:tr>
      <w:tr>
        <w:trPr>
          <w:trHeight w:val="220"/>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(1,413)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(1,536)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net loss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Settlement loss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2,508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periodic benefit cost</w:t>
            </w: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320"/>
        <w:spacing w:after="0" w:line="266" w:lineRule="auto"/>
        <w:rPr>
          <w:sz w:val="20"/>
          <w:szCs w:val="20"/>
          <w:color w:val="auto"/>
        </w:rPr>
      </w:pPr>
      <w:r>
        <w:rPr>
          <w:rFonts w:ascii="Arial" w:cs="Arial" w:eastAsia="Arial" w:hAnsi="Arial"/>
          <w:sz w:val="17"/>
          <w:szCs w:val="17"/>
          <w:color w:val="auto"/>
        </w:rPr>
        <w:t>We made contributions of $3,467 and $4,991 to the pension plans and other benefits plans, respectively, during the first three months of 2022. In the first three months of 2021, we made contributions of $858 and $4,155 to our pension plans and other benefit plans, respectively. The contributions in 2022 and 2021 also included benefit payments from our non-qualified pension plans and post-retirement benefit plans.</w:t>
      </w:r>
    </w:p>
    <w:p>
      <w:pPr>
        <w:spacing w:after="0" w:line="291" w:lineRule="exact"/>
        <w:rPr>
          <w:sz w:val="20"/>
          <w:szCs w:val="20"/>
          <w:color w:val="auto"/>
        </w:rPr>
      </w:pPr>
    </w:p>
    <w:p>
      <w:pPr>
        <w:ind w:right="4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non-service cost components of net periodic benefit cost relating to pension and other post-retirement benefit plans is reflected within other (income) expense, net in the Consolidated Statements of Income (see </w:t>
      </w:r>
      <w:hyperlink w:anchor="page28">
        <w:r>
          <w:rPr>
            <w:rFonts w:ascii="Arial" w:cs="Arial" w:eastAsia="Arial" w:hAnsi="Arial"/>
            <w:sz w:val="17"/>
            <w:szCs w:val="17"/>
            <w:u w:val="single" w:color="auto"/>
            <w:color w:val="0000FF"/>
          </w:rPr>
          <w:t>Note 17</w:t>
        </w:r>
      </w:hyperlink>
      <w:r>
        <w:rPr>
          <w:rFonts w:ascii="Arial" w:cs="Arial" w:eastAsia="Arial" w:hAnsi="Arial"/>
          <w:sz w:val="17"/>
          <w:szCs w:val="17"/>
          <w:color w:val="auto"/>
        </w:rPr>
        <w: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During the first quarter of 2022, we recognized pension settlement charges in our hourly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first quarter 2022 settlements, the related plan assets and liabilities were remeasured using a discount rate as of the remeasurement date that was 107 basis points higher than the rate as of December 31, 2021 and an expected rate of return on plan assets of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255270</wp:posOffset>
            </wp:positionV>
            <wp:extent cx="188595" cy="163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COMPENSATION PLANS</w:t>
      </w:r>
    </w:p>
    <w:p>
      <w:pPr>
        <w:spacing w:after="0" w:line="17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24"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Non-qualified stock options (“stock options”);</w:t>
      </w:r>
    </w:p>
    <w:p>
      <w:pPr>
        <w:spacing w:after="0" w:line="25"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Performance stock units (“PSUs”) and performance stock;</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Stock appreciation rights;</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Restricted stock units (“RSUs”) and restricted stock; and</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8"/>
        </w:numPr>
        <w:rPr>
          <w:rFonts w:ascii="Arial" w:cs="Arial" w:eastAsia="Arial" w:hAnsi="Arial"/>
          <w:sz w:val="21"/>
          <w:szCs w:val="21"/>
          <w:color w:val="auto"/>
        </w:rPr>
      </w:pPr>
      <w:r>
        <w:rPr>
          <w:rFonts w:ascii="Arial" w:cs="Arial" w:eastAsia="Arial" w:hAnsi="Arial"/>
          <w:sz w:val="17"/>
          <w:szCs w:val="17"/>
          <w:color w:val="auto"/>
        </w:rPr>
        <w:t>Other stock-based awards.</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EICP also provides for the deferral of stock-based compensation awards by participants if approved by the Compensation and Human Capital Committee of our Board and if in accordance with an applicable deferred compensation plan of the Company. Currently, the Compensation and Human Capital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3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2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24"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05"/>
        </w:trPr>
        <w:tc>
          <w:tcPr>
            <w:tcW w:w="7240" w:type="dxa"/>
            <w:vAlign w:val="bottom"/>
          </w:tcPr>
          <w:p>
            <w:pPr>
              <w:spacing w:after="0"/>
              <w:rPr>
                <w:sz w:val="17"/>
                <w:szCs w:val="17"/>
                <w:color w:val="auto"/>
              </w:rPr>
            </w:pPr>
          </w:p>
        </w:tc>
        <w:tc>
          <w:tcPr>
            <w:tcW w:w="346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15"/>
                <w:szCs w:val="15"/>
                <w:b w:val="1"/>
                <w:bCs w:val="1"/>
                <w:color w:val="auto"/>
              </w:rPr>
              <w:t>Three Months Ended</w:t>
            </w:r>
          </w:p>
        </w:tc>
        <w:tc>
          <w:tcPr>
            <w:tcW w:w="540" w:type="dxa"/>
            <w:vAlign w:val="bottom"/>
            <w:tcBorders>
              <w:bottom w:val="single" w:sz="8" w:color="auto"/>
            </w:tcBorders>
          </w:tcPr>
          <w:p>
            <w:pPr>
              <w:spacing w:after="0"/>
              <w:rPr>
                <w:sz w:val="17"/>
                <w:szCs w:val="17"/>
                <w:color w:val="auto"/>
              </w:rPr>
            </w:pPr>
          </w:p>
        </w:tc>
      </w:tr>
      <w:tr>
        <w:trPr>
          <w:trHeight w:val="200"/>
        </w:trPr>
        <w:tc>
          <w:tcPr>
            <w:tcW w:w="72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2021</w:t>
            </w:r>
          </w:p>
        </w:tc>
        <w:tc>
          <w:tcPr>
            <w:tcW w:w="540" w:type="dxa"/>
            <w:vAlign w:val="bottom"/>
            <w:tcBorders>
              <w:bottom w:val="single" w:sz="8" w:color="auto"/>
            </w:tcBorders>
          </w:tcPr>
          <w:p>
            <w:pPr>
              <w:spacing w:after="0"/>
              <w:rPr>
                <w:sz w:val="17"/>
                <w:szCs w:val="17"/>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Pre-tax compensation expense</w:t>
            </w:r>
          </w:p>
        </w:tc>
        <w:tc>
          <w:tcPr>
            <w:tcW w:w="1400" w:type="dxa"/>
            <w:vAlign w:val="bottom"/>
            <w:shd w:val="clear" w:color="auto" w:fill="CCEEFF"/>
          </w:tcPr>
          <w:p>
            <w:pPr>
              <w:jc w:val="right"/>
              <w:ind w:right="122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15,337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15,656</w:t>
            </w:r>
          </w:p>
        </w:tc>
      </w:tr>
      <w:tr>
        <w:trPr>
          <w:trHeight w:val="218"/>
        </w:trPr>
        <w:tc>
          <w:tcPr>
            <w:tcW w:w="7240" w:type="dxa"/>
            <w:vAlign w:val="bottom"/>
          </w:tcPr>
          <w:p>
            <w:pPr>
              <w:ind w:left="20"/>
              <w:spacing w:after="0"/>
              <w:rPr>
                <w:sz w:val="20"/>
                <w:szCs w:val="20"/>
                <w:color w:val="auto"/>
              </w:rPr>
            </w:pPr>
            <w:r>
              <w:rPr>
                <w:rFonts w:ascii="Arial" w:cs="Arial" w:eastAsia="Arial" w:hAnsi="Arial"/>
                <w:sz w:val="17"/>
                <w:szCs w:val="17"/>
                <w:color w:val="auto"/>
              </w:rPr>
              <w:t>Related income tax benefit</w:t>
            </w:r>
          </w:p>
        </w:tc>
        <w:tc>
          <w:tcPr>
            <w:tcW w:w="1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3,251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3,523</w:t>
            </w:r>
          </w:p>
        </w:tc>
      </w:tr>
    </w:tbl>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Compensation expenses for stock compensation plans are primarily included in selling, marketing and administrative expense. As of April 3, 2022, total stock-based compensation expense related to non-vested awards not yet recognized was $115,245 and the weighted-average period over which this amount is expected to be recognized was approximately 2.2 years.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exercise price of each stock option awarded under the EICP equals the closing price of our Common Stock on the New York Stock Exchange on the date of</w:t>
      </w:r>
    </w:p>
    <w:p>
      <w:pPr>
        <w:spacing w:after="0" w:line="7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481965</wp:posOffset>
            </wp:positionV>
            <wp:extent cx="188595" cy="163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relating to grants of stock options for the period ended April 3, 2022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80" w:type="dxa"/>
            <w:vAlign w:val="bottom"/>
          </w:tcPr>
          <w:p>
            <w:pPr>
              <w:ind w:left="160"/>
              <w:spacing w:after="0"/>
              <w:rPr>
                <w:sz w:val="20"/>
                <w:szCs w:val="20"/>
                <w:color w:val="auto"/>
              </w:rPr>
            </w:pPr>
            <w:r>
              <w:rPr>
                <w:rFonts w:ascii="Arial" w:cs="Arial" w:eastAsia="Arial" w:hAnsi="Arial"/>
                <w:sz w:val="17"/>
                <w:szCs w:val="17"/>
                <w:b w:val="1"/>
                <w:bCs w:val="1"/>
                <w:color w:val="auto"/>
              </w:rPr>
              <w:t>Weighted-Average</w:t>
            </w: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9"/>
              </w:rPr>
              <w:t>Weighted-Average</w:t>
            </w:r>
          </w:p>
        </w:tc>
        <w:tc>
          <w:tcPr>
            <w:tcW w:w="200" w:type="dxa"/>
            <w:vAlign w:val="bottom"/>
          </w:tcPr>
          <w:p>
            <w:pPr>
              <w:spacing w:after="0"/>
              <w:rPr>
                <w:sz w:val="16"/>
                <w:szCs w:val="16"/>
                <w:color w:val="auto"/>
              </w:rPr>
            </w:pPr>
          </w:p>
        </w:tc>
        <w:tc>
          <w:tcPr>
            <w:tcW w:w="1580" w:type="dxa"/>
            <w:vAlign w:val="bottom"/>
            <w:vMerge w:val="restart"/>
          </w:tcPr>
          <w:p>
            <w:pPr>
              <w:jc w:val="right"/>
              <w:ind w:right="54"/>
              <w:spacing w:after="0"/>
              <w:rPr>
                <w:sz w:val="20"/>
                <w:szCs w:val="20"/>
                <w:color w:val="auto"/>
              </w:rPr>
            </w:pPr>
            <w:r>
              <w:rPr>
                <w:rFonts w:ascii="Arial" w:cs="Arial" w:eastAsia="Arial" w:hAnsi="Arial"/>
                <w:sz w:val="17"/>
                <w:szCs w:val="17"/>
                <w:b w:val="1"/>
                <w:bCs w:val="1"/>
                <w:color w:val="auto"/>
                <w:w w:val="91"/>
              </w:rPr>
              <w:t>Aggregate Intrinsic</w:t>
            </w:r>
          </w:p>
        </w:tc>
        <w:tc>
          <w:tcPr>
            <w:tcW w:w="0" w:type="dxa"/>
            <w:vAlign w:val="bottom"/>
          </w:tcPr>
          <w:p>
            <w:pPr>
              <w:spacing w:after="0"/>
              <w:rPr>
                <w:sz w:val="1"/>
                <w:szCs w:val="1"/>
                <w:color w:val="auto"/>
              </w:rPr>
            </w:pPr>
          </w:p>
        </w:tc>
      </w:tr>
      <w:tr>
        <w:trPr>
          <w:trHeight w:val="168"/>
        </w:trPr>
        <w:tc>
          <w:tcPr>
            <w:tcW w:w="44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Stock Options</w:t>
            </w:r>
          </w:p>
        </w:tc>
        <w:tc>
          <w:tcPr>
            <w:tcW w:w="1700" w:type="dxa"/>
            <w:vAlign w:val="bottom"/>
            <w:vMerge w:val="restart"/>
          </w:tcPr>
          <w:p>
            <w:pPr>
              <w:jc w:val="right"/>
              <w:ind w:right="514"/>
              <w:spacing w:after="0"/>
              <w:rPr>
                <w:sz w:val="20"/>
                <w:szCs w:val="20"/>
                <w:color w:val="auto"/>
              </w:rPr>
            </w:pPr>
            <w:r>
              <w:rPr>
                <w:rFonts w:ascii="Arial" w:cs="Arial" w:eastAsia="Arial" w:hAnsi="Arial"/>
                <w:sz w:val="17"/>
                <w:szCs w:val="17"/>
                <w:b w:val="1"/>
                <w:bCs w:val="1"/>
                <w:color w:val="auto"/>
              </w:rPr>
              <w:t>Shares</w:t>
            </w:r>
          </w:p>
        </w:tc>
        <w:tc>
          <w:tcPr>
            <w:tcW w:w="1780" w:type="dxa"/>
            <w:vAlign w:val="bottom"/>
          </w:tcPr>
          <w:p>
            <w:pPr>
              <w:ind w:left="160"/>
              <w:spacing w:after="0" w:line="167" w:lineRule="exact"/>
              <w:rPr>
                <w:sz w:val="20"/>
                <w:szCs w:val="20"/>
                <w:color w:val="auto"/>
              </w:rPr>
            </w:pPr>
            <w:r>
              <w:rPr>
                <w:rFonts w:ascii="Arial" w:cs="Arial" w:eastAsia="Arial" w:hAnsi="Arial"/>
                <w:sz w:val="17"/>
                <w:szCs w:val="17"/>
                <w:b w:val="1"/>
                <w:bCs w:val="1"/>
                <w:color w:val="auto"/>
              </w:rPr>
              <w:t>Exercise Price (per</w:t>
            </w:r>
          </w:p>
        </w:tc>
        <w:tc>
          <w:tcPr>
            <w:tcW w:w="15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Remaining</w:t>
            </w:r>
          </w:p>
        </w:tc>
        <w:tc>
          <w:tcPr>
            <w:tcW w:w="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440" w:type="dxa"/>
            <w:vAlign w:val="bottom"/>
            <w:tcBorders>
              <w:bottom w:val="single" w:sz="8" w:color="CCEEFF"/>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share)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Contractual Term</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1,332,956</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$102.78</w:t>
            </w:r>
          </w:p>
        </w:tc>
        <w:tc>
          <w:tcPr>
            <w:tcW w:w="1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4.4 years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7"/>
                <w:szCs w:val="17"/>
                <w:color w:val="auto"/>
              </w:rPr>
              <w:t>Granted</w:t>
            </w:r>
          </w:p>
        </w:tc>
        <w:tc>
          <w:tcPr>
            <w:tcW w:w="1700" w:type="dxa"/>
            <w:vAlign w:val="bottom"/>
          </w:tcPr>
          <w:p>
            <w:pPr>
              <w:jc w:val="right"/>
              <w:spacing w:after="0"/>
              <w:rPr>
                <w:sz w:val="20"/>
                <w:szCs w:val="20"/>
                <w:color w:val="auto"/>
              </w:rPr>
            </w:pPr>
            <w:r>
              <w:rPr>
                <w:rFonts w:ascii="Arial" w:cs="Arial" w:eastAsia="Arial" w:hAnsi="Arial"/>
                <w:sz w:val="17"/>
                <w:szCs w:val="17"/>
                <w:color w:val="auto"/>
              </w:rPr>
              <w:t>4,025</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$202.03</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(175,890)</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$96.09</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700" w:type="dxa"/>
            <w:vAlign w:val="bottom"/>
          </w:tcPr>
          <w:p>
            <w:pPr>
              <w:jc w:val="right"/>
              <w:spacing w:after="0"/>
              <w:rPr>
                <w:sz w:val="20"/>
                <w:szCs w:val="20"/>
                <w:color w:val="auto"/>
              </w:rPr>
            </w:pPr>
            <w:r>
              <w:rPr>
                <w:rFonts w:ascii="Arial" w:cs="Arial" w:eastAsia="Arial" w:hAnsi="Arial"/>
                <w:sz w:val="17"/>
                <w:szCs w:val="17"/>
                <w:color w:val="auto"/>
              </w:rPr>
              <w:t>(3,858)</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$102.97</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(1,873)</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$103.07</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7"/>
                <w:szCs w:val="17"/>
                <w:color w:val="auto"/>
              </w:rPr>
              <w:t>Outstanding as of April 3, 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1,155,360</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$104.14</w:t>
            </w:r>
          </w:p>
        </w:tc>
        <w:tc>
          <w:tcPr>
            <w:tcW w:w="1540" w:type="dxa"/>
            <w:vAlign w:val="bottom"/>
          </w:tcPr>
          <w:p>
            <w:pPr>
              <w:jc w:val="center"/>
              <w:spacing w:after="0"/>
              <w:rPr>
                <w:sz w:val="20"/>
                <w:szCs w:val="20"/>
                <w:color w:val="auto"/>
              </w:rPr>
            </w:pPr>
            <w:r>
              <w:rPr>
                <w:rFonts w:ascii="Arial" w:cs="Arial" w:eastAsia="Arial" w:hAnsi="Arial"/>
                <w:sz w:val="17"/>
                <w:szCs w:val="17"/>
                <w:color w:val="auto"/>
                <w:w w:val="88"/>
              </w:rPr>
              <w:t>4.3 years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132,440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exercisable as of April 3,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1,116,149</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$102.49</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4.2 years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129,789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weighted-average fair value of options granted was $37.28 and $24.12 per share for the periods ended April 3, 2022 and April 4, 2021, respectively. The fair value was estimated on the date of grant using a Black-Scholes option-pricing model and the following weighted-average assumptions:</w:t>
      </w:r>
    </w:p>
    <w:p>
      <w:pPr>
        <w:ind w:left="8220"/>
        <w:spacing w:after="0"/>
        <w:rPr>
          <w:sz w:val="20"/>
          <w:szCs w:val="20"/>
          <w:color w:val="auto"/>
        </w:rPr>
      </w:pPr>
      <w:r>
        <w:rPr>
          <w:rFonts w:ascii="Arial" w:cs="Arial" w:eastAsia="Arial" w:hAnsi="Arial"/>
          <w:sz w:val="15"/>
          <w:szCs w:val="15"/>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Borders>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5"/>
                <w:szCs w:val="15"/>
                <w:b w:val="1"/>
                <w:bCs w:val="1"/>
                <w:color w:val="auto"/>
              </w:rPr>
              <w:t>April 3, 2022</w:t>
            </w:r>
          </w:p>
        </w:tc>
        <w:tc>
          <w:tcPr>
            <w:tcW w:w="6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5"/>
                <w:szCs w:val="15"/>
                <w:b w:val="1"/>
                <w:bCs w:val="1"/>
                <w:color w:val="auto"/>
              </w:rPr>
              <w:t>April 4, 2021</w:t>
            </w:r>
          </w:p>
        </w:tc>
      </w:tr>
      <w:tr>
        <w:trPr>
          <w:trHeight w:val="21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 yields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18"/>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600" w:type="dxa"/>
            <w:vAlign w:val="bottom"/>
          </w:tcPr>
          <w:p>
            <w:pPr>
              <w:jc w:val="right"/>
              <w:spacing w:after="0"/>
              <w:rPr>
                <w:sz w:val="20"/>
                <w:szCs w:val="20"/>
                <w:color w:val="auto"/>
              </w:rPr>
            </w:pPr>
            <w:r>
              <w:rPr>
                <w:rFonts w:ascii="Arial" w:cs="Arial" w:eastAsia="Arial" w:hAnsi="Arial"/>
                <w:sz w:val="17"/>
                <w:szCs w:val="17"/>
                <w:color w:val="auto"/>
              </w:rPr>
              <w:t>21.1 %</w:t>
            </w: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21.8 %</w:t>
            </w:r>
          </w:p>
        </w:tc>
      </w:tr>
      <w:tr>
        <w:trPr>
          <w:trHeight w:val="22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rates</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8"/>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Expected term in years</w:t>
            </w:r>
          </w:p>
        </w:tc>
        <w:tc>
          <w:tcPr>
            <w:tcW w:w="60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6.3</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was $18,814 and $9,078 for the periods ended April 3, 2022 and April 4, 2021,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Stock Units and Restricted Stock Units</w:t>
      </w:r>
    </w:p>
    <w:p>
      <w:pPr>
        <w:spacing w:after="0" w:line="171"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Under the EICP, we grant PSUs to select executives and other key employees. Vesting is contingent upon the achievement of certain performance objectives. We grant PSUs over three-year performance cycles. If we meet targets for financial measures at the end of the applicable three-year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97"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 components, we estimate the probability that the performance conditions will be achieved each quarter and adjust compensation expenses accordingly. The performance scores of PSU grants during the three months ended April 3, 2022 and April 4, 2021 can range from 0% to 250% of the targeted amounts.</w:t>
      </w:r>
    </w:p>
    <w:p>
      <w:pPr>
        <w:spacing w:after="0" w:line="1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recognize the compensation expenses associated with PSUs ratably over the three-year term. Compensation expenses are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2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three months ended April 3, 2022 and April 4, 2021, we awarded RSUs to certain executive officers and other key employees under the EICP. We also awarded RSUs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243205</wp:posOffset>
            </wp:positionV>
            <wp:extent cx="188595"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relating to grants of PSUs and RSUs for the period ended April 3, 2022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Performance Stock Units and Restricted Stock Units</w:t>
            </w:r>
          </w:p>
        </w:tc>
        <w:tc>
          <w:tcPr>
            <w:tcW w:w="120" w:type="dxa"/>
            <w:vAlign w:val="bottom"/>
            <w:vMerge w:val="restart"/>
          </w:tcPr>
          <w:p>
            <w:pPr>
              <w:spacing w:after="0"/>
              <w:rPr>
                <w:sz w:val="14"/>
                <w:szCs w:val="14"/>
                <w:color w:val="auto"/>
              </w:rPr>
            </w:pPr>
          </w:p>
        </w:tc>
        <w:tc>
          <w:tcPr>
            <w:tcW w:w="1640" w:type="dxa"/>
            <w:vAlign w:val="bottom"/>
            <w:vMerge w:val="restart"/>
          </w:tcPr>
          <w:p>
            <w:pPr>
              <w:jc w:val="right"/>
              <w:ind w:right="195"/>
              <w:spacing w:after="0"/>
              <w:rPr>
                <w:sz w:val="20"/>
                <w:szCs w:val="20"/>
                <w:color w:val="auto"/>
              </w:rPr>
            </w:pPr>
            <w:r>
              <w:rPr>
                <w:rFonts w:ascii="Arial" w:cs="Arial" w:eastAsia="Arial" w:hAnsi="Arial"/>
                <w:sz w:val="15"/>
                <w:szCs w:val="15"/>
                <w:b w:val="1"/>
                <w:bCs w:val="1"/>
                <w:color w:val="auto"/>
              </w:rPr>
              <w:t>Number of units</w:t>
            </w:r>
          </w:p>
        </w:tc>
        <w:tc>
          <w:tcPr>
            <w:tcW w:w="100" w:type="dxa"/>
            <w:vAlign w:val="bottom"/>
          </w:tcPr>
          <w:p>
            <w:pPr>
              <w:spacing w:after="0"/>
              <w:rPr>
                <w:sz w:val="14"/>
                <w:szCs w:val="14"/>
                <w:color w:val="auto"/>
              </w:rPr>
            </w:pPr>
          </w:p>
        </w:tc>
        <w:tc>
          <w:tcPr>
            <w:tcW w:w="3520" w:type="dxa"/>
            <w:vAlign w:val="bottom"/>
          </w:tcPr>
          <w:p>
            <w:pPr>
              <w:jc w:val="right"/>
              <w:ind w:right="43"/>
              <w:spacing w:after="0"/>
              <w:rPr>
                <w:sz w:val="20"/>
                <w:szCs w:val="20"/>
                <w:color w:val="auto"/>
              </w:rPr>
            </w:pPr>
            <w:r>
              <w:rPr>
                <w:rFonts w:ascii="Arial" w:cs="Arial" w:eastAsia="Arial" w:hAnsi="Arial"/>
                <w:sz w:val="15"/>
                <w:szCs w:val="15"/>
                <w:b w:val="1"/>
                <w:bCs w:val="1"/>
                <w:color w:val="auto"/>
                <w:w w:val="96"/>
              </w:rPr>
              <w:t>Weighted-average grant date fair value for equity</w:t>
            </w:r>
          </w:p>
        </w:tc>
        <w:tc>
          <w:tcPr>
            <w:tcW w:w="0" w:type="dxa"/>
            <w:vAlign w:val="bottom"/>
          </w:tcPr>
          <w:p>
            <w:pPr>
              <w:spacing w:after="0"/>
              <w:rPr>
                <w:sz w:val="1"/>
                <w:szCs w:val="1"/>
                <w:color w:val="auto"/>
              </w:rPr>
            </w:pPr>
          </w:p>
        </w:tc>
      </w:tr>
      <w:tr>
        <w:trPr>
          <w:trHeight w:val="204"/>
        </w:trPr>
        <w:tc>
          <w:tcPr>
            <w:tcW w:w="5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520" w:type="dxa"/>
            <w:vAlign w:val="bottom"/>
            <w:tcBorders>
              <w:bottom w:val="single" w:sz="8" w:color="auto"/>
            </w:tcBorders>
          </w:tcPr>
          <w:p>
            <w:pPr>
              <w:jc w:val="right"/>
              <w:ind w:right="1103"/>
              <w:spacing w:after="0"/>
              <w:rPr>
                <w:sz w:val="20"/>
                <w:szCs w:val="20"/>
                <w:color w:val="auto"/>
              </w:rPr>
            </w:pPr>
            <w:r>
              <w:rPr>
                <w:rFonts w:ascii="Arial" w:cs="Arial" w:eastAsia="Arial" w:hAnsi="Arial"/>
                <w:sz w:val="15"/>
                <w:szCs w:val="15"/>
                <w:b w:val="1"/>
                <w:bCs w:val="1"/>
                <w:color w:val="auto"/>
              </w:rPr>
              <w:t>awards (per unit)</w:t>
            </w:r>
          </w:p>
        </w:tc>
        <w:tc>
          <w:tcPr>
            <w:tcW w:w="0" w:type="dxa"/>
            <w:vAlign w:val="bottom"/>
          </w:tcPr>
          <w:p>
            <w:pPr>
              <w:spacing w:after="0"/>
              <w:rPr>
                <w:sz w:val="1"/>
                <w:szCs w:val="1"/>
                <w:color w:val="auto"/>
              </w:rPr>
            </w:pPr>
          </w:p>
        </w:tc>
      </w:tr>
      <w:tr>
        <w:trPr>
          <w:trHeight w:val="214"/>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1,303,521</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$146.96</w:t>
            </w:r>
          </w:p>
        </w:tc>
        <w:tc>
          <w:tcPr>
            <w:tcW w:w="0" w:type="dxa"/>
            <w:vAlign w:val="bottom"/>
          </w:tcPr>
          <w:p>
            <w:pPr>
              <w:spacing w:after="0"/>
              <w:rPr>
                <w:sz w:val="1"/>
                <w:szCs w:val="1"/>
                <w:color w:val="auto"/>
              </w:rPr>
            </w:pPr>
          </w:p>
        </w:tc>
      </w:tr>
      <w:tr>
        <w:trPr>
          <w:trHeight w:val="218"/>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640" w:type="dxa"/>
            <w:vAlign w:val="bottom"/>
          </w:tcPr>
          <w:p>
            <w:pPr>
              <w:jc w:val="right"/>
              <w:spacing w:after="0"/>
              <w:rPr>
                <w:sz w:val="20"/>
                <w:szCs w:val="20"/>
                <w:color w:val="auto"/>
              </w:rPr>
            </w:pPr>
            <w:r>
              <w:rPr>
                <w:rFonts w:ascii="Arial" w:cs="Arial" w:eastAsia="Arial" w:hAnsi="Arial"/>
                <w:sz w:val="17"/>
                <w:szCs w:val="17"/>
                <w:color w:val="auto"/>
              </w:rPr>
              <w:t>285,563</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$210.42</w:t>
            </w:r>
          </w:p>
        </w:tc>
        <w:tc>
          <w:tcPr>
            <w:tcW w:w="0" w:type="dxa"/>
            <w:vAlign w:val="bottom"/>
          </w:tcPr>
          <w:p>
            <w:pPr>
              <w:spacing w:after="0"/>
              <w:rPr>
                <w:sz w:val="1"/>
                <w:szCs w:val="1"/>
                <w:color w:val="auto"/>
              </w:rPr>
            </w:pPr>
          </w:p>
        </w:tc>
      </w:tr>
      <w:tr>
        <w:trPr>
          <w:trHeight w:val="22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48,296</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$306.82</w:t>
            </w:r>
          </w:p>
        </w:tc>
        <w:tc>
          <w:tcPr>
            <w:tcW w:w="0" w:type="dxa"/>
            <w:vAlign w:val="bottom"/>
          </w:tcPr>
          <w:p>
            <w:pPr>
              <w:spacing w:after="0"/>
              <w:rPr>
                <w:sz w:val="1"/>
                <w:szCs w:val="1"/>
                <w:color w:val="auto"/>
              </w:rPr>
            </w:pPr>
          </w:p>
        </w:tc>
      </w:tr>
      <w:tr>
        <w:trPr>
          <w:trHeight w:val="218"/>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Vested</w:t>
            </w:r>
          </w:p>
        </w:tc>
        <w:tc>
          <w:tcPr>
            <w:tcW w:w="1640" w:type="dxa"/>
            <w:vAlign w:val="bottom"/>
          </w:tcPr>
          <w:p>
            <w:pPr>
              <w:jc w:val="right"/>
              <w:spacing w:after="0"/>
              <w:rPr>
                <w:sz w:val="20"/>
                <w:szCs w:val="20"/>
                <w:color w:val="auto"/>
              </w:rPr>
            </w:pPr>
            <w:r>
              <w:rPr>
                <w:rFonts w:ascii="Arial" w:cs="Arial" w:eastAsia="Arial" w:hAnsi="Arial"/>
                <w:sz w:val="17"/>
                <w:szCs w:val="17"/>
                <w:color w:val="auto"/>
              </w:rPr>
              <w:t>(481,554)</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$129.38</w:t>
            </w:r>
          </w:p>
        </w:tc>
        <w:tc>
          <w:tcPr>
            <w:tcW w:w="0" w:type="dxa"/>
            <w:vAlign w:val="bottom"/>
          </w:tcPr>
          <w:p>
            <w:pPr>
              <w:spacing w:after="0"/>
              <w:rPr>
                <w:sz w:val="1"/>
                <w:szCs w:val="1"/>
                <w:color w:val="auto"/>
              </w:rPr>
            </w:pPr>
          </w:p>
        </w:tc>
      </w:tr>
      <w:tr>
        <w:trPr>
          <w:trHeight w:val="21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(13,372)</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$151.15</w:t>
            </w:r>
          </w:p>
        </w:tc>
        <w:tc>
          <w:tcPr>
            <w:tcW w:w="0" w:type="dxa"/>
            <w:vAlign w:val="bottom"/>
          </w:tcPr>
          <w:p>
            <w:pPr>
              <w:spacing w:after="0"/>
              <w:rPr>
                <w:sz w:val="1"/>
                <w:szCs w:val="1"/>
                <w:color w:val="auto"/>
              </w:rPr>
            </w:pPr>
          </w:p>
        </w:tc>
      </w:tr>
      <w:tr>
        <w:trPr>
          <w:trHeight w:val="213"/>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Outstanding as of April 3, 2022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1,142,454</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$180.18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(1) Reflects the net number of PSUs above and below target levels based on the performance metrics.</w:t>
      </w:r>
    </w:p>
    <w:p>
      <w:pPr>
        <w:spacing w:after="0" w:line="165" w:lineRule="exact"/>
        <w:rPr>
          <w:sz w:val="20"/>
          <w:szCs w:val="20"/>
          <w:color w:val="auto"/>
        </w:rPr>
      </w:pPr>
    </w:p>
    <w:p>
      <w:pPr>
        <w:jc w:val="both"/>
        <w:ind w:right="340"/>
        <w:spacing w:after="0" w:line="266" w:lineRule="auto"/>
        <w:rPr>
          <w:sz w:val="20"/>
          <w:szCs w:val="20"/>
          <w:color w:val="auto"/>
        </w:rPr>
      </w:pPr>
      <w:r>
        <w:rPr>
          <w:rFonts w:ascii="Arial" w:cs="Arial" w:eastAsia="Arial" w:hAnsi="Arial"/>
          <w:sz w:val="17"/>
          <w:szCs w:val="17"/>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Three Months Ended</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6"/>
              <w:spacing w:after="0"/>
              <w:rPr>
                <w:sz w:val="20"/>
                <w:szCs w:val="20"/>
                <w:color w:val="auto"/>
              </w:rPr>
            </w:pPr>
            <w:r>
              <w:rPr>
                <w:rFonts w:ascii="Arial" w:cs="Arial" w:eastAsia="Arial" w:hAnsi="Arial"/>
                <w:sz w:val="15"/>
                <w:szCs w:val="15"/>
                <w:b w:val="1"/>
                <w:bCs w:val="1"/>
                <w:color w:val="auto"/>
                <w:w w:val="99"/>
              </w:rPr>
              <w:t>April 4, 2021</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 granted</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285,563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373,331</w:t>
            </w:r>
          </w:p>
        </w:tc>
        <w:tc>
          <w:tcPr>
            <w:tcW w:w="0" w:type="dxa"/>
            <w:vAlign w:val="bottom"/>
          </w:tcPr>
          <w:p>
            <w:pPr>
              <w:spacing w:after="0"/>
              <w:rPr>
                <w:sz w:val="1"/>
                <w:szCs w:val="1"/>
                <w:color w:val="auto"/>
              </w:rPr>
            </w:pPr>
          </w:p>
        </w:tc>
      </w:tr>
      <w:tr>
        <w:trPr>
          <w:trHeight w:val="218"/>
        </w:trPr>
        <w:tc>
          <w:tcPr>
            <w:tcW w:w="6380" w:type="dxa"/>
            <w:vAlign w:val="bottom"/>
          </w:tcPr>
          <w:p>
            <w:pPr>
              <w:ind w:left="20"/>
              <w:spacing w:after="0"/>
              <w:rPr>
                <w:sz w:val="20"/>
                <w:szCs w:val="20"/>
                <w:color w:val="auto"/>
              </w:rPr>
            </w:pPr>
            <w:r>
              <w:rPr>
                <w:rFonts w:ascii="Arial" w:cs="Arial" w:eastAsia="Arial" w:hAnsi="Arial"/>
                <w:sz w:val="17"/>
                <w:szCs w:val="17"/>
                <w:color w:val="auto"/>
              </w:rPr>
              <w:t>Weighted-average fair value at date of grant</w:t>
            </w:r>
          </w:p>
        </w:tc>
        <w:tc>
          <w:tcPr>
            <w:tcW w:w="1660" w:type="dxa"/>
            <w:vAlign w:val="bottom"/>
            <w:vMerge w:val="restart"/>
          </w:tcPr>
          <w:p>
            <w:pPr>
              <w:jc w:val="right"/>
              <w:ind w:right="1477"/>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210.42</w:t>
            </w:r>
          </w:p>
        </w:tc>
        <w:tc>
          <w:tcPr>
            <w:tcW w:w="120" w:type="dxa"/>
            <w:vAlign w:val="bottom"/>
          </w:tcPr>
          <w:p>
            <w:pPr>
              <w:spacing w:after="0"/>
              <w:rPr>
                <w:sz w:val="18"/>
                <w:szCs w:val="18"/>
                <w:color w:val="auto"/>
              </w:rPr>
            </w:pPr>
          </w:p>
        </w:tc>
        <w:tc>
          <w:tcPr>
            <w:tcW w:w="700" w:type="dxa"/>
            <w:vAlign w:val="bottom"/>
            <w:vMerge w:val="restart"/>
          </w:tcPr>
          <w:p>
            <w:pPr>
              <w:jc w:val="right"/>
              <w:ind w:right="514"/>
              <w:spacing w:after="0"/>
              <w:rPr>
                <w:sz w:val="20"/>
                <w:szCs w:val="20"/>
                <w:color w:val="auto"/>
              </w:rPr>
            </w:pPr>
            <w:r>
              <w:rPr>
                <w:rFonts w:ascii="Arial" w:cs="Arial" w:eastAsia="Arial" w:hAnsi="Arial"/>
                <w:sz w:val="17"/>
                <w:szCs w:val="17"/>
                <w:color w:val="auto"/>
                <w:w w:val="84"/>
              </w:rPr>
              <w:t>$</w:t>
            </w:r>
          </w:p>
        </w:tc>
        <w:tc>
          <w:tcPr>
            <w:tcW w:w="1660" w:type="dxa"/>
            <w:vAlign w:val="bottom"/>
            <w:vMerge w:val="restart"/>
          </w:tcPr>
          <w:p>
            <w:pPr>
              <w:jc w:val="right"/>
              <w:spacing w:after="0"/>
              <w:rPr>
                <w:sz w:val="20"/>
                <w:szCs w:val="20"/>
                <w:color w:val="auto"/>
              </w:rPr>
            </w:pPr>
            <w:r>
              <w:rPr>
                <w:rFonts w:ascii="Arial" w:cs="Arial" w:eastAsia="Arial" w:hAnsi="Arial"/>
                <w:sz w:val="17"/>
                <w:szCs w:val="17"/>
                <w:color w:val="auto"/>
              </w:rPr>
              <w:t>153.13</w:t>
            </w:r>
          </w:p>
        </w:tc>
        <w:tc>
          <w:tcPr>
            <w:tcW w:w="0" w:type="dxa"/>
            <w:vAlign w:val="bottom"/>
          </w:tcPr>
          <w:p>
            <w:pPr>
              <w:spacing w:after="0"/>
              <w:rPr>
                <w:sz w:val="1"/>
                <w:szCs w:val="1"/>
                <w:color w:val="auto"/>
              </w:rPr>
            </w:pPr>
          </w:p>
        </w:tc>
      </w:tr>
      <w:tr>
        <w:trPr>
          <w:trHeight w:val="91"/>
        </w:trPr>
        <w:tc>
          <w:tcPr>
            <w:tcW w:w="63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Monte Carlo simulation assumptions: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80" w:type="dxa"/>
            <w:vAlign w:val="bottom"/>
          </w:tcPr>
          <w:p>
            <w:pPr>
              <w:ind w:left="320"/>
              <w:spacing w:after="0"/>
              <w:rPr>
                <w:sz w:val="20"/>
                <w:szCs w:val="20"/>
                <w:color w:val="auto"/>
              </w:rPr>
            </w:pPr>
            <w:r>
              <w:rPr>
                <w:rFonts w:ascii="Arial" w:cs="Arial" w:eastAsia="Arial" w:hAnsi="Arial"/>
                <w:sz w:val="17"/>
                <w:szCs w:val="17"/>
                <w:color w:val="auto"/>
              </w:rPr>
              <w:t>Estimated values</w:t>
            </w:r>
          </w:p>
        </w:tc>
        <w:tc>
          <w:tcPr>
            <w:tcW w:w="1660" w:type="dxa"/>
            <w:vAlign w:val="bottom"/>
          </w:tcPr>
          <w:p>
            <w:pPr>
              <w:jc w:val="right"/>
              <w:ind w:right="147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100.41</w:t>
            </w:r>
          </w:p>
        </w:tc>
        <w:tc>
          <w:tcPr>
            <w:tcW w:w="120" w:type="dxa"/>
            <w:vAlign w:val="bottom"/>
          </w:tcPr>
          <w:p>
            <w:pPr>
              <w:spacing w:after="0"/>
              <w:rPr>
                <w:sz w:val="18"/>
                <w:szCs w:val="18"/>
                <w:color w:val="auto"/>
              </w:rPr>
            </w:pPr>
          </w:p>
        </w:tc>
        <w:tc>
          <w:tcPr>
            <w:tcW w:w="700" w:type="dxa"/>
            <w:vAlign w:val="bottom"/>
          </w:tcPr>
          <w:p>
            <w:pPr>
              <w:jc w:val="right"/>
              <w:ind w:right="514"/>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66.44</w:t>
            </w:r>
          </w:p>
        </w:tc>
        <w:tc>
          <w:tcPr>
            <w:tcW w:w="0" w:type="dxa"/>
            <w:vAlign w:val="bottom"/>
          </w:tcPr>
          <w:p>
            <w:pPr>
              <w:spacing w:after="0"/>
              <w:rPr>
                <w:sz w:val="1"/>
                <w:szCs w:val="1"/>
                <w:color w:val="auto"/>
              </w:rPr>
            </w:pPr>
          </w:p>
        </w:tc>
      </w:tr>
      <w:tr>
        <w:trPr>
          <w:trHeight w:val="220"/>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Dividend yields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18"/>
        </w:trPr>
        <w:tc>
          <w:tcPr>
            <w:tcW w:w="6380" w:type="dxa"/>
            <w:vAlign w:val="bottom"/>
          </w:tcPr>
          <w:p>
            <w:pPr>
              <w:ind w:left="320"/>
              <w:spacing w:after="0"/>
              <w:rPr>
                <w:sz w:val="20"/>
                <w:szCs w:val="20"/>
                <w:color w:val="auto"/>
              </w:rPr>
            </w:pPr>
            <w:r>
              <w:rPr>
                <w:rFonts w:ascii="Arial" w:cs="Arial" w:eastAsia="Arial" w:hAnsi="Arial"/>
                <w:sz w:val="17"/>
                <w:szCs w:val="17"/>
                <w:color w:val="auto"/>
              </w:rPr>
              <w:t>Expected volatility</w:t>
            </w:r>
          </w:p>
        </w:tc>
        <w:tc>
          <w:tcPr>
            <w:tcW w:w="1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26.4 %</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shares vested totaled $97,803 and $43,829 for the periods ended April 3, 2022 and April 4, 2021, respectively.</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Deferred PSUs, deferred RSUs and deferred stock units representing directors’ fees totaled 268,001 units as of April 3, 2022. Each unit is equivalent to one share of the Company’s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SEGMENT INFORMATION</w:t>
      </w:r>
    </w:p>
    <w:p>
      <w:pPr>
        <w:spacing w:after="0" w:line="8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Company reports its operations through three reportable segments: (i) North America Confectionery, (ii) North America Salty Snacks and (iii) International. This organizational structure aligns with how our Chief Operating Decision Maker (“CODM”) manages our business, including resource allocation and performance assessment, and further aligns with our product categories and the key markets we serve.</w:t>
      </w:r>
    </w:p>
    <w:p>
      <w:pPr>
        <w:spacing w:after="0" w:line="114" w:lineRule="exact"/>
        <w:rPr>
          <w:sz w:val="20"/>
          <w:szCs w:val="20"/>
          <w:color w:val="auto"/>
        </w:rPr>
      </w:pPr>
    </w:p>
    <w:p>
      <w:pPr>
        <w:ind w:left="620" w:right="80" w:hanging="307"/>
        <w:spacing w:after="0" w:line="248" w:lineRule="auto"/>
        <w:tabs>
          <w:tab w:leader="none" w:pos="616"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North America Confectionery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segment is responsible for our traditional chocolate and non-chocolate confectionery market position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Canada. This includes our business in chocolate and non-chocolate confectionery, gum and refreshment products, protein bars, spreads, snack bites and mixes, as well as pantry and food service lines. This segment also includes our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9" w:lineRule="exact"/>
        <w:rPr>
          <w:rFonts w:ascii="Arial" w:cs="Arial" w:eastAsia="Arial" w:hAnsi="Arial"/>
          <w:sz w:val="16"/>
          <w:szCs w:val="16"/>
          <w:b w:val="1"/>
          <w:bCs w:val="1"/>
          <w:i w:val="1"/>
          <w:iCs w:val="1"/>
          <w:color w:val="auto"/>
        </w:rPr>
      </w:pPr>
    </w:p>
    <w:p>
      <w:pPr>
        <w:ind w:left="620" w:right="420" w:hanging="307"/>
        <w:spacing w:after="0" w:line="287" w:lineRule="auto"/>
        <w:tabs>
          <w:tab w:leader="none" w:pos="616"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North America Salty Snacks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segment is responsible for our salty snacking products in the United States. This includes ready-to-eat popcorn,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baked and trans fat free snacks, pretzels and other snacks.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247015</wp:posOffset>
            </wp:positionV>
            <wp:extent cx="188595" cy="163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0" w:right="20" w:hanging="307"/>
        <w:spacing w:after="0" w:line="264" w:lineRule="auto"/>
        <w:tabs>
          <w:tab w:leader="none" w:pos="616"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International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is a combination of all other operating segments that are not individually material, including those geographic regions where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operate outside of North America. We currently have operations and manufacture product in Mexico, Brazil, India and Malaysia, primarily for consumers in these regions, and also distribute and sell confectionery products in export markets of Asia, Latin America, Middle East, Europe, Africa and other regions.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31" w:lineRule="exact"/>
        <w:rPr>
          <w:sz w:val="20"/>
          <w:szCs w:val="20"/>
          <w:color w:val="auto"/>
        </w:rPr>
      </w:pPr>
    </w:p>
    <w:p>
      <w:pPr>
        <w:ind w:right="60"/>
        <w:spacing w:after="0" w:line="307" w:lineRule="auto"/>
        <w:rPr>
          <w:rFonts w:ascii="Arial" w:cs="Arial" w:eastAsia="Arial" w:hAnsi="Arial"/>
          <w:sz w:val="15"/>
          <w:szCs w:val="15"/>
          <w:color w:val="auto"/>
        </w:rPr>
      </w:pPr>
      <w:r>
        <w:rPr>
          <w:rFonts w:ascii="Arial" w:cs="Arial" w:eastAsia="Arial" w:hAnsi="Arial"/>
          <w:sz w:val="15"/>
          <w:szCs w:val="15"/>
          <w:color w:val="auto"/>
        </w:rPr>
        <w:t xml:space="preserve">As discussed in </w:t>
      </w:r>
      <w:hyperlink w:anchor="page13">
        <w:r>
          <w:rPr>
            <w:rFonts w:ascii="Arial" w:cs="Arial" w:eastAsia="Arial" w:hAnsi="Arial"/>
            <w:sz w:val="15"/>
            <w:szCs w:val="15"/>
            <w:u w:val="single" w:color="auto"/>
            <w:color w:val="0000FF"/>
          </w:rPr>
          <w:t>Note 5</w:t>
        </w:r>
      </w:hyperlink>
      <w:r>
        <w:rPr>
          <w:rFonts w:ascii="Arial" w:cs="Arial" w:eastAsia="Arial" w:hAnsi="Arial"/>
          <w:sz w:val="15"/>
          <w:szCs w:val="15"/>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9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Our segment net sales and earnings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55"/>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00" w:type="dxa"/>
            <w:vAlign w:val="bottom"/>
          </w:tcPr>
          <w:p>
            <w:pPr>
              <w:spacing w:after="0"/>
              <w:rPr>
                <w:sz w:val="17"/>
                <w:szCs w:val="17"/>
                <w:color w:val="auto"/>
              </w:rPr>
            </w:pPr>
          </w:p>
        </w:tc>
        <w:tc>
          <w:tcPr>
            <w:tcW w:w="1560" w:type="dxa"/>
            <w:vAlign w:val="bottom"/>
          </w:tcPr>
          <w:p>
            <w:pPr>
              <w:jc w:val="right"/>
              <w:ind w:right="415"/>
              <w:spacing w:after="0"/>
              <w:rPr>
                <w:sz w:val="20"/>
                <w:szCs w:val="20"/>
                <w:color w:val="auto"/>
              </w:rPr>
            </w:pPr>
            <w:r>
              <w:rPr>
                <w:rFonts w:ascii="Arial" w:cs="Arial" w:eastAsia="Arial" w:hAnsi="Arial"/>
                <w:sz w:val="15"/>
                <w:szCs w:val="15"/>
                <w:b w:val="1"/>
                <w:bCs w:val="1"/>
                <w:color w:val="auto"/>
              </w:rPr>
              <w:t>April 4, 2021</w:t>
            </w:r>
          </w:p>
        </w:tc>
      </w:tr>
      <w:tr>
        <w:trPr>
          <w:trHeight w:val="201"/>
        </w:trPr>
        <w:tc>
          <w:tcPr>
            <w:tcW w:w="7360" w:type="dxa"/>
            <w:vAlign w:val="bottom"/>
            <w:tcBorders>
              <w:top w:val="single" w:sz="8" w:color="CCEEFF"/>
            </w:tcBorders>
            <w:gridSpan w:val="7"/>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8"/>
        </w:trPr>
        <w:tc>
          <w:tcPr>
            <w:tcW w:w="7360" w:type="dxa"/>
            <w:vAlign w:val="bottom"/>
            <w:gridSpan w:val="7"/>
          </w:tcPr>
          <w:p>
            <w:pPr>
              <w:ind w:left="180"/>
              <w:spacing w:after="0"/>
              <w:rPr>
                <w:sz w:val="20"/>
                <w:szCs w:val="20"/>
                <w:color w:val="auto"/>
              </w:rPr>
            </w:pPr>
            <w:r>
              <w:rPr>
                <w:rFonts w:ascii="Arial" w:cs="Arial" w:eastAsia="Arial" w:hAnsi="Arial"/>
                <w:sz w:val="17"/>
                <w:szCs w:val="17"/>
                <w:color w:val="auto"/>
              </w:rPr>
              <w:t>North America Confectionery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2,217,044</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1,985,416</w:t>
            </w:r>
          </w:p>
        </w:tc>
      </w:tr>
      <w:tr>
        <w:trPr>
          <w:trHeight w:val="220"/>
        </w:trPr>
        <w:tc>
          <w:tcPr>
            <w:tcW w:w="7360" w:type="dxa"/>
            <w:vAlign w:val="bottom"/>
            <w:gridSpan w:val="7"/>
            <w:shd w:val="clear" w:color="auto" w:fill="CCEEFF"/>
          </w:tcPr>
          <w:p>
            <w:pPr>
              <w:ind w:left="180"/>
              <w:spacing w:after="0"/>
              <w:rPr>
                <w:sz w:val="20"/>
                <w:szCs w:val="20"/>
                <w:color w:val="auto"/>
              </w:rPr>
            </w:pPr>
            <w:r>
              <w:rPr>
                <w:rFonts w:ascii="Arial" w:cs="Arial" w:eastAsia="Arial" w:hAnsi="Arial"/>
                <w:sz w:val="17"/>
                <w:szCs w:val="17"/>
                <w:color w:val="auto"/>
              </w:rPr>
              <w:t>North America Salty Snacks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121,418</w:t>
            </w:r>
          </w:p>
        </w:tc>
      </w:tr>
      <w:tr>
        <w:trPr>
          <w:trHeight w:val="218"/>
        </w:trPr>
        <w:tc>
          <w:tcPr>
            <w:tcW w:w="7360" w:type="dxa"/>
            <w:vAlign w:val="bottom"/>
            <w:tcBorders>
              <w:bottom w:val="single" w:sz="8" w:color="CCEEFF"/>
            </w:tcBorders>
            <w:gridSpan w:val="7"/>
          </w:tcPr>
          <w:p>
            <w:pPr>
              <w:ind w:left="18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189,114</w:t>
            </w:r>
          </w:p>
        </w:tc>
      </w:tr>
      <w:tr>
        <w:trPr>
          <w:trHeight w:val="238"/>
        </w:trPr>
        <w:tc>
          <w:tcPr>
            <w:tcW w:w="73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2,666,221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2,295,948</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9"/>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rPr>
              <w:t>Segment income:</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8"/>
        </w:trPr>
        <w:tc>
          <w:tcPr>
            <w:tcW w:w="7360" w:type="dxa"/>
            <w:vAlign w:val="bottom"/>
            <w:gridSpan w:val="7"/>
          </w:tcPr>
          <w:p>
            <w:pPr>
              <w:ind w:left="180"/>
              <w:spacing w:after="0"/>
              <w:rPr>
                <w:sz w:val="20"/>
                <w:szCs w:val="20"/>
                <w:color w:val="auto"/>
              </w:rPr>
            </w:pPr>
            <w:r>
              <w:rPr>
                <w:rFonts w:ascii="Arial" w:cs="Arial" w:eastAsia="Arial" w:hAnsi="Arial"/>
                <w:sz w:val="17"/>
                <w:szCs w:val="17"/>
                <w:color w:val="auto"/>
              </w:rPr>
              <w:t>North America Confectionery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781,885</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642,605</w:t>
            </w:r>
          </w:p>
        </w:tc>
      </w:tr>
      <w:tr>
        <w:trPr>
          <w:trHeight w:val="220"/>
        </w:trPr>
        <w:tc>
          <w:tcPr>
            <w:tcW w:w="7360" w:type="dxa"/>
            <w:vAlign w:val="bottom"/>
            <w:gridSpan w:val="7"/>
            <w:shd w:val="clear" w:color="auto" w:fill="CCEEFF"/>
          </w:tcPr>
          <w:p>
            <w:pPr>
              <w:ind w:left="180"/>
              <w:spacing w:after="0"/>
              <w:rPr>
                <w:sz w:val="20"/>
                <w:szCs w:val="20"/>
                <w:color w:val="auto"/>
              </w:rPr>
            </w:pPr>
            <w:r>
              <w:rPr>
                <w:rFonts w:ascii="Arial" w:cs="Arial" w:eastAsia="Arial" w:hAnsi="Arial"/>
                <w:sz w:val="17"/>
                <w:szCs w:val="17"/>
                <w:color w:val="auto"/>
              </w:rPr>
              <w:t>North America Salty Snacks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25,378</w:t>
            </w:r>
          </w:p>
        </w:tc>
      </w:tr>
      <w:tr>
        <w:trPr>
          <w:trHeight w:val="218"/>
        </w:trPr>
        <w:tc>
          <w:tcPr>
            <w:tcW w:w="7360" w:type="dxa"/>
            <w:vAlign w:val="bottom"/>
            <w:tcBorders>
              <w:bottom w:val="single" w:sz="8" w:color="CCEEFF"/>
            </w:tcBorders>
            <w:gridSpan w:val="7"/>
          </w:tcPr>
          <w:p>
            <w:pPr>
              <w:ind w:left="18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27,417</w:t>
            </w:r>
          </w:p>
        </w:tc>
      </w:tr>
      <w:tr>
        <w:trPr>
          <w:trHeight w:val="213"/>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rPr>
              <w:t>Total segment income</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845,165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695,400</w:t>
            </w:r>
          </w:p>
        </w:tc>
      </w:tr>
      <w:tr>
        <w:trPr>
          <w:trHeight w:val="218"/>
        </w:trPr>
        <w:tc>
          <w:tcPr>
            <w:tcW w:w="7360" w:type="dxa"/>
            <w:vAlign w:val="bottom"/>
            <w:gridSpan w:val="7"/>
          </w:tcPr>
          <w:p>
            <w:pPr>
              <w:ind w:left="20"/>
              <w:spacing w:after="0"/>
              <w:rPr>
                <w:sz w:val="20"/>
                <w:szCs w:val="20"/>
                <w:color w:val="auto"/>
              </w:rPr>
            </w:pPr>
            <w:r>
              <w:rPr>
                <w:rFonts w:ascii="Arial" w:cs="Arial" w:eastAsia="Arial" w:hAnsi="Arial"/>
                <w:sz w:val="17"/>
                <w:szCs w:val="17"/>
                <w:color w:val="auto"/>
              </w:rPr>
              <w:t>Unallocated corporate expense (1)</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150,273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137,713</w:t>
            </w:r>
          </w:p>
        </w:tc>
      </w:tr>
      <w:tr>
        <w:trPr>
          <w:trHeight w:val="220"/>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rPr>
              <w:t>Unallocated mark-to-market gains on commodity derivatives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w:t>
            </w:r>
          </w:p>
        </w:tc>
      </w:tr>
      <w:tr>
        <w:trPr>
          <w:trHeight w:val="180"/>
        </w:trPr>
        <w:tc>
          <w:tcPr>
            <w:tcW w:w="7360" w:type="dxa"/>
            <w:vAlign w:val="bottom"/>
            <w:gridSpan w:val="7"/>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 xml:space="preserve">Costs associated with business realignment activities (see </w:t>
            </w:r>
            <w:hyperlink w:anchor="page19">
              <w:r>
                <w:rPr>
                  <w:rFonts w:ascii="Arial" w:cs="Arial" w:eastAsia="Arial" w:hAnsi="Arial"/>
                  <w:sz w:val="17"/>
                  <w:szCs w:val="17"/>
                  <w:color w:val="0000FF"/>
                </w:rPr>
                <w:t>Note 9</w:t>
              </w:r>
            </w:hyperlink>
            <w:r>
              <w:rPr>
                <w:rFonts w:ascii="Arial" w:cs="Arial" w:eastAsia="Arial" w:hAnsi="Arial"/>
                <w:sz w:val="17"/>
                <w:szCs w:val="17"/>
                <w:color w:val="auto"/>
              </w:rPr>
              <w:t>)</w:t>
            </w:r>
          </w:p>
        </w:tc>
        <w:tc>
          <w:tcPr>
            <w:tcW w:w="32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Arial" w:cs="Arial" w:eastAsia="Arial" w:hAnsi="Arial"/>
                <w:sz w:val="17"/>
                <w:szCs w:val="17"/>
                <w:color w:val="auto"/>
              </w:rPr>
              <w:t>1,281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Arial" w:cs="Arial" w:eastAsia="Arial" w:hAnsi="Arial"/>
                <w:sz w:val="17"/>
                <w:szCs w:val="17"/>
                <w:color w:val="auto"/>
              </w:rPr>
              <w:t>6,927</w:t>
            </w: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0000FF"/>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1"/>
        </w:trPr>
        <w:tc>
          <w:tcPr>
            <w:tcW w:w="736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720,990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553,044</w:t>
            </w:r>
          </w:p>
        </w:tc>
      </w:tr>
      <w:tr>
        <w:trPr>
          <w:trHeight w:val="180"/>
        </w:trPr>
        <w:tc>
          <w:tcPr>
            <w:tcW w:w="7360" w:type="dxa"/>
            <w:vAlign w:val="bottom"/>
            <w:gridSpan w:val="7"/>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 xml:space="preserve">Interest expense, net (see </w:t>
            </w:r>
            <w:hyperlink w:anchor="page12">
              <w:r>
                <w:rPr>
                  <w:rFonts w:ascii="Arial" w:cs="Arial" w:eastAsia="Arial" w:hAnsi="Arial"/>
                  <w:sz w:val="17"/>
                  <w:szCs w:val="17"/>
                  <w:color w:val="0000FF"/>
                </w:rPr>
                <w:t>Note 4</w:t>
              </w:r>
            </w:hyperlink>
            <w:r>
              <w:rPr>
                <w:rFonts w:ascii="Arial" w:cs="Arial" w:eastAsia="Arial" w:hAnsi="Arial"/>
                <w:sz w:val="17"/>
                <w:szCs w:val="17"/>
                <w:color w:val="auto"/>
              </w:rPr>
              <w:t>)</w:t>
            </w:r>
          </w:p>
        </w:tc>
        <w:tc>
          <w:tcPr>
            <w:tcW w:w="32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Arial" w:cs="Arial" w:eastAsia="Arial" w:hAnsi="Arial"/>
                <w:sz w:val="17"/>
                <w:szCs w:val="17"/>
                <w:color w:val="auto"/>
              </w:rPr>
              <w:t>33,179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line="180" w:lineRule="exact"/>
              <w:rPr>
                <w:sz w:val="20"/>
                <w:szCs w:val="20"/>
                <w:color w:val="auto"/>
              </w:rPr>
            </w:pPr>
            <w:r>
              <w:rPr>
                <w:rFonts w:ascii="Arial" w:cs="Arial" w:eastAsia="Arial" w:hAnsi="Arial"/>
                <w:sz w:val="17"/>
                <w:szCs w:val="17"/>
                <w:color w:val="auto"/>
              </w:rPr>
              <w:t>36,436</w:t>
            </w:r>
          </w:p>
        </w:tc>
      </w:tr>
      <w:tr>
        <w:trPr>
          <w:trHeight w:val="29"/>
        </w:trPr>
        <w:tc>
          <w:tcPr>
            <w:tcW w:w="18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7360" w:type="dxa"/>
            <w:vAlign w:val="bottom"/>
            <w:gridSpan w:val="7"/>
            <w:shd w:val="clear" w:color="auto" w:fill="CCEEFF"/>
          </w:tcPr>
          <w:p>
            <w:pPr>
              <w:ind w:left="20"/>
              <w:spacing w:after="0" w:line="190" w:lineRule="exact"/>
              <w:rPr>
                <w:rFonts w:ascii="Arial" w:cs="Arial" w:eastAsia="Arial" w:hAnsi="Arial"/>
                <w:sz w:val="17"/>
                <w:szCs w:val="17"/>
                <w:color w:val="auto"/>
              </w:rPr>
            </w:pPr>
            <w:r>
              <w:rPr>
                <w:rFonts w:ascii="Arial" w:cs="Arial" w:eastAsia="Arial" w:hAnsi="Arial"/>
                <w:sz w:val="17"/>
                <w:szCs w:val="17"/>
                <w:color w:val="auto"/>
              </w:rPr>
              <w:t xml:space="preserve">Other (income) expense, net (see </w:t>
            </w:r>
            <w:hyperlink w:anchor="page28">
              <w:r>
                <w:rPr>
                  <w:rFonts w:ascii="Arial" w:cs="Arial" w:eastAsia="Arial" w:hAnsi="Arial"/>
                  <w:sz w:val="17"/>
                  <w:szCs w:val="17"/>
                  <w:color w:val="0000FF"/>
                </w:rPr>
                <w:t>Note 17</w:t>
              </w:r>
            </w:hyperlink>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10,407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2,414</w:t>
            </w:r>
          </w:p>
        </w:tc>
      </w:tr>
      <w:tr>
        <w:trPr>
          <w:trHeight w:val="211"/>
        </w:trPr>
        <w:tc>
          <w:tcPr>
            <w:tcW w:w="2320" w:type="dxa"/>
            <w:vAlign w:val="bottom"/>
            <w:tcBorders>
              <w:top w:val="single" w:sz="8" w:color="CCEEFF"/>
            </w:tcBorders>
            <w:gridSpan w:val="3"/>
          </w:tcPr>
          <w:p>
            <w:pPr>
              <w:ind w:left="20"/>
              <w:spacing w:after="0"/>
              <w:rPr>
                <w:sz w:val="20"/>
                <w:szCs w:val="20"/>
                <w:color w:val="auto"/>
              </w:rPr>
            </w:pPr>
            <w:r>
              <w:rPr>
                <w:rFonts w:ascii="Arial" w:cs="Arial" w:eastAsia="Arial" w:hAnsi="Arial"/>
                <w:sz w:val="17"/>
                <w:szCs w:val="17"/>
                <w:color w:val="auto"/>
              </w:rPr>
              <w:t>Income before income taxes</w:t>
            </w:r>
          </w:p>
        </w:tc>
        <w:tc>
          <w:tcPr>
            <w:tcW w:w="560" w:type="dxa"/>
            <w:vAlign w:val="bottom"/>
            <w:tcBorders>
              <w:top w:val="single" w:sz="8" w:color="0000FF"/>
            </w:tcBorders>
          </w:tcPr>
          <w:p>
            <w:pPr>
              <w:spacing w:after="0"/>
              <w:rPr>
                <w:sz w:val="18"/>
                <w:szCs w:val="18"/>
                <w:color w:val="auto"/>
              </w:rPr>
            </w:pPr>
          </w:p>
        </w:tc>
        <w:tc>
          <w:tcPr>
            <w:tcW w:w="4480" w:type="dxa"/>
            <w:vAlign w:val="bottom"/>
            <w:tcBorders>
              <w:top w:val="single" w:sz="8" w:color="CCEEFF"/>
            </w:tcBorders>
            <w:gridSpan w:val="3"/>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677,404</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514,194</w:t>
            </w:r>
          </w:p>
        </w:tc>
      </w:tr>
      <w:tr>
        <w:trPr>
          <w:trHeight w:val="20"/>
        </w:trPr>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left="320" w:right="120" w:hanging="317"/>
        <w:spacing w:after="0" w:line="266"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258445</wp:posOffset>
            </wp:positionV>
            <wp:extent cx="188595" cy="163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compensation expense, (d) acquisition-related costs, and (e) other gains or losses that are not integral to segment performance.</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Activity within the unallocated mark-to-market adjustment for commodity derivatives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0"/>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20" w:type="dxa"/>
            <w:vAlign w:val="bottom"/>
          </w:tcPr>
          <w:p>
            <w:pPr>
              <w:spacing w:after="0"/>
              <w:rPr>
                <w:sz w:val="17"/>
                <w:szCs w:val="17"/>
                <w:color w:val="auto"/>
              </w:rPr>
            </w:pPr>
          </w:p>
        </w:tc>
        <w:tc>
          <w:tcPr>
            <w:tcW w:w="1580" w:type="dxa"/>
            <w:vAlign w:val="bottom"/>
          </w:tcPr>
          <w:p>
            <w:pPr>
              <w:jc w:val="right"/>
              <w:ind w:right="436"/>
              <w:spacing w:after="0"/>
              <w:rPr>
                <w:sz w:val="20"/>
                <w:szCs w:val="20"/>
                <w:color w:val="auto"/>
              </w:rPr>
            </w:pPr>
            <w:r>
              <w:rPr>
                <w:rFonts w:ascii="Arial" w:cs="Arial" w:eastAsia="Arial" w:hAnsi="Arial"/>
                <w:sz w:val="15"/>
                <w:szCs w:val="15"/>
                <w:b w:val="1"/>
                <w:bCs w:val="1"/>
                <w:color w:val="auto"/>
              </w:rPr>
              <w:t>April 4, 2021</w:t>
            </w:r>
          </w:p>
        </w:tc>
        <w:tc>
          <w:tcPr>
            <w:tcW w:w="0" w:type="dxa"/>
            <w:vAlign w:val="bottom"/>
          </w:tcPr>
          <w:p>
            <w:pPr>
              <w:spacing w:after="0"/>
              <w:rPr>
                <w:sz w:val="1"/>
                <w:szCs w:val="1"/>
                <w:color w:val="auto"/>
              </w:rPr>
            </w:pPr>
          </w:p>
        </w:tc>
      </w:tr>
      <w:tr>
        <w:trPr>
          <w:trHeight w:val="214"/>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gains on mark-to-market valuation of commodity derivative positions recognized in income</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center"/>
              <w:ind w:left="838"/>
              <w:spacing w:after="0"/>
              <w:rPr>
                <w:sz w:val="20"/>
                <w:szCs w:val="20"/>
                <w:color w:val="auto"/>
              </w:rPr>
            </w:pPr>
            <w:r>
              <w:rPr>
                <w:rFonts w:ascii="Arial" w:cs="Arial" w:eastAsia="Arial" w:hAnsi="Arial"/>
                <w:sz w:val="17"/>
                <w:szCs w:val="17"/>
                <w:color w:val="auto"/>
                <w:w w:val="91"/>
              </w:rPr>
              <w:t>(50,825)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(13,679)</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gains on commodity derivative positions reclassified from unallocated to segment income</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878"/>
              <w:spacing w:after="0"/>
              <w:rPr>
                <w:sz w:val="20"/>
                <w:szCs w:val="20"/>
                <w:color w:val="auto"/>
              </w:rPr>
            </w:pPr>
            <w:r>
              <w:rPr>
                <w:rFonts w:ascii="Arial" w:cs="Arial" w:eastAsia="Arial" w:hAnsi="Arial"/>
                <w:sz w:val="17"/>
                <w:szCs w:val="17"/>
                <w:color w:val="auto"/>
                <w:w w:val="88"/>
              </w:rPr>
              <w:t>23,446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11,395</w:t>
            </w:r>
          </w:p>
        </w:tc>
        <w:tc>
          <w:tcPr>
            <w:tcW w:w="0" w:type="dxa"/>
            <w:vAlign w:val="bottom"/>
          </w:tcPr>
          <w:p>
            <w:pPr>
              <w:spacing w:after="0"/>
              <w:rPr>
                <w:sz w:val="1"/>
                <w:szCs w:val="1"/>
                <w:color w:val="auto"/>
              </w:rPr>
            </w:pPr>
          </w:p>
        </w:tc>
      </w:tr>
      <w:tr>
        <w:trPr>
          <w:trHeight w:val="149"/>
        </w:trPr>
        <w:tc>
          <w:tcPr>
            <w:tcW w:w="73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w w:val="98"/>
              </w:rPr>
              <w:t>Net gains on mark-to-market valuation of commodity derivative positions recognized in unallocated</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vMerge w:val="restart"/>
            <w:shd w:val="clear" w:color="auto" w:fill="CCEEFF"/>
          </w:tcPr>
          <w:p>
            <w:pPr>
              <w:jc w:val="center"/>
              <w:ind w:left="838"/>
              <w:spacing w:after="0"/>
              <w:rPr>
                <w:sz w:val="20"/>
                <w:szCs w:val="20"/>
                <w:color w:val="auto"/>
              </w:rPr>
            </w:pPr>
            <w:r>
              <w:rPr>
                <w:rFonts w:ascii="Arial" w:cs="Arial" w:eastAsia="Arial" w:hAnsi="Arial"/>
                <w:sz w:val="17"/>
                <w:szCs w:val="17"/>
                <w:color w:val="auto"/>
                <w:w w:val="91"/>
              </w:rPr>
              <w:t>(27,379)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(2,284)</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derivative (gains) losses</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As of April 3, 2022, the cumulative amount of mark-to-market gains on commodity derivatives that have been recognized in our consolidated cost of sales and not yet allocated to reportable segments was $114,293. Based on our forecasts of the timing of the recognition of the underlying hedged items, we expect to reclassify net pre-tax gains on commodity derivatives of $87,597 to segment operating results in the next twelve months.</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included within segment income presented above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20" w:type="dxa"/>
            <w:vAlign w:val="bottom"/>
          </w:tcPr>
          <w:p>
            <w:pPr>
              <w:spacing w:after="0"/>
              <w:rPr>
                <w:sz w:val="17"/>
                <w:szCs w:val="17"/>
                <w:color w:val="auto"/>
              </w:rPr>
            </w:pPr>
          </w:p>
        </w:tc>
        <w:tc>
          <w:tcPr>
            <w:tcW w:w="1580" w:type="dxa"/>
            <w:vAlign w:val="bottom"/>
          </w:tcPr>
          <w:p>
            <w:pPr>
              <w:jc w:val="right"/>
              <w:ind w:right="436"/>
              <w:spacing w:after="0"/>
              <w:rPr>
                <w:sz w:val="20"/>
                <w:szCs w:val="20"/>
                <w:color w:val="auto"/>
              </w:rPr>
            </w:pPr>
            <w:r>
              <w:rPr>
                <w:rFonts w:ascii="Arial" w:cs="Arial" w:eastAsia="Arial" w:hAnsi="Arial"/>
                <w:sz w:val="15"/>
                <w:szCs w:val="15"/>
                <w:b w:val="1"/>
                <w:bCs w:val="1"/>
                <w:color w:val="auto"/>
              </w:rPr>
              <w:t>April 4, 2021</w:t>
            </w:r>
          </w:p>
        </w:tc>
      </w:tr>
      <w:tr>
        <w:trPr>
          <w:trHeight w:val="214"/>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 America Confectionery</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55,908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53,150</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North America Salty Snacks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16,679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6,946</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w:t>
            </w:r>
          </w:p>
        </w:tc>
      </w:tr>
      <w:tr>
        <w:trPr>
          <w:trHeight w:val="21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11,961</w:t>
            </w:r>
          </w:p>
        </w:tc>
      </w:tr>
      <w:tr>
        <w:trPr>
          <w:trHeight w:val="23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our net sales disaggregated by geographical region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20" w:type="dxa"/>
            <w:vAlign w:val="bottom"/>
          </w:tcPr>
          <w:p>
            <w:pPr>
              <w:spacing w:after="0"/>
              <w:rPr>
                <w:sz w:val="17"/>
                <w:szCs w:val="17"/>
                <w:color w:val="auto"/>
              </w:rPr>
            </w:pPr>
          </w:p>
        </w:tc>
        <w:tc>
          <w:tcPr>
            <w:tcW w:w="1580" w:type="dxa"/>
            <w:vAlign w:val="bottom"/>
          </w:tcPr>
          <w:p>
            <w:pPr>
              <w:jc w:val="right"/>
              <w:ind w:right="436"/>
              <w:spacing w:after="0"/>
              <w:rPr>
                <w:sz w:val="20"/>
                <w:szCs w:val="20"/>
                <w:color w:val="auto"/>
              </w:rPr>
            </w:pPr>
            <w:r>
              <w:rPr>
                <w:rFonts w:ascii="Arial" w:cs="Arial" w:eastAsia="Arial" w:hAnsi="Arial"/>
                <w:sz w:val="15"/>
                <w:szCs w:val="15"/>
                <w:b w:val="1"/>
                <w:bCs w:val="1"/>
                <w:color w:val="auto"/>
              </w:rPr>
              <w:t>April 4, 2021</w:t>
            </w:r>
          </w:p>
        </w:tc>
      </w:tr>
      <w:tr>
        <w:trPr>
          <w:trHeight w:val="201"/>
        </w:trPr>
        <w:tc>
          <w:tcPr>
            <w:tcW w:w="2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Arial" w:cs="Arial" w:eastAsia="Arial" w:hAnsi="Arial"/>
                <w:sz w:val="17"/>
                <w:szCs w:val="17"/>
                <w:color w:val="auto"/>
              </w:rPr>
              <w:t>United States</w:t>
            </w:r>
          </w:p>
        </w:tc>
        <w:tc>
          <w:tcPr>
            <w:tcW w:w="4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2,340,646</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1,982,723</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All other countries</w:t>
            </w:r>
          </w:p>
        </w:tc>
        <w:tc>
          <w:tcPr>
            <w:tcW w:w="4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313,225</w:t>
            </w:r>
          </w:p>
        </w:tc>
      </w:tr>
      <w:tr>
        <w:trPr>
          <w:trHeight w:val="213"/>
        </w:trPr>
        <w:tc>
          <w:tcPr>
            <w:tcW w:w="27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4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2,666,221</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2,295,948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726"/>
        </w:trPr>
        <w:tc>
          <w:tcPr>
            <w:tcW w:w="2720" w:type="dxa"/>
            <w:vAlign w:val="bottom"/>
            <w:gridSpan w:val="3"/>
          </w:tcPr>
          <w:p>
            <w:pPr>
              <w:ind w:left="20"/>
              <w:spacing w:after="0"/>
              <w:rPr>
                <w:rFonts w:ascii="Arial" w:cs="Arial" w:eastAsia="Arial" w:hAnsi="Arial"/>
                <w:sz w:val="15"/>
                <w:szCs w:val="15"/>
                <w:color w:val="0000FF"/>
              </w:rPr>
            </w:pPr>
            <w:hyperlink w:anchor="page1">
              <w:r>
                <w:rPr>
                  <w:rFonts w:ascii="Arial" w:cs="Arial" w:eastAsia="Arial" w:hAnsi="Arial"/>
                  <w:sz w:val="15"/>
                  <w:szCs w:val="15"/>
                  <w:color w:val="0000FF"/>
                </w:rPr>
                <w:t>Table of Contents</w:t>
              </w:r>
            </w:hyperlink>
          </w:p>
        </w:tc>
        <w:tc>
          <w:tcPr>
            <w:tcW w:w="4940" w:type="dxa"/>
            <w:vAlign w:val="bottom"/>
            <w:gridSpan w:val="2"/>
          </w:tcPr>
          <w:p>
            <w:pPr>
              <w:jc w:val="right"/>
              <w:ind w:right="320"/>
              <w:spacing w:after="0"/>
              <w:rPr>
                <w:sz w:val="20"/>
                <w:szCs w:val="20"/>
                <w:color w:val="auto"/>
              </w:rPr>
            </w:pPr>
            <w:r>
              <w:rPr>
                <w:rFonts w:ascii="Arial" w:cs="Arial" w:eastAsia="Arial" w:hAnsi="Arial"/>
                <w:sz w:val="15"/>
                <w:szCs w:val="15"/>
                <w:color w:val="auto"/>
              </w:rPr>
              <w:t>The Hershey Company | Q1 2022 Form 10-Q | Page 25</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-506730</wp:posOffset>
            </wp:positionV>
            <wp:extent cx="188595" cy="163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7"/>
                <w:szCs w:val="17"/>
                <w:b w:val="1"/>
                <w:bCs w:val="1"/>
                <w:color w:val="auto"/>
              </w:rPr>
              <w:t>14. TREASURY STOCK ACTIVITY</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61"/>
        </w:trPr>
        <w:tc>
          <w:tcPr>
            <w:tcW w:w="7340" w:type="dxa"/>
            <w:vAlign w:val="bottom"/>
          </w:tcPr>
          <w:p>
            <w:pPr>
              <w:spacing w:after="0"/>
              <w:rPr>
                <w:sz w:val="20"/>
                <w:szCs w:val="20"/>
                <w:color w:val="auto"/>
              </w:rPr>
            </w:pPr>
            <w:r>
              <w:rPr>
                <w:rFonts w:ascii="Arial" w:cs="Arial" w:eastAsia="Arial" w:hAnsi="Arial"/>
                <w:sz w:val="17"/>
                <w:szCs w:val="17"/>
                <w:color w:val="auto"/>
              </w:rPr>
              <w:t>A summary of our treasury stock activity is as follows: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6"/>
        </w:trPr>
        <w:tc>
          <w:tcPr>
            <w:tcW w:w="7340" w:type="dxa"/>
            <w:vAlign w:val="bottom"/>
          </w:tcPr>
          <w:p>
            <w:pPr>
              <w:spacing w:after="0"/>
              <w:rPr>
                <w:sz w:val="21"/>
                <w:szCs w:val="21"/>
                <w:color w:val="auto"/>
              </w:rPr>
            </w:pPr>
          </w:p>
        </w:tc>
        <w:tc>
          <w:tcPr>
            <w:tcW w:w="39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7"/>
                <w:szCs w:val="17"/>
                <w:b w:val="1"/>
                <w:bCs w:val="1"/>
                <w:color w:val="auto"/>
              </w:rPr>
              <w:t>Three Months Ended April 3, 2022</w:t>
            </w:r>
          </w:p>
        </w:tc>
      </w:tr>
      <w:tr>
        <w:trPr>
          <w:trHeight w:val="213"/>
        </w:trPr>
        <w:tc>
          <w:tcPr>
            <w:tcW w:w="7340" w:type="dxa"/>
            <w:vAlign w:val="bottom"/>
          </w:tcPr>
          <w:p>
            <w:pPr>
              <w:spacing w:after="0"/>
              <w:rPr>
                <w:sz w:val="18"/>
                <w:szCs w:val="18"/>
                <w:color w:val="auto"/>
              </w:rPr>
            </w:pPr>
          </w:p>
        </w:tc>
        <w:tc>
          <w:tcPr>
            <w:tcW w:w="2000" w:type="dxa"/>
            <w:vAlign w:val="bottom"/>
            <w:gridSpan w:val="2"/>
          </w:tcPr>
          <w:p>
            <w:pPr>
              <w:ind w:left="700"/>
              <w:spacing w:after="0"/>
              <w:rPr>
                <w:sz w:val="20"/>
                <w:szCs w:val="20"/>
                <w:color w:val="auto"/>
              </w:rPr>
            </w:pPr>
            <w:r>
              <w:rPr>
                <w:rFonts w:ascii="Arial" w:cs="Arial" w:eastAsia="Arial" w:hAnsi="Arial"/>
                <w:sz w:val="17"/>
                <w:szCs w:val="17"/>
                <w:b w:val="1"/>
                <w:bCs w:val="1"/>
                <w:color w:val="auto"/>
              </w:rPr>
              <w:t>Shares</w:t>
            </w:r>
          </w:p>
        </w:tc>
        <w:tc>
          <w:tcPr>
            <w:tcW w:w="320" w:type="dxa"/>
            <w:vAlign w:val="bottom"/>
          </w:tcPr>
          <w:p>
            <w:pPr>
              <w:spacing w:after="0"/>
              <w:rPr>
                <w:sz w:val="18"/>
                <w:szCs w:val="18"/>
                <w:color w:val="auto"/>
              </w:rPr>
            </w:pPr>
          </w:p>
        </w:tc>
        <w:tc>
          <w:tcPr>
            <w:tcW w:w="1580" w:type="dxa"/>
            <w:vAlign w:val="bottom"/>
          </w:tcPr>
          <w:p>
            <w:pPr>
              <w:jc w:val="right"/>
              <w:ind w:right="596"/>
              <w:spacing w:after="0"/>
              <w:rPr>
                <w:sz w:val="20"/>
                <w:szCs w:val="20"/>
                <w:color w:val="auto"/>
              </w:rPr>
            </w:pPr>
            <w:r>
              <w:rPr>
                <w:rFonts w:ascii="Arial" w:cs="Arial" w:eastAsia="Arial" w:hAnsi="Arial"/>
                <w:sz w:val="17"/>
                <w:szCs w:val="17"/>
                <w:b w:val="1"/>
                <w:bCs w:val="1"/>
                <w:color w:val="auto"/>
              </w:rPr>
              <w:t>Dollars</w:t>
            </w:r>
          </w:p>
        </w:tc>
      </w:tr>
      <w:tr>
        <w:trPr>
          <w:trHeight w:val="197"/>
        </w:trPr>
        <w:tc>
          <w:tcPr>
            <w:tcW w:w="734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ind w:left="200"/>
              <w:spacing w:after="0"/>
              <w:rPr>
                <w:sz w:val="20"/>
                <w:szCs w:val="20"/>
                <w:color w:val="auto"/>
              </w:rPr>
            </w:pPr>
            <w:r>
              <w:rPr>
                <w:rFonts w:ascii="Arial" w:cs="Arial" w:eastAsia="Arial" w:hAnsi="Arial"/>
                <w:sz w:val="15"/>
                <w:szCs w:val="15"/>
                <w:b w:val="1"/>
                <w:bCs w:val="1"/>
                <w:color w:val="auto"/>
              </w:rPr>
              <w:t>In thousands</w:t>
            </w:r>
          </w:p>
        </w:tc>
      </w:tr>
      <w:tr>
        <w:trPr>
          <w:trHeight w:val="221"/>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Milton Hershey School Trust repurchase</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ind w:left="960"/>
              <w:spacing w:after="0"/>
              <w:rPr>
                <w:sz w:val="20"/>
                <w:szCs w:val="20"/>
                <w:color w:val="auto"/>
              </w:rPr>
            </w:pPr>
            <w:r>
              <w:rPr>
                <w:rFonts w:ascii="Arial" w:cs="Arial" w:eastAsia="Arial" w:hAnsi="Arial"/>
                <w:sz w:val="17"/>
                <w:szCs w:val="17"/>
                <w:color w:val="auto"/>
                <w:w w:val="97"/>
              </w:rPr>
              <w:t>203,350</w:t>
            </w:r>
          </w:p>
        </w:tc>
      </w:tr>
      <w:tr>
        <w:trPr>
          <w:trHeight w:val="21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issued for stock options and incentive compensation</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(482,469)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w w:val="91"/>
              </w:rPr>
              <w:t>(20,075)</w:t>
            </w:r>
          </w:p>
        </w:tc>
      </w:tr>
      <w:tr>
        <w:trPr>
          <w:trHeight w:val="23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517,531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w w:val="97"/>
              </w:rPr>
              <w:t>183,275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In February 2022, the Company entered into a Stock Purchase Agreement with Hershey Trust Company, as trustee for the Milton Hershey School Trust, pursuant to which the Company purchased 1,000,000 shares of the Company’s Common Stock from the Milton Hershey School Trust at a price equal to $203.35 per share, for a total purchase price of $203,350.</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July 2018, our Board of Directors approved a $500,000 share repurchase authorization to repurchase shares of our Common Stock. As of April 3, 2022,</w:t>
      </w:r>
    </w:p>
    <w:p>
      <w:pPr>
        <w:spacing w:after="0" w:line="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$109,983 remained available for repurchases of our Common Stock under this program. In May 2021, our Board of Directors approved an additional $500,000 share repurchase authorization. This program is to commence after the existing 2018 authorization is completed and is to be utilized at management’s discretion.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CONTINGENCIES</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 is subject to certain legal proceedings and claims arising out of the ordinary course of our business, which cover a wide range of matters including trade regulation, product liability, advertising, contracts, environmental issues, patent and trademark matters, labor and employment matters, human and workplace rights matters and tax.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242570</wp:posOffset>
            </wp:positionV>
            <wp:extent cx="188595" cy="163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EARNINGS PER SHARE</w:t>
      </w:r>
    </w:p>
    <w:p>
      <w:pPr>
        <w:spacing w:after="0" w:line="171"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5"/>
          </w:tcPr>
          <w:p>
            <w:pPr>
              <w:ind w:left="420"/>
              <w:spacing w:after="0"/>
              <w:rPr>
                <w:sz w:val="20"/>
                <w:szCs w:val="20"/>
                <w:color w:val="auto"/>
              </w:rPr>
            </w:pPr>
            <w:r>
              <w:rPr>
                <w:rFonts w:ascii="Arial" w:cs="Arial" w:eastAsia="Arial" w:hAnsi="Arial"/>
                <w:sz w:val="15"/>
                <w:szCs w:val="15"/>
                <w:b w:val="1"/>
                <w:bCs w:val="1"/>
                <w:color w:val="auto"/>
              </w:rPr>
              <w:t>April 3, 2022</w:t>
            </w:r>
          </w:p>
        </w:tc>
        <w:tc>
          <w:tcPr>
            <w:tcW w:w="320" w:type="dxa"/>
            <w:vAlign w:val="bottom"/>
          </w:tcPr>
          <w:p>
            <w:pPr>
              <w:spacing w:after="0"/>
              <w:rPr>
                <w:sz w:val="17"/>
                <w:szCs w:val="17"/>
                <w:color w:val="auto"/>
              </w:rPr>
            </w:pPr>
          </w:p>
        </w:tc>
        <w:tc>
          <w:tcPr>
            <w:tcW w:w="2020" w:type="dxa"/>
            <w:vAlign w:val="bottom"/>
            <w:gridSpan w:val="4"/>
          </w:tcPr>
          <w:p>
            <w:pPr>
              <w:jc w:val="right"/>
              <w:ind w:right="663"/>
              <w:spacing w:after="0"/>
              <w:rPr>
                <w:sz w:val="20"/>
                <w:szCs w:val="20"/>
                <w:color w:val="auto"/>
              </w:rPr>
            </w:pPr>
            <w:r>
              <w:rPr>
                <w:rFonts w:ascii="Arial" w:cs="Arial" w:eastAsia="Arial" w:hAnsi="Arial"/>
                <w:sz w:val="15"/>
                <w:szCs w:val="15"/>
                <w:b w:val="1"/>
                <w:bCs w:val="1"/>
                <w:color w:val="auto"/>
              </w:rPr>
              <w:t>April 4, 2021</w:t>
            </w:r>
          </w:p>
        </w:tc>
        <w:tc>
          <w:tcPr>
            <w:tcW w:w="0" w:type="dxa"/>
            <w:vAlign w:val="bottom"/>
          </w:tcPr>
          <w:p>
            <w:pPr>
              <w:spacing w:after="0"/>
              <w:rPr>
                <w:sz w:val="1"/>
                <w:szCs w:val="1"/>
                <w:color w:val="auto"/>
              </w:rPr>
            </w:pPr>
          </w:p>
        </w:tc>
      </w:tr>
      <w:tr>
        <w:trPr>
          <w:trHeight w:val="150"/>
        </w:trPr>
        <w:tc>
          <w:tcPr>
            <w:tcW w:w="640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43"/>
              <w:spacing w:after="0" w:line="150" w:lineRule="exact"/>
              <w:rPr>
                <w:sz w:val="20"/>
                <w:szCs w:val="20"/>
                <w:color w:val="auto"/>
              </w:rPr>
            </w:pPr>
            <w:r>
              <w:rPr>
                <w:rFonts w:ascii="Arial" w:cs="Arial" w:eastAsia="Arial" w:hAnsi="Arial"/>
                <w:sz w:val="15"/>
                <w:szCs w:val="15"/>
                <w:b w:val="1"/>
                <w:bCs w:val="1"/>
                <w:color w:val="auto"/>
              </w:rPr>
              <w:t>Class B</w:t>
            </w: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5"/>
                <w:szCs w:val="15"/>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23"/>
              <w:spacing w:after="0" w:line="150" w:lineRule="exact"/>
              <w:rPr>
                <w:sz w:val="20"/>
                <w:szCs w:val="20"/>
                <w:color w:val="auto"/>
              </w:rPr>
            </w:pPr>
            <w:r>
              <w:rPr>
                <w:rFonts w:ascii="Arial" w:cs="Arial" w:eastAsia="Arial" w:hAnsi="Arial"/>
                <w:sz w:val="15"/>
                <w:szCs w:val="15"/>
                <w:b w:val="1"/>
                <w:bCs w:val="1"/>
                <w:color w:val="auto"/>
              </w:rPr>
              <w:t>Class B</w:t>
            </w:r>
          </w:p>
        </w:tc>
        <w:tc>
          <w:tcPr>
            <w:tcW w:w="0" w:type="dxa"/>
            <w:vAlign w:val="bottom"/>
          </w:tcPr>
          <w:p>
            <w:pPr>
              <w:spacing w:after="0"/>
              <w:rPr>
                <w:sz w:val="1"/>
                <w:szCs w:val="1"/>
                <w:color w:val="auto"/>
              </w:rPr>
            </w:pPr>
          </w:p>
        </w:tc>
      </w:tr>
      <w:tr>
        <w:trPr>
          <w:trHeight w:val="204"/>
        </w:trPr>
        <w:tc>
          <w:tcPr>
            <w:tcW w:w="64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5"/>
                <w:szCs w:val="15"/>
                <w:b w:val="1"/>
                <w:bCs w:val="1"/>
                <w:color w:val="auto"/>
              </w:rPr>
              <w:t>Common Stock</w:t>
            </w:r>
          </w:p>
        </w:tc>
        <w:tc>
          <w:tcPr>
            <w:tcW w:w="1240" w:type="dxa"/>
            <w:vAlign w:val="bottom"/>
            <w:gridSpan w:val="3"/>
            <w:vMerge w:val="continue"/>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Common Stock</w:t>
            </w:r>
          </w:p>
        </w:tc>
        <w:tc>
          <w:tcPr>
            <w:tcW w:w="0" w:type="dxa"/>
            <w:vAlign w:val="bottom"/>
          </w:tcPr>
          <w:p>
            <w:pPr>
              <w:spacing w:after="0"/>
              <w:rPr>
                <w:sz w:val="1"/>
                <w:szCs w:val="1"/>
                <w:color w:val="auto"/>
              </w:rPr>
            </w:pPr>
          </w:p>
        </w:tc>
      </w:tr>
      <w:tr>
        <w:trPr>
          <w:trHeight w:val="188"/>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Arial" w:cs="Arial" w:eastAsia="Arial" w:hAnsi="Arial"/>
                <w:sz w:val="15"/>
                <w:szCs w:val="15"/>
                <w:color w:val="auto"/>
              </w:rPr>
              <w:t>Numerator: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Allocation of distributed earnings (cash dividends paid)</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48,824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44,309</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Allocation of undistributed earnings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257,226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95,168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169,502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63,558</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earnings—basic</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389,486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143,992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107,867</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weighted-average shares—basic</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146,464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59,614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146,972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60,614</w:t>
            </w:r>
          </w:p>
        </w:tc>
        <w:tc>
          <w:tcPr>
            <w:tcW w:w="0" w:type="dxa"/>
            <w:vAlign w:val="bottom"/>
          </w:tcPr>
          <w:p>
            <w:pPr>
              <w:spacing w:after="0"/>
              <w:rPr>
                <w:sz w:val="1"/>
                <w:szCs w:val="1"/>
                <w:color w:val="auto"/>
              </w:rPr>
            </w:pPr>
          </w:p>
        </w:tc>
      </w:tr>
      <w:tr>
        <w:trPr>
          <w:trHeight w:val="125"/>
        </w:trPr>
        <w:tc>
          <w:tcPr>
            <w:tcW w:w="6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20"/>
              <w:spacing w:after="0"/>
              <w:rPr>
                <w:sz w:val="20"/>
                <w:szCs w:val="20"/>
                <w:color w:val="auto"/>
              </w:rPr>
            </w:pPr>
            <w:r>
              <w:rPr>
                <w:rFonts w:ascii="Arial" w:cs="Arial" w:eastAsia="Arial" w:hAnsi="Arial"/>
                <w:sz w:val="15"/>
                <w:szCs w:val="15"/>
                <w:color w:val="auto"/>
              </w:rPr>
              <w:t>Earnings Per Share—basic</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4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Numerator: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5"/>
                <w:szCs w:val="15"/>
                <w:color w:val="auto"/>
              </w:rPr>
              <w:t>Allocation of total earnings used in basic computation</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389,486</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143,992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287,932</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107,867</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Reallocation of total earnings as a result of conversion of Class B common stock to Common</w:t>
            </w:r>
          </w:p>
        </w:tc>
        <w:tc>
          <w:tcPr>
            <w:tcW w:w="3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143,992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107,867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w:t>
            </w:r>
          </w:p>
        </w:tc>
        <w:tc>
          <w:tcPr>
            <w:tcW w:w="3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5"/>
                <w:szCs w:val="15"/>
                <w:color w:val="auto"/>
              </w:rPr>
              <w:t>Reallocation of undistributed earnings</w:t>
            </w:r>
          </w:p>
        </w:tc>
        <w:tc>
          <w:tcPr>
            <w:tcW w:w="3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earnings—diluted</w:t>
            </w: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533,478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143,430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395,799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107,561</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Denominator (shares in thousands):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20"/>
              <w:spacing w:after="0"/>
              <w:rPr>
                <w:sz w:val="20"/>
                <w:szCs w:val="20"/>
                <w:color w:val="auto"/>
              </w:rPr>
            </w:pPr>
            <w:r>
              <w:rPr>
                <w:rFonts w:ascii="Arial" w:cs="Arial" w:eastAsia="Arial" w:hAnsi="Arial"/>
                <w:sz w:val="15"/>
                <w:szCs w:val="15"/>
                <w:color w:val="auto"/>
              </w:rPr>
              <w:t>Number of shares used in basic computation</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146,464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59,614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146,972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60,614</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Weighted-average effect of dilutive securities: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Arial" w:cs="Arial" w:eastAsia="Arial" w:hAnsi="Arial"/>
                <w:sz w:val="15"/>
                <w:szCs w:val="15"/>
                <w:color w:val="auto"/>
              </w:rPr>
              <w:t>Conversion of Class B common stock to Common shares outstanding</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60,614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Employee stock options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rPr>
                <w:sz w:val="20"/>
                <w:szCs w:val="20"/>
                <w:color w:val="auto"/>
              </w:rPr>
            </w:pPr>
            <w:r>
              <w:rPr>
                <w:rFonts w:ascii="Arial" w:cs="Arial" w:eastAsia="Arial" w:hAnsi="Arial"/>
                <w:sz w:val="15"/>
                <w:szCs w:val="15"/>
                <w:color w:val="auto"/>
              </w:rPr>
              <w:t>Performance and restricted stock units</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4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 weighted-average shares—diluted</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207,270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59,614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208,564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60,614</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Earnings Per Share—diluted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earnings per share calculations for the three months ended April 3, 2022 and April 4, 2021 excluded 4 and 15 stock options,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251460</wp:posOffset>
            </wp:positionV>
            <wp:extent cx="188595" cy="163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OTHER (INCOME) EXPENSE, NET</w:t>
      </w:r>
    </w:p>
    <w:p>
      <w:pPr>
        <w:spacing w:after="0" w:line="2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Other (income) expense, net reports certain gains and losses associated with activities not directly related to our core operations. A summary of the components of other (income) expense, net is as follows:</w:t>
      </w:r>
    </w:p>
    <w:tbl>
      <w:tblPr>
        <w:tblLayout w:type="fixed"/>
        <w:tblInd w:w="0" w:type="dxa"/>
        <w:tblCellMar>
          <w:top w:w="0" w:type="dxa"/>
          <w:left w:w="0" w:type="dxa"/>
          <w:bottom w:w="0" w:type="dxa"/>
          <w:right w:w="0" w:type="dxa"/>
        </w:tblCellMar>
      </w:tblPr>
      <w:tr>
        <w:trPr>
          <w:trHeight w:val="205"/>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20" w:type="dxa"/>
            <w:vAlign w:val="bottom"/>
          </w:tcPr>
          <w:p>
            <w:pPr>
              <w:spacing w:after="0"/>
              <w:rPr>
                <w:sz w:val="17"/>
                <w:szCs w:val="17"/>
                <w:color w:val="auto"/>
              </w:rPr>
            </w:pPr>
          </w:p>
        </w:tc>
        <w:tc>
          <w:tcPr>
            <w:tcW w:w="1580" w:type="dxa"/>
            <w:vAlign w:val="bottom"/>
          </w:tcPr>
          <w:p>
            <w:pPr>
              <w:jc w:val="right"/>
              <w:ind w:right="436"/>
              <w:spacing w:after="0"/>
              <w:rPr>
                <w:sz w:val="20"/>
                <w:szCs w:val="20"/>
                <w:color w:val="auto"/>
              </w:rPr>
            </w:pPr>
            <w:r>
              <w:rPr>
                <w:rFonts w:ascii="Arial" w:cs="Arial" w:eastAsia="Arial" w:hAnsi="Arial"/>
                <w:sz w:val="15"/>
                <w:szCs w:val="15"/>
                <w:b w:val="1"/>
                <w:bCs w:val="1"/>
                <w:color w:val="auto"/>
              </w:rPr>
              <w:t>April 4, 2021</w:t>
            </w:r>
          </w:p>
        </w:tc>
        <w:tc>
          <w:tcPr>
            <w:tcW w:w="0" w:type="dxa"/>
            <w:vAlign w:val="bottom"/>
          </w:tcPr>
          <w:p>
            <w:pPr>
              <w:spacing w:after="0"/>
              <w:rPr>
                <w:sz w:val="1"/>
                <w:szCs w:val="1"/>
                <w:color w:val="auto"/>
              </w:rPr>
            </w:pPr>
          </w:p>
        </w:tc>
      </w:tr>
      <w:tr>
        <w:trPr>
          <w:trHeight w:val="150"/>
        </w:trPr>
        <w:tc>
          <w:tcPr>
            <w:tcW w:w="7340" w:type="dxa"/>
            <w:vAlign w:val="bottom"/>
            <w:tcBorders>
              <w:top w:val="single" w:sz="8" w:color="CCEEFF"/>
            </w:tcBorders>
            <w:gridSpan w:val="4"/>
            <w:shd w:val="clear" w:color="auto" w:fill="CCEEFF"/>
          </w:tcPr>
          <w:p>
            <w:pPr>
              <w:ind w:left="20"/>
              <w:spacing w:after="0" w:line="150" w:lineRule="exact"/>
              <w:rPr>
                <w:sz w:val="20"/>
                <w:szCs w:val="20"/>
                <w:color w:val="auto"/>
              </w:rPr>
            </w:pPr>
            <w:r>
              <w:rPr>
                <w:rFonts w:ascii="Arial" w:cs="Arial" w:eastAsia="Arial" w:hAnsi="Arial"/>
                <w:sz w:val="17"/>
                <w:szCs w:val="17"/>
                <w:color w:val="auto"/>
              </w:rPr>
              <w:t>Write-down of equity investments in partnerships qualifying for historic and renewable energy tax</w:t>
            </w:r>
          </w:p>
        </w:tc>
        <w:tc>
          <w:tcPr>
            <w:tcW w:w="320" w:type="dxa"/>
            <w:vAlign w:val="bottom"/>
            <w:tcBorders>
              <w:top w:val="single" w:sz="8" w:color="auto"/>
            </w:tcBorders>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12,592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2,891</w:t>
            </w:r>
          </w:p>
        </w:tc>
        <w:tc>
          <w:tcPr>
            <w:tcW w:w="0" w:type="dxa"/>
            <w:vAlign w:val="bottom"/>
          </w:tcPr>
          <w:p>
            <w:pPr>
              <w:spacing w:after="0"/>
              <w:rPr>
                <w:sz w:val="1"/>
                <w:szCs w:val="1"/>
                <w:color w:val="auto"/>
              </w:rPr>
            </w:pPr>
          </w:p>
        </w:tc>
      </w:tr>
      <w:tr>
        <w:trPr>
          <w:trHeight w:val="180"/>
        </w:trPr>
        <w:tc>
          <w:tcPr>
            <w:tcW w:w="7340" w:type="dxa"/>
            <w:vAlign w:val="bottom"/>
            <w:gridSpan w:val="4"/>
            <w:shd w:val="clear" w:color="auto" w:fill="CCEEFF"/>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 xml:space="preserve">credits (see </w:t>
            </w:r>
            <w:hyperlink w:anchor="page19">
              <w:r>
                <w:rPr>
                  <w:rFonts w:ascii="Arial" w:cs="Arial" w:eastAsia="Arial" w:hAnsi="Arial"/>
                  <w:sz w:val="17"/>
                  <w:szCs w:val="17"/>
                  <w:color w:val="0000FF"/>
                </w:rPr>
                <w:t>Note 8</w:t>
              </w:r>
            </w:hyperlink>
            <w:r>
              <w:rPr>
                <w:rFonts w:ascii="Arial" w:cs="Arial" w:eastAsia="Arial" w:hAnsi="Arial"/>
                <w:sz w:val="17"/>
                <w:szCs w:val="17"/>
                <w:color w:val="auto"/>
              </w:rPr>
              <w:t>)</w:t>
            </w:r>
          </w:p>
        </w:tc>
        <w:tc>
          <w:tcPr>
            <w:tcW w:w="320" w:type="dxa"/>
            <w:vAlign w:val="bottom"/>
            <w:vMerge w:val="continue"/>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84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55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7340" w:type="dxa"/>
            <w:vAlign w:val="bottom"/>
            <w:gridSpan w:val="4"/>
          </w:tcPr>
          <w:p>
            <w:pPr>
              <w:ind w:left="20"/>
              <w:spacing w:after="0" w:line="168" w:lineRule="exact"/>
              <w:rPr>
                <w:sz w:val="20"/>
                <w:szCs w:val="20"/>
                <w:color w:val="auto"/>
              </w:rPr>
            </w:pPr>
            <w:r>
              <w:rPr>
                <w:rFonts w:ascii="Arial" w:cs="Arial" w:eastAsia="Arial" w:hAnsi="Arial"/>
                <w:sz w:val="17"/>
                <w:szCs w:val="17"/>
                <w:color w:val="auto"/>
                <w:w w:val="95"/>
              </w:rPr>
              <w:t>Non-service cost components of net periodic benefit cost relating to pension and other post-retirement</w:t>
            </w:r>
          </w:p>
        </w:tc>
        <w:tc>
          <w:tcPr>
            <w:tcW w:w="3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(2,182)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180"/>
        </w:trPr>
        <w:tc>
          <w:tcPr>
            <w:tcW w:w="7340" w:type="dxa"/>
            <w:vAlign w:val="bottom"/>
            <w:gridSpan w:val="4"/>
          </w:tcPr>
          <w:p>
            <w:pPr>
              <w:ind w:left="20"/>
              <w:spacing w:after="0" w:line="180" w:lineRule="exact"/>
              <w:rPr>
                <w:rFonts w:ascii="Arial" w:cs="Arial" w:eastAsia="Arial" w:hAnsi="Arial"/>
                <w:sz w:val="17"/>
                <w:szCs w:val="17"/>
                <w:color w:val="auto"/>
              </w:rPr>
            </w:pPr>
            <w:r>
              <w:rPr>
                <w:rFonts w:ascii="Arial" w:cs="Arial" w:eastAsia="Arial" w:hAnsi="Arial"/>
                <w:sz w:val="17"/>
                <w:szCs w:val="17"/>
                <w:color w:val="auto"/>
              </w:rPr>
              <w:t xml:space="preserve">benefit plans (see </w:t>
            </w:r>
            <w:hyperlink w:anchor="page21">
              <w:r>
                <w:rPr>
                  <w:rFonts w:ascii="Arial" w:cs="Arial" w:eastAsia="Arial" w:hAnsi="Arial"/>
                  <w:sz w:val="17"/>
                  <w:szCs w:val="17"/>
                  <w:color w:val="0000FF"/>
                </w:rPr>
                <w:t>Note 11</w:t>
              </w:r>
            </w:hyperlink>
            <w:r>
              <w:rPr>
                <w:rFonts w:ascii="Arial" w:cs="Arial" w:eastAsia="Arial" w:hAnsi="Arial"/>
                <w:sz w:val="17"/>
                <w:szCs w:val="17"/>
                <w:color w:val="auto"/>
              </w:rPr>
              <w:t>)</w:t>
            </w:r>
          </w:p>
        </w:tc>
        <w:tc>
          <w:tcPr>
            <w:tcW w:w="3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4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3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7340" w:type="dxa"/>
            <w:vAlign w:val="bottom"/>
            <w:gridSpan w:val="4"/>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523875</wp:posOffset>
            </wp:positionV>
            <wp:extent cx="188595" cy="163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THE HERSHEY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SUPPLEMENTAL BALANCE SHEET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certain Consolidated Balance Sheet accounts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gridSpan w:val="2"/>
          </w:tcPr>
          <w:p>
            <w:pPr>
              <w:ind w:left="300"/>
              <w:spacing w:after="0"/>
              <w:rPr>
                <w:sz w:val="20"/>
                <w:szCs w:val="20"/>
                <w:color w:val="auto"/>
              </w:rPr>
            </w:pPr>
            <w:r>
              <w:rPr>
                <w:rFonts w:ascii="Arial" w:cs="Arial" w:eastAsia="Arial" w:hAnsi="Arial"/>
                <w:sz w:val="15"/>
                <w:szCs w:val="15"/>
                <w:b w:val="1"/>
                <w:bCs w:val="1"/>
                <w:color w:val="auto"/>
              </w:rPr>
              <w:t>April 3, 2022</w:t>
            </w:r>
          </w:p>
        </w:tc>
        <w:tc>
          <w:tcPr>
            <w:tcW w:w="300" w:type="dxa"/>
            <w:vAlign w:val="bottom"/>
          </w:tcPr>
          <w:p>
            <w:pPr>
              <w:spacing w:after="0"/>
              <w:rPr>
                <w:sz w:val="17"/>
                <w:szCs w:val="17"/>
                <w:color w:val="auto"/>
              </w:rPr>
            </w:pPr>
          </w:p>
        </w:tc>
        <w:tc>
          <w:tcPr>
            <w:tcW w:w="1980" w:type="dxa"/>
            <w:vAlign w:val="bottom"/>
            <w:gridSpan w:val="2"/>
          </w:tcPr>
          <w:p>
            <w:pPr>
              <w:ind w:left="200"/>
              <w:spacing w:after="0"/>
              <w:rPr>
                <w:sz w:val="20"/>
                <w:szCs w:val="20"/>
                <w:color w:val="auto"/>
              </w:rPr>
            </w:pPr>
            <w:r>
              <w:rPr>
                <w:rFonts w:ascii="Arial" w:cs="Arial" w:eastAsia="Arial" w:hAnsi="Arial"/>
                <w:sz w:val="15"/>
                <w:szCs w:val="15"/>
                <w:b w:val="1"/>
                <w:bCs w:val="1"/>
                <w:color w:val="auto"/>
              </w:rPr>
              <w:t>December 31, 2021</w:t>
            </w:r>
          </w:p>
        </w:tc>
      </w:tr>
      <w:tr>
        <w:trPr>
          <w:trHeight w:val="189"/>
        </w:trPr>
        <w:tc>
          <w:tcPr>
            <w:tcW w:w="36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Inventories:</w:t>
            </w:r>
          </w:p>
        </w:tc>
        <w:tc>
          <w:tcPr>
            <w:tcW w:w="29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Raw materials</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383,557</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395,358</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Goods in process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150,722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110,008</w:t>
            </w:r>
          </w:p>
        </w:tc>
        <w:tc>
          <w:tcPr>
            <w:tcW w:w="20" w:type="dxa"/>
            <w:vAlign w:val="bottom"/>
          </w:tcPr>
          <w:p>
            <w:pPr>
              <w:spacing w:after="0"/>
              <w:rPr>
                <w:sz w:val="18"/>
                <w:szCs w:val="18"/>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Finished goods</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685,022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649,082</w:t>
            </w:r>
          </w:p>
        </w:tc>
        <w:tc>
          <w:tcPr>
            <w:tcW w:w="2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Inventories at First In First Out</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1,219,301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1,154,448</w:t>
            </w:r>
          </w:p>
        </w:tc>
        <w:tc>
          <w:tcPr>
            <w:tcW w:w="20" w:type="dxa"/>
            <w:vAlign w:val="bottom"/>
          </w:tcPr>
          <w:p>
            <w:pPr>
              <w:spacing w:after="0"/>
              <w:rPr>
                <w:sz w:val="17"/>
                <w:szCs w:val="17"/>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Adjustment to Last In First Out</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(187,798)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(165,937)</w:t>
            </w:r>
          </w:p>
        </w:tc>
        <w:tc>
          <w:tcPr>
            <w:tcW w:w="20" w:type="dxa"/>
            <w:vAlign w:val="bottom"/>
          </w:tcPr>
          <w:p>
            <w:pPr>
              <w:spacing w:after="0"/>
              <w:rPr>
                <w:sz w:val="17"/>
                <w:szCs w:val="17"/>
                <w:color w:val="auto"/>
              </w:rPr>
            </w:pPr>
          </w:p>
        </w:tc>
      </w:tr>
      <w:tr>
        <w:trPr>
          <w:trHeight w:val="222"/>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inventories</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1,031,503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988,511</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Prepaid expenses and other:</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Prepaid expenses</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86,929</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129,287</w:t>
            </w:r>
          </w:p>
        </w:tc>
        <w:tc>
          <w:tcPr>
            <w:tcW w:w="2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current assets</w:t>
            </w:r>
          </w:p>
        </w:tc>
        <w:tc>
          <w:tcPr>
            <w:tcW w:w="29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132,525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127,678</w:t>
            </w:r>
          </w:p>
        </w:tc>
        <w:tc>
          <w:tcPr>
            <w:tcW w:w="20" w:type="dxa"/>
            <w:vAlign w:val="bottom"/>
          </w:tcPr>
          <w:p>
            <w:pPr>
              <w:spacing w:after="0"/>
              <w:rPr>
                <w:sz w:val="17"/>
                <w:szCs w:val="17"/>
                <w:color w:val="auto"/>
              </w:rPr>
            </w:pPr>
          </w:p>
        </w:tc>
      </w:tr>
      <w:tr>
        <w:trPr>
          <w:trHeight w:val="202"/>
        </w:trPr>
        <w:tc>
          <w:tcPr>
            <w:tcW w:w="3640" w:type="dxa"/>
            <w:vAlign w:val="bottom"/>
            <w:gridSpan w:val="3"/>
          </w:tcPr>
          <w:p>
            <w:pPr>
              <w:ind w:left="20"/>
              <w:spacing w:after="0"/>
              <w:rPr>
                <w:sz w:val="20"/>
                <w:szCs w:val="20"/>
                <w:color w:val="auto"/>
              </w:rPr>
            </w:pPr>
            <w:r>
              <w:rPr>
                <w:rFonts w:ascii="Arial" w:cs="Arial" w:eastAsia="Arial" w:hAnsi="Arial"/>
                <w:sz w:val="15"/>
                <w:szCs w:val="15"/>
                <w:color w:val="auto"/>
              </w:rPr>
              <w:t>Total prepaid expenses and other</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219,454</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256,965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04"/>
        </w:trPr>
        <w:tc>
          <w:tcPr>
            <w:tcW w:w="3640" w:type="dxa"/>
            <w:vAlign w:val="bottom"/>
            <w:gridSpan w:val="3"/>
          </w:tcPr>
          <w:p>
            <w:pPr>
              <w:ind w:left="20"/>
              <w:spacing w:after="0"/>
              <w:rPr>
                <w:sz w:val="20"/>
                <w:szCs w:val="20"/>
                <w:color w:val="auto"/>
              </w:rPr>
            </w:pPr>
            <w:r>
              <w:rPr>
                <w:rFonts w:ascii="Arial" w:cs="Arial" w:eastAsia="Arial" w:hAnsi="Arial"/>
                <w:sz w:val="15"/>
                <w:szCs w:val="15"/>
                <w:b w:val="1"/>
                <w:bCs w:val="1"/>
                <w:color w:val="auto"/>
              </w:rPr>
              <w:t>Property, plant and equipment:</w:t>
            </w: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Land</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157,764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154,494</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Buildings</w:t>
            </w: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1,560,011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1,508,139</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Machinery and equipment</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3,521,620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3,443,500</w:t>
            </w:r>
          </w:p>
        </w:tc>
        <w:tc>
          <w:tcPr>
            <w:tcW w:w="20" w:type="dxa"/>
            <w:vAlign w:val="bottom"/>
          </w:tcPr>
          <w:p>
            <w:pPr>
              <w:spacing w:after="0"/>
              <w:rPr>
                <w:sz w:val="18"/>
                <w:szCs w:val="18"/>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Construction in progress</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216,174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294,824</w:t>
            </w:r>
          </w:p>
        </w:tc>
        <w:tc>
          <w:tcPr>
            <w:tcW w:w="2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Property, plant and equipment, gross</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5,455,569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5,400,957</w:t>
            </w:r>
          </w:p>
        </w:tc>
        <w:tc>
          <w:tcPr>
            <w:tcW w:w="20" w:type="dxa"/>
            <w:vAlign w:val="bottom"/>
          </w:tcPr>
          <w:p>
            <w:pPr>
              <w:spacing w:after="0"/>
              <w:rPr>
                <w:sz w:val="17"/>
                <w:szCs w:val="17"/>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Accumulated depreciation</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(2,862,941)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(2,814,770)</w:t>
            </w:r>
          </w:p>
        </w:tc>
        <w:tc>
          <w:tcPr>
            <w:tcW w:w="20" w:type="dxa"/>
            <w:vAlign w:val="bottom"/>
          </w:tcPr>
          <w:p>
            <w:pPr>
              <w:spacing w:after="0"/>
              <w:rPr>
                <w:sz w:val="17"/>
                <w:szCs w:val="17"/>
                <w:color w:val="auto"/>
              </w:rPr>
            </w:pPr>
          </w:p>
        </w:tc>
      </w:tr>
      <w:tr>
        <w:trPr>
          <w:trHeight w:val="222"/>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2,592,628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2,586,187</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Other non-current assets:</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Pension</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67,093</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71,618</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Capitalized software, net</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280,651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260,656</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Operating lease ROU assets</w:t>
            </w: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352,385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351,712</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Investments in unconsolidated affiliates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109,380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93,089</w:t>
            </w:r>
          </w:p>
        </w:tc>
        <w:tc>
          <w:tcPr>
            <w:tcW w:w="20" w:type="dxa"/>
            <w:vAlign w:val="bottom"/>
          </w:tcPr>
          <w:p>
            <w:pPr>
              <w:spacing w:after="0"/>
              <w:rPr>
                <w:sz w:val="18"/>
                <w:szCs w:val="18"/>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non-current assets</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92,838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91,128</w:t>
            </w:r>
          </w:p>
        </w:tc>
        <w:tc>
          <w:tcPr>
            <w:tcW w:w="20" w:type="dxa"/>
            <w:vAlign w:val="bottom"/>
          </w:tcPr>
          <w:p>
            <w:pPr>
              <w:spacing w:after="0"/>
              <w:rPr>
                <w:sz w:val="17"/>
                <w:szCs w:val="17"/>
                <w:color w:val="auto"/>
              </w:rPr>
            </w:pPr>
          </w:p>
        </w:tc>
      </w:tr>
      <w:tr>
        <w:trPr>
          <w:trHeight w:val="222"/>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other non-current assets</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902,347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868,203</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Accrued liabilities:</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Payroll, compensation and benefits</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183,279</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291,446</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Advertising, promotion and product allowances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326,215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305,050</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Operating lease liabilities</w:t>
            </w: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36,481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36,292</w:t>
            </w:r>
          </w:p>
        </w:tc>
        <w:tc>
          <w:tcPr>
            <w:tcW w:w="20" w:type="dxa"/>
            <w:vAlign w:val="bottom"/>
          </w:tcPr>
          <w:p>
            <w:pPr>
              <w:spacing w:after="0"/>
              <w:rPr>
                <w:sz w:val="17"/>
                <w:szCs w:val="17"/>
                <w:color w:val="auto"/>
              </w:rPr>
            </w:pPr>
          </w:p>
        </w:tc>
      </w:tr>
      <w:tr>
        <w:trPr>
          <w:trHeight w:val="20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w:t>
            </w:r>
          </w:p>
        </w:tc>
        <w:tc>
          <w:tcPr>
            <w:tcW w:w="29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238,685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222,850</w:t>
            </w:r>
          </w:p>
        </w:tc>
        <w:tc>
          <w:tcPr>
            <w:tcW w:w="20" w:type="dxa"/>
            <w:vAlign w:val="bottom"/>
          </w:tcPr>
          <w:p>
            <w:pPr>
              <w:spacing w:after="0"/>
              <w:rPr>
                <w:sz w:val="17"/>
                <w:szCs w:val="17"/>
                <w:color w:val="auto"/>
              </w:rPr>
            </w:pPr>
          </w:p>
        </w:tc>
      </w:tr>
      <w:tr>
        <w:trPr>
          <w:trHeight w:val="202"/>
        </w:trPr>
        <w:tc>
          <w:tcPr>
            <w:tcW w:w="3640" w:type="dxa"/>
            <w:vAlign w:val="bottom"/>
            <w:gridSpan w:val="3"/>
          </w:tcPr>
          <w:p>
            <w:pPr>
              <w:ind w:left="20"/>
              <w:spacing w:after="0"/>
              <w:rPr>
                <w:sz w:val="20"/>
                <w:szCs w:val="20"/>
                <w:color w:val="auto"/>
              </w:rPr>
            </w:pPr>
            <w:r>
              <w:rPr>
                <w:rFonts w:ascii="Arial" w:cs="Arial" w:eastAsia="Arial" w:hAnsi="Arial"/>
                <w:sz w:val="15"/>
                <w:szCs w:val="15"/>
                <w:color w:val="auto"/>
              </w:rPr>
              <w:t>Total accrued liabilities</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784,660</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855,638</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04"/>
        </w:trPr>
        <w:tc>
          <w:tcPr>
            <w:tcW w:w="3640" w:type="dxa"/>
            <w:vAlign w:val="bottom"/>
            <w:gridSpan w:val="3"/>
          </w:tcPr>
          <w:p>
            <w:pPr>
              <w:ind w:left="20"/>
              <w:spacing w:after="0"/>
              <w:rPr>
                <w:sz w:val="20"/>
                <w:szCs w:val="20"/>
                <w:color w:val="auto"/>
              </w:rPr>
            </w:pPr>
            <w:r>
              <w:rPr>
                <w:rFonts w:ascii="Arial" w:cs="Arial" w:eastAsia="Arial" w:hAnsi="Arial"/>
                <w:sz w:val="15"/>
                <w:szCs w:val="15"/>
                <w:b w:val="1"/>
                <w:bCs w:val="1"/>
                <w:color w:val="auto"/>
              </w:rPr>
              <w:t>Other long-term liabilities:</w:t>
            </w: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Post-retirement benefits liabilities</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190,248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193,604</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Pension benefits liabilities</w:t>
            </w: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33,208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37,023</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Operating lease liabilities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312,595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310,899</w:t>
            </w:r>
          </w:p>
        </w:tc>
        <w:tc>
          <w:tcPr>
            <w:tcW w:w="20" w:type="dxa"/>
            <w:vAlign w:val="bottom"/>
          </w:tcPr>
          <w:p>
            <w:pPr>
              <w:spacing w:after="0"/>
              <w:rPr>
                <w:sz w:val="18"/>
                <w:szCs w:val="18"/>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244,997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245,532</w:t>
            </w:r>
          </w:p>
        </w:tc>
        <w:tc>
          <w:tcPr>
            <w:tcW w:w="20" w:type="dxa"/>
            <w:vAlign w:val="bottom"/>
          </w:tcPr>
          <w:p>
            <w:pPr>
              <w:spacing w:after="0"/>
              <w:rPr>
                <w:sz w:val="17"/>
                <w:szCs w:val="17"/>
                <w:color w:val="auto"/>
              </w:rPr>
            </w:pPr>
          </w:p>
        </w:tc>
      </w:tr>
      <w:tr>
        <w:trPr>
          <w:trHeight w:val="222"/>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other long-term liabilities</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781,048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787,058</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6"/>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Accumulated other comprehensive loss:</w:t>
            </w:r>
          </w:p>
        </w:tc>
        <w:tc>
          <w:tcPr>
            <w:tcW w:w="2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ind w:left="120"/>
              <w:spacing w:after="0"/>
              <w:rPr>
                <w:sz w:val="20"/>
                <w:szCs w:val="20"/>
                <w:color w:val="auto"/>
              </w:rPr>
            </w:pPr>
            <w:r>
              <w:rPr>
                <w:rFonts w:ascii="Arial" w:cs="Arial" w:eastAsia="Arial" w:hAnsi="Arial"/>
                <w:sz w:val="15"/>
                <w:szCs w:val="15"/>
                <w:color w:val="auto"/>
              </w:rPr>
              <w:t>Foreign currency translation adjustments</w:t>
            </w:r>
          </w:p>
        </w:tc>
        <w:tc>
          <w:tcPr>
            <w:tcW w:w="33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tcPr>
          <w:p>
            <w:pPr>
              <w:jc w:val="right"/>
              <w:spacing w:after="0"/>
              <w:rPr>
                <w:sz w:val="20"/>
                <w:szCs w:val="20"/>
                <w:color w:val="auto"/>
              </w:rPr>
            </w:pPr>
            <w:r>
              <w:rPr>
                <w:rFonts w:ascii="Arial" w:cs="Arial" w:eastAsia="Arial" w:hAnsi="Arial"/>
                <w:sz w:val="15"/>
                <w:szCs w:val="15"/>
                <w:color w:val="auto"/>
              </w:rPr>
              <w:t>(85,606)</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spacing w:after="0"/>
              <w:rPr>
                <w:sz w:val="20"/>
                <w:szCs w:val="20"/>
                <w:color w:val="auto"/>
              </w:rPr>
            </w:pPr>
            <w:r>
              <w:rPr>
                <w:rFonts w:ascii="Arial" w:cs="Arial" w:eastAsia="Arial" w:hAnsi="Arial"/>
                <w:sz w:val="15"/>
                <w:szCs w:val="15"/>
                <w:color w:val="auto"/>
              </w:rPr>
              <w:t>(100,025)</w:t>
            </w:r>
          </w:p>
        </w:tc>
        <w:tc>
          <w:tcPr>
            <w:tcW w:w="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Pension and post-retirement benefit plans, net of tax</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(116,381)</w:t>
            </w:r>
          </w:p>
        </w:tc>
        <w:tc>
          <w:tcPr>
            <w:tcW w:w="20" w:type="dxa"/>
            <w:vAlign w:val="bottom"/>
          </w:tcPr>
          <w:p>
            <w:pPr>
              <w:spacing w:after="0"/>
              <w:rPr>
                <w:sz w:val="18"/>
                <w:szCs w:val="18"/>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Cash flow hedges, net of tax</w:t>
            </w:r>
          </w:p>
        </w:tc>
        <w:tc>
          <w:tcPr>
            <w:tcW w:w="2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(35,989)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(32,809)</w:t>
            </w:r>
          </w:p>
        </w:tc>
        <w:tc>
          <w:tcPr>
            <w:tcW w:w="20" w:type="dxa"/>
            <w:vAlign w:val="bottom"/>
          </w:tcPr>
          <w:p>
            <w:pPr>
              <w:spacing w:after="0"/>
              <w:rPr>
                <w:sz w:val="17"/>
                <w:szCs w:val="17"/>
                <w:color w:val="auto"/>
              </w:rPr>
            </w:pPr>
          </w:p>
        </w:tc>
      </w:tr>
      <w:tr>
        <w:trPr>
          <w:trHeight w:val="222"/>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accumulated other comprehensive loss</w:t>
            </w:r>
          </w:p>
        </w:tc>
        <w:tc>
          <w:tcPr>
            <w:tcW w:w="3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(242,009)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(249,215)</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6"/>
        </w:trPr>
        <w:tc>
          <w:tcPr>
            <w:tcW w:w="3640" w:type="dxa"/>
            <w:vAlign w:val="bottom"/>
            <w:gridSpan w:val="3"/>
          </w:tcPr>
          <w:p>
            <w:pPr>
              <w:ind w:left="20"/>
              <w:spacing w:after="0"/>
              <w:rPr>
                <w:rFonts w:ascii="Arial" w:cs="Arial" w:eastAsia="Arial" w:hAnsi="Arial"/>
                <w:sz w:val="15"/>
                <w:szCs w:val="15"/>
                <w:color w:val="0000FF"/>
              </w:rPr>
            </w:pPr>
            <w:hyperlink w:anchor="page1">
              <w:r>
                <w:rPr>
                  <w:rFonts w:ascii="Arial" w:cs="Arial" w:eastAsia="Arial" w:hAnsi="Arial"/>
                  <w:sz w:val="15"/>
                  <w:szCs w:val="15"/>
                  <w:color w:val="0000FF"/>
                </w:rPr>
                <w:t>Table of Contents</w:t>
              </w:r>
            </w:hyperlink>
          </w:p>
        </w:tc>
        <w:tc>
          <w:tcPr>
            <w:tcW w:w="5320" w:type="dxa"/>
            <w:vAlign w:val="bottom"/>
            <w:gridSpan w:val="4"/>
          </w:tcPr>
          <w:p>
            <w:pPr>
              <w:ind w:left="280"/>
              <w:spacing w:after="0"/>
              <w:rPr>
                <w:sz w:val="20"/>
                <w:szCs w:val="20"/>
                <w:color w:val="auto"/>
              </w:rPr>
            </w:pPr>
            <w:r>
              <w:rPr>
                <w:rFonts w:ascii="Arial" w:cs="Arial" w:eastAsia="Arial" w:hAnsi="Arial"/>
                <w:sz w:val="15"/>
                <w:szCs w:val="15"/>
                <w:color w:val="auto"/>
              </w:rPr>
              <w:t>The Hershey Company | Q1 2022 Form 10-Q | Page 29</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-498475</wp:posOffset>
            </wp:positionV>
            <wp:extent cx="188595" cy="163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2021 Annual Report on Form 10-K for information concerning the key risks to achieving future performance goals.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MD&amp;A is organized in the following sections:</w:t>
      </w:r>
    </w:p>
    <w:p>
      <w:pPr>
        <w:spacing w:after="0" w:line="62" w:lineRule="exact"/>
        <w:rPr>
          <w:sz w:val="20"/>
          <w:szCs w:val="20"/>
          <w:color w:val="auto"/>
        </w:rPr>
      </w:pPr>
    </w:p>
    <w:p>
      <w:pPr>
        <w:ind w:left="860" w:hanging="547"/>
        <w:spacing w:after="0"/>
        <w:tabs>
          <w:tab w:leader="none" w:pos="860" w:val="left"/>
        </w:tabs>
        <w:numPr>
          <w:ilvl w:val="0"/>
          <w:numId w:val="12"/>
        </w:numPr>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Overview</w:t>
        </w:r>
      </w:hyperlink>
    </w:p>
    <w:p>
      <w:pPr>
        <w:spacing w:after="0" w:line="62" w:lineRule="exact"/>
        <w:rPr>
          <w:rFonts w:ascii="Arial" w:cs="Arial" w:eastAsia="Arial" w:hAnsi="Arial"/>
          <w:sz w:val="17"/>
          <w:szCs w:val="17"/>
          <w:u w:val="single" w:color="auto"/>
          <w:color w:val="0000FF"/>
        </w:rPr>
      </w:pPr>
    </w:p>
    <w:p>
      <w:pPr>
        <w:ind w:left="860" w:hanging="547"/>
        <w:spacing w:after="0"/>
        <w:tabs>
          <w:tab w:leader="none" w:pos="860" w:val="left"/>
        </w:tabs>
        <w:numPr>
          <w:ilvl w:val="0"/>
          <w:numId w:val="12"/>
        </w:numPr>
        <w:rPr>
          <w:rFonts w:ascii="Arial" w:cs="Arial" w:eastAsia="Arial" w:hAnsi="Arial"/>
          <w:sz w:val="17"/>
          <w:szCs w:val="17"/>
          <w:u w:val="single" w:color="auto"/>
          <w:color w:val="0000FF"/>
        </w:rPr>
      </w:pPr>
      <w:hyperlink w:anchor="page31">
        <w:r>
          <w:rPr>
            <w:rFonts w:ascii="Arial" w:cs="Arial" w:eastAsia="Arial" w:hAnsi="Arial"/>
            <w:sz w:val="17"/>
            <w:szCs w:val="17"/>
            <w:u w:val="single" w:color="auto"/>
            <w:color w:val="0000FF"/>
          </w:rPr>
          <w:t>Trends Affecting Our Business</w:t>
        </w:r>
      </w:hyperlink>
    </w:p>
    <w:p>
      <w:pPr>
        <w:spacing w:after="0" w:line="62" w:lineRule="exact"/>
        <w:rPr>
          <w:rFonts w:ascii="Arial" w:cs="Arial" w:eastAsia="Arial" w:hAnsi="Arial"/>
          <w:sz w:val="17"/>
          <w:szCs w:val="17"/>
          <w:u w:val="single" w:color="auto"/>
          <w:color w:val="0000FF"/>
        </w:rPr>
      </w:pPr>
    </w:p>
    <w:p>
      <w:pPr>
        <w:ind w:left="860" w:hanging="547"/>
        <w:spacing w:after="0"/>
        <w:tabs>
          <w:tab w:leader="none" w:pos="860" w:val="left"/>
        </w:tabs>
        <w:numPr>
          <w:ilvl w:val="0"/>
          <w:numId w:val="12"/>
        </w:numPr>
        <w:rPr>
          <w:rFonts w:ascii="Arial" w:cs="Arial" w:eastAsia="Arial" w:hAnsi="Arial"/>
          <w:sz w:val="17"/>
          <w:szCs w:val="17"/>
          <w:u w:val="single" w:color="auto"/>
          <w:color w:val="0000FF"/>
        </w:rPr>
      </w:pPr>
      <w:hyperlink w:anchor="page32">
        <w:r>
          <w:rPr>
            <w:rFonts w:ascii="Arial" w:cs="Arial" w:eastAsia="Arial" w:hAnsi="Arial"/>
            <w:sz w:val="17"/>
            <w:szCs w:val="17"/>
            <w:u w:val="single" w:color="auto"/>
            <w:color w:val="0000FF"/>
          </w:rPr>
          <w:t>Consolidated Results of Operations</w:t>
        </w:r>
      </w:hyperlink>
    </w:p>
    <w:p>
      <w:pPr>
        <w:spacing w:after="0" w:line="62" w:lineRule="exact"/>
        <w:rPr>
          <w:rFonts w:ascii="Arial" w:cs="Arial" w:eastAsia="Arial" w:hAnsi="Arial"/>
          <w:sz w:val="17"/>
          <w:szCs w:val="17"/>
          <w:u w:val="single" w:color="auto"/>
          <w:color w:val="0000FF"/>
        </w:rPr>
      </w:pPr>
    </w:p>
    <w:p>
      <w:pPr>
        <w:ind w:left="860" w:hanging="547"/>
        <w:spacing w:after="0"/>
        <w:tabs>
          <w:tab w:leader="none" w:pos="860" w:val="left"/>
        </w:tabs>
        <w:numPr>
          <w:ilvl w:val="0"/>
          <w:numId w:val="12"/>
        </w:numPr>
        <w:rPr>
          <w:rFonts w:ascii="Arial" w:cs="Arial" w:eastAsia="Arial" w:hAnsi="Arial"/>
          <w:sz w:val="17"/>
          <w:szCs w:val="17"/>
          <w:u w:val="single" w:color="auto"/>
          <w:color w:val="0000FF"/>
        </w:rPr>
      </w:pPr>
      <w:hyperlink w:anchor="page35">
        <w:r>
          <w:rPr>
            <w:rFonts w:ascii="Arial" w:cs="Arial" w:eastAsia="Arial" w:hAnsi="Arial"/>
            <w:sz w:val="17"/>
            <w:szCs w:val="17"/>
            <w:u w:val="single" w:color="auto"/>
            <w:color w:val="0000FF"/>
          </w:rPr>
          <w:t>Segment Results</w:t>
        </w:r>
      </w:hyperlink>
    </w:p>
    <w:p>
      <w:pPr>
        <w:spacing w:after="0" w:line="62" w:lineRule="exact"/>
        <w:rPr>
          <w:rFonts w:ascii="Arial" w:cs="Arial" w:eastAsia="Arial" w:hAnsi="Arial"/>
          <w:sz w:val="17"/>
          <w:szCs w:val="17"/>
          <w:u w:val="single" w:color="auto"/>
          <w:color w:val="0000FF"/>
        </w:rPr>
      </w:pPr>
    </w:p>
    <w:p>
      <w:pPr>
        <w:ind w:left="860" w:hanging="547"/>
        <w:spacing w:after="0"/>
        <w:tabs>
          <w:tab w:leader="none" w:pos="860" w:val="left"/>
        </w:tabs>
        <w:numPr>
          <w:ilvl w:val="0"/>
          <w:numId w:val="12"/>
        </w:numPr>
        <w:rPr>
          <w:rFonts w:ascii="Arial" w:cs="Arial" w:eastAsia="Arial" w:hAnsi="Arial"/>
          <w:sz w:val="17"/>
          <w:szCs w:val="17"/>
          <w:u w:val="single" w:color="auto"/>
          <w:color w:val="0000FF"/>
        </w:rPr>
      </w:pPr>
      <w:hyperlink w:anchor="page39">
        <w:r>
          <w:rPr>
            <w:rFonts w:ascii="Arial" w:cs="Arial" w:eastAsia="Arial" w:hAnsi="Arial"/>
            <w:sz w:val="17"/>
            <w:szCs w:val="17"/>
            <w:u w:val="single" w:color="auto"/>
            <w:color w:val="0000FF"/>
          </w:rPr>
          <w:t>Liquidity and Capital Resources</w:t>
        </w:r>
      </w:hyperlink>
    </w:p>
    <w:p>
      <w:pPr>
        <w:spacing w:after="0" w:line="62" w:lineRule="exact"/>
        <w:rPr>
          <w:rFonts w:ascii="Arial" w:cs="Arial" w:eastAsia="Arial" w:hAnsi="Arial"/>
          <w:sz w:val="17"/>
          <w:szCs w:val="17"/>
          <w:u w:val="single" w:color="auto"/>
          <w:color w:val="0000FF"/>
        </w:rPr>
      </w:pPr>
    </w:p>
    <w:p>
      <w:pPr>
        <w:ind w:left="860" w:hanging="547"/>
        <w:spacing w:after="0"/>
        <w:tabs>
          <w:tab w:leader="none" w:pos="860" w:val="left"/>
        </w:tabs>
        <w:numPr>
          <w:ilvl w:val="0"/>
          <w:numId w:val="12"/>
        </w:numPr>
        <w:rPr>
          <w:rFonts w:ascii="Arial" w:cs="Arial" w:eastAsia="Arial" w:hAnsi="Arial"/>
          <w:sz w:val="17"/>
          <w:szCs w:val="17"/>
          <w:u w:val="single" w:color="auto"/>
          <w:color w:val="0000FF"/>
        </w:rPr>
      </w:pPr>
      <w:hyperlink w:anchor="page41">
        <w:r>
          <w:rPr>
            <w:rFonts w:ascii="Arial" w:cs="Arial" w:eastAsia="Arial" w:hAnsi="Arial"/>
            <w:sz w:val="17"/>
            <w:szCs w:val="17"/>
            <w:u w:val="single" w:color="auto"/>
            <w:color w:val="0000FF"/>
          </w:rPr>
          <w:t>Safe Harbor Statement</w:t>
        </w:r>
      </w:hyperlink>
    </w:p>
    <w:p>
      <w:pPr>
        <w:spacing w:after="0" w:line="23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rFonts w:ascii="Arial" w:cs="Arial" w:eastAsia="Arial" w:hAnsi="Arial"/>
          <w:sz w:val="17"/>
          <w:szCs w:val="17"/>
          <w:color w:val="auto"/>
        </w:rPr>
      </w:pPr>
    </w:p>
    <w:p>
      <w:pPr>
        <w:spacing w:after="0" w:line="290" w:lineRule="auto"/>
        <w:rPr>
          <w:sz w:val="20"/>
          <w:szCs w:val="20"/>
          <w:color w:val="auto"/>
        </w:rPr>
      </w:pPr>
      <w:r>
        <w:rPr>
          <w:rFonts w:ascii="Arial" w:cs="Arial" w:eastAsia="Arial" w:hAnsi="Arial"/>
          <w:sz w:val="16"/>
          <w:szCs w:val="16"/>
          <w:color w:val="auto"/>
        </w:rPr>
        <w:t>Hershey is a global confectionery leader known for making more moments of goodness through chocolate, sweets, mints and other great tasting snacks. We are the largest producer of quality chocolate in North America, a leading snack maker in the United States (“U.S.”) and a global leader in chocolate and non-chocolate confectionery. We market, sell and distribute our products under more than 100 brand names in approximately 80 countries worldwide.</w:t>
      </w:r>
    </w:p>
    <w:p>
      <w:pPr>
        <w:spacing w:after="0" w:line="107" w:lineRule="exact"/>
        <w:rPr>
          <w:rFonts w:ascii="Arial" w:cs="Arial" w:eastAsia="Arial" w:hAnsi="Arial"/>
          <w:sz w:val="17"/>
          <w:szCs w:val="17"/>
          <w:color w:val="auto"/>
        </w:rPr>
      </w:pPr>
    </w:p>
    <w:p>
      <w:pPr>
        <w:ind w:right="180"/>
        <w:spacing w:after="0" w:line="349" w:lineRule="auto"/>
        <w:rPr>
          <w:sz w:val="20"/>
          <w:szCs w:val="20"/>
          <w:color w:val="auto"/>
        </w:rPr>
      </w:pPr>
      <w:r>
        <w:rPr>
          <w:rFonts w:ascii="Arial" w:cs="Arial" w:eastAsia="Arial" w:hAnsi="Arial"/>
          <w:sz w:val="15"/>
          <w:szCs w:val="15"/>
          <w:color w:val="auto"/>
        </w:rPr>
        <w:t>Our principal product offerings include chocolate and non-chocolate confectionery products; gum and mint refreshment products and protein bars; pantry items, such as baking ingredients, toppings and beverages; and snack items such as spreads, bars, and snack bites and mixes, popcorn, pretzels and protein bars.</w:t>
      </w:r>
    </w:p>
    <w:p>
      <w:pPr>
        <w:spacing w:after="0" w:line="6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i w:val="1"/>
          <w:iCs w:val="1"/>
          <w:color w:val="auto"/>
        </w:rPr>
        <w:t>Business Acquisitions and Divestiture</w:t>
      </w:r>
    </w:p>
    <w:p>
      <w:pPr>
        <w:spacing w:after="0" w:line="165" w:lineRule="exact"/>
        <w:rPr>
          <w:rFonts w:ascii="Arial" w:cs="Arial" w:eastAsia="Arial" w:hAnsi="Arial"/>
          <w:sz w:val="17"/>
          <w:szCs w:val="17"/>
          <w:color w:val="auto"/>
        </w:rPr>
      </w:pPr>
    </w:p>
    <w:p>
      <w:pPr>
        <w:ind w:right="120"/>
        <w:spacing w:after="0" w:line="297" w:lineRule="auto"/>
        <w:rPr>
          <w:sz w:val="20"/>
          <w:szCs w:val="20"/>
          <w:color w:val="auto"/>
        </w:rPr>
      </w:pPr>
      <w:r>
        <w:rPr>
          <w:rFonts w:ascii="Arial" w:cs="Arial" w:eastAsia="Arial" w:hAnsi="Arial"/>
          <w:sz w:val="15"/>
          <w:szCs w:val="15"/>
          <w:color w:val="auto"/>
        </w:rPr>
        <w:t xml:space="preserve">In December 2021, we completed the acquisition of Pretzels Inc. (“Pretzels”), previously a privately held company that manufactures and sells pretzels and other salty snacks for other branded products and private labels in the United States. Pretzels is an industry leader in the pretzel category with a product portfolio that includes filled, gluten free and seasoned pretzels, as well as extruded snacks that complements Hershey’s snacks portfolio. Based in Bluffton, Indiana, Pretzels operates three manufacturing locations in Indiana and Kansas. Pretzels provides Hershey deep pretzel category and product expertise and the manufacturing capabilities to support brand growth and future pretzel innovation. Additionally, we completed the acquisition of Dot’s Pretzels, LLC (“Dot’s”), previously a privately held company that produces and sells pretzels and other snack food products to retailers and distributors in the United States, with </w:t>
      </w:r>
      <w:r>
        <w:rPr>
          <w:rFonts w:ascii="Arial" w:cs="Arial" w:eastAsia="Arial" w:hAnsi="Arial"/>
          <w:sz w:val="15"/>
          <w:szCs w:val="15"/>
          <w:i w:val="1"/>
          <w:iCs w:val="1"/>
          <w:color w:val="auto"/>
        </w:rPr>
        <w:t>Dot’s Homestyle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Pretzels </w:t>
      </w:r>
      <w:r>
        <w:rPr>
          <w:rFonts w:ascii="Arial" w:cs="Arial" w:eastAsia="Arial" w:hAnsi="Arial"/>
          <w:sz w:val="15"/>
          <w:szCs w:val="15"/>
          <w:color w:val="auto"/>
        </w:rPr>
        <w:t>snacks as its primary product. Dot’s is the fastest-growing scale brand in the pretzel category and complements Hershey’s snacks portfolio.</w:t>
      </w:r>
    </w:p>
    <w:p>
      <w:pPr>
        <w:spacing w:after="0" w:line="104" w:lineRule="exact"/>
        <w:rPr>
          <w:rFonts w:ascii="Arial" w:cs="Arial" w:eastAsia="Arial" w:hAnsi="Arial"/>
          <w:sz w:val="17"/>
          <w:szCs w:val="17"/>
          <w:color w:val="auto"/>
        </w:rPr>
      </w:pPr>
    </w:p>
    <w:p>
      <w:pPr>
        <w:ind w:right="120"/>
        <w:spacing w:after="0" w:line="266" w:lineRule="auto"/>
        <w:rPr>
          <w:sz w:val="20"/>
          <w:szCs w:val="20"/>
          <w:color w:val="auto"/>
        </w:rPr>
      </w:pPr>
      <w:r>
        <w:rPr>
          <w:rFonts w:ascii="Arial" w:cs="Arial" w:eastAsia="Arial" w:hAnsi="Arial"/>
          <w:sz w:val="17"/>
          <w:szCs w:val="17"/>
          <w:color w:val="auto"/>
        </w:rPr>
        <w:t>In June 2021, we completed the acquisition of Lily’s Sweets, LLC (“Lily’s”), previously a privately held company that sells a line of sugar-free and low-sugar confectionery foods to retailers and distributors in the United States and Canada. Lily’s products include dark and milk chocolate style bars, baking chips, peanut butter cups and other confection products that complement Hershey’s confectionery and confectionery-based portfolio.</w:t>
      </w:r>
    </w:p>
    <w:p>
      <w:pPr>
        <w:spacing w:after="0" w:line="124" w:lineRule="exact"/>
        <w:rPr>
          <w:rFonts w:ascii="Arial" w:cs="Arial" w:eastAsia="Arial" w:hAnsi="Arial"/>
          <w:sz w:val="17"/>
          <w:szCs w:val="17"/>
          <w:color w:val="auto"/>
        </w:rPr>
      </w:pPr>
    </w:p>
    <w:p>
      <w:pPr>
        <w:ind w:right="200"/>
        <w:spacing w:after="0" w:line="312" w:lineRule="auto"/>
        <w:rPr>
          <w:sz w:val="20"/>
          <w:szCs w:val="20"/>
          <w:color w:val="auto"/>
        </w:rPr>
      </w:pPr>
      <w:r>
        <w:rPr>
          <w:rFonts w:ascii="Arial" w:cs="Arial" w:eastAsia="Arial" w:hAnsi="Arial"/>
          <w:sz w:val="16"/>
          <w:szCs w:val="16"/>
          <w:color w:val="auto"/>
        </w:rPr>
        <w:t>In January 2021, we completed the divestiture of Lotte Shanghai Foods Co., Ltd., which was previously included within the International segment results in our consolidated financial statements. Total proceeds from the divestiture and the impact on our consolidated financial statements were immaterial.</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6943725</wp:posOffset>
            </wp:positionH>
            <wp:positionV relativeFrom="paragraph">
              <wp:posOffset>236220</wp:posOffset>
            </wp:positionV>
            <wp:extent cx="188595" cy="163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AFFECTING OUR BUSINESS</w:t>
      </w:r>
    </w:p>
    <w:p>
      <w:pPr>
        <w:spacing w:after="0" w:line="171" w:lineRule="exact"/>
        <w:rPr>
          <w:sz w:val="20"/>
          <w:szCs w:val="20"/>
          <w:color w:val="auto"/>
        </w:rPr>
      </w:pPr>
    </w:p>
    <w:p>
      <w:pPr>
        <w:spacing w:after="0" w:line="273" w:lineRule="auto"/>
        <w:rPr>
          <w:rFonts w:ascii="Arial" w:cs="Arial" w:eastAsia="Arial" w:hAnsi="Arial"/>
          <w:sz w:val="16"/>
          <w:szCs w:val="16"/>
          <w:color w:val="auto"/>
        </w:rPr>
      </w:pPr>
      <w:r>
        <w:rPr>
          <w:rFonts w:ascii="Arial" w:cs="Arial" w:eastAsia="Arial" w:hAnsi="Arial"/>
          <w:sz w:val="16"/>
          <w:szCs w:val="16"/>
          <w:color w:val="auto"/>
        </w:rPr>
        <w:t xml:space="preserve">On March 11, 2020, the World Health Organization designated coronavirus disease 2019 (“COVID-19”) as a global pandemic, which has spread worldwide and impacted various markets around the world, including the U.S. Throughout the pandemic we have remained committed to promoting the health and safety of our employees and communities and helping to maintain the global food supply. In 2022, minimal COVID-19 restrictions remained as the availability of vaccinations (including vaccine boosters) continued to increase around the world, albeit with slower than anticipated rollouts and challenges within certain countries. The lifting of restrictions has resulted in daily activities and habits being more representative of pre-pandemic times. However, beginning in 2021, and continuing through the three months ended April 3, 2022, the continued strong demand for consumer goods and the effects of COVID-19 mitigation strategies have led to broad-based supply chain disruptions across the U.S. and globally, including inflation on many consumer products, labor shortages and demand outpacing supply. As a result, during the three months ended April 3, 2022, we continued to experience corresponding incremental costs and gross margin pressures (see </w:t>
      </w:r>
      <w:hyperlink w:anchor="page13">
        <w:r>
          <w:rPr>
            <w:rFonts w:ascii="Arial" w:cs="Arial" w:eastAsia="Arial" w:hAnsi="Arial"/>
            <w:sz w:val="16"/>
            <w:szCs w:val="16"/>
            <w:u w:val="single" w:color="auto"/>
            <w:color w:val="0000FF"/>
          </w:rPr>
          <w:t>Results of Operations</w:t>
        </w:r>
      </w:hyperlink>
      <w:r>
        <w:rPr>
          <w:rFonts w:ascii="Arial" w:cs="Arial" w:eastAsia="Arial" w:hAnsi="Arial"/>
          <w:sz w:val="16"/>
          <w:szCs w:val="16"/>
          <w:color w:val="auto"/>
        </w:rPr>
        <w:t xml:space="preserve"> included in this MD&amp;A). We are continuing to work closely with our business units, contract manufacturers, distributors, contractors and other external business partners to minimize the potential impact on our business.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addition to COVID-19 and broad-based supply chain disruptions, certain geopolitical events, specifically the conflict between Russia and Ukraine, have increased global economic and political uncertainty. For the three months ended April 3, 2022, this conflict did not have a material impact on our commodity prices or supply availability. However, we are continuing to monitor for any significant escalation or expansion of economic or supply chain disruptions or broader inflationary costs, which may result in material adverse effects on our results of operations.</w:t>
      </w:r>
    </w:p>
    <w:p>
      <w:pPr>
        <w:spacing w:after="0" w:line="204" w:lineRule="exact"/>
        <w:rPr>
          <w:sz w:val="20"/>
          <w:szCs w:val="20"/>
          <w:color w:val="auto"/>
        </w:rPr>
      </w:pPr>
    </w:p>
    <w:p>
      <w:pPr>
        <w:ind w:right="60"/>
        <w:spacing w:after="0" w:line="258" w:lineRule="auto"/>
        <w:rPr>
          <w:rFonts w:ascii="Arial" w:cs="Arial" w:eastAsia="Arial" w:hAnsi="Arial"/>
          <w:sz w:val="17"/>
          <w:szCs w:val="17"/>
          <w:color w:val="0000FF"/>
        </w:rPr>
      </w:pPr>
      <w:r>
        <w:rPr>
          <w:rFonts w:ascii="Arial" w:cs="Arial" w:eastAsia="Arial" w:hAnsi="Arial"/>
          <w:sz w:val="17"/>
          <w:szCs w:val="17"/>
          <w:color w:val="auto"/>
        </w:rPr>
        <w:t xml:space="preserve">We experienced an increase in our net sales and net income during the three months ended April 3, 2022, which was primarily driven by strong everyday performance on our core U.S. confection brands and salty snack brands (see </w:t>
      </w:r>
      <w:hyperlink w:anchor="page16">
        <w:r>
          <w:rPr>
            <w:rFonts w:ascii="Arial" w:cs="Arial" w:eastAsia="Arial" w:hAnsi="Arial"/>
            <w:sz w:val="17"/>
            <w:szCs w:val="17"/>
            <w:u w:val="single" w:color="auto"/>
            <w:color w:val="0000FF"/>
          </w:rPr>
          <w:t>Segment Results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included in this MD&amp;A), partially offset by the aforementioned supply chain disruptions and gross margin pressures. As of April 3, 2022, we believe we have sufficient liquidity to satisfy our key strategic initiatives and other material cash requirements; however, we continue to evaluate and take action, as necessary, to preserve adequate liquidity and ensure that our business can operate </w:t>
      </w:r>
      <w:hyperlink w:anchor="page17">
        <w:r>
          <w:rPr>
            <w:rFonts w:ascii="Arial" w:cs="Arial" w:eastAsia="Arial" w:hAnsi="Arial"/>
            <w:sz w:val="17"/>
            <w:szCs w:val="17"/>
            <w:color w:val="auto"/>
          </w:rPr>
          <w:t xml:space="preserve">effectively during the current economic environment. We continue to monitor our discretionary spending across the organization (see </w:t>
        </w:r>
        <w:r>
          <w:rPr>
            <w:rFonts w:ascii="Arial" w:cs="Arial" w:eastAsia="Arial" w:hAnsi="Arial"/>
            <w:sz w:val="17"/>
            <w:szCs w:val="17"/>
            <w:u w:val="single" w:color="auto"/>
            <w:color w:val="0000FF"/>
          </w:rPr>
          <w:t>Liquidity and Capital</w:t>
        </w:r>
      </w:hyperlink>
      <w:r>
        <w:rPr>
          <w:rFonts w:ascii="Arial" w:cs="Arial" w:eastAsia="Arial" w:hAnsi="Arial"/>
          <w:sz w:val="17"/>
          <w:szCs w:val="17"/>
          <w:color w:val="auto"/>
        </w:rPr>
        <w:t xml:space="preserve"> </w:t>
      </w:r>
      <w:hyperlink w:anchor="page17">
        <w:r>
          <w:rPr>
            <w:rFonts w:ascii="Arial" w:cs="Arial" w:eastAsia="Arial" w:hAnsi="Arial"/>
            <w:sz w:val="17"/>
            <w:szCs w:val="17"/>
            <w:u w:val="single" w:color="auto"/>
            <w:color w:val="0000FF"/>
          </w:rPr>
          <w:t>Resources</w:t>
        </w:r>
        <w:r>
          <w:rPr>
            <w:rFonts w:ascii="Arial" w:cs="Arial" w:eastAsia="Arial" w:hAnsi="Arial"/>
            <w:sz w:val="17"/>
            <w:szCs w:val="17"/>
            <w:color w:val="0000FF"/>
          </w:rPr>
          <w:t xml:space="preserve"> </w:t>
        </w:r>
        <w:r>
          <w:rPr>
            <w:rFonts w:ascii="Arial" w:cs="Arial" w:eastAsia="Arial" w:hAnsi="Arial"/>
            <w:sz w:val="17"/>
            <w:szCs w:val="17"/>
            <w:color w:val="000000"/>
          </w:rPr>
          <w:t>included in this MD&amp;A).</w:t>
        </w:r>
      </w:hyperlink>
    </w:p>
    <w:p>
      <w:pPr>
        <w:spacing w:after="0" w:line="209" w:lineRule="exact"/>
        <w:rPr>
          <w:rFonts w:ascii="Arial" w:cs="Arial" w:eastAsia="Arial" w:hAnsi="Arial"/>
          <w:sz w:val="17"/>
          <w:szCs w:val="17"/>
          <w:color w:val="auto"/>
        </w:rPr>
      </w:pPr>
    </w:p>
    <w:p>
      <w:pPr>
        <w:spacing w:after="0" w:line="259" w:lineRule="auto"/>
        <w:rPr>
          <w:sz w:val="20"/>
          <w:szCs w:val="20"/>
          <w:color w:val="auto"/>
        </w:rPr>
      </w:pPr>
      <w:r>
        <w:rPr>
          <w:rFonts w:ascii="Arial" w:cs="Arial" w:eastAsia="Arial" w:hAnsi="Arial"/>
          <w:sz w:val="17"/>
          <w:szCs w:val="17"/>
          <w:color w:val="auto"/>
        </w:rPr>
        <w:t>Based on the length and severity of COVID-19 and the conflict between Russia and Ukraine, including broad-based supply chain disruptions, rising levels of inflation, new trends in outbreaks and hotspots, the spread of COVID-19 variants, resurgences and the continued distribution of vaccinations, we may experience continued volatility in retail foot traffic, consumer shopping and consumption behavior and may experience increasing supply chain costs and higher inflation. We will continue to evaluate the nature and extent of these potential and evolving impacts on our business, consolidated results of operations, segment results, liquidity and capital resources.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6943725</wp:posOffset>
            </wp:positionH>
            <wp:positionV relativeFrom="paragraph">
              <wp:posOffset>402590</wp:posOffset>
            </wp:positionV>
            <wp:extent cx="188595" cy="163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left="40"/>
        <w:spacing w:after="0"/>
        <w:rPr>
          <w:sz w:val="20"/>
          <w:szCs w:val="20"/>
          <w:color w:val="auto"/>
        </w:rPr>
      </w:pPr>
      <w:r>
        <w:rPr>
          <w:rFonts w:ascii="Arial" w:cs="Arial" w:eastAsia="Arial" w:hAnsi="Arial"/>
          <w:sz w:val="17"/>
          <w:szCs w:val="17"/>
          <w:b w:val="1"/>
          <w:bCs w:val="1"/>
          <w:color w:val="auto"/>
        </w:rPr>
        <w:t>CONSOLIDATED RESULTS OF OPERATIONS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8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5"/>
                <w:szCs w:val="15"/>
                <w:b w:val="1"/>
                <w:bCs w:val="1"/>
                <w:color w:val="auto"/>
              </w:rPr>
              <w:t>April 3, 2022</w:t>
            </w:r>
          </w:p>
        </w:tc>
        <w:tc>
          <w:tcPr>
            <w:tcW w:w="260" w:type="dxa"/>
            <w:vAlign w:val="bottom"/>
          </w:tcPr>
          <w:p>
            <w:pPr>
              <w:spacing w:after="0"/>
              <w:rPr>
                <w:sz w:val="17"/>
                <w:szCs w:val="17"/>
                <w:color w:val="auto"/>
              </w:rPr>
            </w:pPr>
          </w:p>
        </w:tc>
        <w:tc>
          <w:tcPr>
            <w:tcW w:w="1460" w:type="dxa"/>
            <w:vAlign w:val="bottom"/>
          </w:tcPr>
          <w:p>
            <w:pPr>
              <w:jc w:val="right"/>
              <w:ind w:right="363"/>
              <w:spacing w:after="0"/>
              <w:rPr>
                <w:sz w:val="20"/>
                <w:szCs w:val="20"/>
                <w:color w:val="auto"/>
              </w:rPr>
            </w:pPr>
            <w:r>
              <w:rPr>
                <w:rFonts w:ascii="Arial" w:cs="Arial" w:eastAsia="Arial" w:hAnsi="Arial"/>
                <w:sz w:val="15"/>
                <w:szCs w:val="15"/>
                <w:b w:val="1"/>
                <w:bCs w:val="1"/>
                <w:color w:val="auto"/>
              </w:rPr>
              <w:t>April 4, 2021</w:t>
            </w:r>
          </w:p>
        </w:tc>
        <w:tc>
          <w:tcPr>
            <w:tcW w:w="120" w:type="dxa"/>
            <w:vAlign w:val="bottom"/>
          </w:tcPr>
          <w:p>
            <w:pPr>
              <w:spacing w:after="0"/>
              <w:rPr>
                <w:sz w:val="17"/>
                <w:szCs w:val="17"/>
                <w:color w:val="auto"/>
              </w:rPr>
            </w:pPr>
          </w:p>
        </w:tc>
        <w:tc>
          <w:tcPr>
            <w:tcW w:w="1700" w:type="dxa"/>
            <w:vAlign w:val="bottom"/>
          </w:tcPr>
          <w:p>
            <w:pPr>
              <w:jc w:val="right"/>
              <w:ind w:right="243"/>
              <w:spacing w:after="0"/>
              <w:rPr>
                <w:sz w:val="20"/>
                <w:szCs w:val="20"/>
                <w:color w:val="auto"/>
              </w:rPr>
            </w:pPr>
            <w:r>
              <w:rPr>
                <w:rFonts w:ascii="Arial" w:cs="Arial" w:eastAsia="Arial" w:hAnsi="Arial"/>
                <w:sz w:val="15"/>
                <w:szCs w:val="15"/>
                <w:b w:val="1"/>
                <w:bCs w:val="1"/>
                <w:color w:val="auto"/>
              </w:rPr>
              <w:t>Percent Change</w:t>
            </w:r>
          </w:p>
        </w:tc>
        <w:tc>
          <w:tcPr>
            <w:tcW w:w="0" w:type="dxa"/>
            <w:vAlign w:val="bottom"/>
          </w:tcPr>
          <w:p>
            <w:pPr>
              <w:spacing w:after="0"/>
              <w:rPr>
                <w:sz w:val="1"/>
                <w:szCs w:val="1"/>
                <w:color w:val="auto"/>
              </w:rPr>
            </w:pPr>
          </w:p>
        </w:tc>
      </w:tr>
      <w:tr>
        <w:trPr>
          <w:trHeight w:val="157"/>
        </w:trPr>
        <w:tc>
          <w:tcPr>
            <w:tcW w:w="5860" w:type="dxa"/>
            <w:vAlign w:val="bottom"/>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2,666.2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2,295.9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16.1 %</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Cost of sales</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1,420.7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1,247.0</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13.9 %</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1,245.5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1,048.9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0" w:type="dxa"/>
            <w:vAlign w:val="bottom"/>
          </w:tcPr>
          <w:p>
            <w:pPr>
              <w:spacing w:after="0"/>
              <w:rPr>
                <w:sz w:val="1"/>
                <w:szCs w:val="1"/>
                <w:color w:val="auto"/>
              </w:rPr>
            </w:pPr>
          </w:p>
        </w:tc>
      </w:tr>
      <w:tr>
        <w:trPr>
          <w:trHeight w:val="196"/>
        </w:trPr>
        <w:tc>
          <w:tcPr>
            <w:tcW w:w="5860" w:type="dxa"/>
            <w:vAlign w:val="bottom"/>
          </w:tcPr>
          <w:p>
            <w:pPr>
              <w:ind w:left="180"/>
              <w:spacing w:after="0"/>
              <w:rPr>
                <w:sz w:val="20"/>
                <w:szCs w:val="20"/>
                <w:color w:val="auto"/>
              </w:rPr>
            </w:pPr>
            <w:r>
              <w:rPr>
                <w:rFonts w:ascii="Arial" w:cs="Arial" w:eastAsia="Arial" w:hAnsi="Arial"/>
                <w:sz w:val="15"/>
                <w:szCs w:val="15"/>
                <w:i w:val="1"/>
                <w:iCs w:val="1"/>
                <w:color w:val="auto"/>
              </w:rPr>
              <w:t>Gross margin</w:t>
            </w:r>
          </w:p>
        </w:tc>
        <w:tc>
          <w:tcPr>
            <w:tcW w:w="280" w:type="dxa"/>
            <w:vAlign w:val="bottom"/>
          </w:tcPr>
          <w:p>
            <w:pPr>
              <w:spacing w:after="0"/>
              <w:rPr>
                <w:sz w:val="17"/>
                <w:szCs w:val="17"/>
                <w:color w:val="auto"/>
              </w:rPr>
            </w:pPr>
          </w:p>
        </w:tc>
        <w:tc>
          <w:tcPr>
            <w:tcW w:w="1440" w:type="dxa"/>
            <w:vAlign w:val="bottom"/>
          </w:tcPr>
          <w:p>
            <w:pPr>
              <w:jc w:val="center"/>
              <w:ind w:left="883"/>
              <w:spacing w:after="0"/>
              <w:rPr>
                <w:sz w:val="20"/>
                <w:szCs w:val="20"/>
                <w:color w:val="auto"/>
              </w:rPr>
            </w:pPr>
            <w:r>
              <w:rPr>
                <w:rFonts w:ascii="Arial" w:cs="Arial" w:eastAsia="Arial" w:hAnsi="Arial"/>
                <w:sz w:val="15"/>
                <w:szCs w:val="15"/>
                <w:i w:val="1"/>
                <w:iCs w:val="1"/>
                <w:color w:val="auto"/>
                <w:w w:val="94"/>
              </w:rPr>
              <w:t>46.7 %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ind w:left="903"/>
              <w:spacing w:after="0"/>
              <w:rPr>
                <w:sz w:val="20"/>
                <w:szCs w:val="20"/>
                <w:color w:val="auto"/>
              </w:rPr>
            </w:pPr>
            <w:r>
              <w:rPr>
                <w:rFonts w:ascii="Arial" w:cs="Arial" w:eastAsia="Arial" w:hAnsi="Arial"/>
                <w:sz w:val="15"/>
                <w:szCs w:val="15"/>
                <w:i w:val="1"/>
                <w:iCs w:val="1"/>
                <w:color w:val="auto"/>
                <w:w w:val="94"/>
              </w:rPr>
              <w:t>45.7 %</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60"/>
              <w:spacing w:after="0"/>
              <w:rPr>
                <w:sz w:val="20"/>
                <w:szCs w:val="20"/>
                <w:color w:val="auto"/>
              </w:rPr>
            </w:pPr>
            <w:r>
              <w:rPr>
                <w:rFonts w:ascii="Arial" w:cs="Arial" w:eastAsia="Arial" w:hAnsi="Arial"/>
                <w:sz w:val="15"/>
                <w:szCs w:val="15"/>
                <w:color w:val="auto"/>
              </w:rPr>
              <w:t>Selling, marketing &amp; administrative (“SM&amp;A”) expenses</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524.2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494.7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0" w:type="dxa"/>
            <w:vAlign w:val="bottom"/>
          </w:tcPr>
          <w:p>
            <w:pPr>
              <w:spacing w:after="0"/>
              <w:rPr>
                <w:sz w:val="1"/>
                <w:szCs w:val="1"/>
                <w:color w:val="auto"/>
              </w:rPr>
            </w:pPr>
          </w:p>
        </w:tc>
      </w:tr>
      <w:tr>
        <w:trPr>
          <w:trHeight w:val="196"/>
        </w:trPr>
        <w:tc>
          <w:tcPr>
            <w:tcW w:w="5860" w:type="dxa"/>
            <w:vAlign w:val="bottom"/>
          </w:tcPr>
          <w:p>
            <w:pPr>
              <w:ind w:left="180"/>
              <w:spacing w:after="0"/>
              <w:rPr>
                <w:sz w:val="20"/>
                <w:szCs w:val="20"/>
                <w:color w:val="auto"/>
              </w:rPr>
            </w:pPr>
            <w:r>
              <w:rPr>
                <w:rFonts w:ascii="Arial" w:cs="Arial" w:eastAsia="Arial" w:hAnsi="Arial"/>
                <w:sz w:val="15"/>
                <w:szCs w:val="15"/>
                <w:i w:val="1"/>
                <w:iCs w:val="1"/>
                <w:color w:val="auto"/>
              </w:rPr>
              <w:t>SM&amp;A expense as a percent of net sales</w:t>
            </w:r>
          </w:p>
        </w:tc>
        <w:tc>
          <w:tcPr>
            <w:tcW w:w="280" w:type="dxa"/>
            <w:vAlign w:val="bottom"/>
          </w:tcPr>
          <w:p>
            <w:pPr>
              <w:spacing w:after="0"/>
              <w:rPr>
                <w:sz w:val="17"/>
                <w:szCs w:val="17"/>
                <w:color w:val="auto"/>
              </w:rPr>
            </w:pPr>
          </w:p>
        </w:tc>
        <w:tc>
          <w:tcPr>
            <w:tcW w:w="1440" w:type="dxa"/>
            <w:vAlign w:val="bottom"/>
          </w:tcPr>
          <w:p>
            <w:pPr>
              <w:jc w:val="center"/>
              <w:ind w:left="883"/>
              <w:spacing w:after="0"/>
              <w:rPr>
                <w:sz w:val="20"/>
                <w:szCs w:val="20"/>
                <w:color w:val="auto"/>
              </w:rPr>
            </w:pPr>
            <w:r>
              <w:rPr>
                <w:rFonts w:ascii="Arial" w:cs="Arial" w:eastAsia="Arial" w:hAnsi="Arial"/>
                <w:sz w:val="15"/>
                <w:szCs w:val="15"/>
                <w:i w:val="1"/>
                <w:iCs w:val="1"/>
                <w:color w:val="auto"/>
                <w:w w:val="94"/>
              </w:rPr>
              <w:t>19.7 %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ind w:left="903"/>
              <w:spacing w:after="0"/>
              <w:rPr>
                <w:sz w:val="20"/>
                <w:szCs w:val="20"/>
                <w:color w:val="auto"/>
              </w:rPr>
            </w:pPr>
            <w:r>
              <w:rPr>
                <w:rFonts w:ascii="Arial" w:cs="Arial" w:eastAsia="Arial" w:hAnsi="Arial"/>
                <w:sz w:val="15"/>
                <w:szCs w:val="15"/>
                <w:i w:val="1"/>
                <w:iCs w:val="1"/>
                <w:color w:val="auto"/>
                <w:w w:val="94"/>
              </w:rPr>
              <w:t>21.5 %</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60"/>
              <w:spacing w:after="0"/>
              <w:rPr>
                <w:sz w:val="20"/>
                <w:szCs w:val="20"/>
                <w:color w:val="auto"/>
              </w:rPr>
            </w:pPr>
            <w:r>
              <w:rPr>
                <w:rFonts w:ascii="Arial" w:cs="Arial" w:eastAsia="Arial" w:hAnsi="Arial"/>
                <w:sz w:val="15"/>
                <w:szCs w:val="15"/>
                <w:color w:val="auto"/>
              </w:rPr>
              <w:t>Business realignment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Arial" w:cs="Arial" w:eastAsia="Arial" w:hAnsi="Arial"/>
                <w:sz w:val="15"/>
                <w:szCs w:val="15"/>
                <w:color w:val="auto"/>
              </w:rPr>
              <w:t>Operating profit</w:t>
            </w:r>
          </w:p>
        </w:tc>
        <w:tc>
          <w:tcPr>
            <w:tcW w:w="28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721.0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553.0</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30.4 %</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Operating profit margin</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883"/>
              <w:spacing w:after="0"/>
              <w:rPr>
                <w:sz w:val="20"/>
                <w:szCs w:val="20"/>
                <w:color w:val="auto"/>
              </w:rPr>
            </w:pPr>
            <w:r>
              <w:rPr>
                <w:rFonts w:ascii="Arial" w:cs="Arial" w:eastAsia="Arial" w:hAnsi="Arial"/>
                <w:sz w:val="15"/>
                <w:szCs w:val="15"/>
                <w:i w:val="1"/>
                <w:iCs w:val="1"/>
                <w:color w:val="auto"/>
                <w:w w:val="94"/>
              </w:rPr>
              <w:t>27.0 %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903"/>
              <w:spacing w:after="0"/>
              <w:rPr>
                <w:sz w:val="20"/>
                <w:szCs w:val="20"/>
                <w:color w:val="auto"/>
              </w:rPr>
            </w:pPr>
            <w:r>
              <w:rPr>
                <w:rFonts w:ascii="Arial" w:cs="Arial" w:eastAsia="Arial" w:hAnsi="Arial"/>
                <w:sz w:val="15"/>
                <w:szCs w:val="15"/>
                <w:i w:val="1"/>
                <w:iCs w:val="1"/>
                <w:color w:val="auto"/>
                <w:w w:val="94"/>
              </w:rPr>
              <w:t>24.1 %</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33.2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36.4</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331.1 %</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143.9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117.3</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22.7 %</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Effective income tax rate</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5"/>
                <w:szCs w:val="15"/>
                <w:i w:val="1"/>
                <w:iCs w:val="1"/>
                <w:color w:val="auto"/>
              </w:rPr>
              <w:t>21.2%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i w:val="1"/>
                <w:iCs w:val="1"/>
                <w:color w:val="auto"/>
              </w:rPr>
              <w:t>22.8%</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60"/>
              <w:spacing w:after="0"/>
              <w:rPr>
                <w:sz w:val="20"/>
                <w:szCs w:val="20"/>
                <w:color w:val="auto"/>
              </w:rPr>
            </w:pPr>
            <w:r>
              <w:rPr>
                <w:rFonts w:ascii="Arial" w:cs="Arial" w:eastAsia="Arial" w:hAnsi="Arial"/>
                <w:sz w:val="15"/>
                <w:szCs w:val="15"/>
                <w:color w:val="auto"/>
              </w:rPr>
              <w:t>Net income including noncontrolling interest</w:t>
            </w:r>
          </w:p>
        </w:tc>
        <w:tc>
          <w:tcPr>
            <w:tcW w:w="280" w:type="dxa"/>
            <w:vAlign w:val="bottom"/>
          </w:tcPr>
          <w:p>
            <w:pPr>
              <w:spacing w:after="0"/>
              <w:rPr>
                <w:sz w:val="17"/>
                <w:szCs w:val="17"/>
                <w:color w:val="auto"/>
              </w:rPr>
            </w:pPr>
          </w:p>
        </w:tc>
        <w:tc>
          <w:tcPr>
            <w:tcW w:w="1440" w:type="dxa"/>
            <w:vAlign w:val="bottom"/>
          </w:tcPr>
          <w:p>
            <w:pPr>
              <w:jc w:val="right"/>
              <w:ind w:right="43"/>
              <w:spacing w:after="0"/>
              <w:rPr>
                <w:sz w:val="20"/>
                <w:szCs w:val="20"/>
                <w:color w:val="auto"/>
              </w:rPr>
            </w:pPr>
            <w:r>
              <w:rPr>
                <w:rFonts w:ascii="Arial" w:cs="Arial" w:eastAsia="Arial" w:hAnsi="Arial"/>
                <w:sz w:val="15"/>
                <w:szCs w:val="15"/>
                <w:color w:val="auto"/>
              </w:rPr>
              <w:t>533.5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396.9</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34.4 %</w:t>
            </w: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60"/>
              <w:spacing w:after="0"/>
              <w:rPr>
                <w:sz w:val="20"/>
                <w:szCs w:val="20"/>
                <w:color w:val="auto"/>
              </w:rPr>
            </w:pPr>
            <w:r>
              <w:rPr>
                <w:rFonts w:ascii="Arial" w:cs="Arial" w:eastAsia="Arial" w:hAnsi="Arial"/>
                <w:sz w:val="15"/>
                <w:szCs w:val="15"/>
                <w:color w:val="auto"/>
              </w:rPr>
              <w:t>Less: Net gain attributable to noncontrolling interest</w:t>
            </w:r>
          </w:p>
        </w:tc>
        <w:tc>
          <w:tcPr>
            <w:tcW w:w="2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2"/>
        </w:trPr>
        <w:tc>
          <w:tcPr>
            <w:tcW w:w="5860" w:type="dxa"/>
            <w:vAlign w:val="bottom"/>
          </w:tcPr>
          <w:p>
            <w:pPr>
              <w:ind w:left="60"/>
              <w:spacing w:after="0"/>
              <w:rPr>
                <w:sz w:val="20"/>
                <w:szCs w:val="20"/>
                <w:color w:val="auto"/>
              </w:rPr>
            </w:pPr>
            <w:r>
              <w:rPr>
                <w:rFonts w:ascii="Arial" w:cs="Arial" w:eastAsia="Arial" w:hAnsi="Arial"/>
                <w:sz w:val="15"/>
                <w:szCs w:val="15"/>
                <w:color w:val="auto"/>
              </w:rPr>
              <w:t>Net income attributable to The Hershey Company</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533.5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395.8</w:t>
            </w:r>
          </w:p>
        </w:tc>
        <w:tc>
          <w:tcPr>
            <w:tcW w:w="1820" w:type="dxa"/>
            <w:vAlign w:val="bottom"/>
            <w:gridSpan w:val="2"/>
          </w:tcPr>
          <w:p>
            <w:pPr>
              <w:jc w:val="right"/>
              <w:spacing w:after="0"/>
              <w:rPr>
                <w:sz w:val="20"/>
                <w:szCs w:val="20"/>
                <w:color w:val="auto"/>
              </w:rPr>
            </w:pPr>
            <w:r>
              <w:rPr>
                <w:rFonts w:ascii="Arial" w:cs="Arial" w:eastAsia="Arial" w:hAnsi="Arial"/>
                <w:sz w:val="15"/>
                <w:szCs w:val="15"/>
                <w:color w:val="auto"/>
              </w:rPr>
              <w:t>34.8 %</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Net income per share—diluted</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center"/>
              <w:ind w:left="903"/>
              <w:spacing w:after="0"/>
              <w:rPr>
                <w:sz w:val="20"/>
                <w:szCs w:val="20"/>
                <w:color w:val="auto"/>
              </w:rPr>
            </w:pPr>
            <w:r>
              <w:rPr>
                <w:rFonts w:ascii="Arial" w:cs="Arial" w:eastAsia="Arial" w:hAnsi="Arial"/>
                <w:sz w:val="15"/>
                <w:szCs w:val="15"/>
                <w:color w:val="auto"/>
                <w:w w:val="88"/>
              </w:rPr>
              <w:t>2.57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center"/>
              <w:ind w:left="903"/>
              <w:spacing w:after="0"/>
              <w:rPr>
                <w:sz w:val="20"/>
                <w:szCs w:val="20"/>
                <w:color w:val="auto"/>
              </w:rPr>
            </w:pPr>
            <w:r>
              <w:rPr>
                <w:rFonts w:ascii="Arial" w:cs="Arial" w:eastAsia="Arial" w:hAnsi="Arial"/>
                <w:sz w:val="15"/>
                <w:szCs w:val="15"/>
                <w:color w:val="auto"/>
                <w:w w:val="95"/>
              </w:rPr>
              <w:t>1.90</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35.3 %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NOTE: Percentage changes may not compute directly as shown due to rounding of amounts presented above.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NM = not meaningful</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auto"/>
        </w:rPr>
        <w:t>Results of Operations - First Quarter 2022 vs. First Quarter 2021</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Sales</w:t>
      </w:r>
    </w:p>
    <w:p>
      <w:pPr>
        <w:spacing w:after="0" w:line="107" w:lineRule="exact"/>
        <w:rPr>
          <w:sz w:val="20"/>
          <w:szCs w:val="20"/>
          <w:color w:val="auto"/>
        </w:rPr>
      </w:pPr>
    </w:p>
    <w:p>
      <w:pPr>
        <w:ind w:left="40" w:right="60"/>
        <w:spacing w:after="0" w:line="266" w:lineRule="auto"/>
        <w:rPr>
          <w:sz w:val="20"/>
          <w:szCs w:val="20"/>
          <w:color w:val="auto"/>
        </w:rPr>
      </w:pPr>
      <w:r>
        <w:rPr>
          <w:rFonts w:ascii="Arial" w:cs="Arial" w:eastAsia="Arial" w:hAnsi="Arial"/>
          <w:sz w:val="17"/>
          <w:szCs w:val="17"/>
          <w:color w:val="auto"/>
        </w:rPr>
        <w:t>Net sales increased 16.1% in the first quarter of 2022 compared to the same period of 2021, reflecting a favorable price realization of 6.9% primarily due to higher list prices across our reportable segments, a volume increase of 4.6% driven by increases in everyday core U.S. confection brands, salty snack brands and our international markets. There was a 4.6% benefit from the 2021 acquisitions of Pretzels, Dot’s and Lily’s.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U.S. Marketplace Metrics</w:t>
      </w:r>
    </w:p>
    <w:p>
      <w:pPr>
        <w:spacing w:after="0" w:line="165" w:lineRule="exact"/>
        <w:rPr>
          <w:sz w:val="20"/>
          <w:szCs w:val="20"/>
          <w:color w:val="auto"/>
        </w:rPr>
      </w:pPr>
    </w:p>
    <w:p>
      <w:pPr>
        <w:ind w:left="40"/>
        <w:spacing w:after="0" w:line="262" w:lineRule="auto"/>
        <w:rPr>
          <w:sz w:val="20"/>
          <w:szCs w:val="20"/>
          <w:color w:val="auto"/>
        </w:rPr>
      </w:pPr>
      <w:r>
        <w:rPr>
          <w:rFonts w:ascii="Arial" w:cs="Arial" w:eastAsia="Arial" w:hAnsi="Arial"/>
          <w:sz w:val="17"/>
          <w:szCs w:val="17"/>
          <w:color w:val="auto"/>
        </w:rPr>
        <w:t>For the first quarter of 2022, our total U.S. retail takeaway declined 1.4% in the expanded multi-outlet combined plus convenience store channels (IRI MULO + C-Stores), which includes candy, mint, gum, salty snacks and grocery items. Our U.S. candy, mint and gum (“CMG”) consumer takeaway decreased 4.4% and experienced a CMG market share loss of approximately 156 basis points as a result of capacity constraints limiting the Company’s ability to fully service consumer demand.</w:t>
      </w:r>
    </w:p>
    <w:p>
      <w:pPr>
        <w:spacing w:after="0" w:line="126" w:lineRule="exact"/>
        <w:rPr>
          <w:sz w:val="20"/>
          <w:szCs w:val="20"/>
          <w:color w:val="auto"/>
        </w:rPr>
      </w:pPr>
    </w:p>
    <w:p>
      <w:pPr>
        <w:ind w:left="40" w:right="140"/>
        <w:spacing w:after="0" w:line="259" w:lineRule="auto"/>
        <w:rPr>
          <w:sz w:val="20"/>
          <w:szCs w:val="20"/>
          <w:color w:val="auto"/>
        </w:rPr>
      </w:pPr>
      <w:r>
        <w:rPr>
          <w:rFonts w:ascii="Arial" w:cs="Arial" w:eastAsia="Arial" w:hAnsi="Arial"/>
          <w:sz w:val="17"/>
          <w:szCs w:val="17"/>
          <w:color w:val="auto"/>
        </w:rPr>
        <w:t>The CMG consumer takeaway and market share information reflects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6969125</wp:posOffset>
            </wp:positionH>
            <wp:positionV relativeFrom="paragraph">
              <wp:posOffset>500380</wp:posOffset>
            </wp:positionV>
            <wp:extent cx="188595" cy="163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tabs>
          <w:tab w:leader="none" w:pos="394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325120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80" w:top="1204"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Cost of Sales and Gross Margin</w:t>
      </w:r>
    </w:p>
    <w:p>
      <w:pPr>
        <w:spacing w:after="0" w:line="10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Cost of sales increased 13.9% in the first quarter of 2022 compared to the same period of 2021. The increase was driven by higher sales volume, higher freight and logistics costs, as well as higher supply chain inflation costs. The increase was partially offset by favorable price realization, supply chain productivity, as well as the incremental $37.1 million of favorable mark-to-market activity on our commodity derivative instruments intended to economically hedge future years’ commodity purchases.</w:t>
      </w:r>
    </w:p>
    <w:p>
      <w:pPr>
        <w:spacing w:after="0" w:line="126"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Gross margin increased by 100 basis points in the first quarter of 2022 compared to the same period of 2021. The increase was driven by favorable price realization, volume increases and favorable year-over-year mark-to-market impact from commodity derivative instruments. These factors were offset by higher freight and logistics costs, higher supply chain inflation costs, as well as unfavorable product mix.</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SM&amp;A Expenses</w:t>
      </w:r>
    </w:p>
    <w:p>
      <w:pPr>
        <w:spacing w:after="0" w:line="9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SM&amp;A expenses increased $29.5 million, or 6.0%, in the first quarter of 2022. Total advertising and related consumer marketing expenses decreased 0.7% driven by lower advertising in the North America Confectionery segment in response to sustained consumer demand and capacity constraints on select brands, offset by an increase in the North America Salty Snacks segment to raise brand awareness. SM&amp;A expenses, excluding advertising and related consumer marketing, increased approximately 9.9% in the first quarter of 2022 driven by an increase in acquisition and integration related costs, as well as higher compensation costs and investments in capabilities and technology.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Realignment Activities</w:t>
      </w:r>
    </w:p>
    <w:p>
      <w:pPr>
        <w:spacing w:after="0" w:line="107" w:lineRule="exact"/>
        <w:rPr>
          <w:sz w:val="20"/>
          <w:szCs w:val="20"/>
          <w:color w:val="auto"/>
        </w:rPr>
      </w:pPr>
    </w:p>
    <w:p>
      <w:pPr>
        <w:ind w:right="40"/>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the first quarter of 2022, we recorded business realignment costs of $0.3 million versus costs of $1.2 million in the first quarter of 2021 related to the International Optimization Program. This program is focused on optimizing our China operating model to improve our operational efficiency and provide for a strong, sustainable and simplified base going forward. Costs associated with business realignment activities are classified in our Consolidated Statements of Income as described in </w:t>
      </w:r>
      <w:hyperlink w:anchor="page19">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Profit and Operating Profit Margin</w:t>
      </w:r>
    </w:p>
    <w:p>
      <w:pPr>
        <w:spacing w:after="0" w:line="10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Operating profit increased 30.4% in the first quarter of 2022 compared to the same period of 2021 predominantly due to higher gross profit, partially offset by higher SM&amp;A expenses, as noted above. Operating profit margin increased to 27.0% in 2022 from 24.1% in 2021 driven by these same factors.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interest expense was $3.2 million lower in the first quarter of 2022 compared to the same period of 2021. The decrease was primarily due to lower long-term debt balances in 2022 versus 2021, specifically resulting from the repayment of $350 million of 3.100% Notes upon their maturity in May 2021. This decrease was partially offset by higher short-term debt balances in 2022 versus 2021, specifically outstanding commercial paper borrowings.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107" w:lineRule="exact"/>
        <w:rPr>
          <w:sz w:val="20"/>
          <w:szCs w:val="20"/>
          <w:color w:val="auto"/>
        </w:rPr>
      </w:pPr>
    </w:p>
    <w:p>
      <w:pPr>
        <w:ind w:right="500"/>
        <w:spacing w:after="0" w:line="266" w:lineRule="auto"/>
        <w:rPr>
          <w:sz w:val="20"/>
          <w:szCs w:val="20"/>
          <w:color w:val="auto"/>
        </w:rPr>
      </w:pPr>
      <w:r>
        <w:rPr>
          <w:rFonts w:ascii="Arial" w:cs="Arial" w:eastAsia="Arial" w:hAnsi="Arial"/>
          <w:sz w:val="17"/>
          <w:szCs w:val="17"/>
          <w:color w:val="auto"/>
        </w:rPr>
        <w:t>Other (income) expense, net was $10.4 million in the first quarter of 2022 versus net expense of $2.4 million in the first quarter of 2021. The increase in net expense was primarily due to higher write-downs on equity investments qualifying for tax credits in 2022 versus 2021, offset by lower non-service cost components of net periodic benefit cost relating to 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and Effective Tax Rate</w:t>
      </w:r>
    </w:p>
    <w:p>
      <w:pPr>
        <w:spacing w:after="0" w:line="107" w:lineRule="exact"/>
        <w:rPr>
          <w:sz w:val="20"/>
          <w:szCs w:val="20"/>
          <w:color w:val="auto"/>
        </w:rPr>
      </w:pPr>
    </w:p>
    <w:p>
      <w:pPr>
        <w:ind w:right="340"/>
        <w:spacing w:after="0" w:line="331" w:lineRule="auto"/>
        <w:rPr>
          <w:sz w:val="20"/>
          <w:szCs w:val="20"/>
          <w:color w:val="auto"/>
        </w:rPr>
      </w:pPr>
      <w:r>
        <w:rPr>
          <w:rFonts w:ascii="Arial" w:cs="Arial" w:eastAsia="Arial" w:hAnsi="Arial"/>
          <w:sz w:val="15"/>
          <w:szCs w:val="15"/>
          <w:color w:val="auto"/>
        </w:rPr>
        <w:t>The effective income tax rate was 21.2% for the first quarter of 2022 compared with 22.8% for the first quarter of 2021. Relative to the 21% statutory rate, the 2022 and 2021 effective tax rates, were impacted by state taxes, partially offset by investment tax credits and the benefit of employee 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459105</wp:posOffset>
            </wp:positionV>
            <wp:extent cx="188595" cy="16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Net Income Attributable to The Hershey Company and Earnings Per Share-diluted</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income increased $137.7 million, or 34.8%, while EPS-diluted increased $0.67, or 35.3%, in the first quarter of 2022 compared to the same period of 2021. The increase in both net income and EPS diluted was driven primarily by higher gross profit and lower income taxes, partially offset by higher SM&amp;A expenses, as noted above. Our 2022 EPS-diluted benefited from lower weighted-average shares outstanding as a result of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239395</wp:posOffset>
            </wp:positionV>
            <wp:extent cx="188595" cy="163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359" w:right="51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SEGMENT RESULTS</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summary that follows provides a discussion of the results of operations of our three reportable segments: North America Confectionery, North America Salty Snacks and International.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Our segment results, including a reconciliation to our consolidated results,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155"/>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0"/>
        </w:trPr>
        <w:tc>
          <w:tcPr>
            <w:tcW w:w="7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2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5"/>
                <w:szCs w:val="15"/>
                <w:b w:val="1"/>
                <w:bCs w:val="1"/>
                <w:color w:val="auto"/>
              </w:rPr>
              <w:t>April 3, 2022</w:t>
            </w:r>
          </w:p>
        </w:tc>
        <w:tc>
          <w:tcPr>
            <w:tcW w:w="320" w:type="dxa"/>
            <w:vAlign w:val="bottom"/>
          </w:tcPr>
          <w:p>
            <w:pPr>
              <w:spacing w:after="0"/>
              <w:rPr>
                <w:sz w:val="17"/>
                <w:szCs w:val="17"/>
                <w:color w:val="auto"/>
              </w:rPr>
            </w:pPr>
          </w:p>
        </w:tc>
        <w:tc>
          <w:tcPr>
            <w:tcW w:w="1580" w:type="dxa"/>
            <w:vAlign w:val="bottom"/>
          </w:tcPr>
          <w:p>
            <w:pPr>
              <w:jc w:val="right"/>
              <w:ind w:right="435"/>
              <w:spacing w:after="0"/>
              <w:rPr>
                <w:sz w:val="20"/>
                <w:szCs w:val="20"/>
                <w:color w:val="auto"/>
              </w:rPr>
            </w:pPr>
            <w:r>
              <w:rPr>
                <w:rFonts w:ascii="Arial" w:cs="Arial" w:eastAsia="Arial" w:hAnsi="Arial"/>
                <w:sz w:val="15"/>
                <w:szCs w:val="15"/>
                <w:b w:val="1"/>
                <w:bCs w:val="1"/>
                <w:color w:val="auto"/>
              </w:rPr>
              <w:t>April 4, 2021</w:t>
            </w:r>
          </w:p>
        </w:tc>
        <w:tc>
          <w:tcPr>
            <w:tcW w:w="0" w:type="dxa"/>
            <w:vAlign w:val="bottom"/>
          </w:tcPr>
          <w:p>
            <w:pPr>
              <w:spacing w:after="0"/>
              <w:rPr>
                <w:sz w:val="1"/>
                <w:szCs w:val="1"/>
                <w:color w:val="auto"/>
              </w:rPr>
            </w:pPr>
          </w:p>
        </w:tc>
      </w:tr>
      <w:tr>
        <w:trPr>
          <w:trHeight w:val="157"/>
        </w:trPr>
        <w:tc>
          <w:tcPr>
            <w:tcW w:w="7340" w:type="dxa"/>
            <w:vAlign w:val="bottom"/>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40" w:type="dxa"/>
            <w:vAlign w:val="bottom"/>
          </w:tcPr>
          <w:p>
            <w:pPr>
              <w:ind w:left="220"/>
              <w:spacing w:after="0"/>
              <w:rPr>
                <w:sz w:val="20"/>
                <w:szCs w:val="20"/>
                <w:color w:val="auto"/>
              </w:rPr>
            </w:pPr>
            <w:r>
              <w:rPr>
                <w:rFonts w:ascii="Arial" w:cs="Arial" w:eastAsia="Arial" w:hAnsi="Arial"/>
                <w:sz w:val="17"/>
                <w:szCs w:val="17"/>
                <w:color w:val="auto"/>
              </w:rPr>
              <w:t>North America Confectionery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2,217.0</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1,985.4</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North America Salty Snacks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189.1</w:t>
            </w:r>
          </w:p>
        </w:tc>
        <w:tc>
          <w:tcPr>
            <w:tcW w:w="0" w:type="dxa"/>
            <w:vAlign w:val="bottom"/>
          </w:tcPr>
          <w:p>
            <w:pPr>
              <w:spacing w:after="0"/>
              <w:rPr>
                <w:sz w:val="1"/>
                <w:szCs w:val="1"/>
                <w:color w:val="auto"/>
              </w:rPr>
            </w:pPr>
          </w:p>
        </w:tc>
      </w:tr>
      <w:tr>
        <w:trPr>
          <w:trHeight w:val="23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Income:</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40" w:type="dxa"/>
            <w:vAlign w:val="bottom"/>
          </w:tcPr>
          <w:p>
            <w:pPr>
              <w:ind w:left="220"/>
              <w:spacing w:after="0"/>
              <w:rPr>
                <w:sz w:val="20"/>
                <w:szCs w:val="20"/>
                <w:color w:val="auto"/>
              </w:rPr>
            </w:pPr>
            <w:r>
              <w:rPr>
                <w:rFonts w:ascii="Arial" w:cs="Arial" w:eastAsia="Arial" w:hAnsi="Arial"/>
                <w:sz w:val="17"/>
                <w:szCs w:val="17"/>
                <w:color w:val="auto"/>
              </w:rPr>
              <w:t>North America Confectionery</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781.9</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642.6</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North America Salty Snacks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International</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income</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695.4</w:t>
            </w: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Unallocated corporate expense (1)</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137.8</w:t>
            </w:r>
          </w:p>
        </w:tc>
        <w:tc>
          <w:tcPr>
            <w:tcW w:w="0" w:type="dxa"/>
            <w:vAlign w:val="bottom"/>
          </w:tcPr>
          <w:p>
            <w:pPr>
              <w:spacing w:after="0"/>
              <w:rPr>
                <w:sz w:val="1"/>
                <w:szCs w:val="1"/>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Unallocated mark-to-market gains on commodity derivatives (2)</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Costs associated with business realignment activities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553.0</w:t>
            </w:r>
          </w:p>
        </w:tc>
        <w:tc>
          <w:tcPr>
            <w:tcW w:w="0" w:type="dxa"/>
            <w:vAlign w:val="bottom"/>
          </w:tcPr>
          <w:p>
            <w:pPr>
              <w:spacing w:after="0"/>
              <w:rPr>
                <w:sz w:val="1"/>
                <w:szCs w:val="1"/>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20" w:right="40" w:hanging="317"/>
        <w:spacing w:after="0" w:line="267"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3" w:lineRule="exact"/>
        <w:rPr>
          <w:rFonts w:ascii="Arial" w:cs="Arial" w:eastAsia="Arial" w:hAnsi="Arial"/>
          <w:sz w:val="15"/>
          <w:szCs w:val="15"/>
          <w:color w:val="auto"/>
        </w:rPr>
      </w:pPr>
    </w:p>
    <w:p>
      <w:pPr>
        <w:ind w:left="320" w:right="780" w:hanging="317"/>
        <w:spacing w:after="0" w:line="283"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 xml:space="preserve">Net (gains) losses on mark-to-market valuation of commodity derivative positions recognized in unallocated derivative (gains) losses. See </w:t>
      </w:r>
      <w:hyperlink w:anchor="page24">
        <w:r>
          <w:rPr>
            <w:rFonts w:ascii="Arial" w:cs="Arial" w:eastAsia="Arial" w:hAnsi="Arial"/>
            <w:sz w:val="15"/>
            <w:szCs w:val="15"/>
            <w:u w:val="single" w:color="auto"/>
            <w:color w:val="0000FF"/>
          </w:rPr>
          <w:t>Note 13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491490</wp:posOffset>
            </wp:positionV>
            <wp:extent cx="188595" cy="163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North America Confectionery</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North America Confectionery segment is responsible for our chocolate and non-chocolate confectionery market position in the United States and Canada. This includes developing and growing our business in chocolate and non-chocolate confectionery, gum and refreshment products, protein bars, spreads, snack bites and mixes, as well as pantry and food service lines. While a less significant component, this segment also includes our retail operations, including Hershey’s Chocolate World stores in Hershey, Pennsylvania; New York, New York; Las Vegas, Nevada; Niagara Falls (Ontario) and Singapore, as well as operations associated with licensing the use of certain trademarks and products to third parties around the world. North America Confectionery results, which accounted for 83.1% and 86.5% of our net sales for the three months ended April 3, 2022 and April 4, 2021, respectively,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gridSpan w:val="5"/>
          </w:tcPr>
          <w:p>
            <w:pPr>
              <w:ind w:left="1060"/>
              <w:spacing w:after="0"/>
              <w:rPr>
                <w:sz w:val="20"/>
                <w:szCs w:val="20"/>
                <w:color w:val="auto"/>
              </w:rPr>
            </w:pPr>
            <w:r>
              <w:rPr>
                <w:rFonts w:ascii="Arial" w:cs="Arial" w:eastAsia="Arial" w:hAnsi="Arial"/>
                <w:sz w:val="15"/>
                <w:szCs w:val="15"/>
                <w:b w:val="1"/>
                <w:bCs w:val="1"/>
                <w:color w:val="auto"/>
              </w:rPr>
              <w:t>Three Months Ended</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3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April 3, 2022</w:t>
            </w:r>
          </w:p>
        </w:tc>
        <w:tc>
          <w:tcPr>
            <w:tcW w:w="3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April 4, 2021</w:t>
            </w:r>
          </w:p>
        </w:tc>
        <w:tc>
          <w:tcPr>
            <w:tcW w:w="120" w:type="dxa"/>
            <w:vAlign w:val="bottom"/>
          </w:tcPr>
          <w:p>
            <w:pPr>
              <w:spacing w:after="0"/>
              <w:rPr>
                <w:sz w:val="17"/>
                <w:szCs w:val="17"/>
                <w:color w:val="auto"/>
              </w:rPr>
            </w:pPr>
          </w:p>
        </w:tc>
        <w:tc>
          <w:tcPr>
            <w:tcW w:w="2060" w:type="dxa"/>
            <w:vAlign w:val="bottom"/>
          </w:tcPr>
          <w:p>
            <w:pPr>
              <w:jc w:val="right"/>
              <w:ind w:right="417"/>
              <w:spacing w:after="0"/>
              <w:rPr>
                <w:sz w:val="20"/>
                <w:szCs w:val="20"/>
                <w:color w:val="auto"/>
              </w:rPr>
            </w:pPr>
            <w:r>
              <w:rPr>
                <w:rFonts w:ascii="Arial" w:cs="Arial" w:eastAsia="Arial" w:hAnsi="Arial"/>
                <w:sz w:val="15"/>
                <w:szCs w:val="15"/>
                <w:b w:val="1"/>
                <w:bCs w:val="1"/>
                <w:color w:val="auto"/>
              </w:rPr>
              <w:t>Percent Change</w:t>
            </w:r>
          </w:p>
        </w:tc>
        <w:tc>
          <w:tcPr>
            <w:tcW w:w="0" w:type="dxa"/>
            <w:vAlign w:val="bottom"/>
          </w:tcPr>
          <w:p>
            <w:pPr>
              <w:spacing w:after="0"/>
              <w:rPr>
                <w:sz w:val="1"/>
                <w:szCs w:val="1"/>
                <w:color w:val="auto"/>
              </w:rPr>
            </w:pPr>
          </w:p>
        </w:tc>
      </w:tr>
      <w:tr>
        <w:trPr>
          <w:trHeight w:val="157"/>
        </w:trPr>
        <w:tc>
          <w:tcPr>
            <w:tcW w:w="4820" w:type="dxa"/>
            <w:vAlign w:val="bottom"/>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2,217.0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1,985.4</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7"/>
                <w:szCs w:val="17"/>
                <w:color w:val="auto"/>
              </w:rPr>
              <w:t>Segment income</w:t>
            </w:r>
          </w:p>
        </w:tc>
        <w:tc>
          <w:tcPr>
            <w:tcW w:w="360" w:type="dxa"/>
            <w:vAlign w:val="bottom"/>
          </w:tcPr>
          <w:p>
            <w:pPr>
              <w:spacing w:after="0"/>
              <w:rPr>
                <w:sz w:val="18"/>
                <w:szCs w:val="18"/>
                <w:color w:val="auto"/>
              </w:rPr>
            </w:pPr>
          </w:p>
        </w:tc>
        <w:tc>
          <w:tcPr>
            <w:tcW w:w="1700" w:type="dxa"/>
            <w:vAlign w:val="bottom"/>
          </w:tcPr>
          <w:p>
            <w:pPr>
              <w:jc w:val="right"/>
              <w:ind w:right="118"/>
              <w:spacing w:after="0"/>
              <w:rPr>
                <w:sz w:val="20"/>
                <w:szCs w:val="20"/>
                <w:color w:val="auto"/>
              </w:rPr>
            </w:pPr>
            <w:r>
              <w:rPr>
                <w:rFonts w:ascii="Arial" w:cs="Arial" w:eastAsia="Arial" w:hAnsi="Arial"/>
                <w:sz w:val="17"/>
                <w:szCs w:val="17"/>
                <w:color w:val="auto"/>
              </w:rPr>
              <w:t>781.9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ind w:right="116"/>
              <w:spacing w:after="0"/>
              <w:rPr>
                <w:sz w:val="20"/>
                <w:szCs w:val="20"/>
                <w:color w:val="auto"/>
              </w:rPr>
            </w:pPr>
            <w:r>
              <w:rPr>
                <w:rFonts w:ascii="Arial" w:cs="Arial" w:eastAsia="Arial" w:hAnsi="Arial"/>
                <w:sz w:val="17"/>
                <w:szCs w:val="17"/>
                <w:color w:val="auto"/>
              </w:rPr>
              <w:t>642.6</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21.7 %</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margin</w:t>
            </w: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35.3 %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32.4 %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 First Quarter 2022 vs. First Quarter 2021</w:t>
      </w:r>
    </w:p>
    <w:p>
      <w:pPr>
        <w:spacing w:after="0" w:line="15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Net sales of our North America Confectionery segment increased $231.6 million or 11.7% in the first quarter of 2022 compared to the same period of 2021, reflecting a favorable price realization of 6.8% due to list price increases on certain products across our portfolio, a volume increase of 3.8% due to an increase in everyday core U.S. confection brands and a 1.1% increase from the 2021 acquisition of Lily’s.</w:t>
      </w:r>
    </w:p>
    <w:p>
      <w:pPr>
        <w:spacing w:after="0" w:line="98"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color w:val="auto"/>
        </w:rPr>
        <w:t>Our North America Confectionery segment also includes licensing and owned retail. This includes our Hershey’s Chocolate World stores in the United States (3 locations), Niagara Falls (Ontario) and Singapore. Our net sales increased approximately 21.5% during the first quarter of 2022 compared to the same period of 2021.</w:t>
      </w:r>
    </w:p>
    <w:p>
      <w:pPr>
        <w:spacing w:after="0" w:line="11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North America Confectionery segment income increased $139.3 million or 21.7% in the first quarter of 2022 compared to the same period of 2021, primarily due to favorable price realization and volume increases, partially offset by higher freight and logistics costs, higher supply chain inflation costs, as well as, unfavorable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806450</wp:posOffset>
            </wp:positionV>
            <wp:extent cx="188595" cy="163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North America Salty Snacks</w:t>
      </w:r>
    </w:p>
    <w:p>
      <w:pPr>
        <w:spacing w:after="0" w:line="159"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color w:val="auto"/>
        </w:rPr>
        <w:t>The North America Salty Snacks segment is responsible for our grocery and snacks market positions, including our salty snacking products. North America Salty Snacks results, which accounted for 8.5% and 5.3% of our net sales for the three months ended April 3, 2022 and April 4, 2021, respectively,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Pr>
          <w:p>
            <w:pPr>
              <w:spacing w:after="0"/>
              <w:rPr>
                <w:sz w:val="17"/>
                <w:szCs w:val="17"/>
                <w:color w:val="auto"/>
              </w:rPr>
            </w:pPr>
          </w:p>
        </w:tc>
        <w:tc>
          <w:tcPr>
            <w:tcW w:w="364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5"/>
                <w:szCs w:val="15"/>
                <w:b w:val="1"/>
                <w:bCs w:val="1"/>
                <w:color w:val="auto"/>
              </w:rPr>
              <w:t>Three Months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Percent Change</w:t>
            </w:r>
          </w:p>
        </w:tc>
        <w:tc>
          <w:tcPr>
            <w:tcW w:w="0" w:type="dxa"/>
            <w:vAlign w:val="bottom"/>
          </w:tcPr>
          <w:p>
            <w:pPr>
              <w:spacing w:after="0"/>
              <w:rPr>
                <w:sz w:val="1"/>
                <w:szCs w:val="1"/>
                <w:color w:val="auto"/>
              </w:rPr>
            </w:pPr>
          </w:p>
        </w:tc>
      </w:tr>
      <w:tr>
        <w:trPr>
          <w:trHeight w:val="157"/>
        </w:trPr>
        <w:tc>
          <w:tcPr>
            <w:tcW w:w="48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60" w:type="dxa"/>
            <w:vAlign w:val="bottom"/>
            <w:shd w:val="clear" w:color="auto" w:fill="CCEEFF"/>
          </w:tcPr>
          <w:p>
            <w:pPr>
              <w:jc w:val="right"/>
              <w:ind w:right="12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226.1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121.4</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86.2 %</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7"/>
                <w:szCs w:val="17"/>
                <w:color w:val="auto"/>
              </w:rPr>
              <w:t>Segment income</w:t>
            </w:r>
          </w:p>
        </w:tc>
        <w:tc>
          <w:tcPr>
            <w:tcW w:w="1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21.3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margin</w:t>
            </w: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9.4 %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20.9 %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 First Quarter 2022 vs. First Quarter 2021</w:t>
      </w:r>
    </w:p>
    <w:p>
      <w:pPr>
        <w:spacing w:after="0" w:line="120"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 xml:space="preserve">Net sales of our North America Salty Snacks segment increased $104.7 million or 86.2% in the first quarter of 2022 compared to the same period of 2021, reflecting a 69.0% benefit from the 2021 acquisitions of Dot’s and Pretzels, a favorable price realization of 13.2% due to higher prices on certain products and related trade promotions and a volume increase of 4.0% primarily related to </w:t>
      </w:r>
      <w:r>
        <w:rPr>
          <w:rFonts w:ascii="Arial" w:cs="Arial" w:eastAsia="Arial" w:hAnsi="Arial"/>
          <w:sz w:val="17"/>
          <w:szCs w:val="17"/>
          <w:i w:val="1"/>
          <w:iCs w:val="1"/>
          <w:color w:val="auto"/>
        </w:rPr>
        <w:t>SkinnyPop</w:t>
      </w:r>
      <w:r>
        <w:rPr>
          <w:rFonts w:ascii="Arial" w:cs="Arial" w:eastAsia="Arial" w:hAnsi="Arial"/>
          <w:sz w:val="17"/>
          <w:szCs w:val="17"/>
          <w:color w:val="auto"/>
        </w:rPr>
        <w:t xml:space="preserve"> and </w:t>
      </w:r>
      <w:r>
        <w:rPr>
          <w:rFonts w:ascii="Arial" w:cs="Arial" w:eastAsia="Arial" w:hAnsi="Arial"/>
          <w:sz w:val="17"/>
          <w:szCs w:val="17"/>
          <w:i w:val="1"/>
          <w:iCs w:val="1"/>
          <w:color w:val="auto"/>
        </w:rPr>
        <w:t>Pirates Booty</w:t>
      </w:r>
      <w:r>
        <w:rPr>
          <w:rFonts w:ascii="Arial" w:cs="Arial" w:eastAsia="Arial" w:hAnsi="Arial"/>
          <w:sz w:val="17"/>
          <w:szCs w:val="17"/>
          <w:color w:val="auto"/>
        </w:rPr>
        <w:t xml:space="preserve"> snacks.</w:t>
      </w:r>
    </w:p>
    <w:p>
      <w:pPr>
        <w:spacing w:after="0" w:line="107" w:lineRule="exact"/>
        <w:rPr>
          <w:sz w:val="20"/>
          <w:szCs w:val="20"/>
          <w:color w:val="auto"/>
        </w:rPr>
      </w:pPr>
    </w:p>
    <w:p>
      <w:pPr>
        <w:jc w:val="both"/>
        <w:ind w:right="600"/>
        <w:spacing w:after="0" w:line="236" w:lineRule="auto"/>
        <w:rPr>
          <w:sz w:val="20"/>
          <w:szCs w:val="20"/>
          <w:color w:val="auto"/>
        </w:rPr>
      </w:pPr>
      <w:r>
        <w:rPr>
          <w:rFonts w:ascii="Arial" w:cs="Arial" w:eastAsia="Arial" w:hAnsi="Arial"/>
          <w:sz w:val="17"/>
          <w:szCs w:val="17"/>
          <w:color w:val="auto"/>
        </w:rPr>
        <w:t>Our North America Salty Snacks segment income decreased $4.1 million or 16.1% in the first quarter of 2022 compared to the same period of 2021 due to unfavorable product mix, as well as higher supply chain inflation costs and increased advertising and related consumer marketing costs, partially offset by favorable price realization and volume increases.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w:t>
      </w:r>
    </w:p>
    <w:p>
      <w:pPr>
        <w:spacing w:after="0" w:line="9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International segment includes all other countries where we currently manufacture, import, market, sell or distribute chocolate and non-chocolate confectionery and other products. Currently, this includes our operations in Asia, Latin America, Europe, Africa and the Middle East, along with exports to these regions. International results, which accounted for 8.4% and 8.2% of our net sales for the three months ended April 3, 2022 and April 4, 2021, respectively,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20" w:type="dxa"/>
            <w:vAlign w:val="bottom"/>
          </w:tcPr>
          <w:p>
            <w:pPr>
              <w:spacing w:after="0"/>
              <w:rPr>
                <w:sz w:val="17"/>
                <w:szCs w:val="17"/>
                <w:color w:val="auto"/>
              </w:rPr>
            </w:pPr>
          </w:p>
        </w:tc>
        <w:tc>
          <w:tcPr>
            <w:tcW w:w="364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5"/>
                <w:szCs w:val="15"/>
                <w:b w:val="1"/>
                <w:bCs w:val="1"/>
                <w:color w:val="auto"/>
              </w:rPr>
              <w:t>Three Months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3, 2022</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2021</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auto"/>
            </w:tcBorders>
          </w:tcPr>
          <w:p>
            <w:pPr>
              <w:jc w:val="right"/>
              <w:ind w:right="417"/>
              <w:spacing w:after="0"/>
              <w:rPr>
                <w:sz w:val="20"/>
                <w:szCs w:val="20"/>
                <w:color w:val="auto"/>
              </w:rPr>
            </w:pPr>
            <w:r>
              <w:rPr>
                <w:rFonts w:ascii="Arial" w:cs="Arial" w:eastAsia="Arial" w:hAnsi="Arial"/>
                <w:sz w:val="15"/>
                <w:szCs w:val="15"/>
                <w:b w:val="1"/>
                <w:bCs w:val="1"/>
                <w:color w:val="auto"/>
              </w:rPr>
              <w:t>Percent Change</w:t>
            </w:r>
          </w:p>
        </w:tc>
        <w:tc>
          <w:tcPr>
            <w:tcW w:w="0" w:type="dxa"/>
            <w:vAlign w:val="bottom"/>
          </w:tcPr>
          <w:p>
            <w:pPr>
              <w:spacing w:after="0"/>
              <w:rPr>
                <w:sz w:val="1"/>
                <w:szCs w:val="1"/>
                <w:color w:val="auto"/>
              </w:rPr>
            </w:pPr>
          </w:p>
        </w:tc>
      </w:tr>
      <w:tr>
        <w:trPr>
          <w:trHeight w:val="157"/>
        </w:trPr>
        <w:tc>
          <w:tcPr>
            <w:tcW w:w="48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460" w:type="dxa"/>
            <w:vAlign w:val="bottom"/>
            <w:shd w:val="clear" w:color="auto" w:fill="CCEEFF"/>
          </w:tcPr>
          <w:p>
            <w:pPr>
              <w:jc w:val="right"/>
              <w:ind w:right="12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223.1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189.1</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17.9 %</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7"/>
                <w:szCs w:val="17"/>
                <w:color w:val="auto"/>
              </w:rPr>
              <w:t>Segment income</w:t>
            </w:r>
          </w:p>
        </w:tc>
        <w:tc>
          <w:tcPr>
            <w:tcW w:w="1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27.4</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53.4 %</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margin</w:t>
            </w: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18.8 %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14.5 %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 First Quarter 2022 vs. First Quarter 2021</w:t>
      </w:r>
    </w:p>
    <w:p>
      <w:pPr>
        <w:spacing w:after="0" w:line="146"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Net sales of our International segment increased $34.0 million or 17.9% in the first quarter of 2022 compared to the same period of 2021, reflecting a volume increase of 11.9% and a favorable price realization of 5.8%. The volume increase was primarily attributable to solid marketplace growth in Brazil, Mexico, and India, where net sales increased by 34.9%, 29.5%, and 14.5%, respectively. These increases also benefited from a favorable impact from foreign currency exchange rates of 0.2%.</w:t>
      </w:r>
    </w:p>
    <w:p>
      <w:pPr>
        <w:spacing w:after="0" w:line="11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International segment generated income of $42.0 million in the first quarter of 2022 compared to $27.4 million in the first quarter of 2021 with the improvement primarily resulting from execution of our International Optimization Program in China, as we streamline and optimize our China operating model, as well as volume increases and favorable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487680</wp:posOffset>
            </wp:positionV>
            <wp:extent cx="188595" cy="163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Unallocated Corporate Expense</w:t>
      </w:r>
    </w:p>
    <w:p>
      <w:pPr>
        <w:spacing w:after="0" w:line="10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expense,(d) acquisition-related costs and (e) other gains or losses that are not integral to segment performance.</w:t>
      </w:r>
    </w:p>
    <w:p>
      <w:pPr>
        <w:spacing w:after="0" w:line="10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the first quarter of 2022, unallocated corporate expense totaled $150.3 million, as compared to $137.8 million in the first quarter of 2021. The increase is primarily driven by higher acquisition and integration related costs, as well as incremental investments in capabilities and technology and higher group insurance costs, partially offset by lower incentive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jc w:val="both"/>
        <w:ind w:right="200"/>
        <w:spacing w:after="0" w:line="318" w:lineRule="auto"/>
        <w:rPr>
          <w:sz w:val="20"/>
          <w:szCs w:val="20"/>
          <w:color w:val="auto"/>
        </w:rPr>
      </w:pPr>
      <w:r>
        <w:rPr>
          <w:rFonts w:ascii="Arial" w:cs="Arial" w:eastAsia="Arial" w:hAnsi="Arial"/>
          <w:sz w:val="15"/>
          <w:szCs w:val="15"/>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2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At April 3, 2022, our cash and cash equivalents totaled $338.1 million, an increase of $8.8 million compared to the 2021 year-end balance. We believe we have sufficient liquidity to satisfy our cash needs; however, we continue to evaluate and take action, as necessary, to preserve adequate liquidity and ensure that our business can continue to operate during the ongoing COVID-19 pandemic. Additional detail regarding the net uses of cash are outlined in the following discussion.</w:t>
      </w:r>
    </w:p>
    <w:p>
      <w:pPr>
        <w:spacing w:after="0" w:line="8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Approximately 80% of the balance of our cash and cash equivalents at April 3, 2022 was held by subsidiaries domiciled outside of the United States. We intend to continue to reinvest the remainder of the earnings outside of the United States for which there would be a material tax implication to distributing, such as withholding tax, for the foreseeable future and, therefore, have not recognized additional tax expense on these earnings. We believe we have sufficient liquidity to satisfy our cash needs for at least the next twelve months, including our cash needs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Summary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derived from our Consolidated Statements of Cash Flows: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4"/>
          </w:tcPr>
          <w:p>
            <w:pPr>
              <w:jc w:val="right"/>
              <w:ind w:right="1375"/>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April 3, 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April 4, 2021</w:t>
            </w:r>
          </w:p>
        </w:tc>
      </w:tr>
      <w:tr>
        <w:trPr>
          <w:trHeight w:val="214"/>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656.5</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609.6</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Financing activities</w:t>
            </w: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(463.5)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(491.8)</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Less: Cash classified as assets held for sale</w:t>
            </w:r>
          </w:p>
        </w:tc>
        <w:tc>
          <w:tcPr>
            <w:tcW w:w="3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38"/>
        </w:trPr>
        <w:tc>
          <w:tcPr>
            <w:tcW w:w="6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Increase (decrease) in cash and cash equivalents</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generated cash of $656.5 million from operating activities in the first three months of 2022, an increase of $46.9 million compared to $609.6 million in the same period of 2021. This increase in net cash provided by operating activities was mainly driven by the following factors:</w:t>
      </w:r>
    </w:p>
    <w:p>
      <w:pPr>
        <w:spacing w:after="0" w:line="113" w:lineRule="exact"/>
        <w:rPr>
          <w:sz w:val="20"/>
          <w:szCs w:val="20"/>
          <w:color w:val="auto"/>
        </w:rPr>
      </w:pPr>
    </w:p>
    <w:p>
      <w:pPr>
        <w:ind w:left="320" w:right="20" w:hanging="317"/>
        <w:spacing w:after="0" w:line="279" w:lineRule="auto"/>
        <w:tabs>
          <w:tab w:leader="none" w:pos="3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income adjusted for non-cash charges to operations (including depreciation, amortization, stock-based compensation, deferred income taxes, a write-down of equity investments and other charges) resulted in $166.9 million of higher cash flow in 2022 relative to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243205</wp:posOffset>
            </wp:positionV>
            <wp:extent cx="188595" cy="163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39" w:name="page40"/>
    <w:bookmarkEnd w:id="39"/>
    <w:p>
      <w:pPr>
        <w:ind w:left="300" w:hanging="297"/>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 in cash provided by operating activities was partially offset by the following net cash outflows:</w:t>
      </w:r>
    </w:p>
    <w:p>
      <w:pPr>
        <w:spacing w:after="0" w:line="165" w:lineRule="exact"/>
        <w:rPr>
          <w:rFonts w:ascii="Arial" w:cs="Arial" w:eastAsia="Arial" w:hAnsi="Arial"/>
          <w:sz w:val="17"/>
          <w:szCs w:val="17"/>
          <w:color w:val="auto"/>
        </w:rPr>
      </w:pPr>
    </w:p>
    <w:p>
      <w:pPr>
        <w:ind w:left="940" w:right="60" w:hanging="318"/>
        <w:spacing w:after="0" w:line="279" w:lineRule="auto"/>
        <w:tabs>
          <w:tab w:leader="none" w:pos="936"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Net working capital (comprised of trade accounts receivable, inventory, accounts payable and accrued liabilities) consumed cash of $128.9 million in 2022, compared to $25.7 million in 2021. This $103.2 million fluctuation was mainly driven by a higher year-over-year build up of U.S. inventories to satisfy product requirements and maintain sufficient levels to accommodate customer requirements and an increase in cash used by accounts receivable due to a longer Easter season in 2022 as compared to prior year, partially offset by the timing of vendor and supplier payments and higher accrued incentive compensation related to annual performance that was paid in the first quarter of 2022.</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01"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We used cash of $164.0 million for investing activities in the first three months of 2022, an increase of $27.0 million compared to $137.0 million in the same period of 2021. This increase in net cash used in investing activities was mainly driven by the following factors:</w:t>
      </w:r>
    </w:p>
    <w:p>
      <w:pPr>
        <w:spacing w:after="0" w:line="113" w:lineRule="exact"/>
        <w:rPr>
          <w:sz w:val="20"/>
          <w:szCs w:val="20"/>
          <w:color w:val="auto"/>
        </w:rPr>
      </w:pPr>
    </w:p>
    <w:p>
      <w:pPr>
        <w:ind w:left="320" w:right="40" w:hanging="317"/>
        <w:spacing w:after="0" w:line="258" w:lineRule="auto"/>
        <w:tabs>
          <w:tab w:leader="none" w:pos="316"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our ERP system implementation, capacity expansion projects,</w:t>
      </w:r>
      <w:r>
        <w:rPr>
          <w:rFonts w:ascii="Arial" w:cs="Arial" w:eastAsia="Arial" w:hAnsi="Arial"/>
          <w:sz w:val="17"/>
          <w:szCs w:val="17"/>
          <w:i w:val="1"/>
          <w:iCs w:val="1"/>
          <w:color w:val="auto"/>
        </w:rPr>
        <w:t xml:space="preserve"> </w:t>
      </w:r>
      <w:r>
        <w:rPr>
          <w:rFonts w:ascii="Arial" w:cs="Arial" w:eastAsia="Arial" w:hAnsi="Arial"/>
          <w:sz w:val="17"/>
          <w:szCs w:val="17"/>
          <w:color w:val="auto"/>
        </w:rPr>
        <w:t>innovation and cost savings, were $141.1 million in the first three months of 2022 compared to $114.5 million in the same period of 2021. We expect our full year 2022 capital expenditures, including capitalized software, to approximate $600 million, the high end of our previously announced range of $550 million to $600 million. Our 2022 capital expenditures are largely driven by our key strategic initiatives, including expanding the agility and capacity of the Company’s supply chain and building digital infrastructure across the enterprise. We intend to use our existing cash and internally generated funds to meet our 2022 capital requirements.</w:t>
      </w:r>
    </w:p>
    <w:p>
      <w:pPr>
        <w:spacing w:after="0" w:line="131" w:lineRule="exact"/>
        <w:rPr>
          <w:rFonts w:ascii="Arial" w:cs="Arial" w:eastAsia="Arial" w:hAnsi="Arial"/>
          <w:sz w:val="17"/>
          <w:szCs w:val="17"/>
          <w:i w:val="1"/>
          <w:iCs w:val="1"/>
          <w:color w:val="auto"/>
        </w:rPr>
      </w:pPr>
    </w:p>
    <w:p>
      <w:pPr>
        <w:ind w:left="320" w:right="120" w:hanging="317"/>
        <w:spacing w:after="0" w:line="266"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Investments in partnerships qualifying for tax credits</w:t>
      </w:r>
      <w:r>
        <w:rPr>
          <w:rFonts w:ascii="Arial" w:cs="Arial" w:eastAsia="Arial" w:hAnsi="Arial"/>
          <w:sz w:val="17"/>
          <w:szCs w:val="17"/>
          <w:color w:val="auto"/>
        </w:rPr>
        <w:t>. We make investments in partnership entities that in turn make equity investments in projects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federal historic and renewable energy tax credits. We invested approximately $22.5 million in the first three months of 2022, compared to $25.1 million in the same period of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used cash of $463.5 million for financing activities in the first three months of 2022, a decrease of $28.3 million compared to $491.8 million in the same period of 2021. This decrease in net cash used in financing activities was mainly driven by the following factors:</w:t>
      </w:r>
    </w:p>
    <w:p>
      <w:pPr>
        <w:spacing w:after="0" w:line="113" w:lineRule="exact"/>
        <w:rPr>
          <w:sz w:val="20"/>
          <w:szCs w:val="20"/>
          <w:color w:val="auto"/>
        </w:rPr>
      </w:pPr>
    </w:p>
    <w:p>
      <w:pPr>
        <w:ind w:left="320" w:right="180" w:hanging="317"/>
        <w:spacing w:after="0" w:line="307" w:lineRule="auto"/>
        <w:tabs>
          <w:tab w:leader="none" w:pos="316" w:val="left"/>
        </w:tabs>
        <w:numPr>
          <w:ilvl w:val="0"/>
          <w:numId w:val="1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Short-term borrowings, net. </w:t>
      </w:r>
      <w:r>
        <w:rPr>
          <w:rFonts w:ascii="Arial" w:cs="Arial" w:eastAsia="Arial" w:hAnsi="Arial"/>
          <w:sz w:val="15"/>
          <w:szCs w:val="15"/>
          <w:color w:val="auto"/>
        </w:rPr>
        <w:t>In addition to utilizing cash on hand, we use short-term borrowings (commercial paper and bank borrowings) to fund seasonal</w:t>
      </w:r>
      <w:r>
        <w:rPr>
          <w:rFonts w:ascii="Arial" w:cs="Arial" w:eastAsia="Arial" w:hAnsi="Arial"/>
          <w:sz w:val="15"/>
          <w:szCs w:val="15"/>
          <w:i w:val="1"/>
          <w:iCs w:val="1"/>
          <w:color w:val="auto"/>
        </w:rPr>
        <w:t xml:space="preserve"> </w:t>
      </w:r>
      <w:r>
        <w:rPr>
          <w:rFonts w:ascii="Arial" w:cs="Arial" w:eastAsia="Arial" w:hAnsi="Arial"/>
          <w:sz w:val="15"/>
          <w:szCs w:val="15"/>
          <w:color w:val="auto"/>
        </w:rPr>
        <w:t>working capital requirements and ongoing business needs. During the first three months of 2022, we used cash of $65.6 million to reduce a portion of our short-term commercial paper borrowings originally used to fund our 2021 acquisitions of Dot’s and Pretzels, partially offset by an increase in short-term foreign bank borrowings. During the first three months of 2021, we used cash of $6.1 million to reduce a portion of our short-term foreign bank borrowings.</w:t>
      </w:r>
    </w:p>
    <w:p>
      <w:pPr>
        <w:spacing w:after="0" w:line="97" w:lineRule="exact"/>
        <w:rPr>
          <w:rFonts w:ascii="Arial" w:cs="Arial" w:eastAsia="Arial" w:hAnsi="Arial"/>
          <w:sz w:val="15"/>
          <w:szCs w:val="15"/>
          <w:i w:val="1"/>
          <w:iCs w:val="1"/>
          <w:color w:val="auto"/>
        </w:rPr>
      </w:pPr>
    </w:p>
    <w:p>
      <w:pPr>
        <w:ind w:left="320" w:right="400" w:hanging="317"/>
        <w:spacing w:after="0" w:line="279"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Long-term debt borrowings and repayments</w:t>
      </w:r>
      <w:r>
        <w:rPr>
          <w:rFonts w:ascii="Arial" w:cs="Arial" w:eastAsia="Arial" w:hAnsi="Arial"/>
          <w:sz w:val="17"/>
          <w:szCs w:val="17"/>
          <w:color w:val="auto"/>
        </w:rPr>
        <w:t>. During the first three months of 2022, long-term debt activity was minimal. During the first three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2021, we repaid $84.7 million of 8.800% Debentures due upon their maturity.</w:t>
      </w:r>
    </w:p>
    <w:p>
      <w:pPr>
        <w:spacing w:after="0" w:line="112" w:lineRule="exact"/>
        <w:rPr>
          <w:rFonts w:ascii="Arial" w:cs="Arial" w:eastAsia="Arial" w:hAnsi="Arial"/>
          <w:sz w:val="17"/>
          <w:szCs w:val="17"/>
          <w:color w:val="auto"/>
        </w:rPr>
      </w:pPr>
    </w:p>
    <w:p>
      <w:pPr>
        <w:jc w:val="both"/>
        <w:ind w:left="320" w:right="120" w:hanging="317"/>
        <w:spacing w:after="0" w:line="266" w:lineRule="auto"/>
        <w:tabs>
          <w:tab w:leader="none" w:pos="31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Dividend payments</w:t>
      </w:r>
      <w:r>
        <w:rPr>
          <w:rFonts w:ascii="Arial" w:cs="Arial" w:eastAsia="Arial" w:hAnsi="Arial"/>
          <w:sz w:val="17"/>
          <w:szCs w:val="17"/>
          <w:color w:val="auto"/>
        </w:rPr>
        <w:t>. Total dividend payments to holders of our Common Stock and Class B Common Stock were $181.1 million during the first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of 2022, an increase of $18.4 million compared to $162.7 million in the same period of 2021. Details regarding our 2022 cash dividends paid to stockholders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258445</wp:posOffset>
            </wp:positionV>
            <wp:extent cx="188595" cy="163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40" w:name="page41"/>
    <w:bookmarkEnd w:id="40"/>
    <w:tbl>
      <w:tblPr>
        <w:tblLayout w:type="fixed"/>
        <w:tblInd w:w="320" w:type="dxa"/>
        <w:tblCellMar>
          <w:top w:w="0" w:type="dxa"/>
          <w:left w:w="0" w:type="dxa"/>
          <w:bottom w:w="0" w:type="dxa"/>
          <w:right w:w="0" w:type="dxa"/>
        </w:tblCellMar>
      </w:tblPr>
      <w:tr>
        <w:trPr>
          <w:trHeight w:val="205"/>
        </w:trPr>
        <w:tc>
          <w:tcPr>
            <w:tcW w:w="8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Quarter Ended</w:t>
            </w:r>
          </w:p>
        </w:tc>
      </w:tr>
      <w:tr>
        <w:trPr>
          <w:trHeight w:val="215"/>
        </w:trPr>
        <w:tc>
          <w:tcPr>
            <w:tcW w:w="8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April 3, 2022</w:t>
            </w:r>
          </w:p>
        </w:tc>
      </w:tr>
      <w:tr>
        <w:trPr>
          <w:trHeight w:val="212"/>
        </w:trPr>
        <w:tc>
          <w:tcPr>
            <w:tcW w:w="8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paid per share – Common stock</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0.901</w:t>
            </w:r>
          </w:p>
        </w:tc>
      </w:tr>
      <w:tr>
        <w:trPr>
          <w:trHeight w:val="218"/>
        </w:trPr>
        <w:tc>
          <w:tcPr>
            <w:tcW w:w="8740" w:type="dxa"/>
            <w:vAlign w:val="bottom"/>
            <w:gridSpan w:val="2"/>
          </w:tcPr>
          <w:p>
            <w:pPr>
              <w:spacing w:after="0"/>
              <w:rPr>
                <w:sz w:val="20"/>
                <w:szCs w:val="20"/>
                <w:color w:val="auto"/>
              </w:rPr>
            </w:pPr>
            <w:r>
              <w:rPr>
                <w:rFonts w:ascii="Arial" w:cs="Arial" w:eastAsia="Arial" w:hAnsi="Arial"/>
                <w:sz w:val="17"/>
                <w:szCs w:val="17"/>
                <w:color w:val="auto"/>
              </w:rPr>
              <w:t>Dividends paid per share – Class B common stock</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0.819</w:t>
            </w:r>
          </w:p>
        </w:tc>
      </w:tr>
      <w:tr>
        <w:trPr>
          <w:trHeight w:val="220"/>
        </w:trPr>
        <w:tc>
          <w:tcPr>
            <w:tcW w:w="8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cash dividends paid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5400" w:type="dxa"/>
            <w:vAlign w:val="bottom"/>
          </w:tcPr>
          <w:p>
            <w:pPr>
              <w:spacing w:after="0"/>
              <w:rPr>
                <w:sz w:val="20"/>
                <w:szCs w:val="20"/>
                <w:color w:val="auto"/>
              </w:rPr>
            </w:pPr>
            <w:r>
              <w:rPr>
                <w:rFonts w:ascii="Arial" w:cs="Arial" w:eastAsia="Arial" w:hAnsi="Arial"/>
                <w:sz w:val="17"/>
                <w:szCs w:val="17"/>
                <w:color w:val="auto"/>
              </w:rPr>
              <w:t>Declaration date</w:t>
            </w:r>
          </w:p>
        </w:tc>
        <w:tc>
          <w:tcPr>
            <w:tcW w:w="5520" w:type="dxa"/>
            <w:vAlign w:val="bottom"/>
            <w:gridSpan w:val="2"/>
          </w:tcPr>
          <w:p>
            <w:pPr>
              <w:jc w:val="right"/>
              <w:spacing w:after="0"/>
              <w:rPr>
                <w:sz w:val="20"/>
                <w:szCs w:val="20"/>
                <w:color w:val="auto"/>
              </w:rPr>
            </w:pPr>
            <w:r>
              <w:rPr>
                <w:rFonts w:ascii="Arial" w:cs="Arial" w:eastAsia="Arial" w:hAnsi="Arial"/>
                <w:sz w:val="17"/>
                <w:szCs w:val="17"/>
                <w:color w:val="auto"/>
              </w:rPr>
              <w:t>February 2, 2022</w:t>
            </w:r>
          </w:p>
        </w:tc>
      </w:tr>
      <w:tr>
        <w:trPr>
          <w:trHeight w:val="22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Record date</w:t>
            </w:r>
          </w:p>
        </w:tc>
        <w:tc>
          <w:tcPr>
            <w:tcW w:w="5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18,</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2022</w:t>
            </w:r>
          </w:p>
        </w:tc>
      </w:tr>
      <w:tr>
        <w:trPr>
          <w:trHeight w:val="218"/>
        </w:trPr>
        <w:tc>
          <w:tcPr>
            <w:tcW w:w="5400" w:type="dxa"/>
            <w:vAlign w:val="bottom"/>
          </w:tcPr>
          <w:p>
            <w:pPr>
              <w:spacing w:after="0"/>
              <w:rPr>
                <w:sz w:val="20"/>
                <w:szCs w:val="20"/>
                <w:color w:val="auto"/>
              </w:rPr>
            </w:pPr>
            <w:r>
              <w:rPr>
                <w:rFonts w:ascii="Arial" w:cs="Arial" w:eastAsia="Arial" w:hAnsi="Arial"/>
                <w:sz w:val="17"/>
                <w:szCs w:val="17"/>
                <w:color w:val="auto"/>
              </w:rPr>
              <w:t>Payment date</w:t>
            </w:r>
          </w:p>
        </w:tc>
        <w:tc>
          <w:tcPr>
            <w:tcW w:w="5140" w:type="dxa"/>
            <w:vAlign w:val="bottom"/>
          </w:tcPr>
          <w:p>
            <w:pPr>
              <w:jc w:val="right"/>
              <w:spacing w:after="0"/>
              <w:rPr>
                <w:sz w:val="20"/>
                <w:szCs w:val="20"/>
                <w:color w:val="auto"/>
              </w:rPr>
            </w:pPr>
            <w:r>
              <w:rPr>
                <w:rFonts w:ascii="Arial" w:cs="Arial" w:eastAsia="Arial" w:hAnsi="Arial"/>
                <w:sz w:val="17"/>
                <w:szCs w:val="17"/>
                <w:color w:val="auto"/>
              </w:rPr>
              <w:t>March 15,</w:t>
            </w:r>
          </w:p>
        </w:tc>
        <w:tc>
          <w:tcPr>
            <w:tcW w:w="380" w:type="dxa"/>
            <w:vAlign w:val="bottom"/>
          </w:tcPr>
          <w:p>
            <w:pPr>
              <w:jc w:val="right"/>
              <w:spacing w:after="0"/>
              <w:rPr>
                <w:sz w:val="20"/>
                <w:szCs w:val="20"/>
                <w:color w:val="auto"/>
              </w:rPr>
            </w:pPr>
            <w:r>
              <w:rPr>
                <w:rFonts w:ascii="Arial" w:cs="Arial" w:eastAsia="Arial" w:hAnsi="Arial"/>
                <w:sz w:val="17"/>
                <w:szCs w:val="17"/>
                <w:color w:val="auto"/>
                <w:w w:val="89"/>
              </w:rPr>
              <w:t>2022</w:t>
            </w:r>
          </w:p>
        </w:tc>
      </w:tr>
    </w:tbl>
    <w:p>
      <w:pPr>
        <w:spacing w:after="0" w:line="234" w:lineRule="exact"/>
        <w:rPr>
          <w:sz w:val="20"/>
          <w:szCs w:val="20"/>
          <w:color w:val="auto"/>
        </w:rPr>
      </w:pPr>
    </w:p>
    <w:p>
      <w:pPr>
        <w:ind w:left="320" w:right="300" w:hanging="317"/>
        <w:spacing w:after="0" w:line="262" w:lineRule="auto"/>
        <w:tabs>
          <w:tab w:leader="none" w:pos="316"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We repurchase shares of Common Stock to offset the dilutive impact of treasury shares issued under our equity compensation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these share repurchases in a given period varies based on the volume of stock options exercised and our market price. In addition, we periodically repurchase shares of Common Stock pursuant to Board-authorized programs intended to drive additional stockholder value. Details regarding our share repurchases are as follows:</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5"/>
                <w:szCs w:val="15"/>
                <w:b w:val="1"/>
                <w:bCs w:val="1"/>
                <w:color w:val="auto"/>
              </w:rPr>
              <w:t>Quarter Ended</w:t>
            </w:r>
          </w:p>
        </w:tc>
        <w:tc>
          <w:tcPr>
            <w:tcW w:w="0" w:type="dxa"/>
            <w:vAlign w:val="bottom"/>
          </w:tcPr>
          <w:p>
            <w:pPr>
              <w:spacing w:after="0"/>
              <w:rPr>
                <w:sz w:val="1"/>
                <w:szCs w:val="1"/>
                <w:color w:val="auto"/>
              </w:rPr>
            </w:pPr>
          </w:p>
        </w:tc>
      </w:tr>
      <w:tr>
        <w:trPr>
          <w:trHeight w:val="215"/>
        </w:trPr>
        <w:tc>
          <w:tcPr>
            <w:tcW w:w="648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In millions</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April 3, 2022</w:t>
            </w:r>
          </w:p>
        </w:tc>
        <w:tc>
          <w:tcPr>
            <w:tcW w:w="8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4, 202</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Milton Hershey School Trust repurchase</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9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6560" w:type="dxa"/>
            <w:vAlign w:val="bottom"/>
            <w:gridSpan w:val="2"/>
          </w:tcPr>
          <w:p>
            <w:pPr>
              <w:ind w:left="640"/>
              <w:spacing w:after="0" w:line="168" w:lineRule="exact"/>
              <w:rPr>
                <w:sz w:val="20"/>
                <w:szCs w:val="20"/>
                <w:color w:val="auto"/>
              </w:rPr>
            </w:pPr>
            <w:r>
              <w:rPr>
                <w:rFonts w:ascii="Arial" w:cs="Arial" w:eastAsia="Arial" w:hAnsi="Arial"/>
                <w:sz w:val="17"/>
                <w:szCs w:val="17"/>
                <w:color w:val="auto"/>
                <w:w w:val="95"/>
              </w:rPr>
              <w:t>Shares repurchased in the open market to replace Treasury Stock issued for stock</w:t>
            </w:r>
          </w:p>
        </w:tc>
        <w:tc>
          <w:tcPr>
            <w:tcW w:w="860" w:type="dxa"/>
            <w:vAlign w:val="bottom"/>
          </w:tcPr>
          <w:p>
            <w:pPr>
              <w:spacing w:after="0"/>
              <w:rPr>
                <w:sz w:val="14"/>
                <w:szCs w:val="14"/>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560" w:type="dxa"/>
            <w:vAlign w:val="bottom"/>
            <w:gridSpan w:val="2"/>
          </w:tcPr>
          <w:p>
            <w:pPr>
              <w:ind w:left="20"/>
              <w:spacing w:after="0"/>
              <w:rPr>
                <w:sz w:val="20"/>
                <w:szCs w:val="20"/>
                <w:color w:val="auto"/>
              </w:rPr>
            </w:pPr>
            <w:r>
              <w:rPr>
                <w:rFonts w:ascii="Arial" w:cs="Arial" w:eastAsia="Arial" w:hAnsi="Arial"/>
                <w:sz w:val="17"/>
                <w:szCs w:val="17"/>
                <w:color w:val="auto"/>
              </w:rPr>
              <w:t>options and incentive compensation</w:t>
            </w:r>
          </w:p>
        </w:tc>
        <w:tc>
          <w:tcPr>
            <w:tcW w:w="8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6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rPr>
              <w:t>Cash used for total share repurchases</w:t>
            </w:r>
          </w:p>
        </w:tc>
        <w:tc>
          <w:tcPr>
            <w:tcW w:w="8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20" w:right="560"/>
        <w:spacing w:after="0" w:line="266" w:lineRule="auto"/>
        <w:rPr>
          <w:sz w:val="20"/>
          <w:szCs w:val="20"/>
          <w:color w:val="auto"/>
        </w:rPr>
      </w:pPr>
      <w:r>
        <w:rPr>
          <w:rFonts w:ascii="Arial" w:cs="Arial" w:eastAsia="Arial" w:hAnsi="Arial"/>
          <w:sz w:val="17"/>
          <w:szCs w:val="17"/>
          <w:color w:val="auto"/>
        </w:rPr>
        <w:t>In February 2022, the Company entered into a Stock Purchase Agreement with Hershey Trust Company, as trustee for the Milton Hershey School Trust, pursuant to which the Company purchased 1,000,000 shares of the Company’s Common Stock from the Milton Hershey School Trust at a price equal to $203.35 per share, for a total purchase price of $203.4 million.</w:t>
      </w:r>
    </w:p>
    <w:p>
      <w:pPr>
        <w:spacing w:after="0" w:line="124" w:lineRule="exact"/>
        <w:rPr>
          <w:sz w:val="20"/>
          <w:szCs w:val="20"/>
          <w:color w:val="auto"/>
        </w:rPr>
      </w:pPr>
    </w:p>
    <w:p>
      <w:pPr>
        <w:ind w:left="320" w:right="200"/>
        <w:spacing w:after="0" w:line="307" w:lineRule="auto"/>
        <w:rPr>
          <w:sz w:val="20"/>
          <w:szCs w:val="20"/>
          <w:color w:val="auto"/>
        </w:rPr>
      </w:pPr>
      <w:r>
        <w:rPr>
          <w:rFonts w:ascii="Arial" w:cs="Arial" w:eastAsia="Arial" w:hAnsi="Arial"/>
          <w:sz w:val="15"/>
          <w:szCs w:val="15"/>
          <w:color w:val="auto"/>
        </w:rPr>
        <w:t>In July 2018, our Board of Directors approved a $500 million share repurchase authorization. As of April 3, 2022, approximately $110 million remained available for repurchases of our Common Stock under this program. The share repurchase program does not have an expiration date. In May 2021, our Board of Directors approved an additional $500 million share repurchase authorization. This program is to commence after the existing 2018 authorization is completed and is to be utilized at management’s discretion. We expect 2022 share repurchases to be in line with our traditional buyback strategy.</w:t>
      </w:r>
    </w:p>
    <w:p>
      <w:pPr>
        <w:spacing w:after="0" w:line="97" w:lineRule="exact"/>
        <w:rPr>
          <w:sz w:val="20"/>
          <w:szCs w:val="20"/>
          <w:color w:val="auto"/>
        </w:rPr>
      </w:pPr>
    </w:p>
    <w:p>
      <w:pPr>
        <w:ind w:left="320" w:right="400" w:hanging="317"/>
        <w:spacing w:after="0" w:line="262" w:lineRule="auto"/>
        <w:tabs>
          <w:tab w:leader="none" w:pos="31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Proceeds from exercised stock options and employee tax withholding. </w:t>
      </w:r>
      <w:r>
        <w:rPr>
          <w:rFonts w:ascii="Arial" w:cs="Arial" w:eastAsia="Arial" w:hAnsi="Arial"/>
          <w:sz w:val="17"/>
          <w:szCs w:val="17"/>
          <w:color w:val="auto"/>
        </w:rPr>
        <w:t>During the first three months of 2022, we received $16.7 million from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exercises of stock options and paid $29.0 million of employee taxes withheld from share-based awards. During the first three months of 2021, we received $15.1 million from employee exercises of stock options and paid $11.9 million of employee taxes withheld from share-based awards. Variances are driven primarily by the number of shares exercised and the share price at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Information on recently adopted and issued accounting standards is included in </w:t>
      </w:r>
      <w:hyperlink w:anchor="page8">
        <w:r>
          <w:rPr>
            <w:rFonts w:ascii="Arial" w:cs="Arial" w:eastAsia="Arial" w:hAnsi="Arial"/>
            <w:sz w:val="17"/>
            <w:szCs w:val="17"/>
            <w:u w:val="single" w:color="auto"/>
            <w:color w:val="0000FF"/>
          </w:rPr>
          <w:t>Note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579755</wp:posOffset>
            </wp:positionV>
            <wp:extent cx="188595" cy="163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02" w:right="239" w:bottom="1440" w:gutter="0" w:footer="0" w:header="0"/>
        </w:sectPr>
      </w:pPr>
    </w:p>
    <w:bookmarkStart w:id="41" w:name="page42"/>
    <w:bookmarkEnd w:id="41"/>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Statement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Quarterly Report on Form 10-Q.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factors that could cause our actual results to differ materially from the results projected in our forward-looking statements include, but are not limited to the following:</w:t>
      </w:r>
    </w:p>
    <w:p>
      <w:pPr>
        <w:spacing w:after="0" w:line="190" w:lineRule="exact"/>
        <w:rPr>
          <w:sz w:val="20"/>
          <w:szCs w:val="20"/>
          <w:color w:val="auto"/>
        </w:rPr>
      </w:pPr>
    </w:p>
    <w:p>
      <w:pPr>
        <w:ind w:left="620" w:right="140" w:hanging="307"/>
        <w:spacing w:after="0" w:line="26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COVID-19 pandemic;</w:t>
      </w:r>
    </w:p>
    <w:p>
      <w:pPr>
        <w:spacing w:after="0" w:line="200" w:lineRule="exact"/>
        <w:rPr>
          <w:rFonts w:ascii="Arial" w:cs="Arial" w:eastAsia="Arial" w:hAnsi="Arial"/>
          <w:sz w:val="17"/>
          <w:szCs w:val="17"/>
          <w:color w:val="auto"/>
        </w:rPr>
      </w:pPr>
    </w:p>
    <w:p>
      <w:pPr>
        <w:ind w:left="620" w:right="160" w:hanging="307"/>
        <w:spacing w:after="0" w:line="26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0"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Disruption to our manufacturing operations or supply chain could impair our ability to produce or deliver finished products, resulting in a negative impact on our operating results;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might not be able to hire, engage and retain the talented global workforce we need to drive our growth strategies;</w:t>
      </w:r>
    </w:p>
    <w:p>
      <w:pPr>
        <w:spacing w:after="0" w:line="242" w:lineRule="exact"/>
        <w:rPr>
          <w:rFonts w:ascii="Arial" w:cs="Arial" w:eastAsia="Arial" w:hAnsi="Arial"/>
          <w:sz w:val="17"/>
          <w:szCs w:val="17"/>
          <w:color w:val="auto"/>
        </w:rPr>
      </w:pPr>
    </w:p>
    <w:p>
      <w:pPr>
        <w:ind w:left="620" w:right="8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Risks associated with climate change and other environmental impacts, and increased focus and evolving views of our customers, stockholders and other stakeholders on climate change issues, could negatively affect our business and operations;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54" w:lineRule="exact"/>
        <w:rPr>
          <w:rFonts w:ascii="Arial" w:cs="Arial" w:eastAsia="Arial" w:hAnsi="Arial"/>
          <w:sz w:val="16"/>
          <w:szCs w:val="16"/>
          <w:color w:val="auto"/>
        </w:rPr>
      </w:pPr>
    </w:p>
    <w:p>
      <w:pPr>
        <w:ind w:left="620" w:right="38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Price increases may not be sufficient to offset cost increases and maintain profitability or may result in sales volume declines associated with pricing elasticity;</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demand for new and existing products could decline;</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Increased marketplace competition could hurt our business;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54"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international operations may not achieve projected growth objectives, which could adversely impact our overall business and results of operations;</w:t>
      </w:r>
    </w:p>
    <w:p>
      <w:pPr>
        <w:spacing w:after="0" w:line="265" w:lineRule="exact"/>
        <w:rPr>
          <w:rFonts w:ascii="Arial" w:cs="Arial" w:eastAsia="Arial" w:hAnsi="Arial"/>
          <w:sz w:val="15"/>
          <w:szCs w:val="15"/>
          <w:color w:val="auto"/>
        </w:rPr>
      </w:pPr>
    </w:p>
    <w:p>
      <w:pPr>
        <w:ind w:left="620" w:right="10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fully realize the expected cost savings and/or operating efficiencies associated with our strategic initiatives or restructuring programs, which may have an adverse impact on our business;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governmental laws and regulations could increase our costs and liabilities or impact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276860</wp:posOffset>
            </wp:positionV>
            <wp:extent cx="188595" cy="163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3" w:lineRule="exact"/>
        <w:rPr>
          <w:sz w:val="20"/>
          <w:szCs w:val="20"/>
          <w:color w:val="auto"/>
        </w:rPr>
      </w:pPr>
    </w:p>
    <w:p>
      <w:pPr>
        <w:ind w:left="620" w:right="28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Political, economic and/or financial market conditions, including impacts on our business arising from the conflict between Russia and Ukraine, could negatively impact our financial results;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Complications with the design or implementation of our new enterprise resource planning system could adversely impact our business and operations; and</w:t>
      </w:r>
    </w:p>
    <w:p>
      <w:pPr>
        <w:spacing w:after="0" w:line="265" w:lineRule="exact"/>
        <w:rPr>
          <w:rFonts w:ascii="Arial" w:cs="Arial" w:eastAsia="Arial" w:hAnsi="Arial"/>
          <w:sz w:val="15"/>
          <w:szCs w:val="15"/>
          <w:color w:val="auto"/>
        </w:rPr>
      </w:pPr>
    </w:p>
    <w:p>
      <w:pPr>
        <w:ind w:left="620" w:right="36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Such other matters as discussed in our 2021 Annual Report on Form 10-K and this Quarterly Report on Form 10-Q, including Part II, Item 1A, ”Risk Factors.”</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1"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The total amount of short-term debt, net of cash, amounted to net debt of $536.7 million and net debt of $610.2 million, at April 3, 2022 and December 31, 2021, respectively. A hypothetical 100 basis point increase in interest rates applied to this variable-rate short-term debt as of April 3, 2022 would have changed interest expense by approximately $1.3 million for the first three months of 2022 and $2.4 million for 2021.</w:t>
      </w:r>
    </w:p>
    <w:p>
      <w:pPr>
        <w:spacing w:after="0" w:line="124"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April 3, 2022 and December 31, 2021 by approximately $252 million and $319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3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potential decline in fair value of foreign currency forward exchange contracts resulting from a hypothetical near-term adverse change in market rates of 10% was $26.7 million as of April 3, 2022 and $24.8 million as of December 31, 2021, generally offset by a reduction in foreign exchange associated with our transactional activities.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open commodity derivative contracts had a notional value of $284.8 million as of April 3, 2022 and $313.2 million as of December 31, 2021. At the end of the first quarter 2022, the potential change in fair value of commodity derivative instruments, assuming a 10% decrease in the underlying commodity price, would have increased our net unrealized losses by $35.1 million, generally offset by a reduction in the cost of the underlying commodity purchases.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Other than as described above, market risks have not changed significantly from those described in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276860</wp:posOffset>
            </wp:positionV>
            <wp:extent cx="188595" cy="163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April 3, 2022. Based on this evaluation, our Chief Executive Officer and Chief Financial Officer concluded that our disclosure controls and procedures were effective as of April 3, 2022.</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When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There have been no changes in our internal control over financial reporting during the quarter ended April 3, 2022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349885</wp:posOffset>
            </wp:positionV>
            <wp:extent cx="188595" cy="163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2"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Information on legal proceedings is included in </w:t>
      </w:r>
      <w:hyperlink w:anchor="page27">
        <w:r>
          <w:rPr>
            <w:rFonts w:ascii="Arial" w:cs="Arial" w:eastAsia="Arial" w:hAnsi="Arial"/>
            <w:sz w:val="17"/>
            <w:szCs w:val="17"/>
            <w:u w:val="single" w:color="auto"/>
            <w:color w:val="0000FF"/>
          </w:rPr>
          <w:t>Note 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When evaluating an investment in our Common Stock, investors should consider carefully, among other things, the risk factors previously disclosed in Part I, Item 1A, “Risk Factors,” of our 2021 Annual Report on Form 10-K and the information contained in this Quarterly Report on Form 10-Q and our other reports and registration statements filed with the SEC.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purchases of shares of Common Stock made by or on behalf of Hershey, or any “affiliated purchaser” (as defined in Rule 10b-18(a)</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(3) under the Securities Exchange Act of 1934, as amended) of Hershey, for each fiscal month in the three months ended April 3, 2022:</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restart"/>
          </w:tcPr>
          <w:p>
            <w:pPr>
              <w:jc w:val="center"/>
              <w:ind w:left="243"/>
              <w:spacing w:after="0"/>
              <w:rPr>
                <w:sz w:val="20"/>
                <w:szCs w:val="20"/>
                <w:color w:val="auto"/>
              </w:rPr>
            </w:pPr>
            <w:r>
              <w:rPr>
                <w:rFonts w:ascii="Arial" w:cs="Arial" w:eastAsia="Arial" w:hAnsi="Arial"/>
                <w:sz w:val="15"/>
                <w:szCs w:val="15"/>
                <w:b w:val="1"/>
                <w:bCs w:val="1"/>
                <w:color w:val="auto"/>
                <w:w w:val="93"/>
              </w:rPr>
              <w:t>Total Number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ind w:right="141"/>
              <w:spacing w:after="0"/>
              <w:rPr>
                <w:sz w:val="20"/>
                <w:szCs w:val="20"/>
                <w:color w:val="auto"/>
              </w:rPr>
            </w:pPr>
            <w:r>
              <w:rPr>
                <w:rFonts w:ascii="Arial" w:cs="Arial" w:eastAsia="Arial" w:hAnsi="Arial"/>
                <w:sz w:val="15"/>
                <w:szCs w:val="15"/>
                <w:b w:val="1"/>
                <w:bCs w:val="1"/>
                <w:color w:val="auto"/>
                <w:w w:val="93"/>
              </w:rPr>
              <w:t>Approximate</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center"/>
              <w:ind w:right="161"/>
              <w:spacing w:after="0" w:line="155" w:lineRule="exact"/>
              <w:rPr>
                <w:sz w:val="20"/>
                <w:szCs w:val="20"/>
                <w:color w:val="auto"/>
              </w:rPr>
            </w:pPr>
            <w:r>
              <w:rPr>
                <w:rFonts w:ascii="Arial" w:cs="Arial" w:eastAsia="Arial" w:hAnsi="Arial"/>
                <w:sz w:val="15"/>
                <w:szCs w:val="15"/>
                <w:b w:val="1"/>
                <w:bCs w:val="1"/>
                <w:color w:val="auto"/>
                <w:w w:val="95"/>
              </w:rPr>
              <w:t>Dollar Value of</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1"/>
              </w:rPr>
              <w:t>Average Price</w:t>
            </w:r>
          </w:p>
        </w:tc>
        <w:tc>
          <w:tcPr>
            <w:tcW w:w="1680" w:type="dxa"/>
            <w:vAlign w:val="bottom"/>
          </w:tcPr>
          <w:p>
            <w:pPr>
              <w:jc w:val="center"/>
              <w:ind w:left="263"/>
              <w:spacing w:after="0" w:line="155" w:lineRule="exact"/>
              <w:rPr>
                <w:sz w:val="20"/>
                <w:szCs w:val="20"/>
                <w:color w:val="auto"/>
              </w:rPr>
            </w:pPr>
            <w:r>
              <w:rPr>
                <w:rFonts w:ascii="Arial" w:cs="Arial" w:eastAsia="Arial" w:hAnsi="Arial"/>
                <w:sz w:val="15"/>
                <w:szCs w:val="15"/>
                <w:b w:val="1"/>
                <w:bCs w:val="1"/>
                <w:color w:val="auto"/>
                <w:w w:val="90"/>
              </w:rPr>
              <w:t>Shares Purchased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center"/>
              <w:ind w:right="141"/>
              <w:spacing w:after="0" w:line="155" w:lineRule="exact"/>
              <w:rPr>
                <w:sz w:val="20"/>
                <w:szCs w:val="20"/>
                <w:color w:val="auto"/>
              </w:rPr>
            </w:pPr>
            <w:r>
              <w:rPr>
                <w:rFonts w:ascii="Arial" w:cs="Arial" w:eastAsia="Arial" w:hAnsi="Arial"/>
                <w:sz w:val="15"/>
                <w:szCs w:val="15"/>
                <w:b w:val="1"/>
                <w:bCs w:val="1"/>
                <w:color w:val="auto"/>
                <w:w w:val="95"/>
              </w:rPr>
              <w:t>Shares that May</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680" w:type="dxa"/>
            <w:vAlign w:val="bottom"/>
          </w:tcPr>
          <w:p>
            <w:pPr>
              <w:jc w:val="center"/>
              <w:ind w:left="223"/>
              <w:spacing w:after="0" w:line="155" w:lineRule="exact"/>
              <w:rPr>
                <w:sz w:val="20"/>
                <w:szCs w:val="20"/>
                <w:color w:val="auto"/>
              </w:rPr>
            </w:pPr>
            <w:r>
              <w:rPr>
                <w:rFonts w:ascii="Arial" w:cs="Arial" w:eastAsia="Arial" w:hAnsi="Arial"/>
                <w:sz w:val="15"/>
                <w:szCs w:val="15"/>
                <w:b w:val="1"/>
                <w:bCs w:val="1"/>
                <w:color w:val="auto"/>
                <w:w w:val="93"/>
              </w:rPr>
              <w:t>as Part of Publicly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center"/>
              <w:ind w:right="161"/>
              <w:spacing w:after="0" w:line="155" w:lineRule="exact"/>
              <w:rPr>
                <w:sz w:val="20"/>
                <w:szCs w:val="20"/>
                <w:color w:val="auto"/>
              </w:rPr>
            </w:pPr>
            <w:r>
              <w:rPr>
                <w:rFonts w:ascii="Arial" w:cs="Arial" w:eastAsia="Arial" w:hAnsi="Arial"/>
                <w:sz w:val="15"/>
                <w:szCs w:val="15"/>
                <w:b w:val="1"/>
                <w:bCs w:val="1"/>
                <w:color w:val="auto"/>
                <w:w w:val="90"/>
              </w:rPr>
              <w:t>Yet Be Purchased</w:t>
            </w:r>
          </w:p>
        </w:tc>
        <w:tc>
          <w:tcPr>
            <w:tcW w:w="0" w:type="dxa"/>
            <w:vAlign w:val="bottom"/>
          </w:tcPr>
          <w:p>
            <w:pPr>
              <w:spacing w:after="0"/>
              <w:rPr>
                <w:sz w:val="1"/>
                <w:szCs w:val="1"/>
                <w:color w:val="auto"/>
              </w:rPr>
            </w:pPr>
          </w:p>
        </w:tc>
      </w:tr>
      <w:tr>
        <w:trPr>
          <w:trHeight w:val="155"/>
        </w:trPr>
        <w:tc>
          <w:tcPr>
            <w:tcW w:w="3520" w:type="dxa"/>
            <w:vAlign w:val="bottom"/>
            <w:gridSpan w:val="2"/>
            <w:vMerge w:val="restart"/>
          </w:tcPr>
          <w:p>
            <w:pPr>
              <w:ind w:left="1380"/>
              <w:spacing w:after="0"/>
              <w:rPr>
                <w:sz w:val="20"/>
                <w:szCs w:val="20"/>
                <w:color w:val="auto"/>
              </w:rPr>
            </w:pPr>
            <w:r>
              <w:rPr>
                <w:rFonts w:ascii="Arial" w:cs="Arial" w:eastAsia="Arial" w:hAnsi="Arial"/>
                <w:sz w:val="15"/>
                <w:szCs w:val="15"/>
                <w:b w:val="1"/>
                <w:bCs w:val="1"/>
                <w:color w:val="auto"/>
              </w:rPr>
              <w:t>Period</w:t>
            </w:r>
          </w:p>
        </w:tc>
        <w:tc>
          <w:tcPr>
            <w:tcW w:w="162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0"/>
              </w:rPr>
              <w:t>of Shares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60"/>
              <w:spacing w:after="0" w:line="155" w:lineRule="exact"/>
              <w:rPr>
                <w:sz w:val="20"/>
                <w:szCs w:val="20"/>
                <w:color w:val="auto"/>
              </w:rPr>
            </w:pPr>
            <w:r>
              <w:rPr>
                <w:rFonts w:ascii="Arial" w:cs="Arial" w:eastAsia="Arial" w:hAnsi="Arial"/>
                <w:sz w:val="15"/>
                <w:szCs w:val="15"/>
                <w:b w:val="1"/>
                <w:bCs w:val="1"/>
                <w:color w:val="auto"/>
                <w:w w:val="94"/>
              </w:rPr>
              <w:t>Paid</w:t>
            </w:r>
          </w:p>
        </w:tc>
        <w:tc>
          <w:tcPr>
            <w:tcW w:w="1680" w:type="dxa"/>
            <w:vAlign w:val="bottom"/>
          </w:tcPr>
          <w:p>
            <w:pPr>
              <w:jc w:val="center"/>
              <w:ind w:left="203"/>
              <w:spacing w:after="0" w:line="155" w:lineRule="exact"/>
              <w:rPr>
                <w:sz w:val="20"/>
                <w:szCs w:val="20"/>
                <w:color w:val="auto"/>
              </w:rPr>
            </w:pPr>
            <w:r>
              <w:rPr>
                <w:rFonts w:ascii="Arial" w:cs="Arial" w:eastAsia="Arial" w:hAnsi="Arial"/>
                <w:sz w:val="15"/>
                <w:szCs w:val="15"/>
                <w:b w:val="1"/>
                <w:bCs w:val="1"/>
                <w:color w:val="auto"/>
                <w:w w:val="91"/>
              </w:rPr>
              <w:t>Announced Plans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center"/>
              <w:ind w:right="141"/>
              <w:spacing w:after="0" w:line="155" w:lineRule="exact"/>
              <w:rPr>
                <w:sz w:val="20"/>
                <w:szCs w:val="20"/>
                <w:color w:val="auto"/>
              </w:rPr>
            </w:pPr>
            <w:r>
              <w:rPr>
                <w:rFonts w:ascii="Arial" w:cs="Arial" w:eastAsia="Arial" w:hAnsi="Arial"/>
                <w:sz w:val="15"/>
                <w:szCs w:val="15"/>
                <w:b w:val="1"/>
                <w:bCs w:val="1"/>
                <w:color w:val="auto"/>
                <w:w w:val="94"/>
              </w:rPr>
              <w:t>Under the Plans or</w:t>
            </w:r>
          </w:p>
        </w:tc>
        <w:tc>
          <w:tcPr>
            <w:tcW w:w="0" w:type="dxa"/>
            <w:vAlign w:val="bottom"/>
          </w:tcPr>
          <w:p>
            <w:pPr>
              <w:spacing w:after="0"/>
              <w:rPr>
                <w:sz w:val="1"/>
                <w:szCs w:val="1"/>
                <w:color w:val="auto"/>
              </w:rPr>
            </w:pPr>
          </w:p>
        </w:tc>
      </w:tr>
      <w:tr>
        <w:trPr>
          <w:trHeight w:val="204"/>
        </w:trPr>
        <w:tc>
          <w:tcPr>
            <w:tcW w:w="3520" w:type="dxa"/>
            <w:vAlign w:val="bottom"/>
            <w:gridSpan w:val="2"/>
            <w:vMerge w:val="continue"/>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w w:val="92"/>
              </w:rPr>
              <w:t>Purchased (1)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per Share</w:t>
            </w:r>
          </w:p>
        </w:tc>
        <w:tc>
          <w:tcPr>
            <w:tcW w:w="1680" w:type="dxa"/>
            <w:vAlign w:val="bottom"/>
          </w:tcPr>
          <w:p>
            <w:pPr>
              <w:jc w:val="center"/>
              <w:ind w:left="243"/>
              <w:spacing w:after="0"/>
              <w:rPr>
                <w:sz w:val="20"/>
                <w:szCs w:val="20"/>
                <w:color w:val="auto"/>
              </w:rPr>
            </w:pPr>
            <w:r>
              <w:rPr>
                <w:rFonts w:ascii="Arial" w:cs="Arial" w:eastAsia="Arial" w:hAnsi="Arial"/>
                <w:sz w:val="15"/>
                <w:szCs w:val="15"/>
                <w:b w:val="1"/>
                <w:bCs w:val="1"/>
                <w:color w:val="auto"/>
                <w:w w:val="93"/>
              </w:rPr>
              <w:t>or Programs (2)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center"/>
              <w:ind w:right="141"/>
              <w:spacing w:after="0"/>
              <w:rPr>
                <w:sz w:val="20"/>
                <w:szCs w:val="20"/>
                <w:color w:val="auto"/>
              </w:rPr>
            </w:pPr>
            <w:r>
              <w:rPr>
                <w:rFonts w:ascii="Arial" w:cs="Arial" w:eastAsia="Arial" w:hAnsi="Arial"/>
                <w:sz w:val="15"/>
                <w:szCs w:val="15"/>
                <w:b w:val="1"/>
                <w:bCs w:val="1"/>
                <w:color w:val="auto"/>
                <w:w w:val="92"/>
              </w:rPr>
              <w:t>Programs (2)</w:t>
            </w:r>
          </w:p>
        </w:tc>
        <w:tc>
          <w:tcPr>
            <w:tcW w:w="0" w:type="dxa"/>
            <w:vAlign w:val="bottom"/>
          </w:tcPr>
          <w:p>
            <w:pPr>
              <w:spacing w:after="0"/>
              <w:rPr>
                <w:sz w:val="1"/>
                <w:szCs w:val="1"/>
                <w:color w:val="auto"/>
              </w:rPr>
            </w:pPr>
          </w:p>
        </w:tc>
      </w:tr>
      <w:tr>
        <w:trPr>
          <w:trHeight w:val="175"/>
        </w:trPr>
        <w:tc>
          <w:tcPr>
            <w:tcW w:w="3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6"/>
              </w:rPr>
              <w:t>(in thousands of dollars)</w:t>
            </w:r>
          </w:p>
        </w:tc>
        <w:tc>
          <w:tcPr>
            <w:tcW w:w="0" w:type="dxa"/>
            <w:vAlign w:val="bottom"/>
          </w:tcPr>
          <w:p>
            <w:pPr>
              <w:spacing w:after="0"/>
              <w:rPr>
                <w:sz w:val="1"/>
                <w:szCs w:val="1"/>
                <w:color w:val="auto"/>
              </w:rPr>
            </w:pPr>
          </w:p>
        </w:tc>
      </w:tr>
      <w:tr>
        <w:trPr>
          <w:trHeight w:val="22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January 1 through January 30</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109,983</w:t>
            </w:r>
          </w:p>
        </w:tc>
        <w:tc>
          <w:tcPr>
            <w:tcW w:w="0" w:type="dxa"/>
            <w:vAlign w:val="bottom"/>
          </w:tcPr>
          <w:p>
            <w:pPr>
              <w:spacing w:after="0"/>
              <w:rPr>
                <w:sz w:val="1"/>
                <w:szCs w:val="1"/>
                <w:color w:val="auto"/>
              </w:rPr>
            </w:pPr>
          </w:p>
        </w:tc>
      </w:tr>
      <w:tr>
        <w:trPr>
          <w:trHeight w:val="218"/>
        </w:trPr>
        <w:tc>
          <w:tcPr>
            <w:tcW w:w="3520" w:type="dxa"/>
            <w:vAlign w:val="bottom"/>
            <w:gridSpan w:val="2"/>
          </w:tcPr>
          <w:p>
            <w:pPr>
              <w:ind w:left="20"/>
              <w:spacing w:after="0"/>
              <w:rPr>
                <w:sz w:val="20"/>
                <w:szCs w:val="20"/>
                <w:color w:val="auto"/>
              </w:rPr>
            </w:pPr>
            <w:r>
              <w:rPr>
                <w:rFonts w:ascii="Arial" w:cs="Arial" w:eastAsia="Arial" w:hAnsi="Arial"/>
                <w:sz w:val="17"/>
                <w:szCs w:val="17"/>
                <w:color w:val="auto"/>
              </w:rPr>
              <w:t>January 31 through February 27</w:t>
            </w:r>
          </w:p>
        </w:tc>
        <w:tc>
          <w:tcPr>
            <w:tcW w:w="1620" w:type="dxa"/>
            <w:vAlign w:val="bottom"/>
          </w:tcPr>
          <w:p>
            <w:pPr>
              <w:jc w:val="right"/>
              <w:spacing w:after="0"/>
              <w:rPr>
                <w:sz w:val="20"/>
                <w:szCs w:val="20"/>
                <w:color w:val="auto"/>
              </w:rPr>
            </w:pPr>
            <w:r>
              <w:rPr>
                <w:rFonts w:ascii="Arial" w:cs="Arial" w:eastAsia="Arial" w:hAnsi="Arial"/>
                <w:sz w:val="17"/>
                <w:szCs w:val="17"/>
                <w:color w:val="auto"/>
              </w:rPr>
              <w:t>1,000,000</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8"/>
              <w:spacing w:after="0"/>
              <w:rPr>
                <w:sz w:val="20"/>
                <w:szCs w:val="20"/>
                <w:color w:val="auto"/>
              </w:rPr>
            </w:pPr>
            <w:r>
              <w:rPr>
                <w:rFonts w:ascii="Arial" w:cs="Arial" w:eastAsia="Arial" w:hAnsi="Arial"/>
                <w:sz w:val="17"/>
                <w:szCs w:val="17"/>
                <w:color w:val="auto"/>
              </w:rPr>
              <w:t>203.35</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21"/>
              <w:spacing w:after="0"/>
              <w:rPr>
                <w:sz w:val="20"/>
                <w:szCs w:val="20"/>
                <w:color w:val="auto"/>
              </w:rPr>
            </w:pPr>
            <w:r>
              <w:rPr>
                <w:rFonts w:ascii="Arial" w:cs="Arial" w:eastAsia="Arial" w:hAnsi="Arial"/>
                <w:sz w:val="17"/>
                <w:szCs w:val="17"/>
                <w:color w:val="auto"/>
              </w:rPr>
              <w:t>109,983</w:t>
            </w:r>
          </w:p>
        </w:tc>
        <w:tc>
          <w:tcPr>
            <w:tcW w:w="0" w:type="dxa"/>
            <w:vAlign w:val="bottom"/>
          </w:tcPr>
          <w:p>
            <w:pPr>
              <w:spacing w:after="0"/>
              <w:rPr>
                <w:sz w:val="1"/>
                <w:szCs w:val="1"/>
                <w:color w:val="auto"/>
              </w:rPr>
            </w:pPr>
          </w:p>
        </w:tc>
      </w:tr>
      <w:tr>
        <w:trPr>
          <w:trHeight w:val="21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February 28 through April 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109,983</w:t>
            </w:r>
          </w:p>
        </w:tc>
        <w:tc>
          <w:tcPr>
            <w:tcW w:w="0" w:type="dxa"/>
            <w:vAlign w:val="bottom"/>
          </w:tcPr>
          <w:p>
            <w:pPr>
              <w:spacing w:after="0"/>
              <w:rPr>
                <w:sz w:val="1"/>
                <w:szCs w:val="1"/>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78"/>
              <w:spacing w:after="0"/>
              <w:rPr>
                <w:sz w:val="20"/>
                <w:szCs w:val="20"/>
                <w:color w:val="auto"/>
              </w:rPr>
            </w:pPr>
            <w:r>
              <w:rPr>
                <w:rFonts w:ascii="Arial" w:cs="Arial" w:eastAsia="Arial" w:hAnsi="Arial"/>
                <w:sz w:val="17"/>
                <w:szCs w:val="17"/>
                <w:color w:val="auto"/>
              </w:rPr>
              <w:t>203.35</w:t>
            </w:r>
          </w:p>
        </w:tc>
        <w:tc>
          <w:tcPr>
            <w:tcW w:w="12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40" w:firstLine="3"/>
        <w:spacing w:after="0" w:line="283"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three months ended April 3, 2022, no shares of Common Stock were purchased in open market transactions in connection with our practice of buying back shares sufficient to offset those issued under incentive compensation plans. In February 2022, the Company entered into a Stock Purchase Agreement with Hershey Trust Company, as trustee for the Milton Hershey School Trust, pursuant to which the Company purchased 1,000,000 shares of the Company’s Common Stock from the Milton Hershey School Trust at a price equal to $203.35 per share, for a total purchase price of $203.4 million.</w:t>
      </w:r>
    </w:p>
    <w:p>
      <w:pPr>
        <w:spacing w:after="0" w:line="8" w:lineRule="exact"/>
        <w:rPr>
          <w:rFonts w:ascii="Arial" w:cs="Arial" w:eastAsia="Arial" w:hAnsi="Arial"/>
          <w:sz w:val="16"/>
          <w:szCs w:val="16"/>
          <w:color w:val="auto"/>
        </w:rPr>
      </w:pPr>
    </w:p>
    <w:p>
      <w:pPr>
        <w:ind w:left="240" w:hanging="237"/>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July 2018, our Board of Directors approved a $500 million share repurchase authorization. As of April 3, 2022, approximately $110 million remained</w:t>
      </w:r>
    </w:p>
    <w:p>
      <w:pPr>
        <w:spacing w:after="0" w:line="33" w:lineRule="exact"/>
        <w:rPr>
          <w:rFonts w:ascii="Arial" w:cs="Arial" w:eastAsia="Arial" w:hAnsi="Arial"/>
          <w:sz w:val="16"/>
          <w:szCs w:val="16"/>
          <w:color w:val="auto"/>
        </w:rPr>
      </w:pPr>
    </w:p>
    <w:p>
      <w:pPr>
        <w:ind w:right="200"/>
        <w:spacing w:after="0" w:line="259" w:lineRule="auto"/>
        <w:rPr>
          <w:rFonts w:ascii="Arial" w:cs="Arial" w:eastAsia="Arial" w:hAnsi="Arial"/>
          <w:sz w:val="16"/>
          <w:szCs w:val="16"/>
          <w:color w:val="auto"/>
        </w:rPr>
      </w:pPr>
      <w:r>
        <w:rPr>
          <w:rFonts w:ascii="Arial" w:cs="Arial" w:eastAsia="Arial" w:hAnsi="Arial"/>
          <w:sz w:val="17"/>
          <w:szCs w:val="17"/>
          <w:color w:val="auto"/>
        </w:rPr>
        <w:t>available for repurchases of our Common Stock under this program. The share repurchase program does not have an expiration date. In May 2021, our Board of Directors approved an additional $500 million share repurchase authorization (excluded from the table above). This program is to commence after the existing 2018 authorization is completed and is to be utilized at management’s discretion.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285115</wp:posOffset>
            </wp:positionV>
            <wp:extent cx="188595" cy="163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316865</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04" w:right="359" w:bottom="1440" w:gutter="0" w:footer="0" w:header="0"/>
        </w:sectPr>
      </w:pPr>
    </w:p>
    <w:bookmarkStart w:id="45" w:name="page46"/>
    <w:bookmarkEnd w:id="45"/>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this Quarterly Report on Form 10-Q:</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2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5"/>
              </w:rPr>
              <w:t>Exhibit Number</w:t>
            </w:r>
          </w:p>
        </w:tc>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20" w:type="dxa"/>
            <w:vAlign w:val="bottom"/>
            <w:gridSpan w:val="7"/>
          </w:tcPr>
          <w:p>
            <w:pPr>
              <w:ind w:left="1060"/>
              <w:spacing w:after="0"/>
              <w:rPr>
                <w:sz w:val="20"/>
                <w:szCs w:val="20"/>
                <w:color w:val="auto"/>
              </w:rPr>
            </w:pPr>
            <w:r>
              <w:rPr>
                <w:rFonts w:ascii="Arial" w:cs="Arial" w:eastAsia="Arial" w:hAnsi="Arial"/>
                <w:sz w:val="15"/>
                <w:szCs w:val="15"/>
                <w:b w:val="1"/>
                <w:bCs w:val="1"/>
                <w:color w:val="auto"/>
              </w:rPr>
              <w:t>Description</w:t>
            </w:r>
          </w:p>
        </w:tc>
      </w:tr>
      <w:tr>
        <w:trPr>
          <w:trHeight w:val="163"/>
        </w:trPr>
        <w:tc>
          <w:tcPr>
            <w:tcW w:w="720" w:type="dxa"/>
            <w:vAlign w:val="bottom"/>
            <w:tcBorders>
              <w:top w:val="single" w:sz="8" w:color="auto"/>
              <w:right w:val="single" w:sz="8" w:color="CCEEFF"/>
            </w:tcBorders>
            <w:gridSpan w:val="2"/>
            <w:shd w:val="clear" w:color="auto" w:fill="CCEEFF"/>
          </w:tcPr>
          <w:p>
            <w:pPr>
              <w:jc w:val="center"/>
              <w:ind w:left="383"/>
              <w:spacing w:after="0" w:line="164" w:lineRule="exact"/>
              <w:rPr>
                <w:rFonts w:ascii="Arial" w:cs="Arial" w:eastAsia="Arial" w:hAnsi="Arial"/>
                <w:sz w:val="15"/>
                <w:szCs w:val="15"/>
                <w:color w:val="0000FF"/>
                <w:w w:val="86"/>
              </w:rPr>
            </w:pPr>
            <w:hyperlink r:id="rId120">
              <w:r>
                <w:rPr>
                  <w:rFonts w:ascii="Arial" w:cs="Arial" w:eastAsia="Arial" w:hAnsi="Arial"/>
                  <w:sz w:val="15"/>
                  <w:szCs w:val="15"/>
                  <w:color w:val="0000FF"/>
                  <w:w w:val="86"/>
                </w:rPr>
                <w:t>3.</w:t>
              </w:r>
              <w:r>
                <w:rPr>
                  <w:rFonts w:ascii="Arial" w:cs="Arial" w:eastAsia="Arial" w:hAnsi="Arial"/>
                  <w:sz w:val="15"/>
                  <w:szCs w:val="15"/>
                  <w:u w:val="single" w:color="auto"/>
                  <w:color w:val="0000FF"/>
                  <w:w w:val="86"/>
                </w:rPr>
                <w:t>1</w:t>
              </w:r>
            </w:hyperlink>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9920" w:type="dxa"/>
            <w:vAlign w:val="bottom"/>
            <w:tcBorders>
              <w:top w:val="single" w:sz="8" w:color="auto"/>
            </w:tcBorders>
            <w:gridSpan w:val="10"/>
            <w:shd w:val="clear" w:color="auto" w:fill="CCEEFF"/>
          </w:tcPr>
          <w:p>
            <w:pPr>
              <w:spacing w:after="0" w:line="164" w:lineRule="exact"/>
              <w:rPr>
                <w:rFonts w:ascii="Arial" w:cs="Arial" w:eastAsia="Arial" w:hAnsi="Arial"/>
                <w:sz w:val="15"/>
                <w:szCs w:val="15"/>
                <w:color w:val="0000FF"/>
                <w:w w:val="94"/>
              </w:rPr>
            </w:pPr>
            <w:hyperlink r:id="rId120">
              <w:r>
                <w:rPr>
                  <w:rFonts w:ascii="Arial" w:cs="Arial" w:eastAsia="Arial" w:hAnsi="Arial"/>
                  <w:sz w:val="15"/>
                  <w:szCs w:val="15"/>
                  <w:color w:val="0000FF"/>
                  <w:w w:val="94"/>
                </w:rPr>
                <w:t>The Company’s Restated Certificate of Incorporation, as amended, is incorporated by reference from Exhibit 3 to the Company’s Quarterly Report on Form 10-</w:t>
              </w:r>
            </w:hyperlink>
          </w:p>
        </w:tc>
      </w:tr>
      <w:tr>
        <w:trPr>
          <w:trHeight w:val="153"/>
        </w:trPr>
        <w:tc>
          <w:tcPr>
            <w:tcW w:w="5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340" w:type="dxa"/>
            <w:vAlign w:val="bottom"/>
            <w:tcBorders>
              <w:top w:val="single" w:sz="8" w:color="0000FF"/>
              <w:bottom w:val="single" w:sz="8" w:color="0000FF"/>
            </w:tcBorders>
            <w:gridSpan w:val="2"/>
            <w:shd w:val="clear" w:color="auto" w:fill="CCEEFF"/>
          </w:tcPr>
          <w:p>
            <w:pPr>
              <w:spacing w:after="0" w:line="135" w:lineRule="exact"/>
              <w:rPr>
                <w:rFonts w:ascii="Arial" w:cs="Arial" w:eastAsia="Arial" w:hAnsi="Arial"/>
                <w:sz w:val="15"/>
                <w:szCs w:val="15"/>
                <w:color w:val="0000FF"/>
                <w:w w:val="93"/>
              </w:rPr>
            </w:pPr>
            <w:hyperlink r:id="rId120">
              <w:r>
                <w:rPr>
                  <w:rFonts w:ascii="Arial" w:cs="Arial" w:eastAsia="Arial" w:hAnsi="Arial"/>
                  <w:sz w:val="15"/>
                  <w:szCs w:val="15"/>
                  <w:color w:val="0000FF"/>
                  <w:w w:val="93"/>
                </w:rPr>
                <w:t>Q for the quarter ended April 3, 2005.</w:t>
              </w:r>
            </w:hyperlink>
          </w:p>
        </w:tc>
        <w:tc>
          <w:tcPr>
            <w:tcW w:w="754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8"/>
        </w:trPr>
        <w:tc>
          <w:tcPr>
            <w:tcW w:w="720" w:type="dxa"/>
            <w:vAlign w:val="bottom"/>
            <w:gridSpan w:val="2"/>
          </w:tcPr>
          <w:p>
            <w:pPr>
              <w:jc w:val="center"/>
              <w:ind w:left="383"/>
              <w:spacing w:after="0" w:line="168" w:lineRule="exact"/>
              <w:rPr>
                <w:rFonts w:ascii="Arial" w:cs="Arial" w:eastAsia="Arial" w:hAnsi="Arial"/>
                <w:sz w:val="15"/>
                <w:szCs w:val="15"/>
                <w:color w:val="0000FF"/>
                <w:w w:val="86"/>
              </w:rPr>
            </w:pPr>
            <w:hyperlink r:id="rId121">
              <w:r>
                <w:rPr>
                  <w:rFonts w:ascii="Arial" w:cs="Arial" w:eastAsia="Arial" w:hAnsi="Arial"/>
                  <w:sz w:val="15"/>
                  <w:szCs w:val="15"/>
                  <w:color w:val="0000FF"/>
                  <w:w w:val="86"/>
                </w:rPr>
                <w:t>3.</w:t>
              </w:r>
              <w:r>
                <w:rPr>
                  <w:rFonts w:ascii="Arial" w:cs="Arial" w:eastAsia="Arial" w:hAnsi="Arial"/>
                  <w:sz w:val="15"/>
                  <w:szCs w:val="15"/>
                  <w:u w:val="single" w:color="auto"/>
                  <w:color w:val="0000FF"/>
                  <w:w w:val="86"/>
                </w:rPr>
                <w:t>2</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20" w:type="dxa"/>
            <w:vAlign w:val="bottom"/>
            <w:gridSpan w:val="10"/>
          </w:tcPr>
          <w:p>
            <w:pPr>
              <w:spacing w:after="0" w:line="168" w:lineRule="exact"/>
              <w:rPr>
                <w:rFonts w:ascii="Arial" w:cs="Arial" w:eastAsia="Arial" w:hAnsi="Arial"/>
                <w:sz w:val="15"/>
                <w:szCs w:val="15"/>
                <w:color w:val="0000FF"/>
                <w:w w:val="93"/>
              </w:rPr>
            </w:pPr>
            <w:hyperlink r:id="rId121">
              <w:r>
                <w:rPr>
                  <w:rFonts w:ascii="Arial" w:cs="Arial" w:eastAsia="Arial" w:hAnsi="Arial"/>
                  <w:sz w:val="15"/>
                  <w:szCs w:val="15"/>
                  <w:color w:val="0000FF"/>
                  <w:w w:val="93"/>
                </w:rPr>
                <w:t>The Company's By-laws, as amended and restated as of February 21, 2017, are incorporated by reference from Exhibit 3.2 to the Company’s Annual Report on</w:t>
              </w:r>
            </w:hyperlink>
          </w:p>
        </w:tc>
      </w:tr>
      <w:tr>
        <w:trPr>
          <w:trHeight w:val="115"/>
        </w:trPr>
        <w:tc>
          <w:tcPr>
            <w:tcW w:w="50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40" w:type="dxa"/>
            <w:vAlign w:val="bottom"/>
            <w:tcBorders>
              <w:top w:val="single" w:sz="8" w:color="0000FF"/>
            </w:tcBorders>
            <w:gridSpan w:val="8"/>
          </w:tcPr>
          <w:p>
            <w:pPr>
              <w:spacing w:after="0" w:line="115" w:lineRule="exact"/>
              <w:rPr>
                <w:rFonts w:ascii="Arial" w:cs="Arial" w:eastAsia="Arial" w:hAnsi="Arial"/>
                <w:sz w:val="13"/>
                <w:szCs w:val="13"/>
                <w:color w:val="0000FF"/>
              </w:rPr>
            </w:pPr>
            <w:hyperlink r:id="rId121">
              <w:r>
                <w:rPr>
                  <w:rFonts w:ascii="Arial" w:cs="Arial" w:eastAsia="Arial" w:hAnsi="Arial"/>
                  <w:sz w:val="13"/>
                  <w:szCs w:val="13"/>
                  <w:color w:val="0000FF"/>
                </w:rPr>
                <w:t>Form 10-K for the fiscal year ended December 31, 2018.</w:t>
              </w:r>
            </w:hyperlink>
          </w:p>
        </w:tc>
        <w:tc>
          <w:tcPr>
            <w:tcW w:w="80" w:type="dxa"/>
            <w:vAlign w:val="bottom"/>
            <w:gridSpan w:val="2"/>
          </w:tcPr>
          <w:p>
            <w:pPr>
              <w:spacing w:after="0"/>
              <w:rPr>
                <w:sz w:val="9"/>
                <w:szCs w:val="9"/>
                <w:color w:val="auto"/>
              </w:rPr>
            </w:pPr>
          </w:p>
        </w:tc>
      </w:tr>
      <w:tr>
        <w:trPr>
          <w:trHeight w:val="29"/>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720" w:type="dxa"/>
            <w:vAlign w:val="bottom"/>
            <w:tcBorders>
              <w:right w:val="single" w:sz="8" w:color="CCEEFF"/>
            </w:tcBorders>
            <w:gridSpan w:val="2"/>
            <w:shd w:val="clear" w:color="auto" w:fill="CCEEFF"/>
          </w:tcPr>
          <w:p>
            <w:pPr>
              <w:jc w:val="center"/>
              <w:ind w:left="383"/>
              <w:spacing w:after="0"/>
              <w:rPr>
                <w:rFonts w:ascii="Arial" w:cs="Arial" w:eastAsia="Arial" w:hAnsi="Arial"/>
                <w:sz w:val="15"/>
                <w:szCs w:val="15"/>
                <w:color w:val="0000FF"/>
                <w:w w:val="88"/>
              </w:rPr>
            </w:pPr>
            <w:hyperlink r:id="rId122">
              <w:r>
                <w:rPr>
                  <w:rFonts w:ascii="Arial" w:cs="Arial" w:eastAsia="Arial" w:hAnsi="Arial"/>
                  <w:sz w:val="15"/>
                  <w:szCs w:val="15"/>
                  <w:color w:val="0000FF"/>
                  <w:w w:val="88"/>
                </w:rPr>
                <w:t>10.</w:t>
              </w:r>
              <w:r>
                <w:rPr>
                  <w:rFonts w:ascii="Arial" w:cs="Arial" w:eastAsia="Arial" w:hAnsi="Arial"/>
                  <w:sz w:val="15"/>
                  <w:szCs w:val="15"/>
                  <w:u w:val="single" w:color="auto"/>
                  <w:color w:val="0000FF"/>
                  <w:w w:val="88"/>
                </w:rPr>
                <w:t>1</w:t>
              </w:r>
            </w:hyperlink>
          </w:p>
        </w:tc>
        <w:tc>
          <w:tcPr>
            <w:tcW w:w="4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10"/>
            <w:shd w:val="clear" w:color="auto" w:fill="CCEEFF"/>
          </w:tcPr>
          <w:p>
            <w:pPr>
              <w:spacing w:after="0"/>
              <w:rPr>
                <w:rFonts w:ascii="Arial" w:cs="Arial" w:eastAsia="Arial" w:hAnsi="Arial"/>
                <w:sz w:val="15"/>
                <w:szCs w:val="15"/>
                <w:color w:val="0000FF"/>
                <w:w w:val="98"/>
              </w:rPr>
            </w:pPr>
            <w:hyperlink r:id="rId122">
              <w:r>
                <w:rPr>
                  <w:rFonts w:ascii="Arial" w:cs="Arial" w:eastAsia="Arial" w:hAnsi="Arial"/>
                  <w:sz w:val="15"/>
                  <w:szCs w:val="15"/>
                  <w:color w:val="0000FF"/>
                  <w:w w:val="98"/>
                </w:rPr>
                <w:t>Stock Purchase Agreement, dated February 14, 2022, between Milton Hershey School Trust, by its trustee, Hershey Trust Company, and The Hershey</w:t>
              </w:r>
            </w:hyperlink>
          </w:p>
        </w:tc>
      </w:tr>
      <w:tr>
        <w:trPr>
          <w:trHeight w:val="153"/>
        </w:trPr>
        <w:tc>
          <w:tcPr>
            <w:tcW w:w="50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bottom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20" w:type="dxa"/>
            <w:vAlign w:val="bottom"/>
            <w:tcBorders>
              <w:top w:val="single" w:sz="8" w:color="0000FF"/>
              <w:bottom w:val="single" w:sz="8" w:color="0000FF"/>
            </w:tcBorders>
            <w:gridSpan w:val="5"/>
            <w:shd w:val="clear" w:color="auto" w:fill="CCEEFF"/>
          </w:tcPr>
          <w:p>
            <w:pPr>
              <w:spacing w:after="0" w:line="135" w:lineRule="exact"/>
              <w:rPr>
                <w:rFonts w:ascii="Arial" w:cs="Arial" w:eastAsia="Arial" w:hAnsi="Arial"/>
                <w:sz w:val="15"/>
                <w:szCs w:val="15"/>
                <w:color w:val="0000FF"/>
                <w:w w:val="94"/>
              </w:rPr>
            </w:pPr>
            <w:hyperlink r:id="rId122">
              <w:r>
                <w:rPr>
                  <w:rFonts w:ascii="Arial" w:cs="Arial" w:eastAsia="Arial" w:hAnsi="Arial"/>
                  <w:sz w:val="15"/>
                  <w:szCs w:val="15"/>
                  <w:color w:val="0000FF"/>
                  <w:w w:val="94"/>
                </w:rPr>
                <w:t>Company, is incorporated by reference from Exhibit 10.1 to the Company’s Current Report on Form 8-K filed February 16, 2022.</w:t>
              </w:r>
            </w:hyperlink>
          </w:p>
        </w:tc>
        <w:tc>
          <w:tcPr>
            <w:tcW w:w="1260" w:type="dxa"/>
            <w:vAlign w:val="bottom"/>
            <w:tcBorders>
              <w:top w:val="single" w:sz="8" w:color="0000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68"/>
        </w:trPr>
        <w:tc>
          <w:tcPr>
            <w:tcW w:w="720" w:type="dxa"/>
            <w:vAlign w:val="bottom"/>
            <w:gridSpan w:val="2"/>
          </w:tcPr>
          <w:p>
            <w:pPr>
              <w:jc w:val="center"/>
              <w:ind w:left="383"/>
              <w:spacing w:after="0" w:line="168" w:lineRule="exact"/>
              <w:rPr>
                <w:rFonts w:ascii="Arial" w:cs="Arial" w:eastAsia="Arial" w:hAnsi="Arial"/>
                <w:sz w:val="15"/>
                <w:szCs w:val="15"/>
                <w:color w:val="0000FF"/>
                <w:w w:val="88"/>
              </w:rPr>
            </w:pPr>
            <w:hyperlink w:anchor="page48">
              <w:r>
                <w:rPr>
                  <w:rFonts w:ascii="Arial" w:cs="Arial" w:eastAsia="Arial" w:hAnsi="Arial"/>
                  <w:sz w:val="15"/>
                  <w:szCs w:val="15"/>
                  <w:color w:val="0000FF"/>
                  <w:w w:val="88"/>
                </w:rPr>
                <w:t>31.</w:t>
              </w:r>
              <w:r>
                <w:rPr>
                  <w:rFonts w:ascii="Arial" w:cs="Arial" w:eastAsia="Arial" w:hAnsi="Arial"/>
                  <w:sz w:val="15"/>
                  <w:szCs w:val="15"/>
                  <w:u w:val="single" w:color="auto"/>
                  <w:color w:val="0000FF"/>
                  <w:w w:val="88"/>
                </w:rPr>
                <w:t>1</w:t>
              </w:r>
            </w:hyperlink>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20" w:type="dxa"/>
            <w:vAlign w:val="bottom"/>
            <w:gridSpan w:val="10"/>
          </w:tcPr>
          <w:p>
            <w:pPr>
              <w:spacing w:after="0" w:line="168" w:lineRule="exact"/>
              <w:rPr>
                <w:rFonts w:ascii="Arial" w:cs="Arial" w:eastAsia="Arial" w:hAnsi="Arial"/>
                <w:sz w:val="15"/>
                <w:szCs w:val="15"/>
                <w:color w:val="0000FF"/>
              </w:rPr>
            </w:pPr>
            <w:hyperlink w:anchor="page48">
              <w:r>
                <w:rPr>
                  <w:rFonts w:ascii="Arial" w:cs="Arial" w:eastAsia="Arial" w:hAnsi="Arial"/>
                  <w:sz w:val="15"/>
                  <w:szCs w:val="15"/>
                  <w:color w:val="0000FF"/>
                </w:rPr>
                <w:t>Certification of Michele G. Buck, Chief Executive Officer, pursuant to Section 302 of the Sarbanes-Oxley Act of 2002.</w:t>
              </w:r>
            </w:hyperlink>
            <w:r>
              <w:rPr>
                <w:rFonts w:ascii="Arial" w:cs="Arial" w:eastAsia="Arial" w:hAnsi="Arial"/>
                <w:sz w:val="15"/>
                <w:szCs w:val="15"/>
                <w:color w:val="000000"/>
              </w:rPr>
              <w:t>*</w:t>
            </w:r>
          </w:p>
        </w:tc>
      </w:tr>
      <w:tr>
        <w:trPr>
          <w:trHeight w:val="29"/>
        </w:trPr>
        <w:tc>
          <w:tcPr>
            <w:tcW w:w="500" w:type="dxa"/>
            <w:vAlign w:val="bottom"/>
            <w:tcBorders>
              <w:right w:val="single" w:sz="8" w:color="0000FF"/>
            </w:tcBorders>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8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720" w:type="dxa"/>
            <w:vAlign w:val="bottom"/>
            <w:tcBorders>
              <w:right w:val="single" w:sz="8" w:color="CCEEFF"/>
            </w:tcBorders>
            <w:gridSpan w:val="2"/>
            <w:shd w:val="clear" w:color="auto" w:fill="CCEEFF"/>
          </w:tcPr>
          <w:p>
            <w:pPr>
              <w:jc w:val="center"/>
              <w:ind w:left="383"/>
              <w:spacing w:after="0"/>
              <w:rPr>
                <w:rFonts w:ascii="Arial" w:cs="Arial" w:eastAsia="Arial" w:hAnsi="Arial"/>
                <w:sz w:val="15"/>
                <w:szCs w:val="15"/>
                <w:color w:val="0000FF"/>
                <w:w w:val="88"/>
              </w:rPr>
            </w:pPr>
            <w:hyperlink w:anchor="page49">
              <w:r>
                <w:rPr>
                  <w:rFonts w:ascii="Arial" w:cs="Arial" w:eastAsia="Arial" w:hAnsi="Arial"/>
                  <w:sz w:val="15"/>
                  <w:szCs w:val="15"/>
                  <w:color w:val="0000FF"/>
                  <w:w w:val="88"/>
                </w:rPr>
                <w:t>31.</w:t>
              </w:r>
              <w:r>
                <w:rPr>
                  <w:rFonts w:ascii="Arial" w:cs="Arial" w:eastAsia="Arial" w:hAnsi="Arial"/>
                  <w:sz w:val="15"/>
                  <w:szCs w:val="15"/>
                  <w:u w:val="single" w:color="auto"/>
                  <w:color w:val="0000FF"/>
                  <w:w w:val="88"/>
                </w:rPr>
                <w:t>2</w:t>
              </w:r>
            </w:hyperlink>
          </w:p>
        </w:tc>
        <w:tc>
          <w:tcPr>
            <w:tcW w:w="4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9920" w:type="dxa"/>
            <w:vAlign w:val="bottom"/>
            <w:gridSpan w:val="10"/>
            <w:shd w:val="clear" w:color="auto" w:fill="CCEEFF"/>
          </w:tcPr>
          <w:p>
            <w:pPr>
              <w:spacing w:after="0"/>
              <w:rPr>
                <w:rFonts w:ascii="Arial" w:cs="Arial" w:eastAsia="Arial" w:hAnsi="Arial"/>
                <w:sz w:val="15"/>
                <w:szCs w:val="15"/>
                <w:color w:val="0000FF"/>
              </w:rPr>
            </w:pPr>
            <w:hyperlink w:anchor="page49">
              <w:r>
                <w:rPr>
                  <w:rFonts w:ascii="Arial" w:cs="Arial" w:eastAsia="Arial" w:hAnsi="Arial"/>
                  <w:sz w:val="15"/>
                  <w:szCs w:val="15"/>
                  <w:color w:val="0000FF"/>
                </w:rPr>
                <w:t>Certification of Steven E. Voskuil, Chief Financial Officer, pursuant to Section 302 of the Sarbanes-Oxley Act of 2002.</w:t>
              </w:r>
            </w:hyperlink>
            <w:r>
              <w:rPr>
                <w:rFonts w:ascii="Arial" w:cs="Arial" w:eastAsia="Arial" w:hAnsi="Arial"/>
                <w:sz w:val="15"/>
                <w:szCs w:val="15"/>
                <w:color w:val="000000"/>
              </w:rPr>
              <w:t>*</w:t>
            </w:r>
          </w:p>
        </w:tc>
      </w:tr>
      <w:tr>
        <w:trPr>
          <w:trHeight w:val="39"/>
        </w:trPr>
        <w:tc>
          <w:tcPr>
            <w:tcW w:w="500" w:type="dxa"/>
            <w:vAlign w:val="bottom"/>
            <w:tcBorders>
              <w:right w:val="single" w:sz="8" w:color="0000FF"/>
            </w:tcBorders>
            <w:shd w:val="clear" w:color="auto" w:fill="CCEE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1160" w:type="dxa"/>
            <w:vAlign w:val="bottom"/>
            <w:shd w:val="clear" w:color="auto" w:fill="0000FF"/>
          </w:tcPr>
          <w:p>
            <w:pPr>
              <w:spacing w:after="0"/>
              <w:rPr>
                <w:sz w:val="3"/>
                <w:szCs w:val="3"/>
                <w:color w:val="auto"/>
              </w:rPr>
            </w:pPr>
          </w:p>
        </w:tc>
        <w:tc>
          <w:tcPr>
            <w:tcW w:w="388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88"/>
        </w:trPr>
        <w:tc>
          <w:tcPr>
            <w:tcW w:w="720" w:type="dxa"/>
            <w:vAlign w:val="bottom"/>
            <w:gridSpan w:val="2"/>
          </w:tcPr>
          <w:p>
            <w:pPr>
              <w:jc w:val="center"/>
              <w:ind w:left="383"/>
              <w:spacing w:after="0" w:line="168" w:lineRule="exact"/>
              <w:rPr>
                <w:rFonts w:ascii="Arial" w:cs="Arial" w:eastAsia="Arial" w:hAnsi="Arial"/>
                <w:sz w:val="15"/>
                <w:szCs w:val="15"/>
                <w:color w:val="0000FF"/>
                <w:w w:val="88"/>
              </w:rPr>
            </w:pPr>
            <w:hyperlink w:anchor="page50">
              <w:r>
                <w:rPr>
                  <w:rFonts w:ascii="Arial" w:cs="Arial" w:eastAsia="Arial" w:hAnsi="Arial"/>
                  <w:sz w:val="15"/>
                  <w:szCs w:val="15"/>
                  <w:color w:val="0000FF"/>
                  <w:w w:val="88"/>
                </w:rPr>
                <w:t>32.</w:t>
              </w:r>
              <w:r>
                <w:rPr>
                  <w:rFonts w:ascii="Arial" w:cs="Arial" w:eastAsia="Arial" w:hAnsi="Arial"/>
                  <w:sz w:val="15"/>
                  <w:szCs w:val="15"/>
                  <w:u w:val="single" w:color="auto"/>
                  <w:color w:val="0000FF"/>
                  <w:w w:val="88"/>
                </w:rPr>
                <w:t>1</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20" w:type="dxa"/>
            <w:vAlign w:val="bottom"/>
            <w:gridSpan w:val="10"/>
          </w:tcPr>
          <w:p>
            <w:pPr>
              <w:spacing w:after="0" w:line="168" w:lineRule="exact"/>
              <w:rPr>
                <w:rFonts w:ascii="Arial" w:cs="Arial" w:eastAsia="Arial" w:hAnsi="Arial"/>
                <w:sz w:val="15"/>
                <w:szCs w:val="15"/>
                <w:color w:val="0000FF"/>
                <w:w w:val="96"/>
              </w:rPr>
            </w:pPr>
            <w:hyperlink w:anchor="page50">
              <w:r>
                <w:rPr>
                  <w:rFonts w:ascii="Arial" w:cs="Arial" w:eastAsia="Arial" w:hAnsi="Arial"/>
                  <w:sz w:val="15"/>
                  <w:szCs w:val="15"/>
                  <w:color w:val="0000FF"/>
                  <w:w w:val="96"/>
                </w:rPr>
                <w:t>Certification of Michele G. Buck, Chief Executive Officer, and Steven E. Voskuil, Chief Financial Officer, pursuant to Section 906 of the Sarbanes-Oxley Act</w:t>
              </w:r>
            </w:hyperlink>
          </w:p>
        </w:tc>
      </w:tr>
      <w:tr>
        <w:trPr>
          <w:trHeight w:val="115"/>
        </w:trPr>
        <w:tc>
          <w:tcPr>
            <w:tcW w:w="50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780" w:type="dxa"/>
            <w:vAlign w:val="bottom"/>
            <w:tcBorders>
              <w:top w:val="single" w:sz="8" w:color="0000FF"/>
            </w:tcBorders>
            <w:gridSpan w:val="7"/>
          </w:tcPr>
          <w:p>
            <w:pPr>
              <w:spacing w:after="0" w:line="115" w:lineRule="exact"/>
              <w:rPr>
                <w:rFonts w:ascii="Arial" w:cs="Arial" w:eastAsia="Arial" w:hAnsi="Arial"/>
                <w:sz w:val="13"/>
                <w:szCs w:val="13"/>
                <w:color w:val="0000FF"/>
              </w:rPr>
            </w:pPr>
            <w:hyperlink w:anchor="page50">
              <w:r>
                <w:rPr>
                  <w:rFonts w:ascii="Arial" w:cs="Arial" w:eastAsia="Arial" w:hAnsi="Arial"/>
                  <w:sz w:val="13"/>
                  <w:szCs w:val="13"/>
                  <w:color w:val="0000FF"/>
                </w:rPr>
                <w:t>of 2002.</w:t>
              </w:r>
              <w:r>
                <w:rPr>
                  <w:rFonts w:ascii="Arial" w:cs="Arial" w:eastAsia="Arial" w:hAnsi="Arial"/>
                  <w:sz w:val="13"/>
                  <w:szCs w:val="13"/>
                  <w:color w:val="000000"/>
                </w:rPr>
                <w:t>**</w:t>
              </w:r>
            </w:hyperlink>
          </w:p>
        </w:tc>
        <w:tc>
          <w:tcPr>
            <w:tcW w:w="140" w:type="dxa"/>
            <w:vAlign w:val="bottom"/>
            <w:gridSpan w:val="3"/>
          </w:tcPr>
          <w:p>
            <w:pPr>
              <w:spacing w:after="0"/>
              <w:rPr>
                <w:sz w:val="9"/>
                <w:szCs w:val="9"/>
                <w:color w:val="auto"/>
              </w:rPr>
            </w:pPr>
          </w:p>
        </w:tc>
      </w:tr>
      <w:tr>
        <w:trPr>
          <w:trHeight w:val="29"/>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9"/>
        </w:trPr>
        <w:tc>
          <w:tcPr>
            <w:tcW w:w="1320" w:type="dxa"/>
            <w:vAlign w:val="bottom"/>
            <w:tcBorders>
              <w:right w:val="single" w:sz="8" w:color="CCEEFF"/>
            </w:tcBorders>
            <w:gridSpan w:val="4"/>
            <w:shd w:val="clear" w:color="auto" w:fill="CCEEFF"/>
          </w:tcPr>
          <w:p>
            <w:pPr>
              <w:jc w:val="center"/>
              <w:ind w:right="160"/>
              <w:spacing w:after="0" w:line="169" w:lineRule="exact"/>
              <w:rPr>
                <w:sz w:val="20"/>
                <w:szCs w:val="20"/>
                <w:color w:val="auto"/>
              </w:rPr>
            </w:pPr>
            <w:r>
              <w:rPr>
                <w:rFonts w:ascii="Arial" w:cs="Arial" w:eastAsia="Arial" w:hAnsi="Arial"/>
                <w:sz w:val="15"/>
                <w:szCs w:val="15"/>
                <w:color w:val="auto"/>
                <w:w w:val="95"/>
              </w:rPr>
              <w:t>101.INS</w:t>
            </w:r>
          </w:p>
        </w:tc>
        <w:tc>
          <w:tcPr>
            <w:tcW w:w="9920" w:type="dxa"/>
            <w:vAlign w:val="bottom"/>
            <w:gridSpan w:val="10"/>
            <w:shd w:val="clear" w:color="auto" w:fill="CCEEFF"/>
          </w:tcPr>
          <w:p>
            <w:pPr>
              <w:spacing w:after="0" w:line="169" w:lineRule="exact"/>
              <w:rPr>
                <w:sz w:val="20"/>
                <w:szCs w:val="20"/>
                <w:color w:val="auto"/>
              </w:rPr>
            </w:pPr>
            <w:r>
              <w:rPr>
                <w:rFonts w:ascii="Arial" w:cs="Arial" w:eastAsia="Arial" w:hAnsi="Arial"/>
                <w:sz w:val="15"/>
                <w:szCs w:val="15"/>
                <w:color w:val="auto"/>
                <w:w w:val="95"/>
              </w:rPr>
              <w:t>Inline XBRL Instance Document - the instance document does not appear in the Interactive Data File because its XBRL tags are embedded within the Inline</w:t>
            </w:r>
          </w:p>
        </w:tc>
      </w:tr>
      <w:tr>
        <w:trPr>
          <w:trHeight w:val="201"/>
        </w:trPr>
        <w:tc>
          <w:tcPr>
            <w:tcW w:w="5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20" w:type="dxa"/>
            <w:vAlign w:val="bottom"/>
            <w:gridSpan w:val="10"/>
            <w:shd w:val="clear" w:color="auto" w:fill="CCEEFF"/>
          </w:tcPr>
          <w:p>
            <w:pPr>
              <w:spacing w:after="0"/>
              <w:rPr>
                <w:sz w:val="20"/>
                <w:szCs w:val="20"/>
                <w:color w:val="auto"/>
              </w:rPr>
            </w:pPr>
            <w:r>
              <w:rPr>
                <w:rFonts w:ascii="Arial" w:cs="Arial" w:eastAsia="Arial" w:hAnsi="Arial"/>
                <w:sz w:val="15"/>
                <w:szCs w:val="15"/>
                <w:color w:val="auto"/>
              </w:rPr>
              <w:t>XBRL document.</w:t>
            </w:r>
          </w:p>
        </w:tc>
      </w:tr>
      <w:tr>
        <w:trPr>
          <w:trHeight w:val="210"/>
        </w:trPr>
        <w:tc>
          <w:tcPr>
            <w:tcW w:w="1320" w:type="dxa"/>
            <w:vAlign w:val="bottom"/>
            <w:gridSpan w:val="4"/>
          </w:tcPr>
          <w:p>
            <w:pPr>
              <w:jc w:val="center"/>
              <w:ind w:right="140"/>
              <w:spacing w:after="0"/>
              <w:rPr>
                <w:sz w:val="20"/>
                <w:szCs w:val="20"/>
                <w:color w:val="auto"/>
              </w:rPr>
            </w:pPr>
            <w:r>
              <w:rPr>
                <w:rFonts w:ascii="Arial" w:cs="Arial" w:eastAsia="Arial" w:hAnsi="Arial"/>
                <w:sz w:val="15"/>
                <w:szCs w:val="15"/>
                <w:color w:val="auto"/>
                <w:w w:val="95"/>
              </w:rPr>
              <w:t>101.SCH</w:t>
            </w:r>
          </w:p>
        </w:tc>
        <w:tc>
          <w:tcPr>
            <w:tcW w:w="992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r>
      <w:tr>
        <w:trPr>
          <w:trHeight w:val="228"/>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5"/>
                <w:szCs w:val="15"/>
                <w:color w:val="auto"/>
                <w:w w:val="99"/>
              </w:rPr>
              <w:t>101.CAL</w:t>
            </w:r>
          </w:p>
        </w:tc>
        <w:tc>
          <w:tcPr>
            <w:tcW w:w="9920" w:type="dxa"/>
            <w:vAlign w:val="bottom"/>
            <w:gridSpan w:val="10"/>
            <w:shd w:val="clear" w:color="auto" w:fill="CCEEFF"/>
          </w:tcPr>
          <w:p>
            <w:pPr>
              <w:spacing w:after="0"/>
              <w:rPr>
                <w:sz w:val="20"/>
                <w:szCs w:val="20"/>
                <w:color w:val="auto"/>
              </w:rPr>
            </w:pPr>
            <w:r>
              <w:rPr>
                <w:rFonts w:ascii="Arial" w:cs="Arial" w:eastAsia="Arial" w:hAnsi="Arial"/>
                <w:sz w:val="15"/>
                <w:szCs w:val="15"/>
                <w:color w:val="auto"/>
              </w:rPr>
              <w:t>Inline XBRL Taxonomy Extension Calculation Linkbase</w:t>
            </w:r>
          </w:p>
        </w:tc>
      </w:tr>
      <w:tr>
        <w:trPr>
          <w:trHeight w:val="203"/>
        </w:trPr>
        <w:tc>
          <w:tcPr>
            <w:tcW w:w="1320" w:type="dxa"/>
            <w:vAlign w:val="bottom"/>
            <w:gridSpan w:val="4"/>
          </w:tcPr>
          <w:p>
            <w:pPr>
              <w:jc w:val="center"/>
              <w:ind w:right="140"/>
              <w:spacing w:after="0"/>
              <w:rPr>
                <w:sz w:val="20"/>
                <w:szCs w:val="20"/>
                <w:color w:val="auto"/>
              </w:rPr>
            </w:pPr>
            <w:r>
              <w:rPr>
                <w:rFonts w:ascii="Arial" w:cs="Arial" w:eastAsia="Arial" w:hAnsi="Arial"/>
                <w:sz w:val="15"/>
                <w:szCs w:val="15"/>
                <w:color w:val="auto"/>
              </w:rPr>
              <w:t>101.LAB</w:t>
            </w:r>
          </w:p>
        </w:tc>
        <w:tc>
          <w:tcPr>
            <w:tcW w:w="9920" w:type="dxa"/>
            <w:vAlign w:val="bottom"/>
            <w:gridSpan w:val="10"/>
          </w:tcPr>
          <w:p>
            <w:pPr>
              <w:spacing w:after="0"/>
              <w:rPr>
                <w:sz w:val="20"/>
                <w:szCs w:val="20"/>
                <w:color w:val="auto"/>
              </w:rPr>
            </w:pPr>
            <w:r>
              <w:rPr>
                <w:rFonts w:ascii="Arial" w:cs="Arial" w:eastAsia="Arial" w:hAnsi="Arial"/>
                <w:sz w:val="15"/>
                <w:szCs w:val="15"/>
                <w:color w:val="auto"/>
              </w:rPr>
              <w:t>Inline XBRL Taxonomy Extension Label Linkbase</w:t>
            </w:r>
          </w:p>
        </w:tc>
      </w:tr>
      <w:tr>
        <w:trPr>
          <w:trHeight w:val="209"/>
        </w:trPr>
        <w:tc>
          <w:tcPr>
            <w:tcW w:w="132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5"/>
                <w:szCs w:val="15"/>
                <w:color w:val="auto"/>
                <w:w w:val="89"/>
              </w:rPr>
              <w:t>101.PRE</w:t>
            </w:r>
          </w:p>
        </w:tc>
        <w:tc>
          <w:tcPr>
            <w:tcW w:w="9920" w:type="dxa"/>
            <w:vAlign w:val="bottom"/>
            <w:gridSpan w:val="10"/>
            <w:shd w:val="clear" w:color="auto" w:fill="CCEEFF"/>
          </w:tcPr>
          <w:p>
            <w:pPr>
              <w:spacing w:after="0"/>
              <w:rPr>
                <w:sz w:val="20"/>
                <w:szCs w:val="20"/>
                <w:color w:val="auto"/>
              </w:rPr>
            </w:pPr>
            <w:r>
              <w:rPr>
                <w:rFonts w:ascii="Arial" w:cs="Arial" w:eastAsia="Arial" w:hAnsi="Arial"/>
                <w:sz w:val="15"/>
                <w:szCs w:val="15"/>
                <w:color w:val="auto"/>
              </w:rPr>
              <w:t>Inline XBRL Taxonomy Extension Presentation Linkbase</w:t>
            </w:r>
          </w:p>
        </w:tc>
      </w:tr>
      <w:tr>
        <w:trPr>
          <w:trHeight w:val="201"/>
        </w:trPr>
        <w:tc>
          <w:tcPr>
            <w:tcW w:w="1320" w:type="dxa"/>
            <w:vAlign w:val="bottom"/>
            <w:gridSpan w:val="4"/>
          </w:tcPr>
          <w:p>
            <w:pPr>
              <w:jc w:val="center"/>
              <w:ind w:right="140"/>
              <w:spacing w:after="0"/>
              <w:rPr>
                <w:sz w:val="20"/>
                <w:szCs w:val="20"/>
                <w:color w:val="auto"/>
              </w:rPr>
            </w:pPr>
            <w:r>
              <w:rPr>
                <w:rFonts w:ascii="Arial" w:cs="Arial" w:eastAsia="Arial" w:hAnsi="Arial"/>
                <w:sz w:val="15"/>
                <w:szCs w:val="15"/>
                <w:color w:val="auto"/>
                <w:w w:val="97"/>
              </w:rPr>
              <w:t>101.DEF</w:t>
            </w:r>
          </w:p>
        </w:tc>
        <w:tc>
          <w:tcPr>
            <w:tcW w:w="992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8670" cy="262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3" w:lineRule="exact"/>
        <w:rPr>
          <w:sz w:val="20"/>
          <w:szCs w:val="20"/>
          <w:color w:val="auto"/>
        </w:rPr>
      </w:pPr>
    </w:p>
    <w:p>
      <w:pPr>
        <w:ind w:left="1300" w:right="160" w:hanging="826"/>
        <w:spacing w:after="0" w:line="283" w:lineRule="auto"/>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cover page from the Company's Quarterly Report on Form 10-Q for the quarterly period ended April 3, 2022, formatted in Inline XBRL and contained in Exhibit 101.</w:t>
      </w:r>
    </w:p>
    <w:p>
      <w:pPr>
        <w:spacing w:after="0" w:line="251" w:lineRule="exact"/>
        <w:rPr>
          <w:sz w:val="20"/>
          <w:szCs w:val="20"/>
          <w:color w:val="auto"/>
        </w:rPr>
      </w:pPr>
    </w:p>
    <w:p>
      <w:pPr>
        <w:ind w:left="1300" w:hanging="749"/>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4" w:lineRule="exact"/>
        <w:rPr>
          <w:sz w:val="20"/>
          <w:szCs w:val="20"/>
          <w:color w:val="auto"/>
        </w:rPr>
      </w:pPr>
    </w:p>
    <w:p>
      <w:pPr>
        <w:ind w:left="1300" w:hanging="788"/>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1115060</wp:posOffset>
            </wp:positionV>
            <wp:extent cx="188595"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325120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5080"/>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requirements of the Securities Exchange Act of 1934, the Company has duly caused this report to be signed on its behalf by the undersigned thereunto duly authorized.</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19"/>
        </w:trPr>
        <w:tc>
          <w:tcPr>
            <w:tcW w:w="2640" w:type="dxa"/>
            <w:vAlign w:val="bottom"/>
          </w:tcPr>
          <w:p>
            <w:pPr>
              <w:spacing w:after="0"/>
              <w:rPr>
                <w:sz w:val="19"/>
                <w:szCs w:val="19"/>
                <w:color w:val="auto"/>
              </w:rPr>
            </w:pPr>
          </w:p>
        </w:tc>
        <w:tc>
          <w:tcPr>
            <w:tcW w:w="5760" w:type="dxa"/>
            <w:vAlign w:val="bottom"/>
          </w:tcPr>
          <w:p>
            <w:pPr>
              <w:ind w:left="80"/>
              <w:spacing w:after="0"/>
              <w:rPr>
                <w:sz w:val="20"/>
                <w:szCs w:val="20"/>
                <w:color w:val="auto"/>
              </w:rPr>
            </w:pPr>
            <w:r>
              <w:rPr>
                <w:rFonts w:ascii="Arial" w:cs="Arial" w:eastAsia="Arial" w:hAnsi="Arial"/>
                <w:sz w:val="17"/>
                <w:szCs w:val="17"/>
                <w:b w:val="1"/>
                <w:bCs w:val="1"/>
                <w:color w:val="auto"/>
              </w:rPr>
              <w:t>THE HERSHEY COMPANY</w:t>
            </w:r>
          </w:p>
        </w:tc>
      </w:tr>
      <w:tr>
        <w:trPr>
          <w:trHeight w:val="223"/>
        </w:trPr>
        <w:tc>
          <w:tcPr>
            <w:tcW w:w="264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7"/>
                <w:szCs w:val="17"/>
                <w:b w:val="1"/>
                <w:bCs w:val="1"/>
                <w:color w:val="auto"/>
              </w:rPr>
              <w:t>(Registrant)</w:t>
            </w:r>
          </w:p>
        </w:tc>
      </w:tr>
      <w:tr>
        <w:trPr>
          <w:trHeight w:val="478"/>
        </w:trPr>
        <w:tc>
          <w:tcPr>
            <w:tcW w:w="2640" w:type="dxa"/>
            <w:vAlign w:val="bottom"/>
          </w:tcPr>
          <w:p>
            <w:pPr>
              <w:spacing w:after="0"/>
              <w:rPr>
                <w:sz w:val="20"/>
                <w:szCs w:val="20"/>
                <w:color w:val="auto"/>
              </w:rPr>
            </w:pPr>
            <w:r>
              <w:rPr>
                <w:rFonts w:ascii="Arial" w:cs="Arial" w:eastAsia="Arial" w:hAnsi="Arial"/>
                <w:sz w:val="17"/>
                <w:szCs w:val="17"/>
                <w:color w:val="auto"/>
              </w:rPr>
              <w:t>Date: April 28, 2022</w:t>
            </w:r>
          </w:p>
        </w:tc>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7"/>
                <w:szCs w:val="17"/>
                <w:i w:val="1"/>
                <w:iCs w:val="1"/>
                <w:color w:val="auto"/>
              </w:rPr>
              <w:t>/s/ Steven E. Voskuil</w:t>
            </w:r>
          </w:p>
        </w:tc>
      </w:tr>
      <w:tr>
        <w:trPr>
          <w:trHeight w:val="211"/>
        </w:trPr>
        <w:tc>
          <w:tcPr>
            <w:tcW w:w="264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7"/>
                <w:szCs w:val="17"/>
                <w:color w:val="auto"/>
              </w:rPr>
              <w:t>Steven E. Voskuil</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7"/>
                <w:szCs w:val="17"/>
                <w:color w:val="auto"/>
              </w:rPr>
              <w:t>Senior Vice President, Chief Financial Officer</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7"/>
                <w:szCs w:val="17"/>
                <w:color w:val="auto"/>
              </w:rPr>
              <w:t>(Principal Financial Officer)</w:t>
            </w:r>
          </w:p>
        </w:tc>
      </w:tr>
      <w:tr>
        <w:trPr>
          <w:trHeight w:val="478"/>
        </w:trPr>
        <w:tc>
          <w:tcPr>
            <w:tcW w:w="2640" w:type="dxa"/>
            <w:vAlign w:val="bottom"/>
          </w:tcPr>
          <w:p>
            <w:pPr>
              <w:spacing w:after="0"/>
              <w:rPr>
                <w:sz w:val="20"/>
                <w:szCs w:val="20"/>
                <w:color w:val="auto"/>
              </w:rPr>
            </w:pPr>
            <w:r>
              <w:rPr>
                <w:rFonts w:ascii="Arial" w:cs="Arial" w:eastAsia="Arial" w:hAnsi="Arial"/>
                <w:sz w:val="17"/>
                <w:szCs w:val="17"/>
                <w:color w:val="auto"/>
              </w:rPr>
              <w:t>Date: April 28, 2022</w:t>
            </w:r>
          </w:p>
        </w:tc>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7"/>
                <w:szCs w:val="17"/>
                <w:i w:val="1"/>
                <w:iCs w:val="1"/>
                <w:color w:val="auto"/>
              </w:rPr>
              <w:t>/s/ Jennifer L. McCalman</w:t>
            </w:r>
          </w:p>
        </w:tc>
      </w:tr>
      <w:tr>
        <w:trPr>
          <w:trHeight w:val="211"/>
        </w:trPr>
        <w:tc>
          <w:tcPr>
            <w:tcW w:w="264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7"/>
                <w:szCs w:val="17"/>
                <w:color w:val="auto"/>
              </w:rPr>
              <w:t>Jennifer L. McCalman</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7"/>
                <w:szCs w:val="17"/>
                <w:color w:val="auto"/>
              </w:rPr>
              <w:t>Vice President, Chief Accounting Officer</w:t>
            </w:r>
          </w:p>
        </w:tc>
      </w:tr>
      <w:tr>
        <w:trPr>
          <w:trHeight w:val="219"/>
        </w:trPr>
        <w:tc>
          <w:tcPr>
            <w:tcW w:w="264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7"/>
                <w:szCs w:val="17"/>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467360</wp:posOffset>
            </wp:positionV>
            <wp:extent cx="188595" cy="163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3900" w:val="left"/>
        </w:tabs>
        <w:rPr>
          <w:rFonts w:ascii="Arial" w:cs="Arial" w:eastAsia="Arial" w:hAnsi="Arial"/>
          <w:sz w:val="15"/>
          <w:szCs w:val="15"/>
          <w:color w:val="0000FF"/>
        </w:rPr>
      </w:pPr>
      <w:hyperlink w:anchor="page1">
        <w:r>
          <w:rPr>
            <w:rFonts w:ascii="Arial" w:cs="Arial" w:eastAsia="Arial" w:hAnsi="Arial"/>
            <w:sz w:val="15"/>
            <w:szCs w:val="15"/>
            <w:u w:val="single" w:color="auto"/>
            <w:color w:val="0000FF"/>
          </w:rPr>
          <w:t>Table of Contents</w:t>
        </w:r>
      </w:hyperlink>
      <w:r>
        <w:rPr>
          <w:rFonts w:ascii="Arial" w:cs="Arial" w:eastAsia="Arial" w:hAnsi="Arial"/>
          <w:sz w:val="15"/>
          <w:szCs w:val="15"/>
          <w:color w:val="0000FF"/>
        </w:rPr>
        <w:tab/>
      </w:r>
      <w:r>
        <w:rPr>
          <w:rFonts w:ascii="Arial" w:cs="Arial" w:eastAsia="Arial" w:hAnsi="Arial"/>
          <w:sz w:val="13"/>
          <w:szCs w:val="13"/>
          <w:color w:val="0000FF"/>
        </w:rPr>
        <w:t>The Hershey Company | Q1 2022 Form 10-Q | Page 46</w:t>
      </w:r>
    </w:p>
    <w:p>
      <w:pPr>
        <w:sectPr>
          <w:pgSz w:w="11900" w:h="16838" w:orient="portrait"/>
          <w:cols w:equalWidth="0" w:num="1">
            <w:col w:w="10720"/>
          </w:cols>
          <w:pgMar w:left="320" w:top="1204" w:right="85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 Michele G. Buck, certify that:</w:t>
      </w:r>
    </w:p>
    <w:p>
      <w:pPr>
        <w:spacing w:after="0" w:line="101" w:lineRule="exact"/>
        <w:rPr>
          <w:sz w:val="20"/>
          <w:szCs w:val="20"/>
          <w:color w:val="auto"/>
        </w:rPr>
      </w:pPr>
    </w:p>
    <w:p>
      <w:pPr>
        <w:ind w:left="300" w:hanging="298"/>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Hershey Company;</w:t>
      </w:r>
    </w:p>
    <w:p>
      <w:pPr>
        <w:spacing w:after="0" w:line="88" w:lineRule="exact"/>
        <w:rPr>
          <w:rFonts w:ascii="Arial" w:cs="Arial" w:eastAsia="Arial" w:hAnsi="Arial"/>
          <w:sz w:val="17"/>
          <w:szCs w:val="17"/>
          <w:color w:val="auto"/>
        </w:rPr>
      </w:pPr>
    </w:p>
    <w:p>
      <w:pPr>
        <w:ind w:left="380" w:right="140" w:hanging="378"/>
        <w:spacing w:after="0" w:line="349" w:lineRule="auto"/>
        <w:tabs>
          <w:tab w:leader="none" w:pos="294"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80" w:right="220" w:hanging="378"/>
        <w:spacing w:after="0" w:line="279" w:lineRule="auto"/>
        <w:tabs>
          <w:tab w:leader="none" w:pos="2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7"/>
          <w:szCs w:val="17"/>
          <w:color w:val="auto"/>
        </w:rPr>
      </w:pPr>
    </w:p>
    <w:p>
      <w:pPr>
        <w:ind w:left="380" w:right="180" w:hanging="378"/>
        <w:spacing w:after="0" w:line="266" w:lineRule="auto"/>
        <w:tabs>
          <w:tab w:leader="none" w:pos="2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7"/>
          <w:szCs w:val="17"/>
          <w:color w:val="auto"/>
        </w:rPr>
      </w:pPr>
    </w:p>
    <w:p>
      <w:pPr>
        <w:ind w:left="820" w:right="180" w:hanging="393"/>
        <w:spacing w:after="0" w:line="266" w:lineRule="auto"/>
        <w:tabs>
          <w:tab w:leader="none" w:pos="796"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7"/>
          <w:szCs w:val="17"/>
          <w:color w:val="auto"/>
        </w:rPr>
      </w:pPr>
    </w:p>
    <w:p>
      <w:pPr>
        <w:ind w:left="820" w:right="160" w:hanging="393"/>
        <w:spacing w:after="0" w:line="266" w:lineRule="auto"/>
        <w:tabs>
          <w:tab w:leader="none" w:pos="80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820" w:right="20" w:hanging="393"/>
        <w:spacing w:after="0" w:line="279" w:lineRule="auto"/>
        <w:tabs>
          <w:tab w:leader="none" w:pos="796"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7"/>
          <w:szCs w:val="17"/>
          <w:color w:val="auto"/>
        </w:rPr>
      </w:pPr>
    </w:p>
    <w:p>
      <w:pPr>
        <w:ind w:left="820" w:right="40" w:hanging="393"/>
        <w:spacing w:after="0" w:line="266" w:lineRule="auto"/>
        <w:tabs>
          <w:tab w:leader="none" w:pos="80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380" w:right="620" w:hanging="378"/>
        <w:spacing w:after="0" w:line="312" w:lineRule="auto"/>
        <w:tabs>
          <w:tab w:leader="none" w:pos="29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6"/>
          <w:szCs w:val="16"/>
          <w:color w:val="auto"/>
        </w:rPr>
      </w:pPr>
    </w:p>
    <w:p>
      <w:pPr>
        <w:ind w:left="820" w:right="140" w:hanging="393"/>
        <w:spacing w:after="0" w:line="279" w:lineRule="auto"/>
        <w:tabs>
          <w:tab w:leader="none" w:pos="786"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7"/>
          <w:szCs w:val="17"/>
          <w:color w:val="auto"/>
        </w:rPr>
      </w:pPr>
    </w:p>
    <w:p>
      <w:pPr>
        <w:ind w:left="820" w:right="180" w:hanging="393"/>
        <w:spacing w:after="0" w:line="279" w:lineRule="auto"/>
        <w:tabs>
          <w:tab w:leader="none" w:pos="796"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73025</wp:posOffset>
            </wp:positionV>
            <wp:extent cx="34709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12"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Michele G. Buck</w:t>
      </w:r>
    </w:p>
    <w:p>
      <w:pPr>
        <w:spacing w:after="0" w:line="3"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Chief Executive Officer</w:t>
      </w:r>
    </w:p>
    <w:p>
      <w:pPr>
        <w:jc w:val="center"/>
        <w:ind w:right="5800"/>
        <w:spacing w:after="0"/>
        <w:rPr>
          <w:sz w:val="20"/>
          <w:szCs w:val="20"/>
          <w:color w:val="auto"/>
        </w:rPr>
      </w:pPr>
      <w:r>
        <w:rPr>
          <w:rFonts w:ascii="Arial" w:cs="Arial" w:eastAsia="Arial" w:hAnsi="Arial"/>
          <w:sz w:val="14"/>
          <w:szCs w:val="14"/>
          <w:b w:val="1"/>
          <w:bCs w:val="1"/>
          <w:color w:val="auto"/>
        </w:rPr>
        <w:t>(Principal Executive Officer)</w:t>
      </w:r>
    </w:p>
    <w:p>
      <w:pPr>
        <w:spacing w:after="0" w:line="16"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452120</wp:posOffset>
            </wp:positionV>
            <wp:extent cx="188595" cy="163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Hershey Company | Q1 2022 Form 10-Q | Exhibit 31.1</w:t>
      </w:r>
    </w:p>
    <w:p>
      <w:pPr>
        <w:sectPr>
          <w:pgSz w:w="11900" w:h="16838" w:orient="portrait"/>
          <w:cols w:equalWidth="0" w:num="1">
            <w:col w:w="11200"/>
          </w:cols>
          <w:pgMar w:left="360" w:top="74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 Steven E. Voskuil, certify that:</w:t>
      </w:r>
    </w:p>
    <w:p>
      <w:pPr>
        <w:spacing w:after="0" w:line="101" w:lineRule="exact"/>
        <w:rPr>
          <w:sz w:val="20"/>
          <w:szCs w:val="20"/>
          <w:color w:val="auto"/>
        </w:rPr>
      </w:pPr>
    </w:p>
    <w:p>
      <w:pPr>
        <w:ind w:left="300" w:hanging="298"/>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Hershey Company;</w:t>
      </w:r>
    </w:p>
    <w:p>
      <w:pPr>
        <w:spacing w:after="0" w:line="88" w:lineRule="exact"/>
        <w:rPr>
          <w:rFonts w:ascii="Arial" w:cs="Arial" w:eastAsia="Arial" w:hAnsi="Arial"/>
          <w:sz w:val="17"/>
          <w:szCs w:val="17"/>
          <w:color w:val="auto"/>
        </w:rPr>
      </w:pPr>
    </w:p>
    <w:p>
      <w:pPr>
        <w:ind w:left="380" w:right="140" w:hanging="378"/>
        <w:spacing w:after="0" w:line="349" w:lineRule="auto"/>
        <w:tabs>
          <w:tab w:leader="none" w:pos="294"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80" w:right="220" w:hanging="378"/>
        <w:spacing w:after="0" w:line="279" w:lineRule="auto"/>
        <w:tabs>
          <w:tab w:leader="none" w:pos="29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7"/>
          <w:szCs w:val="17"/>
          <w:color w:val="auto"/>
        </w:rPr>
      </w:pPr>
    </w:p>
    <w:p>
      <w:pPr>
        <w:ind w:left="380" w:right="180" w:hanging="378"/>
        <w:spacing w:after="0" w:line="266" w:lineRule="auto"/>
        <w:tabs>
          <w:tab w:leader="none" w:pos="2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7"/>
          <w:szCs w:val="17"/>
          <w:color w:val="auto"/>
        </w:rPr>
      </w:pPr>
    </w:p>
    <w:p>
      <w:pPr>
        <w:ind w:left="820" w:right="180" w:hanging="393"/>
        <w:spacing w:after="0" w:line="266" w:lineRule="auto"/>
        <w:tabs>
          <w:tab w:leader="none" w:pos="796"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7"/>
          <w:szCs w:val="17"/>
          <w:color w:val="auto"/>
        </w:rPr>
      </w:pPr>
    </w:p>
    <w:p>
      <w:pPr>
        <w:ind w:left="820" w:right="160" w:hanging="393"/>
        <w:spacing w:after="0" w:line="266" w:lineRule="auto"/>
        <w:tabs>
          <w:tab w:leader="none" w:pos="80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820" w:right="20" w:hanging="393"/>
        <w:spacing w:after="0" w:line="279" w:lineRule="auto"/>
        <w:tabs>
          <w:tab w:leader="none" w:pos="796"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7"/>
          <w:szCs w:val="17"/>
          <w:color w:val="auto"/>
        </w:rPr>
      </w:pPr>
    </w:p>
    <w:p>
      <w:pPr>
        <w:ind w:left="820" w:right="40" w:hanging="393"/>
        <w:spacing w:after="0" w:line="266" w:lineRule="auto"/>
        <w:tabs>
          <w:tab w:leader="none" w:pos="80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380" w:right="620" w:hanging="378"/>
        <w:spacing w:after="0" w:line="312" w:lineRule="auto"/>
        <w:tabs>
          <w:tab w:leader="none" w:pos="2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6"/>
          <w:szCs w:val="16"/>
          <w:color w:val="auto"/>
        </w:rPr>
      </w:pPr>
    </w:p>
    <w:p>
      <w:pPr>
        <w:ind w:left="820" w:right="140" w:hanging="393"/>
        <w:spacing w:after="0" w:line="279" w:lineRule="auto"/>
        <w:tabs>
          <w:tab w:leader="none" w:pos="786"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7"/>
          <w:szCs w:val="17"/>
          <w:color w:val="auto"/>
        </w:rPr>
      </w:pPr>
    </w:p>
    <w:p>
      <w:pPr>
        <w:ind w:left="820" w:right="180" w:hanging="393"/>
        <w:spacing w:after="0" w:line="279" w:lineRule="auto"/>
        <w:tabs>
          <w:tab w:leader="none" w:pos="796"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73025</wp:posOffset>
            </wp:positionV>
            <wp:extent cx="34709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spacing w:after="0" w:line="112"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Steven E. Voskuil</w:t>
      </w:r>
    </w:p>
    <w:p>
      <w:pPr>
        <w:spacing w:after="0" w:line="3" w:lineRule="exact"/>
        <w:rPr>
          <w:sz w:val="20"/>
          <w:szCs w:val="20"/>
          <w:color w:val="auto"/>
        </w:rPr>
      </w:pPr>
    </w:p>
    <w:p>
      <w:pPr>
        <w:jc w:val="center"/>
        <w:ind w:right="5800"/>
        <w:spacing w:after="0"/>
        <w:rPr>
          <w:sz w:val="20"/>
          <w:szCs w:val="20"/>
          <w:color w:val="auto"/>
        </w:rPr>
      </w:pPr>
      <w:r>
        <w:rPr>
          <w:rFonts w:ascii="Arial" w:cs="Arial" w:eastAsia="Arial" w:hAnsi="Arial"/>
          <w:sz w:val="14"/>
          <w:szCs w:val="14"/>
          <w:b w:val="1"/>
          <w:bCs w:val="1"/>
          <w:color w:val="auto"/>
        </w:rPr>
        <w:t>Chief Financial Officer</w:t>
      </w:r>
    </w:p>
    <w:p>
      <w:pPr>
        <w:jc w:val="center"/>
        <w:ind w:right="5800"/>
        <w:spacing w:after="0"/>
        <w:rPr>
          <w:sz w:val="20"/>
          <w:szCs w:val="20"/>
          <w:color w:val="auto"/>
        </w:rPr>
      </w:pPr>
      <w:r>
        <w:rPr>
          <w:rFonts w:ascii="Arial" w:cs="Arial" w:eastAsia="Arial" w:hAnsi="Arial"/>
          <w:sz w:val="14"/>
          <w:szCs w:val="14"/>
          <w:b w:val="1"/>
          <w:bCs w:val="1"/>
          <w:color w:val="auto"/>
        </w:rPr>
        <w:t>(Principal Financial Officer)</w:t>
      </w:r>
    </w:p>
    <w:p>
      <w:pPr>
        <w:spacing w:after="0" w:line="16"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6918325</wp:posOffset>
            </wp:positionH>
            <wp:positionV relativeFrom="paragraph">
              <wp:posOffset>599440</wp:posOffset>
            </wp:positionV>
            <wp:extent cx="188595" cy="163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Hershey Company | Q1 2022 Form 10-Q | Exhibit 31.2</w:t>
      </w:r>
    </w:p>
    <w:p>
      <w:pPr>
        <w:sectPr>
          <w:pgSz w:w="11900" w:h="16838" w:orient="portrait"/>
          <w:cols w:equalWidth="0" w:num="1">
            <w:col w:w="11200"/>
          </w:cols>
          <w:pgMar w:left="360" w:top="74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32.1</w:t>
      </w:r>
    </w:p>
    <w:p>
      <w:pPr>
        <w:spacing w:after="0" w:line="165"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CERTIFICATION</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Pursuant to Section 906 of the Sarbanes-Oxley Act of 2002, the undersigned officers of The Hershey Company (the “Company”) hereby certify, to the best of their knowledge, that the Company’s Quarterly Report on Form 10-Q for the quarterly period ended April 3, 2022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3" w:lineRule="exact"/>
        <w:rPr>
          <w:sz w:val="20"/>
          <w:szCs w:val="20"/>
          <w:color w:val="auto"/>
        </w:rPr>
      </w:pPr>
    </w:p>
    <w:tbl>
      <w:tblPr>
        <w:tblLayout w:type="fixed"/>
        <w:tblInd w:w="560" w:type="dxa"/>
        <w:tblCellMar>
          <w:top w:w="0" w:type="dxa"/>
          <w:left w:w="0" w:type="dxa"/>
          <w:bottom w:w="0" w:type="dxa"/>
          <w:right w:w="0" w:type="dxa"/>
        </w:tblCellMar>
      </w:tblPr>
      <w:tr>
        <w:trPr>
          <w:trHeight w:val="244"/>
        </w:trPr>
        <w:tc>
          <w:tcPr>
            <w:tcW w:w="2920" w:type="dxa"/>
            <w:vAlign w:val="bottom"/>
          </w:tcPr>
          <w:p>
            <w:pPr>
              <w:spacing w:after="0"/>
              <w:rPr>
                <w:sz w:val="20"/>
                <w:szCs w:val="20"/>
                <w:color w:val="auto"/>
              </w:rPr>
            </w:pPr>
            <w:r>
              <w:rPr>
                <w:rFonts w:ascii="Arial" w:cs="Arial" w:eastAsia="Arial" w:hAnsi="Arial"/>
                <w:sz w:val="17"/>
                <w:szCs w:val="17"/>
                <w:color w:val="auto"/>
              </w:rPr>
              <w:t>Date: April 28, 2022</w:t>
            </w:r>
          </w:p>
        </w:tc>
        <w:tc>
          <w:tcPr>
            <w:tcW w:w="3560" w:type="dxa"/>
            <w:vAlign w:val="bottom"/>
            <w:tcBorders>
              <w:bottom w:val="single" w:sz="8" w:color="auto"/>
            </w:tcBorders>
          </w:tcPr>
          <w:p>
            <w:pPr>
              <w:jc w:val="right"/>
              <w:ind w:right="941"/>
              <w:spacing w:after="0"/>
              <w:rPr>
                <w:sz w:val="20"/>
                <w:szCs w:val="20"/>
                <w:color w:val="auto"/>
              </w:rPr>
            </w:pPr>
            <w:r>
              <w:rPr>
                <w:rFonts w:ascii="Arial" w:cs="Arial" w:eastAsia="Arial" w:hAnsi="Arial"/>
                <w:sz w:val="17"/>
                <w:szCs w:val="17"/>
                <w:color w:val="auto"/>
              </w:rPr>
              <w:t>/s/ MICHELE G. BUCK</w:t>
            </w:r>
          </w:p>
        </w:tc>
      </w:tr>
      <w:tr>
        <w:trPr>
          <w:trHeight w:val="187"/>
        </w:trPr>
        <w:tc>
          <w:tcPr>
            <w:tcW w:w="2920" w:type="dxa"/>
            <w:vAlign w:val="bottom"/>
          </w:tcPr>
          <w:p>
            <w:pPr>
              <w:spacing w:after="0"/>
              <w:rPr>
                <w:sz w:val="16"/>
                <w:szCs w:val="16"/>
                <w:color w:val="auto"/>
              </w:rPr>
            </w:pPr>
          </w:p>
        </w:tc>
        <w:tc>
          <w:tcPr>
            <w:tcW w:w="3560" w:type="dxa"/>
            <w:vAlign w:val="bottom"/>
          </w:tcPr>
          <w:p>
            <w:pPr>
              <w:jc w:val="right"/>
              <w:ind w:right="1241"/>
              <w:spacing w:after="0"/>
              <w:rPr>
                <w:sz w:val="20"/>
                <w:szCs w:val="20"/>
                <w:color w:val="auto"/>
              </w:rPr>
            </w:pPr>
            <w:r>
              <w:rPr>
                <w:rFonts w:ascii="Arial" w:cs="Arial" w:eastAsia="Arial" w:hAnsi="Arial"/>
                <w:sz w:val="15"/>
                <w:szCs w:val="15"/>
                <w:b w:val="1"/>
                <w:bCs w:val="1"/>
                <w:color w:val="auto"/>
              </w:rPr>
              <w:t>Michele G. Buck</w:t>
            </w:r>
          </w:p>
        </w:tc>
      </w:tr>
      <w:tr>
        <w:trPr>
          <w:trHeight w:val="155"/>
        </w:trPr>
        <w:tc>
          <w:tcPr>
            <w:tcW w:w="2920" w:type="dxa"/>
            <w:vAlign w:val="bottom"/>
          </w:tcPr>
          <w:p>
            <w:pPr>
              <w:spacing w:after="0"/>
              <w:rPr>
                <w:sz w:val="13"/>
                <w:szCs w:val="13"/>
                <w:color w:val="auto"/>
              </w:rPr>
            </w:pPr>
          </w:p>
        </w:tc>
        <w:tc>
          <w:tcPr>
            <w:tcW w:w="3560" w:type="dxa"/>
            <w:vAlign w:val="bottom"/>
          </w:tcPr>
          <w:p>
            <w:pPr>
              <w:jc w:val="right"/>
              <w:ind w:right="921"/>
              <w:spacing w:after="0" w:line="155" w:lineRule="exact"/>
              <w:rPr>
                <w:sz w:val="20"/>
                <w:szCs w:val="20"/>
                <w:color w:val="auto"/>
              </w:rPr>
            </w:pPr>
            <w:r>
              <w:rPr>
                <w:rFonts w:ascii="Arial" w:cs="Arial" w:eastAsia="Arial" w:hAnsi="Arial"/>
                <w:sz w:val="15"/>
                <w:szCs w:val="15"/>
                <w:b w:val="1"/>
                <w:bCs w:val="1"/>
                <w:color w:val="auto"/>
              </w:rPr>
              <w:t>Chief Executive Officer</w:t>
            </w:r>
          </w:p>
        </w:tc>
      </w:tr>
      <w:tr>
        <w:trPr>
          <w:trHeight w:val="202"/>
        </w:trPr>
        <w:tc>
          <w:tcPr>
            <w:tcW w:w="2920" w:type="dxa"/>
            <w:vAlign w:val="bottom"/>
          </w:tcPr>
          <w:p>
            <w:pPr>
              <w:spacing w:after="0"/>
              <w:rPr>
                <w:sz w:val="17"/>
                <w:szCs w:val="17"/>
                <w:color w:val="auto"/>
              </w:rPr>
            </w:pPr>
          </w:p>
        </w:tc>
        <w:tc>
          <w:tcPr>
            <w:tcW w:w="3560" w:type="dxa"/>
            <w:vAlign w:val="bottom"/>
          </w:tcPr>
          <w:p>
            <w:pPr>
              <w:jc w:val="right"/>
              <w:ind w:right="741"/>
              <w:spacing w:after="0"/>
              <w:rPr>
                <w:sz w:val="20"/>
                <w:szCs w:val="20"/>
                <w:color w:val="auto"/>
              </w:rPr>
            </w:pPr>
            <w:r>
              <w:rPr>
                <w:rFonts w:ascii="Arial" w:cs="Arial" w:eastAsia="Arial" w:hAnsi="Arial"/>
                <w:sz w:val="15"/>
                <w:szCs w:val="15"/>
                <w:b w:val="1"/>
                <w:bCs w:val="1"/>
                <w:color w:val="auto"/>
              </w:rPr>
              <w:t>(Principal Executive Officer)</w:t>
            </w:r>
          </w:p>
        </w:tc>
      </w:tr>
    </w:tbl>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244"/>
        </w:trPr>
        <w:tc>
          <w:tcPr>
            <w:tcW w:w="2920" w:type="dxa"/>
            <w:vAlign w:val="bottom"/>
          </w:tcPr>
          <w:p>
            <w:pPr>
              <w:spacing w:after="0"/>
              <w:rPr>
                <w:sz w:val="20"/>
                <w:szCs w:val="20"/>
                <w:color w:val="auto"/>
              </w:rPr>
            </w:pPr>
            <w:r>
              <w:rPr>
                <w:rFonts w:ascii="Arial" w:cs="Arial" w:eastAsia="Arial" w:hAnsi="Arial"/>
                <w:sz w:val="17"/>
                <w:szCs w:val="17"/>
                <w:color w:val="auto"/>
              </w:rPr>
              <w:t>Date: April 28, 2022</w:t>
            </w:r>
          </w:p>
        </w:tc>
        <w:tc>
          <w:tcPr>
            <w:tcW w:w="3560" w:type="dxa"/>
            <w:vAlign w:val="bottom"/>
            <w:tcBorders>
              <w:bottom w:val="single" w:sz="8" w:color="auto"/>
            </w:tcBorders>
          </w:tcPr>
          <w:p>
            <w:pPr>
              <w:jc w:val="center"/>
              <w:ind w:right="81"/>
              <w:spacing w:after="0"/>
              <w:rPr>
                <w:sz w:val="20"/>
                <w:szCs w:val="20"/>
                <w:color w:val="auto"/>
              </w:rPr>
            </w:pPr>
            <w:r>
              <w:rPr>
                <w:rFonts w:ascii="Arial" w:cs="Arial" w:eastAsia="Arial" w:hAnsi="Arial"/>
                <w:sz w:val="17"/>
                <w:szCs w:val="17"/>
                <w:color w:val="auto"/>
                <w:w w:val="96"/>
              </w:rPr>
              <w:t>/s/ STEVEN E. VOSKUIL</w:t>
            </w:r>
          </w:p>
        </w:tc>
      </w:tr>
      <w:tr>
        <w:trPr>
          <w:trHeight w:val="187"/>
        </w:trPr>
        <w:tc>
          <w:tcPr>
            <w:tcW w:w="2920" w:type="dxa"/>
            <w:vAlign w:val="bottom"/>
          </w:tcPr>
          <w:p>
            <w:pPr>
              <w:spacing w:after="0"/>
              <w:rPr>
                <w:sz w:val="16"/>
                <w:szCs w:val="16"/>
                <w:color w:val="auto"/>
              </w:rPr>
            </w:pPr>
          </w:p>
        </w:tc>
        <w:tc>
          <w:tcPr>
            <w:tcW w:w="3560" w:type="dxa"/>
            <w:vAlign w:val="bottom"/>
          </w:tcPr>
          <w:p>
            <w:pPr>
              <w:jc w:val="center"/>
              <w:ind w:right="81"/>
              <w:spacing w:after="0"/>
              <w:rPr>
                <w:sz w:val="20"/>
                <w:szCs w:val="20"/>
                <w:color w:val="auto"/>
              </w:rPr>
            </w:pPr>
            <w:r>
              <w:rPr>
                <w:rFonts w:ascii="Arial" w:cs="Arial" w:eastAsia="Arial" w:hAnsi="Arial"/>
                <w:sz w:val="15"/>
                <w:szCs w:val="15"/>
                <w:b w:val="1"/>
                <w:bCs w:val="1"/>
                <w:color w:val="auto"/>
                <w:w w:val="92"/>
              </w:rPr>
              <w:t>Steven E. Voskuil</w:t>
            </w:r>
          </w:p>
        </w:tc>
      </w:tr>
      <w:tr>
        <w:trPr>
          <w:trHeight w:val="155"/>
        </w:trPr>
        <w:tc>
          <w:tcPr>
            <w:tcW w:w="2920" w:type="dxa"/>
            <w:vAlign w:val="bottom"/>
          </w:tcPr>
          <w:p>
            <w:pPr>
              <w:spacing w:after="0"/>
              <w:rPr>
                <w:sz w:val="13"/>
                <w:szCs w:val="13"/>
                <w:color w:val="auto"/>
              </w:rPr>
            </w:pPr>
          </w:p>
        </w:tc>
        <w:tc>
          <w:tcPr>
            <w:tcW w:w="35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5"/>
              </w:rPr>
              <w:t>Chief Financial Officer</w:t>
            </w:r>
          </w:p>
        </w:tc>
      </w:tr>
      <w:tr>
        <w:trPr>
          <w:trHeight w:val="202"/>
        </w:trPr>
        <w:tc>
          <w:tcPr>
            <w:tcW w:w="29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Arial" w:cs="Arial" w:eastAsia="Arial" w:hAnsi="Arial"/>
                <w:sz w:val="15"/>
                <w:szCs w:val="15"/>
                <w:b w:val="1"/>
                <w:bCs w:val="1"/>
                <w:color w:val="auto"/>
                <w:w w:val="96"/>
              </w:rPr>
              <w:t>(Principal Financial Officer)</w:t>
            </w:r>
          </w:p>
        </w:tc>
      </w:tr>
    </w:tbl>
    <w:p>
      <w:pPr>
        <w:spacing w:after="0" w:line="23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995045</wp:posOffset>
            </wp:positionV>
            <wp:extent cx="188595" cy="163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188595"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Hershey Company | Q1 2022 Form 10-Q | Exhibit 32.1</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jpeg"/><Relationship Id="rId125" Type="http://schemas.openxmlformats.org/officeDocument/2006/relationships/image" Target="media/image115.png"/><Relationship Id="rId126" Type="http://schemas.openxmlformats.org/officeDocument/2006/relationships/image" Target="media/image116.jpeg"/><Relationship Id="rId127" Type="http://schemas.openxmlformats.org/officeDocument/2006/relationships/image" Target="media/image117.png"/><Relationship Id="rId128" Type="http://schemas.openxmlformats.org/officeDocument/2006/relationships/image" Target="media/image118.jpeg"/><Relationship Id="rId129" Type="http://schemas.openxmlformats.org/officeDocument/2006/relationships/image" Target="media/image119.png"/><Relationship Id="rId130" Type="http://schemas.openxmlformats.org/officeDocument/2006/relationships/image" Target="media/image120.jpeg"/><Relationship Id="rId131" Type="http://schemas.openxmlformats.org/officeDocument/2006/relationships/image" Target="media/image121.jpeg"/><Relationship Id="rId120" Type="http://schemas.openxmlformats.org/officeDocument/2006/relationships/hyperlink" Target="http://www.sec.gov/Archives/edgar/data/47111/000004711105000159/exhibit3.htm?_sm_byp=iVV7PRrr5tFtD2T5" TargetMode="External"/><Relationship Id="rId121" Type="http://schemas.openxmlformats.org/officeDocument/2006/relationships/hyperlink" Target="http://www.sec.gov/Archives/edgar/data/47111/000004711119000010/hsy_20181231exhibit32by-la.htm" TargetMode="External"/><Relationship Id="rId122" Type="http://schemas.openxmlformats.org/officeDocument/2006/relationships/hyperlink" Target="https://www.sec.gov/Archives/edgar/data/47111/000004711122000011/stockpurchaseagreement-2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2022-04-28T20:52:54Z</dcterms:created>
  <dcterms:modified xsi:type="dcterms:W3CDTF">2022-04-28T20:52:54Z</dcterms:modified>
</cp:coreProperties>
</file>