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jc w:val="center"/>
        <w:spacing w:after="0" w:line="212"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82" w:lineRule="exact"/>
        <w:rPr>
          <w:sz w:val="24"/>
          <w:szCs w:val="24"/>
          <w:color w:val="auto"/>
        </w:rPr>
      </w:pPr>
    </w:p>
    <w:p>
      <w:pPr>
        <w:ind w:left="1400" w:right="1280" w:hanging="298"/>
        <w:spacing w:after="0" w:line="235" w:lineRule="auto"/>
        <w:tabs>
          <w:tab w:leader="none" w:pos="1400" w:val="left"/>
        </w:tabs>
        <w:numPr>
          <w:ilvl w:val="0"/>
          <w:numId w:val="1"/>
        </w:numPr>
        <w:rPr>
          <w:rFonts w:ascii="Arial" w:cs="Arial" w:eastAsia="Arial" w:hAnsi="Arial"/>
          <w:sz w:val="22"/>
          <w:szCs w:val="22"/>
          <w:b w:val="1"/>
          <w:bCs w:val="1"/>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July 1, 2018</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1400" w:right="1260" w:hanging="339"/>
        <w:spacing w:after="0"/>
        <w:tabs>
          <w:tab w:leader="none" w:pos="1400" w:val="left"/>
        </w:tabs>
        <w:numPr>
          <w:ilvl w:val="0"/>
          <w:numId w:val="2"/>
        </w:numPr>
        <w:rPr>
          <w:rFonts w:ascii="MS PGothic" w:cs="MS PGothic" w:eastAsia="MS PGothic" w:hAnsi="MS PGothic"/>
          <w:sz w:val="40"/>
          <w:szCs w:val="40"/>
          <w:color w:val="auto"/>
          <w:vertAlign w:val="subscript"/>
        </w:rPr>
      </w:pPr>
      <w:r>
        <w:rPr>
          <w:rFonts w:ascii="Arial" w:cs="Arial" w:eastAsia="Arial" w:hAnsi="Arial"/>
          <w:sz w:val="17"/>
          <w:szCs w:val="17"/>
          <w:b w:val="1"/>
          <w:bCs w:val="1"/>
          <w:color w:val="auto"/>
        </w:rPr>
        <w:t>TRANSITION REPORT PURSUANT TO SECTION 13 OR 15(d) OF THE SECURITIES EXCHANGE ACT OF 1934</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transition period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from ______to_______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HERSHEY COMPANY</w:t>
      </w:r>
    </w:p>
    <w:p>
      <w:pPr>
        <w:jc w:val="center"/>
        <w:ind w:right="-2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887" w:right="239" w:bottom="1440" w:gutter="0" w:footer="0" w:header="0"/>
        </w:sectPr>
      </w:pPr>
    </w:p>
    <w:p>
      <w:pPr>
        <w:spacing w:after="0" w:line="304"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Delaware</w:t>
      </w:r>
    </w:p>
    <w:p>
      <w:pPr>
        <w:spacing w:after="0" w:line="20" w:lineRule="exact"/>
        <w:rPr>
          <w:sz w:val="24"/>
          <w:szCs w:val="24"/>
          <w:color w:val="auto"/>
        </w:rPr>
      </w:pPr>
      <w:r>
        <w:rPr>
          <w:sz w:val="24"/>
          <w:szCs w:val="24"/>
          <w:color w:val="auto"/>
        </w:rPr>
        <w:br w:type="column"/>
      </w:r>
    </w:p>
    <w:p>
      <w:pPr>
        <w:spacing w:after="0" w:line="284" w:lineRule="exact"/>
        <w:rPr>
          <w:sz w:val="24"/>
          <w:szCs w:val="24"/>
          <w:color w:val="auto"/>
        </w:rPr>
      </w:pPr>
    </w:p>
    <w:p>
      <w:pPr>
        <w:spacing w:after="0"/>
        <w:rPr>
          <w:sz w:val="20"/>
          <w:szCs w:val="20"/>
          <w:color w:val="auto"/>
        </w:rPr>
      </w:pPr>
      <w:r>
        <w:rPr>
          <w:rFonts w:ascii="Arial" w:cs="Arial" w:eastAsia="Arial" w:hAnsi="Arial"/>
          <w:sz w:val="16"/>
          <w:szCs w:val="16"/>
          <w:color w:val="auto"/>
        </w:rPr>
        <w:t>23-0691590</w:t>
      </w:r>
    </w:p>
    <w:p>
      <w:pPr>
        <w:spacing w:after="0" w:line="86" w:lineRule="exact"/>
        <w:rPr>
          <w:sz w:val="24"/>
          <w:szCs w:val="24"/>
          <w:color w:val="auto"/>
        </w:rPr>
      </w:pPr>
    </w:p>
    <w:p>
      <w:pPr>
        <w:sectPr>
          <w:pgSz w:w="11900" w:h="16838" w:orient="portrait"/>
          <w:cols w:equalWidth="0" w:num="2">
            <w:col w:w="7440" w:space="720"/>
            <w:col w:w="3260"/>
          </w:cols>
          <w:pgMar w:left="240" w:top="887" w:right="239" w:bottom="1440" w:gutter="0" w:footer="0" w:header="0"/>
          <w:type w:val="continuous"/>
        </w:sectPr>
      </w:pPr>
    </w:p>
    <w:p>
      <w:pPr>
        <w:jc w:val="center"/>
        <w:ind w:right="800"/>
        <w:spacing w:after="0"/>
        <w:rPr>
          <w:sz w:val="20"/>
          <w:szCs w:val="20"/>
          <w:color w:val="auto"/>
        </w:rPr>
      </w:pPr>
      <w:r>
        <w:rPr>
          <w:rFonts w:ascii="Arial" w:cs="Arial" w:eastAsia="Arial" w:hAnsi="Arial"/>
          <w:sz w:val="16"/>
          <w:szCs w:val="16"/>
          <w:color w:val="auto"/>
        </w:rPr>
        <w:t>(State or other jurisdiction of incorporation</w:t>
      </w:r>
    </w:p>
    <w:p>
      <w:pPr>
        <w:spacing w:after="0" w:line="46" w:lineRule="exact"/>
        <w:rPr>
          <w:sz w:val="24"/>
          <w:szCs w:val="24"/>
          <w:color w:val="auto"/>
        </w:rPr>
      </w:pPr>
    </w:p>
    <w:p>
      <w:pPr>
        <w:jc w:val="center"/>
        <w:ind w:right="780"/>
        <w:spacing w:after="0"/>
        <w:rPr>
          <w:sz w:val="20"/>
          <w:szCs w:val="20"/>
          <w:color w:val="auto"/>
        </w:rPr>
      </w:pPr>
      <w:r>
        <w:rPr>
          <w:rFonts w:ascii="Arial" w:cs="Arial" w:eastAsia="Arial" w:hAnsi="Arial"/>
          <w:sz w:val="18"/>
          <w:szCs w:val="18"/>
          <w:color w:val="auto"/>
        </w:rPr>
        <w:t>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90" w:lineRule="exact"/>
        <w:rPr>
          <w:sz w:val="24"/>
          <w:szCs w:val="24"/>
          <w:color w:val="auto"/>
        </w:rPr>
      </w:pPr>
    </w:p>
    <w:p>
      <w:pPr>
        <w:sectPr>
          <w:pgSz w:w="11900" w:h="16838" w:orient="portrait"/>
          <w:cols w:equalWidth="0" w:num="2">
            <w:col w:w="6580" w:space="720"/>
            <w:col w:w="4120"/>
          </w:cols>
          <w:pgMar w:left="240" w:top="887" w:right="239" w:bottom="1440" w:gutter="0" w:footer="0" w:header="0"/>
          <w:type w:val="continuous"/>
        </w:sectPr>
      </w:pPr>
    </w:p>
    <w:p>
      <w:pPr>
        <w:jc w:val="center"/>
        <w:ind w:right="20"/>
        <w:spacing w:after="0"/>
        <w:rPr>
          <w:sz w:val="20"/>
          <w:szCs w:val="20"/>
          <w:color w:val="auto"/>
        </w:rPr>
      </w:pPr>
      <w:r>
        <w:rPr>
          <w:rFonts w:ascii="Arial" w:cs="Arial" w:eastAsia="Arial" w:hAnsi="Arial"/>
          <w:sz w:val="16"/>
          <w:szCs w:val="16"/>
          <w:color w:val="auto"/>
        </w:rPr>
        <w:t>100 Crystal A Drive, Hershey, PA</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17033</w:t>
      </w:r>
    </w:p>
    <w:p>
      <w:pPr>
        <w:sectPr>
          <w:pgSz w:w="11900" w:h="16838" w:orient="portrait"/>
          <w:cols w:equalWidth="0" w:num="1">
            <w:col w:w="11420"/>
          </w:cols>
          <w:pgMar w:left="240" w:top="887" w:right="239" w:bottom="1440" w:gutter="0" w:footer="0" w:header="0"/>
          <w:type w:val="continuous"/>
        </w:sectPr>
      </w:pPr>
    </w:p>
    <w:p>
      <w:pPr>
        <w:spacing w:after="0" w:line="4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(Address of principal executive offices)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(Zip Code)</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717-534-4200</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Not Applicable</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8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89" w:lineRule="exact"/>
        <w:rPr>
          <w:sz w:val="24"/>
          <w:szCs w:val="24"/>
          <w:color w:val="auto"/>
        </w:rPr>
      </w:pPr>
    </w:p>
    <w:p>
      <w:pPr>
        <w:jc w:val="both"/>
        <w:ind w:right="8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887" w:right="239" w:bottom="1440" w:gutter="0" w:footer="0" w:header="0"/>
          <w:type w:val="continuous"/>
        </w:sectPr>
      </w:pPr>
    </w:p>
    <w:p>
      <w:pPr>
        <w:spacing w:after="0" w:line="127"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ind w:right="100"/>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jc w:val="center"/>
        <w:ind w:right="780"/>
        <w:spacing w:after="0" w:line="16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6">
            <w:col w:w="2280" w:space="720"/>
            <w:col w:w="220" w:space="720"/>
            <w:col w:w="2080" w:space="720"/>
            <w:col w:w="240" w:space="720"/>
            <w:col w:w="2060" w:space="720"/>
            <w:col w:w="940"/>
          </w:cols>
          <w:pgMar w:left="240" w:top="887" w:right="239" w:bottom="1440" w:gutter="0" w:footer="0" w:header="0"/>
          <w:type w:val="continuous"/>
        </w:sectPr>
      </w:pPr>
    </w:p>
    <w:p>
      <w:pPr>
        <w:spacing w:after="0" w:line="116"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jc w:val="center"/>
        <w:ind w:right="780"/>
        <w:spacing w:after="0" w:line="161" w:lineRule="exact"/>
        <w:rPr>
          <w:sz w:val="20"/>
          <w:szCs w:val="20"/>
          <w:color w:val="auto"/>
        </w:rPr>
      </w:pPr>
      <w:r>
        <w:rPr>
          <w:rFonts w:ascii="MS PGothic" w:cs="MS PGothic" w:eastAsia="MS PGothic" w:hAnsi="MS PGothic"/>
          <w:sz w:val="16"/>
          <w:szCs w:val="16"/>
          <w:color w:val="auto"/>
        </w:rPr>
        <w:t>☐</w:t>
      </w:r>
    </w:p>
    <w:p>
      <w:pPr>
        <w:spacing w:after="0" w:line="237" w:lineRule="exact"/>
        <w:rPr>
          <w:sz w:val="24"/>
          <w:szCs w:val="24"/>
          <w:color w:val="auto"/>
        </w:rPr>
      </w:pPr>
    </w:p>
    <w:p>
      <w:pPr>
        <w:sectPr>
          <w:pgSz w:w="11900" w:h="16838" w:orient="portrait"/>
          <w:cols w:equalWidth="0" w:num="5">
            <w:col w:w="2240" w:space="720"/>
            <w:col w:w="160" w:space="240"/>
            <w:col w:w="3620" w:space="720"/>
            <w:col w:w="2060" w:space="720"/>
            <w:col w:w="940"/>
          </w:cols>
          <w:pgMar w:left="240" w:top="887" w:right="239" w:bottom="1440" w:gutter="0" w:footer="0" w:header="0"/>
          <w:type w:val="continuous"/>
        </w:sect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163"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w:t>
      </w:r>
    </w:p>
    <w:p>
      <w:pPr>
        <w:spacing w:after="0" w:line="23"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Common Stock, one dollar par value—148,692,935 shares, as of July 20, 2018.</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Class B Common Stock, one dollar par value—60,619,777 shares, as of July 20,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87"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Ended July 1,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0" w:type="dxa"/>
            <w:vAlign w:val="bottom"/>
            <w:tcBorders>
              <w:bottom w:val="single" w:sz="8" w:color="CCEEFF"/>
            </w:tcBorders>
            <w:shd w:val="clear" w:color="auto" w:fill="CCEEFF"/>
          </w:tcPr>
          <w:p>
            <w:pPr>
              <w:spacing w:after="0"/>
              <w:rPr>
                <w:sz w:val="22"/>
                <w:szCs w:val="22"/>
                <w:color w:val="auto"/>
              </w:rPr>
            </w:pPr>
          </w:p>
        </w:tc>
        <w:tc>
          <w:tcPr>
            <w:tcW w:w="2880" w:type="dxa"/>
            <w:vAlign w:val="bottom"/>
            <w:tcBorders>
              <w:bottom w:val="single" w:sz="8" w:color="0000EE"/>
            </w:tcBorders>
            <w:gridSpan w:val="11"/>
            <w:shd w:val="clear" w:color="auto" w:fill="CCEEFF"/>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PART I. FINANCIAL INFORMATION</w:t>
              </w:r>
            </w:hyperlink>
          </w:p>
        </w:tc>
        <w:tc>
          <w:tcPr>
            <w:tcW w:w="8300" w:type="dxa"/>
            <w:vAlign w:val="bottom"/>
            <w:tcBorders>
              <w:bottom w:val="single" w:sz="8" w:color="CCEEFF"/>
            </w:tcBorders>
            <w:gridSpan w:val="10"/>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20" w:type="dxa"/>
            <w:vAlign w:val="bottom"/>
            <w:tcBorders>
              <w:bottom w:val="single" w:sz="8" w:color="CCEEFF"/>
            </w:tcBorders>
            <w:shd w:val="clear" w:color="auto" w:fill="CCEEFF"/>
          </w:tcPr>
          <w:p>
            <w:pPr>
              <w:spacing w:after="0"/>
              <w:rPr>
                <w:sz w:val="22"/>
                <w:szCs w:val="22"/>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40" w:type="dxa"/>
            <w:vAlign w:val="bottom"/>
            <w:gridSpan w:val="20"/>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940" w:type="dxa"/>
            <w:vAlign w:val="bottom"/>
            <w:gridSpan w:val="19"/>
            <w:shd w:val="clear" w:color="auto" w:fill="CCEEFF"/>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Consolidated Statements of Income for the Three and Six Months Ended July 1, 2018 and July 2, 2017</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180" w:type="dxa"/>
            <w:vAlign w:val="bottom"/>
            <w:tcBorders>
              <w:top w:val="single" w:sz="8" w:color="0000EE"/>
            </w:tcBorders>
            <w:shd w:val="clear" w:color="auto" w:fill="CCEEFF"/>
          </w:tcPr>
          <w:p>
            <w:pPr>
              <w:spacing w:after="0"/>
              <w:rPr>
                <w:sz w:val="4"/>
                <w:szCs w:val="4"/>
                <w:color w:val="auto"/>
              </w:rPr>
            </w:pPr>
          </w:p>
        </w:tc>
        <w:tc>
          <w:tcPr>
            <w:tcW w:w="86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110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2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940" w:type="dxa"/>
            <w:vAlign w:val="bottom"/>
            <w:gridSpan w:val="19"/>
          </w:tcPr>
          <w:p>
            <w:pPr>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Comprehensive Income for the Three and Six Months Ended July 1, 2018 and July 2, 2017</w:t>
              </w:r>
            </w:hyperlink>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2</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180" w:type="dxa"/>
            <w:vAlign w:val="bottom"/>
            <w:tcBorders>
              <w:top w:val="single" w:sz="8" w:color="0000EE"/>
            </w:tcBorders>
          </w:tcPr>
          <w:p>
            <w:pPr>
              <w:spacing w:after="0"/>
              <w:rPr>
                <w:sz w:val="4"/>
                <w:szCs w:val="4"/>
                <w:color w:val="auto"/>
              </w:rPr>
            </w:pPr>
          </w:p>
        </w:tc>
        <w:tc>
          <w:tcPr>
            <w:tcW w:w="86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10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180" w:type="dxa"/>
            <w:vAlign w:val="bottom"/>
            <w:tcBorders>
              <w:top w:val="single" w:sz="8" w:color="0000EE"/>
            </w:tcBorders>
          </w:tcPr>
          <w:p>
            <w:pPr>
              <w:spacing w:after="0"/>
              <w:rPr>
                <w:sz w:val="4"/>
                <w:szCs w:val="4"/>
                <w:color w:val="auto"/>
              </w:rPr>
            </w:pPr>
          </w:p>
        </w:tc>
        <w:tc>
          <w:tcPr>
            <w:tcW w:w="2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0000EE"/>
            </w:tcBorders>
            <w:gridSpan w:val="13"/>
            <w:shd w:val="clear" w:color="auto" w:fill="CCEEFF"/>
          </w:tcPr>
          <w:p>
            <w:pPr>
              <w:spacing w:after="0" w:line="202"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Consolidated Balance Sheets as of July 1, 2018 and December 31, 2017</w:t>
              </w:r>
            </w:hyperlink>
          </w:p>
        </w:tc>
        <w:tc>
          <w:tcPr>
            <w:tcW w:w="5760" w:type="dxa"/>
            <w:vAlign w:val="bottom"/>
            <w:tcBorders>
              <w:bottom w:val="single" w:sz="8" w:color="CCEEFF"/>
            </w:tcBorders>
            <w:gridSpan w:val="6"/>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940" w:type="dxa"/>
            <w:vAlign w:val="bottom"/>
            <w:gridSpan w:val="19"/>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for the Six Months Ended July 1, 2018 and July 2, 2017</w:t>
              </w:r>
            </w:hyperlink>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4</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180" w:type="dxa"/>
            <w:vAlign w:val="bottom"/>
            <w:tcBorders>
              <w:top w:val="single" w:sz="8" w:color="0000EE"/>
            </w:tcBorders>
          </w:tcPr>
          <w:p>
            <w:pPr>
              <w:spacing w:after="0"/>
              <w:rPr>
                <w:sz w:val="4"/>
                <w:szCs w:val="4"/>
                <w:color w:val="auto"/>
              </w:rPr>
            </w:pPr>
          </w:p>
        </w:tc>
        <w:tc>
          <w:tcPr>
            <w:tcW w:w="86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10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940" w:type="dxa"/>
            <w:vAlign w:val="bottom"/>
            <w:gridSpan w:val="19"/>
            <w:shd w:val="clear" w:color="auto" w:fill="CCEEFF"/>
          </w:tcPr>
          <w:p>
            <w:pPr>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Statement of Stockholders' Equity for the Six Months Ended July 1, 2018</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5</w:t>
              </w:r>
            </w:hyperlink>
          </w:p>
        </w:tc>
      </w:tr>
      <w:tr>
        <w:trPr>
          <w:trHeight w:val="203"/>
        </w:trPr>
        <w:tc>
          <w:tcPr>
            <w:tcW w:w="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280" w:type="dxa"/>
            <w:vAlign w:val="bottom"/>
            <w:tcBorders>
              <w:top w:val="single" w:sz="8" w:color="0000EE"/>
            </w:tcBorders>
            <w:gridSpan w:val="14"/>
          </w:tcPr>
          <w:p>
            <w:pPr>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Notes to Unaudited Consolidated Financial Statements</w:t>
              </w:r>
            </w:hyperlink>
          </w:p>
        </w:tc>
        <w:tc>
          <w:tcPr>
            <w:tcW w:w="4660" w:type="dxa"/>
            <w:vAlign w:val="bottom"/>
            <w:tcBorders>
              <w:top w:val="single" w:sz="8" w:color="CCEEFF"/>
            </w:tcBorders>
            <w:gridSpan w:val="5"/>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0000EE"/>
            </w:tcBorders>
          </w:tcPr>
          <w:p>
            <w:pPr>
              <w:jc w:val="right"/>
              <w:spacing w:after="0" w:line="202"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6</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180" w:type="dxa"/>
            <w:vAlign w:val="bottom"/>
            <w:tcBorders>
              <w:top w:val="single" w:sz="8" w:color="0000EE"/>
            </w:tcBorders>
          </w:tcPr>
          <w:p>
            <w:pPr>
              <w:spacing w:after="0"/>
              <w:rPr>
                <w:sz w:val="4"/>
                <w:szCs w:val="4"/>
                <w:color w:val="auto"/>
              </w:rPr>
            </w:pPr>
          </w:p>
        </w:tc>
        <w:tc>
          <w:tcPr>
            <w:tcW w:w="8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40" w:type="dxa"/>
            <w:vAlign w:val="bottom"/>
            <w:gridSpan w:val="20"/>
            <w:shd w:val="clear" w:color="auto" w:fill="CCEEFF"/>
          </w:tcPr>
          <w:p>
            <w:pPr>
              <w:spacing w:after="0" w:line="202" w:lineRule="exact"/>
              <w:rPr>
                <w:rFonts w:ascii="Arial" w:cs="Arial" w:eastAsia="Arial" w:hAnsi="Arial"/>
                <w:sz w:val="18"/>
                <w:szCs w:val="18"/>
                <w:color w:val="0000EE"/>
              </w:rPr>
            </w:pPr>
            <w:hyperlink w:anchor="page31">
              <w:r>
                <w:rPr>
                  <w:rFonts w:ascii="Arial" w:cs="Arial" w:eastAsia="Arial" w:hAnsi="Arial"/>
                  <w:sz w:val="18"/>
                  <w:szCs w:val="18"/>
                  <w:color w:val="0000EE"/>
                </w:rPr>
                <w:t>Item 2. Management's Discussion and Analysis of Financial Condition and Results of Operations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29</w:t>
              </w:r>
            </w:hyperlink>
          </w:p>
        </w:tc>
      </w:tr>
      <w:tr>
        <w:trPr>
          <w:trHeight w:val="203"/>
        </w:trPr>
        <w:tc>
          <w:tcPr>
            <w:tcW w:w="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980" w:type="dxa"/>
            <w:vAlign w:val="bottom"/>
            <w:tcBorders>
              <w:top w:val="single" w:sz="8" w:color="0000EE"/>
            </w:tcBorders>
            <w:gridSpan w:val="16"/>
          </w:tcPr>
          <w:p>
            <w:pPr>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Item 3. Quantitative and Qualitative Disclosures About Market Risk</w:t>
              </w:r>
            </w:hyperlink>
          </w:p>
        </w:tc>
        <w:tc>
          <w:tcPr>
            <w:tcW w:w="4060" w:type="dxa"/>
            <w:vAlign w:val="bottom"/>
            <w:tcBorders>
              <w:top w:val="single" w:sz="8" w:color="CCEEFF"/>
            </w:tcBorders>
            <w:gridSpan w:val="4"/>
          </w:tcPr>
          <w:p>
            <w:pPr>
              <w:spacing w:after="0"/>
              <w:rPr>
                <w:sz w:val="17"/>
                <w:szCs w:val="17"/>
                <w:color w:val="auto"/>
              </w:rPr>
            </w:pPr>
          </w:p>
        </w:tc>
        <w:tc>
          <w:tcPr>
            <w:tcW w:w="1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79"/>
              </w:rPr>
            </w:pPr>
            <w:hyperlink w:anchor="page49">
              <w:r>
                <w:rPr>
                  <w:rFonts w:ascii="Arial" w:cs="Arial" w:eastAsia="Arial" w:hAnsi="Arial"/>
                  <w:sz w:val="18"/>
                  <w:szCs w:val="18"/>
                  <w:color w:val="0000EE"/>
                  <w:w w:val="79"/>
                </w:rPr>
                <w:t>47</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180" w:type="dxa"/>
            <w:vAlign w:val="bottom"/>
            <w:tcBorders>
              <w:top w:val="single" w:sz="8" w:color="0000EE"/>
            </w:tcBorders>
          </w:tcPr>
          <w:p>
            <w:pPr>
              <w:spacing w:after="0"/>
              <w:rPr>
                <w:sz w:val="4"/>
                <w:szCs w:val="4"/>
                <w:color w:val="auto"/>
              </w:rPr>
            </w:pPr>
          </w:p>
        </w:tc>
        <w:tc>
          <w:tcPr>
            <w:tcW w:w="860" w:type="dxa"/>
            <w:vAlign w:val="bottom"/>
            <w:tcBorders>
              <w:top w:val="single" w:sz="8" w:color="0000EE"/>
            </w:tcBorders>
          </w:tcPr>
          <w:p>
            <w:pPr>
              <w:spacing w:after="0"/>
              <w:rPr>
                <w:sz w:val="4"/>
                <w:szCs w:val="4"/>
                <w:color w:val="auto"/>
              </w:rPr>
            </w:pPr>
          </w:p>
        </w:tc>
        <w:tc>
          <w:tcPr>
            <w:tcW w:w="3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40" w:type="dxa"/>
            <w:vAlign w:val="bottom"/>
            <w:gridSpan w:val="20"/>
            <w:shd w:val="clear" w:color="auto" w:fill="CCEEFF"/>
          </w:tcPr>
          <w:p>
            <w:pPr>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Item 4. Controls and Procedures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49">
              <w:r>
                <w:rPr>
                  <w:rFonts w:ascii="Arial" w:cs="Arial" w:eastAsia="Arial" w:hAnsi="Arial"/>
                  <w:sz w:val="18"/>
                  <w:szCs w:val="18"/>
                  <w:color w:val="0000EE"/>
                  <w:w w:val="79"/>
                </w:rPr>
                <w:t>47</w:t>
              </w:r>
            </w:hyperlink>
          </w:p>
        </w:tc>
      </w:tr>
      <w:tr>
        <w:trPr>
          <w:trHeight w:val="324"/>
        </w:trPr>
        <w:tc>
          <w:tcPr>
            <w:tcW w:w="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180" w:type="dxa"/>
            <w:vAlign w:val="bottom"/>
            <w:tcBorders>
              <w:top w:val="single" w:sz="8" w:color="CCEEFF"/>
            </w:tcBorders>
          </w:tcPr>
          <w:p>
            <w:pPr>
              <w:spacing w:after="0"/>
              <w:rPr>
                <w:sz w:val="24"/>
                <w:szCs w:val="24"/>
                <w:color w:val="auto"/>
              </w:rPr>
            </w:pPr>
          </w:p>
        </w:tc>
        <w:tc>
          <w:tcPr>
            <w:tcW w:w="86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1180" w:type="dxa"/>
            <w:vAlign w:val="bottom"/>
            <w:tcBorders>
              <w:top w:val="single" w:sz="8" w:color="CCEEFF"/>
            </w:tcBorders>
          </w:tcPr>
          <w:p>
            <w:pPr>
              <w:spacing w:after="0"/>
              <w:rPr>
                <w:sz w:val="24"/>
                <w:szCs w:val="24"/>
                <w:color w:val="auto"/>
              </w:rPr>
            </w:pPr>
          </w:p>
        </w:tc>
        <w:tc>
          <w:tcPr>
            <w:tcW w:w="236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11180" w:type="dxa"/>
            <w:vAlign w:val="bottom"/>
            <w:gridSpan w:val="21"/>
            <w:shd w:val="clear" w:color="auto" w:fill="CCEEFF"/>
          </w:tcPr>
          <w:p>
            <w:pPr>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PART II. OTHER INFORMATION</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0">
              <w:r>
                <w:rPr>
                  <w:rFonts w:ascii="Arial" w:cs="Arial" w:eastAsia="Arial" w:hAnsi="Arial"/>
                  <w:sz w:val="18"/>
                  <w:szCs w:val="18"/>
                  <w:color w:val="0000EE"/>
                  <w:w w:val="79"/>
                </w:rPr>
                <w:t>48</w:t>
              </w:r>
            </w:hyperlink>
          </w:p>
        </w:tc>
      </w:tr>
      <w:tr>
        <w:trPr>
          <w:trHeight w:val="203"/>
        </w:trPr>
        <w:tc>
          <w:tcPr>
            <w:tcW w:w="40" w:type="dxa"/>
            <w:vAlign w:val="bottom"/>
            <w:tcBorders>
              <w:top w:val="single" w:sz="8" w:color="CCEEFF"/>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420" w:type="dxa"/>
            <w:vAlign w:val="bottom"/>
            <w:tcBorders>
              <w:top w:val="single" w:sz="8" w:color="0000EE"/>
            </w:tcBorders>
            <w:gridSpan w:val="9"/>
          </w:tcPr>
          <w:p>
            <w:pPr>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Item1. Legal Proceedings</w:t>
              </w:r>
            </w:hyperlink>
          </w:p>
        </w:tc>
        <w:tc>
          <w:tcPr>
            <w:tcW w:w="8620" w:type="dxa"/>
            <w:vAlign w:val="bottom"/>
            <w:tcBorders>
              <w:top w:val="single" w:sz="8" w:color="CCEEFF"/>
            </w:tcBorders>
            <w:gridSpan w:val="11"/>
          </w:tcPr>
          <w:p>
            <w:pPr>
              <w:spacing w:after="0"/>
              <w:rPr>
                <w:sz w:val="17"/>
                <w:szCs w:val="17"/>
                <w:color w:val="auto"/>
              </w:rPr>
            </w:pPr>
          </w:p>
        </w:tc>
        <w:tc>
          <w:tcPr>
            <w:tcW w:w="1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79"/>
              </w:rPr>
            </w:pPr>
            <w:hyperlink w:anchor="page50">
              <w:r>
                <w:rPr>
                  <w:rFonts w:ascii="Arial" w:cs="Arial" w:eastAsia="Arial" w:hAnsi="Arial"/>
                  <w:sz w:val="18"/>
                  <w:szCs w:val="18"/>
                  <w:color w:val="0000EE"/>
                  <w:w w:val="79"/>
                </w:rPr>
                <w:t>48</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0000EE"/>
            </w:tcBorders>
            <w:gridSpan w:val="4"/>
            <w:shd w:val="clear" w:color="auto" w:fill="CCEEFF"/>
          </w:tcPr>
          <w:p>
            <w:pPr>
              <w:spacing w:after="0" w:line="202" w:lineRule="exact"/>
              <w:rPr>
                <w:rFonts w:ascii="Arial" w:cs="Arial" w:eastAsia="Arial" w:hAnsi="Arial"/>
                <w:sz w:val="18"/>
                <w:szCs w:val="18"/>
                <w:color w:val="0000EE"/>
                <w:w w:val="90"/>
              </w:rPr>
            </w:pPr>
            <w:hyperlink w:anchor="page50">
              <w:r>
                <w:rPr>
                  <w:rFonts w:ascii="Arial" w:cs="Arial" w:eastAsia="Arial" w:hAnsi="Arial"/>
                  <w:sz w:val="18"/>
                  <w:szCs w:val="18"/>
                  <w:color w:val="0000EE"/>
                  <w:w w:val="90"/>
                </w:rPr>
                <w:t>Item 1A. Risk Factors</w:t>
              </w:r>
            </w:hyperlink>
          </w:p>
        </w:tc>
        <w:tc>
          <w:tcPr>
            <w:tcW w:w="9460" w:type="dxa"/>
            <w:vAlign w:val="bottom"/>
            <w:tcBorders>
              <w:bottom w:val="single" w:sz="8" w:color="CCEEFF"/>
            </w:tcBorders>
            <w:gridSpan w:val="16"/>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50">
              <w:r>
                <w:rPr>
                  <w:rFonts w:ascii="Arial" w:cs="Arial" w:eastAsia="Arial" w:hAnsi="Arial"/>
                  <w:sz w:val="18"/>
                  <w:szCs w:val="18"/>
                  <w:color w:val="0000EE"/>
                  <w:w w:val="79"/>
                </w:rPr>
                <w:t>48</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40" w:type="dxa"/>
            <w:vAlign w:val="bottom"/>
            <w:gridSpan w:val="20"/>
          </w:tcPr>
          <w:p>
            <w:pPr>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Item 2. Unregistered Sales of Equity Securities and Use of Proceeds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50">
              <w:r>
                <w:rPr>
                  <w:rFonts w:ascii="Arial" w:cs="Arial" w:eastAsia="Arial" w:hAnsi="Arial"/>
                  <w:sz w:val="18"/>
                  <w:szCs w:val="18"/>
                  <w:color w:val="0000EE"/>
                  <w:w w:val="79"/>
                </w:rPr>
                <w:t>48</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180" w:type="dxa"/>
            <w:vAlign w:val="bottom"/>
            <w:tcBorders>
              <w:top w:val="single" w:sz="8" w:color="0000EE"/>
            </w:tcBorders>
          </w:tcPr>
          <w:p>
            <w:pPr>
              <w:spacing w:after="0"/>
              <w:rPr>
                <w:sz w:val="4"/>
                <w:szCs w:val="4"/>
                <w:color w:val="auto"/>
              </w:rPr>
            </w:pPr>
          </w:p>
        </w:tc>
        <w:tc>
          <w:tcPr>
            <w:tcW w:w="860" w:type="dxa"/>
            <w:vAlign w:val="bottom"/>
            <w:tcBorders>
              <w:top w:val="single" w:sz="8" w:color="0000EE"/>
            </w:tcBorders>
          </w:tcPr>
          <w:p>
            <w:pPr>
              <w:spacing w:after="0"/>
              <w:rPr>
                <w:sz w:val="4"/>
                <w:szCs w:val="4"/>
                <w:color w:val="auto"/>
              </w:rPr>
            </w:pPr>
          </w:p>
        </w:tc>
        <w:tc>
          <w:tcPr>
            <w:tcW w:w="3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40" w:type="dxa"/>
            <w:vAlign w:val="bottom"/>
            <w:gridSpan w:val="20"/>
            <w:shd w:val="clear" w:color="auto" w:fill="CCEEFF"/>
          </w:tcPr>
          <w:p>
            <w:pPr>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Item 3. Defaults Upon Senior Securities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0">
              <w:r>
                <w:rPr>
                  <w:rFonts w:ascii="Arial" w:cs="Arial" w:eastAsia="Arial" w:hAnsi="Arial"/>
                  <w:sz w:val="18"/>
                  <w:szCs w:val="18"/>
                  <w:color w:val="0000EE"/>
                  <w:w w:val="79"/>
                </w:rPr>
                <w:t>48</w:t>
              </w:r>
            </w:hyperlink>
          </w:p>
        </w:tc>
      </w:tr>
      <w:tr>
        <w:trPr>
          <w:trHeight w:val="203"/>
        </w:trPr>
        <w:tc>
          <w:tcPr>
            <w:tcW w:w="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860" w:type="dxa"/>
            <w:vAlign w:val="bottom"/>
            <w:tcBorders>
              <w:top w:val="single" w:sz="8" w:color="0000EE"/>
            </w:tcBorders>
            <w:gridSpan w:val="11"/>
          </w:tcPr>
          <w:p>
            <w:pPr>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Item 4. Mine Safety Disclosures</w:t>
              </w:r>
            </w:hyperlink>
          </w:p>
        </w:tc>
        <w:tc>
          <w:tcPr>
            <w:tcW w:w="8180" w:type="dxa"/>
            <w:vAlign w:val="bottom"/>
            <w:tcBorders>
              <w:top w:val="single" w:sz="8" w:color="CCEEFF"/>
            </w:tcBorders>
            <w:gridSpan w:val="9"/>
          </w:tcPr>
          <w:p>
            <w:pPr>
              <w:spacing w:after="0"/>
              <w:rPr>
                <w:sz w:val="17"/>
                <w:szCs w:val="17"/>
                <w:color w:val="auto"/>
              </w:rPr>
            </w:pPr>
          </w:p>
        </w:tc>
        <w:tc>
          <w:tcPr>
            <w:tcW w:w="1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79"/>
              </w:rPr>
            </w:pPr>
            <w:hyperlink w:anchor="page50">
              <w:r>
                <w:rPr>
                  <w:rFonts w:ascii="Arial" w:cs="Arial" w:eastAsia="Arial" w:hAnsi="Arial"/>
                  <w:sz w:val="18"/>
                  <w:szCs w:val="18"/>
                  <w:color w:val="0000EE"/>
                  <w:w w:val="79"/>
                </w:rPr>
                <w:t>48</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0000EE"/>
            </w:tcBorders>
            <w:gridSpan w:val="6"/>
            <w:shd w:val="clear" w:color="auto" w:fill="CCEEFF"/>
          </w:tcPr>
          <w:p>
            <w:pPr>
              <w:spacing w:after="0" w:line="202" w:lineRule="exact"/>
              <w:rPr>
                <w:rFonts w:ascii="Arial" w:cs="Arial" w:eastAsia="Arial" w:hAnsi="Arial"/>
                <w:sz w:val="18"/>
                <w:szCs w:val="18"/>
                <w:color w:val="0000EE"/>
                <w:w w:val="91"/>
              </w:rPr>
            </w:pPr>
            <w:hyperlink w:anchor="page50">
              <w:r>
                <w:rPr>
                  <w:rFonts w:ascii="Arial" w:cs="Arial" w:eastAsia="Arial" w:hAnsi="Arial"/>
                  <w:sz w:val="18"/>
                  <w:szCs w:val="18"/>
                  <w:color w:val="0000EE"/>
                  <w:w w:val="91"/>
                </w:rPr>
                <w:t>Item 5. Other Information</w:t>
              </w:r>
            </w:hyperlink>
          </w:p>
        </w:tc>
        <w:tc>
          <w:tcPr>
            <w:tcW w:w="9180" w:type="dxa"/>
            <w:vAlign w:val="bottom"/>
            <w:tcBorders>
              <w:bottom w:val="single" w:sz="8" w:color="CCEEFF"/>
            </w:tcBorders>
            <w:gridSpan w:val="14"/>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50">
              <w:r>
                <w:rPr>
                  <w:rFonts w:ascii="Arial" w:cs="Arial" w:eastAsia="Arial" w:hAnsi="Arial"/>
                  <w:sz w:val="18"/>
                  <w:szCs w:val="18"/>
                  <w:color w:val="0000EE"/>
                  <w:w w:val="79"/>
                </w:rPr>
                <w:t>48</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40" w:type="dxa"/>
            <w:vAlign w:val="bottom"/>
            <w:gridSpan w:val="20"/>
          </w:tcPr>
          <w:p>
            <w:pPr>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Item 6. Exhibits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51">
              <w:r>
                <w:rPr>
                  <w:rFonts w:ascii="Arial" w:cs="Arial" w:eastAsia="Arial" w:hAnsi="Arial"/>
                  <w:sz w:val="18"/>
                  <w:szCs w:val="18"/>
                  <w:color w:val="0000EE"/>
                  <w:w w:val="79"/>
                </w:rPr>
                <w:t>49</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23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40" w:type="dxa"/>
            <w:vAlign w:val="bottom"/>
          </w:tcPr>
          <w:p>
            <w:pPr>
              <w:spacing w:after="0"/>
              <w:rPr>
                <w:sz w:val="17"/>
                <w:szCs w:val="17"/>
                <w:color w:val="auto"/>
              </w:rPr>
            </w:pPr>
          </w:p>
        </w:tc>
        <w:tc>
          <w:tcPr>
            <w:tcW w:w="760" w:type="dxa"/>
            <w:vAlign w:val="bottom"/>
            <w:tcBorders>
              <w:bottom w:val="single" w:sz="8" w:color="0000EE"/>
            </w:tcBorders>
            <w:gridSpan w:val="3"/>
          </w:tcPr>
          <w:p>
            <w:pPr>
              <w:spacing w:after="0" w:line="202" w:lineRule="exact"/>
              <w:rPr>
                <w:rFonts w:ascii="Arial" w:cs="Arial" w:eastAsia="Arial" w:hAnsi="Arial"/>
                <w:sz w:val="18"/>
                <w:szCs w:val="18"/>
                <w:color w:val="0000EE"/>
                <w:w w:val="85"/>
              </w:rPr>
            </w:pPr>
            <w:hyperlink w:anchor="page52">
              <w:r>
                <w:rPr>
                  <w:rFonts w:ascii="Arial" w:cs="Arial" w:eastAsia="Arial" w:hAnsi="Arial"/>
                  <w:sz w:val="18"/>
                  <w:szCs w:val="18"/>
                  <w:color w:val="0000EE"/>
                  <w:w w:val="85"/>
                </w:rPr>
                <w:t>Signatures</w:t>
              </w:r>
            </w:hyperlink>
          </w:p>
        </w:tc>
        <w:tc>
          <w:tcPr>
            <w:tcW w:w="10420" w:type="dxa"/>
            <w:vAlign w:val="bottom"/>
            <w:gridSpan w:val="18"/>
          </w:tcPr>
          <w:p>
            <w:pPr>
              <w:spacing w:after="0"/>
              <w:rPr>
                <w:sz w:val="17"/>
                <w:szCs w:val="17"/>
                <w:color w:val="auto"/>
              </w:rPr>
            </w:pPr>
          </w:p>
        </w:tc>
        <w:tc>
          <w:tcPr>
            <w:tcW w:w="180" w:type="dxa"/>
            <w:vAlign w:val="bottom"/>
            <w:tcBorders>
              <w:bottom w:val="single" w:sz="8" w:color="0000EE"/>
            </w:tcBorders>
            <w:gridSpan w:val="2"/>
          </w:tcPr>
          <w:p>
            <w:pPr>
              <w:jc w:val="right"/>
              <w:spacing w:after="0" w:line="202" w:lineRule="exact"/>
              <w:rPr>
                <w:rFonts w:ascii="Arial" w:cs="Arial" w:eastAsia="Arial" w:hAnsi="Arial"/>
                <w:sz w:val="18"/>
                <w:szCs w:val="18"/>
                <w:color w:val="0000EE"/>
                <w:w w:val="79"/>
              </w:rPr>
            </w:pPr>
            <w:hyperlink w:anchor="page52">
              <w:r>
                <w:rPr>
                  <w:rFonts w:ascii="Arial" w:cs="Arial" w:eastAsia="Arial" w:hAnsi="Arial"/>
                  <w:sz w:val="18"/>
                  <w:szCs w:val="18"/>
                  <w:color w:val="0000EE"/>
                  <w:w w:val="79"/>
                </w:rPr>
                <w:t>50</w:t>
              </w:r>
            </w:hyperlink>
          </w:p>
        </w:tc>
        <w:tc>
          <w:tcPr>
            <w:tcW w:w="20" w:type="dxa"/>
            <w:vAlign w:val="bottom"/>
          </w:tcPr>
          <w:p>
            <w:pPr>
              <w:spacing w:after="0"/>
              <w:rPr>
                <w:sz w:val="17"/>
                <w:szCs w:val="17"/>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HERSHEY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80" w:type="dxa"/>
            <w:vAlign w:val="bottom"/>
            <w:gridSpan w:val="5"/>
          </w:tcPr>
          <w:p>
            <w:pPr>
              <w:ind w:left="56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20"/>
                <w:szCs w:val="20"/>
                <w:color w:val="auto"/>
              </w:rPr>
            </w:pPr>
          </w:p>
        </w:tc>
        <w:tc>
          <w:tcPr>
            <w:tcW w:w="282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5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5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ind w:left="120"/>
              <w:spacing w:after="0"/>
              <w:rPr>
                <w:sz w:val="20"/>
                <w:szCs w:val="20"/>
                <w:color w:val="auto"/>
              </w:rPr>
            </w:pPr>
            <w:r>
              <w:rPr>
                <w:rFonts w:ascii="Arial" w:cs="Arial" w:eastAsia="Arial" w:hAnsi="Arial"/>
                <w:sz w:val="18"/>
                <w:szCs w:val="18"/>
                <w:b w:val="1"/>
                <w:bCs w:val="1"/>
                <w:color w:val="auto"/>
              </w:rPr>
              <w:t>July 1, 2018</w:t>
            </w:r>
          </w:p>
        </w:tc>
        <w:tc>
          <w:tcPr>
            <w:tcW w:w="220" w:type="dxa"/>
            <w:vAlign w:val="bottom"/>
          </w:tcPr>
          <w:p>
            <w:pPr>
              <w:spacing w:after="0"/>
              <w:rPr>
                <w:sz w:val="20"/>
                <w:szCs w:val="20"/>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July 2, 2017</w:t>
            </w:r>
          </w:p>
        </w:tc>
        <w:tc>
          <w:tcPr>
            <w:tcW w:w="220" w:type="dxa"/>
            <w:vAlign w:val="bottom"/>
          </w:tcPr>
          <w:p>
            <w:pPr>
              <w:spacing w:after="0"/>
              <w:rPr>
                <w:sz w:val="20"/>
                <w:szCs w:val="20"/>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July 1, 2018</w:t>
            </w:r>
          </w:p>
        </w:tc>
        <w:tc>
          <w:tcPr>
            <w:tcW w:w="220" w:type="dxa"/>
            <w:vAlign w:val="bottom"/>
          </w:tcPr>
          <w:p>
            <w:pPr>
              <w:spacing w:after="0"/>
              <w:rPr>
                <w:sz w:val="20"/>
                <w:szCs w:val="20"/>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b w:val="1"/>
                <w:bCs w:val="1"/>
                <w:color w:val="auto"/>
                <w:w w:val="98"/>
              </w:rPr>
              <w:t>July 2, 2017</w:t>
            </w:r>
          </w:p>
        </w:tc>
      </w:tr>
      <w:tr>
        <w:trPr>
          <w:trHeight w:val="27"/>
        </w:trPr>
        <w:tc>
          <w:tcPr>
            <w:tcW w:w="5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1,751,615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1,662,991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3,723,574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3,542,669</w:t>
            </w:r>
          </w:p>
        </w:tc>
      </w:tr>
      <w:tr>
        <w:trPr>
          <w:trHeight w:val="243"/>
        </w:trPr>
        <w:tc>
          <w:tcPr>
            <w:tcW w:w="5140" w:type="dxa"/>
            <w:vAlign w:val="bottom"/>
          </w:tcPr>
          <w:p>
            <w:pPr>
              <w:ind w:left="200"/>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958,195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897,144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1,956,094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1,867,470</w:t>
            </w:r>
          </w:p>
        </w:tc>
      </w:tr>
      <w:tr>
        <w:trPr>
          <w:trHeight w:val="27"/>
        </w:trPr>
        <w:tc>
          <w:tcPr>
            <w:tcW w:w="5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793,420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765,847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1,767,480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1,675,199</w:t>
            </w:r>
          </w:p>
        </w:tc>
      </w:tr>
      <w:tr>
        <w:trPr>
          <w:trHeight w:val="243"/>
        </w:trPr>
        <w:tc>
          <w:tcPr>
            <w:tcW w:w="5140" w:type="dxa"/>
            <w:vAlign w:val="bottom"/>
          </w:tcPr>
          <w:p>
            <w:pPr>
              <w:ind w:left="200"/>
              <w:spacing w:after="0"/>
              <w:rPr>
                <w:sz w:val="20"/>
                <w:szCs w:val="20"/>
                <w:color w:val="auto"/>
              </w:rPr>
            </w:pPr>
            <w:r>
              <w:rPr>
                <w:rFonts w:ascii="Arial" w:cs="Arial" w:eastAsia="Arial" w:hAnsi="Arial"/>
                <w:sz w:val="18"/>
                <w:szCs w:val="18"/>
                <w:color w:val="auto"/>
              </w:rPr>
              <w:t>Selling, marketing and administrative expense</w:t>
            </w: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449,548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443,374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934,872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902,760</w:t>
            </w: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Long-lived asset impairment charges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27,168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208,712</w:t>
            </w:r>
          </w:p>
        </w:tc>
      </w:tr>
      <w:tr>
        <w:trPr>
          <w:trHeight w:val="243"/>
        </w:trPr>
        <w:tc>
          <w:tcPr>
            <w:tcW w:w="5140" w:type="dxa"/>
            <w:vAlign w:val="bottom"/>
          </w:tcPr>
          <w:p>
            <w:pPr>
              <w:ind w:left="200"/>
              <w:spacing w:after="0"/>
              <w:rPr>
                <w:sz w:val="20"/>
                <w:szCs w:val="20"/>
                <w:color w:val="auto"/>
              </w:rPr>
            </w:pPr>
            <w:r>
              <w:rPr>
                <w:rFonts w:ascii="Arial" w:cs="Arial" w:eastAsia="Arial" w:hAnsi="Arial"/>
                <w:sz w:val="18"/>
                <w:szCs w:val="18"/>
                <w:color w:val="auto"/>
              </w:rPr>
              <w:t>Business realignment costs</w:t>
            </w: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980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1,981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9,204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45,998</w:t>
            </w:r>
          </w:p>
        </w:tc>
      </w:tr>
      <w:tr>
        <w:trPr>
          <w:trHeight w:val="27"/>
        </w:trPr>
        <w:tc>
          <w:tcPr>
            <w:tcW w:w="5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profit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315,724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320,492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796,236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517,729</w:t>
            </w:r>
          </w:p>
        </w:tc>
      </w:tr>
      <w:tr>
        <w:trPr>
          <w:trHeight w:val="243"/>
        </w:trPr>
        <w:tc>
          <w:tcPr>
            <w:tcW w:w="514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34,952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24,126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64,291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47,867</w:t>
            </w: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20,766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15,249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22,708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20,384</w:t>
            </w:r>
          </w:p>
        </w:tc>
      </w:tr>
      <w:tr>
        <w:trPr>
          <w:trHeight w:val="237"/>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260,006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281,117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709,237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449,478</w:t>
            </w: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36,687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78,390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135,199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148,503</w:t>
            </w:r>
          </w:p>
        </w:tc>
      </w:tr>
      <w:tr>
        <w:trPr>
          <w:trHeight w:val="237"/>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Net income including noncontrolling interest</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223,319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202,727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574,038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300,975</w:t>
            </w: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Less: Net loss attributable to noncontrolling interest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(27,570)</w:t>
            </w:r>
          </w:p>
        </w:tc>
      </w:tr>
      <w:tr>
        <w:trPr>
          <w:trHeight w:val="297"/>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income attributable to The Hershey Company</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226,855</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203,501</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577,058</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328,545</w:t>
            </w:r>
          </w:p>
        </w:tc>
      </w:tr>
      <w:tr>
        <w:trPr>
          <w:trHeight w:val="311"/>
        </w:trPr>
        <w:tc>
          <w:tcPr>
            <w:tcW w:w="5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Net income per share—basic:</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w:t>
            </w:r>
          </w:p>
        </w:tc>
      </w:tr>
      <w:tr>
        <w:trPr>
          <w:trHeight w:val="243"/>
        </w:trPr>
        <w:tc>
          <w:tcPr>
            <w:tcW w:w="5140" w:type="dxa"/>
            <w:vAlign w:val="bottom"/>
          </w:tcPr>
          <w:p>
            <w:pPr>
              <w:ind w:left="200"/>
              <w:spacing w:after="0"/>
              <w:rPr>
                <w:sz w:val="20"/>
                <w:szCs w:val="20"/>
                <w:color w:val="auto"/>
              </w:rPr>
            </w:pPr>
            <w:r>
              <w:rPr>
                <w:rFonts w:ascii="Arial" w:cs="Arial" w:eastAsia="Arial" w:hAnsi="Arial"/>
                <w:sz w:val="18"/>
                <w:szCs w:val="18"/>
                <w:color w:val="auto"/>
              </w:rPr>
              <w:t>Class B common stock</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0.89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1.44</w:t>
            </w: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324"/>
        </w:trPr>
        <w:tc>
          <w:tcPr>
            <w:tcW w:w="5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Net income per share—diluted:</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w:t>
            </w:r>
          </w:p>
        </w:tc>
      </w:tr>
      <w:tr>
        <w:trPr>
          <w:trHeight w:val="243"/>
        </w:trPr>
        <w:tc>
          <w:tcPr>
            <w:tcW w:w="5140" w:type="dxa"/>
            <w:vAlign w:val="bottom"/>
          </w:tcPr>
          <w:p>
            <w:pPr>
              <w:ind w:left="200"/>
              <w:spacing w:after="0"/>
              <w:rPr>
                <w:sz w:val="20"/>
                <w:szCs w:val="20"/>
                <w:color w:val="auto"/>
              </w:rPr>
            </w:pPr>
            <w:r>
              <w:rPr>
                <w:rFonts w:ascii="Arial" w:cs="Arial" w:eastAsia="Arial" w:hAnsi="Arial"/>
                <w:sz w:val="18"/>
                <w:szCs w:val="18"/>
                <w:color w:val="auto"/>
              </w:rPr>
              <w:t>Class B common stock</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0.89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1.44</w:t>
            </w: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324"/>
        </w:trPr>
        <w:tc>
          <w:tcPr>
            <w:tcW w:w="5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Dividends paid per share:</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0.656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1.236</w:t>
            </w:r>
          </w:p>
        </w:tc>
      </w:tr>
      <w:tr>
        <w:trPr>
          <w:trHeight w:val="243"/>
        </w:trPr>
        <w:tc>
          <w:tcPr>
            <w:tcW w:w="5140" w:type="dxa"/>
            <w:vAlign w:val="bottom"/>
          </w:tcPr>
          <w:p>
            <w:pPr>
              <w:ind w:left="200"/>
              <w:spacing w:after="0"/>
              <w:rPr>
                <w:sz w:val="20"/>
                <w:szCs w:val="20"/>
                <w:color w:val="auto"/>
              </w:rPr>
            </w:pPr>
            <w:r>
              <w:rPr>
                <w:rFonts w:ascii="Arial" w:cs="Arial" w:eastAsia="Arial" w:hAnsi="Arial"/>
                <w:sz w:val="18"/>
                <w:szCs w:val="18"/>
                <w:color w:val="auto"/>
              </w:rPr>
              <w:t>Class B common stock</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0.596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0.562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1.192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1.124</w:t>
            </w:r>
          </w:p>
        </w:tc>
      </w:tr>
    </w:tbl>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See Notes to Unaudited Consolidated Financial Statements.</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580"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1"/>
              </w:rPr>
              <w:t>For the three months ended</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0"/>
              </w:rPr>
              <w:t>For the six months ended</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960" w:type="dxa"/>
            <w:vAlign w:val="bottom"/>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July 1, 2018</w:t>
            </w: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1"/>
              </w:rPr>
              <w:t>July 2, 2017</w:t>
            </w:r>
          </w:p>
        </w:tc>
        <w:tc>
          <w:tcPr>
            <w:tcW w:w="6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1"/>
              </w:rPr>
              <w:t>July 1, 2018</w:t>
            </w:r>
          </w:p>
        </w:tc>
        <w:tc>
          <w:tcPr>
            <w:tcW w:w="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6"/>
              </w:rPr>
              <w:t>July 2, 2017</w:t>
            </w:r>
          </w:p>
        </w:tc>
        <w:tc>
          <w:tcPr>
            <w:tcW w:w="6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1960" w:type="dxa"/>
            <w:vAlign w:val="bottom"/>
          </w:tcPr>
          <w:p>
            <w:pPr>
              <w:spacing w:after="0"/>
              <w:rPr>
                <w:sz w:val="13"/>
                <w:szCs w:val="13"/>
                <w:color w:val="auto"/>
              </w:rPr>
            </w:pPr>
          </w:p>
        </w:tc>
        <w:tc>
          <w:tcPr>
            <w:tcW w:w="8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Pre-Tax</w:t>
            </w:r>
          </w:p>
        </w:tc>
        <w:tc>
          <w:tcPr>
            <w:tcW w:w="100" w:type="dxa"/>
            <w:vAlign w:val="bottom"/>
          </w:tcPr>
          <w:p>
            <w:pPr>
              <w:spacing w:after="0"/>
              <w:rPr>
                <w:sz w:val="13"/>
                <w:szCs w:val="13"/>
                <w:color w:val="auto"/>
              </w:rPr>
            </w:pPr>
          </w:p>
        </w:tc>
        <w:tc>
          <w:tcPr>
            <w:tcW w:w="600" w:type="dxa"/>
            <w:vAlign w:val="bottom"/>
          </w:tcPr>
          <w:p>
            <w:pPr>
              <w:jc w:val="center"/>
              <w:ind w:right="48"/>
              <w:spacing w:after="0" w:line="153" w:lineRule="exact"/>
              <w:rPr>
                <w:sz w:val="20"/>
                <w:szCs w:val="20"/>
                <w:color w:val="auto"/>
              </w:rPr>
            </w:pPr>
            <w:r>
              <w:rPr>
                <w:rFonts w:ascii="Arial" w:cs="Arial" w:eastAsia="Arial" w:hAnsi="Arial"/>
                <w:sz w:val="14"/>
                <w:szCs w:val="14"/>
                <w:b w:val="1"/>
                <w:bCs w:val="1"/>
                <w:color w:val="auto"/>
                <w:w w:val="99"/>
              </w:rPr>
              <w:t>Tax</w:t>
            </w:r>
          </w:p>
        </w:tc>
        <w:tc>
          <w:tcPr>
            <w:tcW w:w="1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After-Tax</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Pre-Tax</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9"/>
              </w:rPr>
              <w:t>Tax</w:t>
            </w: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After-Tax</w:t>
            </w:r>
          </w:p>
        </w:tc>
        <w:tc>
          <w:tcPr>
            <w:tcW w:w="120" w:type="dxa"/>
            <w:vAlign w:val="bottom"/>
          </w:tcPr>
          <w:p>
            <w:pPr>
              <w:spacing w:after="0"/>
              <w:rPr>
                <w:sz w:val="13"/>
                <w:szCs w:val="13"/>
                <w:color w:val="auto"/>
              </w:rPr>
            </w:pPr>
          </w:p>
        </w:tc>
        <w:tc>
          <w:tcPr>
            <w:tcW w:w="66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Pre-Tax</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center"/>
              <w:ind w:right="180"/>
              <w:spacing w:after="0" w:line="153" w:lineRule="exact"/>
              <w:rPr>
                <w:sz w:val="20"/>
                <w:szCs w:val="20"/>
                <w:color w:val="auto"/>
              </w:rPr>
            </w:pPr>
            <w:r>
              <w:rPr>
                <w:rFonts w:ascii="Arial" w:cs="Arial" w:eastAsia="Arial" w:hAnsi="Arial"/>
                <w:sz w:val="14"/>
                <w:szCs w:val="14"/>
                <w:b w:val="1"/>
                <w:bCs w:val="1"/>
                <w:color w:val="auto"/>
                <w:w w:val="90"/>
              </w:rPr>
              <w:t>Tax</w:t>
            </w:r>
          </w:p>
        </w:tc>
        <w:tc>
          <w:tcPr>
            <w:tcW w:w="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After-Tax</w:t>
            </w:r>
          </w:p>
        </w:tc>
        <w:tc>
          <w:tcPr>
            <w:tcW w:w="120" w:type="dxa"/>
            <w:vAlign w:val="bottom"/>
          </w:tcPr>
          <w:p>
            <w:pPr>
              <w:spacing w:after="0"/>
              <w:rPr>
                <w:sz w:val="13"/>
                <w:szCs w:val="13"/>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Pre-Tax</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Tax</w:t>
            </w: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After-Tax</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(Expense)</w:t>
            </w: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(Expense)</w:t>
            </w: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(Expense)</w:t>
            </w:r>
          </w:p>
        </w:tc>
        <w:tc>
          <w:tcPr>
            <w:tcW w:w="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(Expense)</w:t>
            </w: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960" w:type="dxa"/>
            <w:vAlign w:val="bottom"/>
          </w:tcPr>
          <w:p>
            <w:pPr>
              <w:spacing w:after="0"/>
              <w:rPr>
                <w:sz w:val="16"/>
                <w:szCs w:val="16"/>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600" w:type="dxa"/>
            <w:vAlign w:val="bottom"/>
          </w:tcPr>
          <w:p>
            <w:pPr>
              <w:jc w:val="center"/>
              <w:ind w:right="48"/>
              <w:spacing w:after="0"/>
              <w:rPr>
                <w:sz w:val="20"/>
                <w:szCs w:val="20"/>
                <w:color w:val="auto"/>
              </w:rPr>
            </w:pPr>
            <w:r>
              <w:rPr>
                <w:rFonts w:ascii="Arial" w:cs="Arial" w:eastAsia="Arial" w:hAnsi="Arial"/>
                <w:sz w:val="14"/>
                <w:szCs w:val="14"/>
                <w:b w:val="1"/>
                <w:bCs w:val="1"/>
                <w:color w:val="auto"/>
                <w:w w:val="92"/>
              </w:rPr>
              <w:t>Benefit</w:t>
            </w:r>
          </w:p>
        </w:tc>
        <w:tc>
          <w:tcPr>
            <w:tcW w:w="12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Benefit</w:t>
            </w: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66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Benefit</w:t>
            </w:r>
          </w:p>
        </w:tc>
        <w:tc>
          <w:tcPr>
            <w:tcW w:w="4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Benefit</w:t>
            </w:r>
          </w:p>
        </w:tc>
        <w:tc>
          <w:tcPr>
            <w:tcW w:w="680" w:type="dxa"/>
            <w:vAlign w:val="bottom"/>
          </w:tcPr>
          <w:p>
            <w:pPr>
              <w:jc w:val="right"/>
              <w:ind w:right="2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39"/>
        </w:trPr>
        <w:tc>
          <w:tcPr>
            <w:tcW w:w="1960" w:type="dxa"/>
            <w:vAlign w:val="bottom"/>
            <w:tcBorders>
              <w:top w:val="single" w:sz="8" w:color="CCEEFF"/>
            </w:tcBorders>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rPr>
              <w:t>Net income including</w:t>
            </w:r>
          </w:p>
        </w:tc>
        <w:tc>
          <w:tcPr>
            <w:tcW w:w="7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noncontrolling interest</w:t>
            </w: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$ 223,319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5"/>
              </w:rPr>
              <w:t>$202,727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$574,038</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5"/>
              </w:rPr>
              <w:t>$300,975</w:t>
            </w:r>
          </w:p>
        </w:tc>
        <w:tc>
          <w:tcPr>
            <w:tcW w:w="0" w:type="dxa"/>
            <w:vAlign w:val="bottom"/>
          </w:tcPr>
          <w:p>
            <w:pPr>
              <w:spacing w:after="0"/>
              <w:rPr>
                <w:sz w:val="1"/>
                <w:szCs w:val="1"/>
                <w:color w:val="auto"/>
              </w:rPr>
            </w:pPr>
          </w:p>
        </w:tc>
      </w:tr>
      <w:tr>
        <w:trPr>
          <w:trHeight w:val="133"/>
        </w:trPr>
        <w:tc>
          <w:tcPr>
            <w:tcW w:w="1960" w:type="dxa"/>
            <w:vAlign w:val="bottom"/>
          </w:tcPr>
          <w:p>
            <w:pPr>
              <w:ind w:left="40"/>
              <w:spacing w:after="0" w:line="133" w:lineRule="exact"/>
              <w:rPr>
                <w:sz w:val="20"/>
                <w:szCs w:val="20"/>
                <w:color w:val="auto"/>
              </w:rPr>
            </w:pPr>
            <w:r>
              <w:rPr>
                <w:rFonts w:ascii="Arial" w:cs="Arial" w:eastAsia="Arial" w:hAnsi="Arial"/>
                <w:sz w:val="14"/>
                <w:szCs w:val="14"/>
                <w:b w:val="1"/>
                <w:bCs w:val="1"/>
                <w:color w:val="auto"/>
              </w:rPr>
              <w:t>Other comprehensive</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1960" w:type="dxa"/>
            <w:vAlign w:val="bottom"/>
          </w:tcPr>
          <w:p>
            <w:pPr>
              <w:ind w:left="40"/>
              <w:spacing w:after="0"/>
              <w:rPr>
                <w:sz w:val="20"/>
                <w:szCs w:val="20"/>
                <w:color w:val="auto"/>
              </w:rPr>
            </w:pPr>
            <w:r>
              <w:rPr>
                <w:rFonts w:ascii="Arial" w:cs="Arial" w:eastAsia="Arial" w:hAnsi="Arial"/>
                <w:sz w:val="14"/>
                <w:szCs w:val="14"/>
                <w:b w:val="1"/>
                <w:bCs w:val="1"/>
                <w:color w:val="auto"/>
              </w:rPr>
              <w:t>income (loss), net of tax:</w:t>
            </w: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 currency translation</w:t>
            </w: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adjustments</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 (22,412)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(22,412)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4,322</w:t>
            </w:r>
          </w:p>
        </w:tc>
        <w:tc>
          <w:tcPr>
            <w:tcW w:w="8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4,322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(23,679)</w:t>
            </w:r>
          </w:p>
        </w:tc>
        <w:tc>
          <w:tcPr>
            <w:tcW w:w="200" w:type="dxa"/>
            <w:vAlign w:val="bottom"/>
            <w:gridSpan w:val="2"/>
            <w:shd w:val="clear" w:color="auto" w:fill="CCEEFF"/>
          </w:tcPr>
          <w:p>
            <w:pPr>
              <w:ind w:left="140"/>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(23,679)</w:t>
            </w:r>
          </w:p>
        </w:tc>
        <w:tc>
          <w:tcPr>
            <w:tcW w:w="7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$ 18,273</w:t>
            </w:r>
          </w:p>
        </w:tc>
        <w:tc>
          <w:tcPr>
            <w:tcW w:w="80" w:type="dxa"/>
            <w:vAlign w:val="bottom"/>
            <w:shd w:val="clear" w:color="auto" w:fill="CCEEFF"/>
          </w:tcPr>
          <w:p>
            <w:pPr>
              <w:spacing w:after="0"/>
              <w:rPr>
                <w:sz w:val="16"/>
                <w:szCs w:val="16"/>
                <w:color w:val="auto"/>
              </w:rPr>
            </w:pP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18,273</w:t>
            </w:r>
          </w:p>
        </w:tc>
        <w:tc>
          <w:tcPr>
            <w:tcW w:w="0" w:type="dxa"/>
            <w:vAlign w:val="bottom"/>
          </w:tcPr>
          <w:p>
            <w:pPr>
              <w:spacing w:after="0"/>
              <w:rPr>
                <w:sz w:val="1"/>
                <w:szCs w:val="1"/>
                <w:color w:val="auto"/>
              </w:rPr>
            </w:pPr>
          </w:p>
        </w:tc>
      </w:tr>
      <w:tr>
        <w:trPr>
          <w:trHeight w:val="157"/>
        </w:trPr>
        <w:tc>
          <w:tcPr>
            <w:tcW w:w="1960" w:type="dxa"/>
            <w:vAlign w:val="bottom"/>
          </w:tcPr>
          <w:p>
            <w:pPr>
              <w:ind w:left="180"/>
              <w:spacing w:after="0" w:line="157" w:lineRule="exact"/>
              <w:rPr>
                <w:sz w:val="20"/>
                <w:szCs w:val="20"/>
                <w:color w:val="auto"/>
              </w:rPr>
            </w:pPr>
            <w:r>
              <w:rPr>
                <w:rFonts w:ascii="Arial" w:cs="Arial" w:eastAsia="Arial" w:hAnsi="Arial"/>
                <w:sz w:val="14"/>
                <w:szCs w:val="14"/>
                <w:color w:val="auto"/>
              </w:rPr>
              <w:t>Pension and post-retirement</w:t>
            </w: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960" w:type="dxa"/>
            <w:vAlign w:val="bottom"/>
          </w:tcPr>
          <w:p>
            <w:pPr>
              <w:ind w:left="180"/>
              <w:spacing w:after="0"/>
              <w:rPr>
                <w:sz w:val="20"/>
                <w:szCs w:val="20"/>
                <w:color w:val="auto"/>
              </w:rPr>
            </w:pPr>
            <w:r>
              <w:rPr>
                <w:rFonts w:ascii="Arial" w:cs="Arial" w:eastAsia="Arial" w:hAnsi="Arial"/>
                <w:sz w:val="14"/>
                <w:szCs w:val="14"/>
                <w:color w:val="auto"/>
              </w:rPr>
              <w:t>benefit plans:</w:t>
            </w: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9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actuarial gain (loss)</w:t>
            </w: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and prior service cost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57"/>
        </w:trPr>
        <w:tc>
          <w:tcPr>
            <w:tcW w:w="1960" w:type="dxa"/>
            <w:vAlign w:val="bottom"/>
          </w:tcPr>
          <w:p>
            <w:pPr>
              <w:ind w:left="280"/>
              <w:spacing w:after="0" w:line="157" w:lineRule="exact"/>
              <w:rPr>
                <w:sz w:val="20"/>
                <w:szCs w:val="20"/>
                <w:color w:val="auto"/>
              </w:rPr>
            </w:pPr>
            <w:r>
              <w:rPr>
                <w:rFonts w:ascii="Arial" w:cs="Arial" w:eastAsia="Arial" w:hAnsi="Arial"/>
                <w:sz w:val="14"/>
                <w:szCs w:val="14"/>
                <w:color w:val="auto"/>
              </w:rPr>
              <w:t>Reclassification of tax</w:t>
            </w: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tcPr>
          <w:p>
            <w:pPr>
              <w:ind w:left="280"/>
              <w:spacing w:after="0" w:line="149" w:lineRule="exact"/>
              <w:rPr>
                <w:sz w:val="20"/>
                <w:szCs w:val="20"/>
                <w:color w:val="auto"/>
              </w:rPr>
            </w:pPr>
            <w:r>
              <w:rPr>
                <w:rFonts w:ascii="Arial" w:cs="Arial" w:eastAsia="Arial" w:hAnsi="Arial"/>
                <w:sz w:val="14"/>
                <w:szCs w:val="14"/>
                <w:color w:val="auto"/>
              </w:rPr>
              <w:t>effects relating to U.S. tax</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960" w:type="dxa"/>
            <w:vAlign w:val="bottom"/>
          </w:tcPr>
          <w:p>
            <w:pPr>
              <w:ind w:left="280"/>
              <w:spacing w:after="0"/>
              <w:rPr>
                <w:sz w:val="20"/>
                <w:szCs w:val="20"/>
                <w:color w:val="auto"/>
              </w:rPr>
            </w:pPr>
            <w:r>
              <w:rPr>
                <w:rFonts w:ascii="Arial" w:cs="Arial" w:eastAsia="Arial" w:hAnsi="Arial"/>
                <w:sz w:val="14"/>
                <w:szCs w:val="14"/>
                <w:color w:val="auto"/>
              </w:rPr>
              <w:t>reform</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1"/>
              </w:rPr>
              <w:t>(36,535)</w:t>
            </w:r>
          </w:p>
        </w:tc>
        <w:tc>
          <w:tcPr>
            <w:tcW w:w="8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(36,535)</w:t>
            </w:r>
          </w:p>
        </w:tc>
        <w:tc>
          <w:tcPr>
            <w:tcW w:w="120" w:type="dxa"/>
            <w:vAlign w:val="bottom"/>
          </w:tcPr>
          <w:p>
            <w:pPr>
              <w:spacing w:after="0"/>
              <w:rPr>
                <w:sz w:val="16"/>
                <w:szCs w:val="16"/>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19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Reclassification to</w:t>
            </w: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earnings</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5,094</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(1,107)</w:t>
            </w:r>
          </w:p>
        </w:tc>
        <w:tc>
          <w:tcPr>
            <w:tcW w:w="8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3,987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7,091</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(10,984)</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7"/>
              </w:rPr>
              <w:t>10,191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(2,132)</w:t>
            </w: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8,059</w:t>
            </w:r>
          </w:p>
        </w:tc>
        <w:tc>
          <w:tcPr>
            <w:tcW w:w="7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14,244</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(13,695)</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549</w:t>
            </w:r>
          </w:p>
        </w:tc>
        <w:tc>
          <w:tcPr>
            <w:tcW w:w="0" w:type="dxa"/>
            <w:vAlign w:val="bottom"/>
          </w:tcPr>
          <w:p>
            <w:pPr>
              <w:spacing w:after="0"/>
              <w:rPr>
                <w:sz w:val="1"/>
                <w:szCs w:val="1"/>
                <w:color w:val="auto"/>
              </w:rPr>
            </w:pPr>
          </w:p>
        </w:tc>
      </w:tr>
      <w:tr>
        <w:trPr>
          <w:trHeight w:val="264"/>
        </w:trPr>
        <w:tc>
          <w:tcPr>
            <w:tcW w:w="1960" w:type="dxa"/>
            <w:vAlign w:val="bottom"/>
          </w:tcPr>
          <w:p>
            <w:pPr>
              <w:ind w:left="180"/>
              <w:spacing w:after="0"/>
              <w:rPr>
                <w:sz w:val="20"/>
                <w:szCs w:val="20"/>
                <w:color w:val="auto"/>
              </w:rPr>
            </w:pPr>
            <w:r>
              <w:rPr>
                <w:rFonts w:ascii="Arial" w:cs="Arial" w:eastAsia="Arial" w:hAnsi="Arial"/>
                <w:sz w:val="14"/>
                <w:szCs w:val="14"/>
                <w:color w:val="auto"/>
              </w:rPr>
              <w:t>Cash flow hedges:</w:t>
            </w: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19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Gains (losses) on cash</w:t>
            </w: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flow hedging derivatives</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3,559</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(473)</w:t>
            </w:r>
          </w:p>
        </w:tc>
        <w:tc>
          <w:tcPr>
            <w:tcW w:w="8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3,086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(707)</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703</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7,804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(1,463)</w:t>
            </w: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6,341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(2,206)</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882</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(1,324)</w:t>
            </w:r>
          </w:p>
        </w:tc>
        <w:tc>
          <w:tcPr>
            <w:tcW w:w="0" w:type="dxa"/>
            <w:vAlign w:val="bottom"/>
          </w:tcPr>
          <w:p>
            <w:pPr>
              <w:spacing w:after="0"/>
              <w:rPr>
                <w:sz w:val="1"/>
                <w:szCs w:val="1"/>
                <w:color w:val="auto"/>
              </w:rPr>
            </w:pPr>
          </w:p>
        </w:tc>
      </w:tr>
      <w:tr>
        <w:trPr>
          <w:trHeight w:val="157"/>
        </w:trPr>
        <w:tc>
          <w:tcPr>
            <w:tcW w:w="1960" w:type="dxa"/>
            <w:vAlign w:val="bottom"/>
          </w:tcPr>
          <w:p>
            <w:pPr>
              <w:ind w:left="280"/>
              <w:spacing w:after="0" w:line="157" w:lineRule="exact"/>
              <w:rPr>
                <w:sz w:val="20"/>
                <w:szCs w:val="20"/>
                <w:color w:val="auto"/>
              </w:rPr>
            </w:pPr>
            <w:r>
              <w:rPr>
                <w:rFonts w:ascii="Arial" w:cs="Arial" w:eastAsia="Arial" w:hAnsi="Arial"/>
                <w:sz w:val="14"/>
                <w:szCs w:val="14"/>
                <w:color w:val="auto"/>
              </w:rPr>
              <w:t>Reclassification of tax</w:t>
            </w: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tcPr>
          <w:p>
            <w:pPr>
              <w:ind w:left="280"/>
              <w:spacing w:after="0" w:line="149" w:lineRule="exact"/>
              <w:rPr>
                <w:sz w:val="20"/>
                <w:szCs w:val="20"/>
                <w:color w:val="auto"/>
              </w:rPr>
            </w:pPr>
            <w:r>
              <w:rPr>
                <w:rFonts w:ascii="Arial" w:cs="Arial" w:eastAsia="Arial" w:hAnsi="Arial"/>
                <w:sz w:val="14"/>
                <w:szCs w:val="14"/>
                <w:color w:val="auto"/>
              </w:rPr>
              <w:t>effects relating to U.S. tax</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960" w:type="dxa"/>
            <w:vAlign w:val="bottom"/>
          </w:tcPr>
          <w:p>
            <w:pPr>
              <w:ind w:left="280"/>
              <w:spacing w:after="0"/>
              <w:rPr>
                <w:sz w:val="20"/>
                <w:szCs w:val="20"/>
                <w:color w:val="auto"/>
              </w:rPr>
            </w:pPr>
            <w:r>
              <w:rPr>
                <w:rFonts w:ascii="Arial" w:cs="Arial" w:eastAsia="Arial" w:hAnsi="Arial"/>
                <w:sz w:val="14"/>
                <w:szCs w:val="14"/>
                <w:color w:val="auto"/>
              </w:rPr>
              <w:t>reform</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1"/>
              </w:rPr>
              <w:t>(11,121)</w:t>
            </w:r>
          </w:p>
        </w:tc>
        <w:tc>
          <w:tcPr>
            <w:tcW w:w="8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(11,121)</w:t>
            </w:r>
          </w:p>
        </w:tc>
        <w:tc>
          <w:tcPr>
            <w:tcW w:w="120" w:type="dxa"/>
            <w:vAlign w:val="bottom"/>
          </w:tcPr>
          <w:p>
            <w:pPr>
              <w:spacing w:after="0"/>
              <w:rPr>
                <w:sz w:val="16"/>
                <w:szCs w:val="16"/>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19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Reclassification to</w:t>
            </w: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earnings</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2,463</w:t>
            </w: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(585)</w:t>
            </w:r>
          </w:p>
        </w:tc>
        <w:tc>
          <w:tcPr>
            <w:tcW w:w="12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1,878</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2,379</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(1,282)</w:t>
            </w:r>
          </w:p>
        </w:tc>
        <w:tc>
          <w:tcPr>
            <w:tcW w:w="10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1,097</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4,723</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(1,195)</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3,528</w:t>
            </w:r>
          </w:p>
        </w:tc>
        <w:tc>
          <w:tcPr>
            <w:tcW w:w="12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5,412</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(2,448)</w:t>
            </w:r>
          </w:p>
        </w:tc>
        <w:tc>
          <w:tcPr>
            <w:tcW w:w="12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2,964</w:t>
            </w:r>
          </w:p>
        </w:tc>
        <w:tc>
          <w:tcPr>
            <w:tcW w:w="0" w:type="dxa"/>
            <w:vAlign w:val="bottom"/>
          </w:tcPr>
          <w:p>
            <w:pPr>
              <w:spacing w:after="0"/>
              <w:rPr>
                <w:sz w:val="1"/>
                <w:szCs w:val="1"/>
                <w:color w:val="auto"/>
              </w:rPr>
            </w:pPr>
          </w:p>
        </w:tc>
      </w:tr>
      <w:tr>
        <w:trPr>
          <w:trHeight w:val="133"/>
        </w:trPr>
        <w:tc>
          <w:tcPr>
            <w:tcW w:w="1960" w:type="dxa"/>
            <w:vAlign w:val="bottom"/>
          </w:tcPr>
          <w:p>
            <w:pPr>
              <w:ind w:left="40"/>
              <w:spacing w:after="0" w:line="133" w:lineRule="exact"/>
              <w:rPr>
                <w:sz w:val="20"/>
                <w:szCs w:val="20"/>
                <w:color w:val="auto"/>
              </w:rPr>
            </w:pPr>
            <w:r>
              <w:rPr>
                <w:rFonts w:ascii="Arial" w:cs="Arial" w:eastAsia="Arial" w:hAnsi="Arial"/>
                <w:sz w:val="14"/>
                <w:szCs w:val="14"/>
                <w:b w:val="1"/>
                <w:bCs w:val="1"/>
                <w:color w:val="auto"/>
              </w:rPr>
              <w:t>Total other comprehensive</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w w:val="97"/>
              </w:rPr>
              <w:t>$ (11,296)</w:t>
            </w:r>
          </w:p>
        </w:tc>
        <w:tc>
          <w:tcPr>
            <w:tcW w:w="140" w:type="dxa"/>
            <w:vAlign w:val="bottom"/>
          </w:tcPr>
          <w:p>
            <w:pPr>
              <w:spacing w:after="0"/>
              <w:rPr>
                <w:sz w:val="11"/>
                <w:szCs w:val="11"/>
                <w:color w:val="auto"/>
              </w:rPr>
            </w:pP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w w:val="76"/>
              </w:rPr>
              <w:t>$</w:t>
            </w: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(2,165)</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48"/>
              <w:spacing w:after="0"/>
              <w:rPr>
                <w:sz w:val="20"/>
                <w:szCs w:val="20"/>
                <w:color w:val="auto"/>
              </w:rPr>
            </w:pPr>
            <w:r>
              <w:rPr>
                <w:rFonts w:ascii="Arial" w:cs="Arial" w:eastAsia="Arial" w:hAnsi="Arial"/>
                <w:sz w:val="14"/>
                <w:szCs w:val="14"/>
                <w:color w:val="auto"/>
              </w:rPr>
              <w:t>13,085</w:t>
            </w:r>
          </w:p>
        </w:tc>
        <w:tc>
          <w:tcPr>
            <w:tcW w:w="80" w:type="dxa"/>
            <w:vAlign w:val="bottom"/>
          </w:tcPr>
          <w:p>
            <w:pPr>
              <w:spacing w:after="0"/>
              <w:rPr>
                <w:sz w:val="11"/>
                <w:szCs w:val="11"/>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w w:val="91"/>
              </w:rPr>
              <w:t>(11,563)</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(961)</w:t>
            </w:r>
          </w:p>
        </w:tc>
        <w:tc>
          <w:tcPr>
            <w:tcW w:w="200" w:type="dxa"/>
            <w:vAlign w:val="bottom"/>
            <w:gridSpan w:val="2"/>
            <w:vMerge w:val="restart"/>
          </w:tcPr>
          <w:p>
            <w:pPr>
              <w:ind w:left="140"/>
              <w:spacing w:after="0"/>
              <w:rPr>
                <w:sz w:val="20"/>
                <w:szCs w:val="20"/>
                <w:color w:val="auto"/>
              </w:rPr>
            </w:pPr>
            <w:r>
              <w:rPr>
                <w:rFonts w:ascii="Arial" w:cs="Arial" w:eastAsia="Arial" w:hAnsi="Arial"/>
                <w:sz w:val="10"/>
                <w:szCs w:val="10"/>
                <w:color w:val="auto"/>
                <w:w w:val="71"/>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w w:val="91"/>
              </w:rPr>
              <w:t>(52,446)</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2"/>
            <w:vMerge w:val="restart"/>
          </w:tcPr>
          <w:p>
            <w:pPr>
              <w:jc w:val="right"/>
              <w:ind w:right="48"/>
              <w:spacing w:after="0"/>
              <w:rPr>
                <w:sz w:val="20"/>
                <w:szCs w:val="20"/>
                <w:color w:val="auto"/>
              </w:rPr>
            </w:pPr>
            <w:r>
              <w:rPr>
                <w:rFonts w:ascii="Arial" w:cs="Arial" w:eastAsia="Arial" w:hAnsi="Arial"/>
                <w:sz w:val="14"/>
                <w:szCs w:val="14"/>
                <w:color w:val="auto"/>
              </w:rPr>
              <w:t>$ 35,527</w:t>
            </w:r>
          </w:p>
        </w:tc>
        <w:tc>
          <w:tcPr>
            <w:tcW w:w="80" w:type="dxa"/>
            <w:vAlign w:val="bottom"/>
          </w:tcPr>
          <w:p>
            <w:pPr>
              <w:spacing w:after="0"/>
              <w:rPr>
                <w:sz w:val="11"/>
                <w:szCs w:val="11"/>
                <w:color w:val="auto"/>
              </w:rPr>
            </w:pPr>
          </w:p>
        </w:tc>
        <w:tc>
          <w:tcPr>
            <w:tcW w:w="120" w:type="dxa"/>
            <w:vAlign w:val="bottom"/>
            <w:gridSpan w:val="2"/>
            <w:vMerge w:val="restart"/>
          </w:tcPr>
          <w:p>
            <w:pPr>
              <w:ind w:left="40"/>
              <w:spacing w:after="0"/>
              <w:rPr>
                <w:sz w:val="20"/>
                <w:szCs w:val="20"/>
                <w:color w:val="auto"/>
              </w:rPr>
            </w:pPr>
            <w:r>
              <w:rPr>
                <w:rFonts w:ascii="Arial" w:cs="Arial" w:eastAsia="Arial" w:hAnsi="Arial"/>
                <w:sz w:val="14"/>
                <w:szCs w:val="14"/>
                <w:color w:val="auto"/>
                <w:w w:val="76"/>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w w:val="91"/>
              </w:rPr>
              <w:t>(15,187)</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5"/>
        </w:trPr>
        <w:tc>
          <w:tcPr>
            <w:tcW w:w="1960" w:type="dxa"/>
            <w:vAlign w:val="bottom"/>
          </w:tcPr>
          <w:p>
            <w:pPr>
              <w:ind w:left="40"/>
              <w:spacing w:after="0"/>
              <w:rPr>
                <w:sz w:val="20"/>
                <w:szCs w:val="20"/>
                <w:color w:val="auto"/>
              </w:rPr>
            </w:pPr>
            <w:r>
              <w:rPr>
                <w:rFonts w:ascii="Arial" w:cs="Arial" w:eastAsia="Arial" w:hAnsi="Arial"/>
                <w:sz w:val="14"/>
                <w:szCs w:val="14"/>
                <w:b w:val="1"/>
                <w:bCs w:val="1"/>
                <w:color w:val="auto"/>
              </w:rPr>
              <w:t>income (loss), net of tax</w:t>
            </w:r>
          </w:p>
        </w:tc>
        <w:tc>
          <w:tcPr>
            <w:tcW w:w="7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840" w:type="dxa"/>
            <w:vAlign w:val="bottom"/>
            <w:gridSpan w:val="2"/>
          </w:tcPr>
          <w:p>
            <w:pPr>
              <w:jc w:val="right"/>
              <w:ind w:right="8"/>
              <w:spacing w:after="0"/>
              <w:rPr>
                <w:sz w:val="20"/>
                <w:szCs w:val="20"/>
                <w:color w:val="auto"/>
              </w:rPr>
            </w:pPr>
            <w:r>
              <w:rPr>
                <w:rFonts w:ascii="Arial" w:cs="Arial" w:eastAsia="Arial" w:hAnsi="Arial"/>
                <w:sz w:val="14"/>
                <w:szCs w:val="14"/>
                <w:color w:val="auto"/>
              </w:rPr>
              <w:t>(13,461)</w:t>
            </w:r>
          </w:p>
        </w:tc>
        <w:tc>
          <w:tcPr>
            <w:tcW w:w="220" w:type="dxa"/>
            <w:vAlign w:val="bottom"/>
            <w:gridSpan w:val="2"/>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2"/>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1,522</w:t>
            </w:r>
          </w:p>
        </w:tc>
        <w:tc>
          <w:tcPr>
            <w:tcW w:w="220" w:type="dxa"/>
            <w:vAlign w:val="bottom"/>
            <w:gridSpan w:val="2"/>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200" w:type="dxa"/>
            <w:vAlign w:val="bottom"/>
            <w:gridSpan w:val="2"/>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(53,407)</w:t>
            </w:r>
          </w:p>
        </w:tc>
        <w:tc>
          <w:tcPr>
            <w:tcW w:w="7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gridSpan w:val="2"/>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20,340</w:t>
            </w:r>
          </w:p>
        </w:tc>
        <w:tc>
          <w:tcPr>
            <w:tcW w:w="0" w:type="dxa"/>
            <w:vAlign w:val="bottom"/>
          </w:tcPr>
          <w:p>
            <w:pPr>
              <w:spacing w:after="0"/>
              <w:rPr>
                <w:sz w:val="1"/>
                <w:szCs w:val="1"/>
                <w:color w:val="auto"/>
              </w:rPr>
            </w:pPr>
          </w:p>
        </w:tc>
      </w:tr>
      <w:tr>
        <w:trPr>
          <w:trHeight w:val="106"/>
        </w:trPr>
        <w:tc>
          <w:tcPr>
            <w:tcW w:w="1960" w:type="dxa"/>
            <w:vAlign w:val="bottom"/>
            <w:tcBorders>
              <w:top w:val="single" w:sz="8" w:color="CCEEFF"/>
            </w:tcBorders>
            <w:shd w:val="clear" w:color="auto" w:fill="CCEEFF"/>
          </w:tcPr>
          <w:p>
            <w:pPr>
              <w:ind w:left="40"/>
              <w:spacing w:after="0" w:line="106" w:lineRule="exact"/>
              <w:rPr>
                <w:sz w:val="20"/>
                <w:szCs w:val="20"/>
                <w:color w:val="auto"/>
              </w:rPr>
            </w:pPr>
            <w:r>
              <w:rPr>
                <w:rFonts w:ascii="Arial" w:cs="Arial" w:eastAsia="Arial" w:hAnsi="Arial"/>
                <w:sz w:val="12"/>
                <w:szCs w:val="12"/>
                <w:b w:val="1"/>
                <w:bCs w:val="1"/>
                <w:color w:val="auto"/>
              </w:rPr>
              <w:t>Total comprehensive income</w:t>
            </w:r>
          </w:p>
        </w:tc>
        <w:tc>
          <w:tcPr>
            <w:tcW w:w="7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including noncontrolling</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interest</w:t>
            </w: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$ 209,858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5"/>
              </w:rPr>
              <w:t>$204,249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$520,631</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5"/>
              </w:rPr>
              <w:t>$321,315</w:t>
            </w:r>
          </w:p>
        </w:tc>
        <w:tc>
          <w:tcPr>
            <w:tcW w:w="0" w:type="dxa"/>
            <w:vAlign w:val="bottom"/>
          </w:tcPr>
          <w:p>
            <w:pPr>
              <w:spacing w:after="0"/>
              <w:rPr>
                <w:sz w:val="1"/>
                <w:szCs w:val="1"/>
                <w:color w:val="auto"/>
              </w:rPr>
            </w:pPr>
          </w:p>
        </w:tc>
      </w:tr>
      <w:tr>
        <w:trPr>
          <w:trHeight w:val="137"/>
        </w:trPr>
        <w:tc>
          <w:tcPr>
            <w:tcW w:w="1960" w:type="dxa"/>
            <w:vAlign w:val="bottom"/>
          </w:tcPr>
          <w:p>
            <w:pPr>
              <w:ind w:left="180"/>
              <w:spacing w:after="0" w:line="137" w:lineRule="exact"/>
              <w:rPr>
                <w:sz w:val="20"/>
                <w:szCs w:val="20"/>
                <w:color w:val="auto"/>
              </w:rPr>
            </w:pPr>
            <w:r>
              <w:rPr>
                <w:rFonts w:ascii="Arial" w:cs="Arial" w:eastAsia="Arial" w:hAnsi="Arial"/>
                <w:sz w:val="14"/>
                <w:szCs w:val="14"/>
                <w:color w:val="auto"/>
              </w:rPr>
              <w:t>Comprehensive loss</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60" w:type="dxa"/>
            <w:vAlign w:val="bottom"/>
          </w:tcPr>
          <w:p>
            <w:pPr>
              <w:ind w:left="180"/>
              <w:spacing w:after="0" w:line="149" w:lineRule="exact"/>
              <w:rPr>
                <w:sz w:val="20"/>
                <w:szCs w:val="20"/>
                <w:color w:val="auto"/>
              </w:rPr>
            </w:pPr>
            <w:r>
              <w:rPr>
                <w:rFonts w:ascii="Arial" w:cs="Arial" w:eastAsia="Arial" w:hAnsi="Arial"/>
                <w:sz w:val="14"/>
                <w:szCs w:val="14"/>
                <w:color w:val="auto"/>
              </w:rPr>
              <w:t>attributable to</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960" w:type="dxa"/>
            <w:vAlign w:val="bottom"/>
          </w:tcPr>
          <w:p>
            <w:pPr>
              <w:ind w:left="180"/>
              <w:spacing w:after="0"/>
              <w:rPr>
                <w:sz w:val="20"/>
                <w:szCs w:val="20"/>
                <w:color w:val="auto"/>
              </w:rPr>
            </w:pPr>
            <w:r>
              <w:rPr>
                <w:rFonts w:ascii="Arial" w:cs="Arial" w:eastAsia="Arial" w:hAnsi="Arial"/>
                <w:sz w:val="14"/>
                <w:szCs w:val="14"/>
                <w:color w:val="auto"/>
              </w:rPr>
              <w:t>noncontrolling interest</w:t>
            </w: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40" w:type="dxa"/>
            <w:vAlign w:val="bottom"/>
            <w:gridSpan w:val="2"/>
          </w:tcPr>
          <w:p>
            <w:pPr>
              <w:jc w:val="right"/>
              <w:ind w:right="8"/>
              <w:spacing w:after="0"/>
              <w:rPr>
                <w:sz w:val="20"/>
                <w:szCs w:val="20"/>
                <w:color w:val="auto"/>
              </w:rPr>
            </w:pPr>
            <w:r>
              <w:rPr>
                <w:rFonts w:ascii="Arial" w:cs="Arial" w:eastAsia="Arial" w:hAnsi="Arial"/>
                <w:sz w:val="14"/>
                <w:szCs w:val="14"/>
                <w:color w:val="auto"/>
              </w:rPr>
              <w:t>(3,654)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(698)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(2,354)</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(27,154)</w:t>
            </w:r>
          </w:p>
        </w:tc>
        <w:tc>
          <w:tcPr>
            <w:tcW w:w="0" w:type="dxa"/>
            <w:vAlign w:val="bottom"/>
          </w:tcPr>
          <w:p>
            <w:pPr>
              <w:spacing w:after="0"/>
              <w:rPr>
                <w:sz w:val="1"/>
                <w:szCs w:val="1"/>
                <w:color w:val="auto"/>
              </w:rPr>
            </w:pPr>
          </w:p>
        </w:tc>
      </w:tr>
      <w:tr>
        <w:trPr>
          <w:trHeight w:val="139"/>
        </w:trPr>
        <w:tc>
          <w:tcPr>
            <w:tcW w:w="1960" w:type="dxa"/>
            <w:vAlign w:val="bottom"/>
            <w:tcBorders>
              <w:top w:val="single" w:sz="8" w:color="CCEEFF"/>
            </w:tcBorders>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rPr>
              <w:t>Comprehensive income</w:t>
            </w:r>
          </w:p>
        </w:tc>
        <w:tc>
          <w:tcPr>
            <w:tcW w:w="7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attributable to The Hershey</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$ 213,512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5"/>
              </w:rPr>
              <w:t>$204,947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$522,985</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5"/>
              </w:rPr>
              <w:t>$348,469</w:t>
            </w:r>
          </w:p>
        </w:tc>
        <w:tc>
          <w:tcPr>
            <w:tcW w:w="0" w:type="dxa"/>
            <w:vAlign w:val="bottom"/>
          </w:tcPr>
          <w:p>
            <w:pPr>
              <w:spacing w:after="0"/>
              <w:rPr>
                <w:sz w:val="1"/>
                <w:szCs w:val="1"/>
                <w:color w:val="auto"/>
              </w:rPr>
            </w:pPr>
          </w:p>
        </w:tc>
      </w:tr>
      <w:tr>
        <w:trPr>
          <w:trHeight w:val="185"/>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Company</w:t>
            </w: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Unaudited Consolidated Financial Statements.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96" w:right="239" w:bottom="1440" w:gutter="0" w:footer="0" w:header="0"/>
        </w:sectPr>
      </w:pPr>
    </w:p>
    <w:bookmarkStart w:id="4" w:name="page5"/>
    <w:bookmarkEnd w:id="4"/>
    <w:p>
      <w:pPr>
        <w:jc w:val="center"/>
        <w:ind w:left="340"/>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CONSOLIDATED BALANCE SHEETS</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(in thousands, except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gridSpan w:val="2"/>
          </w:tcPr>
          <w:p>
            <w:pPr>
              <w:ind w:left="260"/>
              <w:spacing w:after="0"/>
              <w:rPr>
                <w:sz w:val="20"/>
                <w:szCs w:val="20"/>
                <w:color w:val="auto"/>
              </w:rPr>
            </w:pPr>
            <w:r>
              <w:rPr>
                <w:rFonts w:ascii="Arial" w:cs="Arial" w:eastAsia="Arial" w:hAnsi="Arial"/>
                <w:sz w:val="18"/>
                <w:szCs w:val="18"/>
                <w:b w:val="1"/>
                <w:bCs w:val="1"/>
                <w:color w:val="auto"/>
              </w:rPr>
              <w:t>July 1, 2018</w:t>
            </w:r>
          </w:p>
        </w:tc>
        <w:tc>
          <w:tcPr>
            <w:tcW w:w="240" w:type="dxa"/>
            <w:vAlign w:val="bottom"/>
          </w:tcPr>
          <w:p>
            <w:pPr>
              <w:spacing w:after="0"/>
              <w:rPr>
                <w:sz w:val="20"/>
                <w:szCs w:val="20"/>
                <w:color w:val="auto"/>
              </w:rPr>
            </w:pPr>
          </w:p>
        </w:tc>
        <w:tc>
          <w:tcPr>
            <w:tcW w:w="192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December 31, 2017</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(unaudited)</w:t>
            </w: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3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467,352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380,179</w:t>
            </w:r>
          </w:p>
        </w:tc>
        <w:tc>
          <w:tcPr>
            <w:tcW w:w="0" w:type="dxa"/>
            <w:vAlign w:val="bottom"/>
          </w:tcPr>
          <w:p>
            <w:pPr>
              <w:spacing w:after="0"/>
              <w:rPr>
                <w:sz w:val="1"/>
                <w:szCs w:val="1"/>
                <w:color w:val="auto"/>
              </w:rPr>
            </w:pPr>
          </w:p>
        </w:tc>
      </w:tr>
      <w:tr>
        <w:trPr>
          <w:trHeight w:val="243"/>
        </w:trPr>
        <w:tc>
          <w:tcPr>
            <w:tcW w:w="7000" w:type="dxa"/>
            <w:vAlign w:val="bottom"/>
          </w:tcPr>
          <w:p>
            <w:pPr>
              <w:ind w:left="280"/>
              <w:spacing w:after="0"/>
              <w:rPr>
                <w:sz w:val="20"/>
                <w:szCs w:val="20"/>
                <w:color w:val="auto"/>
              </w:rPr>
            </w:pPr>
            <w:r>
              <w:rPr>
                <w:rFonts w:ascii="Arial" w:cs="Arial" w:eastAsia="Arial" w:hAnsi="Arial"/>
                <w:sz w:val="18"/>
                <w:szCs w:val="18"/>
                <w:color w:val="auto"/>
              </w:rPr>
              <w:t>Accounts receivable—trade, net</w:t>
            </w:r>
          </w:p>
        </w:tc>
        <w:tc>
          <w:tcPr>
            <w:tcW w:w="36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501,863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588,262</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3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916,440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752,836</w:t>
            </w:r>
          </w:p>
        </w:tc>
        <w:tc>
          <w:tcPr>
            <w:tcW w:w="0" w:type="dxa"/>
            <w:vAlign w:val="bottom"/>
          </w:tcPr>
          <w:p>
            <w:pPr>
              <w:spacing w:after="0"/>
              <w:rPr>
                <w:sz w:val="1"/>
                <w:szCs w:val="1"/>
                <w:color w:val="auto"/>
              </w:rPr>
            </w:pPr>
          </w:p>
        </w:tc>
      </w:tr>
      <w:tr>
        <w:trPr>
          <w:trHeight w:val="243"/>
        </w:trPr>
        <w:tc>
          <w:tcPr>
            <w:tcW w:w="7000" w:type="dxa"/>
            <w:vAlign w:val="bottom"/>
          </w:tcPr>
          <w:p>
            <w:pPr>
              <w:ind w:left="280"/>
              <w:spacing w:after="0"/>
              <w:rPr>
                <w:sz w:val="20"/>
                <w:szCs w:val="20"/>
                <w:color w:val="auto"/>
              </w:rPr>
            </w:pPr>
            <w:r>
              <w:rPr>
                <w:rFonts w:ascii="Arial" w:cs="Arial" w:eastAsia="Arial" w:hAnsi="Arial"/>
                <w:sz w:val="18"/>
                <w:szCs w:val="18"/>
                <w:color w:val="auto"/>
              </w:rPr>
              <w:t>Prepaid expenses and other</w:t>
            </w:r>
          </w:p>
        </w:tc>
        <w:tc>
          <w:tcPr>
            <w:tcW w:w="36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479,450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280,633</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2,365,105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2,001,910</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36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2,083,840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2,106,697</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Goodwill</w:t>
            </w:r>
          </w:p>
        </w:tc>
        <w:tc>
          <w:tcPr>
            <w:tcW w:w="3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1,674,966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821,061</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Other intangibles</w:t>
            </w:r>
          </w:p>
        </w:tc>
        <w:tc>
          <w:tcPr>
            <w:tcW w:w="36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1,016,312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369,156</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262,704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251,879</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Deferred income taxes</w:t>
            </w:r>
          </w:p>
        </w:tc>
        <w:tc>
          <w:tcPr>
            <w:tcW w:w="36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2,726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3,023</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7,405,653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5,553,726</w:t>
            </w:r>
          </w:p>
        </w:tc>
        <w:tc>
          <w:tcPr>
            <w:tcW w:w="0" w:type="dxa"/>
            <w:vAlign w:val="bottom"/>
          </w:tcPr>
          <w:p>
            <w:pPr>
              <w:spacing w:after="0"/>
              <w:rPr>
                <w:sz w:val="1"/>
                <w:szCs w:val="1"/>
                <w:color w:val="auto"/>
              </w:rPr>
            </w:pPr>
          </w:p>
        </w:tc>
      </w:tr>
      <w:tr>
        <w:trPr>
          <w:trHeight w:val="20"/>
        </w:trPr>
        <w:tc>
          <w:tcPr>
            <w:tcW w:w="70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0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496,865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523,229</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635,728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676,134</w:t>
            </w:r>
          </w:p>
        </w:tc>
        <w:tc>
          <w:tcPr>
            <w:tcW w:w="0" w:type="dxa"/>
            <w:vAlign w:val="bottom"/>
          </w:tcPr>
          <w:p>
            <w:pPr>
              <w:spacing w:after="0"/>
              <w:rPr>
                <w:sz w:val="1"/>
                <w:szCs w:val="1"/>
                <w:color w:val="auto"/>
              </w:rPr>
            </w:pPr>
          </w:p>
        </w:tc>
      </w:tr>
      <w:tr>
        <w:trPr>
          <w:trHeight w:val="243"/>
        </w:trPr>
        <w:tc>
          <w:tcPr>
            <w:tcW w:w="7000" w:type="dxa"/>
            <w:vAlign w:val="bottom"/>
          </w:tcPr>
          <w:p>
            <w:pPr>
              <w:ind w:left="280"/>
              <w:spacing w:after="0"/>
              <w:rPr>
                <w:sz w:val="20"/>
                <w:szCs w:val="20"/>
                <w:color w:val="auto"/>
              </w:rPr>
            </w:pPr>
            <w:r>
              <w:rPr>
                <w:rFonts w:ascii="Arial" w:cs="Arial" w:eastAsia="Arial" w:hAnsi="Arial"/>
                <w:sz w:val="18"/>
                <w:szCs w:val="18"/>
                <w:color w:val="auto"/>
              </w:rPr>
              <w:t>Accrued income taxes</w:t>
            </w:r>
          </w:p>
        </w:tc>
        <w:tc>
          <w:tcPr>
            <w:tcW w:w="36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30,336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17,723</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debt</w:t>
            </w:r>
          </w:p>
        </w:tc>
        <w:tc>
          <w:tcPr>
            <w:tcW w:w="3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1,046,927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559,359</w:t>
            </w:r>
          </w:p>
        </w:tc>
        <w:tc>
          <w:tcPr>
            <w:tcW w:w="0" w:type="dxa"/>
            <w:vAlign w:val="bottom"/>
          </w:tcPr>
          <w:p>
            <w:pPr>
              <w:spacing w:after="0"/>
              <w:rPr>
                <w:sz w:val="1"/>
                <w:szCs w:val="1"/>
                <w:color w:val="auto"/>
              </w:rPr>
            </w:pPr>
          </w:p>
        </w:tc>
      </w:tr>
      <w:tr>
        <w:trPr>
          <w:trHeight w:val="243"/>
        </w:trPr>
        <w:tc>
          <w:tcPr>
            <w:tcW w:w="7000" w:type="dxa"/>
            <w:vAlign w:val="bottom"/>
          </w:tcPr>
          <w:p>
            <w:pPr>
              <w:ind w:left="280"/>
              <w:spacing w:after="0"/>
              <w:rPr>
                <w:sz w:val="20"/>
                <w:szCs w:val="20"/>
                <w:color w:val="auto"/>
              </w:rPr>
            </w:pPr>
            <w:r>
              <w:rPr>
                <w:rFonts w:ascii="Arial" w:cs="Arial" w:eastAsia="Arial" w:hAnsi="Arial"/>
                <w:sz w:val="18"/>
                <w:szCs w:val="18"/>
                <w:color w:val="auto"/>
              </w:rPr>
              <w:t>Current portion of long-term debt</w:t>
            </w:r>
          </w:p>
        </w:tc>
        <w:tc>
          <w:tcPr>
            <w:tcW w:w="36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304,401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300,098</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2,514,257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2,076,543</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Long-term debt</w:t>
            </w:r>
          </w:p>
        </w:tc>
        <w:tc>
          <w:tcPr>
            <w:tcW w:w="36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3,249,689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2,061,023</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long-term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436,691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438,939</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Deferred income taxes</w:t>
            </w:r>
          </w:p>
        </w:tc>
        <w:tc>
          <w:tcPr>
            <w:tcW w:w="36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141,199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45,656</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6,341,836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4,622,161</w:t>
            </w:r>
          </w:p>
        </w:tc>
        <w:tc>
          <w:tcPr>
            <w:tcW w:w="0" w:type="dxa"/>
            <w:vAlign w:val="bottom"/>
          </w:tcPr>
          <w:p>
            <w:pPr>
              <w:spacing w:after="0"/>
              <w:rPr>
                <w:sz w:val="1"/>
                <w:szCs w:val="1"/>
                <w:color w:val="auto"/>
              </w:rPr>
            </w:pPr>
          </w:p>
        </w:tc>
      </w:tr>
      <w:tr>
        <w:trPr>
          <w:trHeight w:val="183"/>
        </w:trPr>
        <w:tc>
          <w:tcPr>
            <w:tcW w:w="70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9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0" w:type="dxa"/>
            <w:vAlign w:val="bottom"/>
          </w:tcPr>
          <w:p>
            <w:pPr>
              <w:ind w:left="180"/>
              <w:spacing w:after="0"/>
              <w:rPr>
                <w:sz w:val="20"/>
                <w:szCs w:val="20"/>
                <w:color w:val="auto"/>
              </w:rPr>
            </w:pPr>
            <w:r>
              <w:rPr>
                <w:rFonts w:ascii="Arial" w:cs="Arial" w:eastAsia="Arial" w:hAnsi="Arial"/>
                <w:sz w:val="18"/>
                <w:szCs w:val="18"/>
                <w:color w:val="auto"/>
              </w:rPr>
              <w:t>The Hershey Company stockholders’ equity</w:t>
            </w:r>
          </w:p>
        </w:tc>
        <w:tc>
          <w:tcPr>
            <w:tcW w:w="3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Preferred stock, shares issued: none at July 1, 2018 and December 31, 2017</w:t>
            </w: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00" w:type="dxa"/>
            <w:vAlign w:val="bottom"/>
          </w:tcPr>
          <w:p>
            <w:pPr>
              <w:ind w:left="280"/>
              <w:spacing w:after="0"/>
              <w:rPr>
                <w:sz w:val="20"/>
                <w:szCs w:val="20"/>
                <w:color w:val="auto"/>
              </w:rPr>
            </w:pPr>
            <w:r>
              <w:rPr>
                <w:rFonts w:ascii="Arial" w:cs="Arial" w:eastAsia="Arial" w:hAnsi="Arial"/>
                <w:sz w:val="18"/>
                <w:szCs w:val="18"/>
                <w:color w:val="auto"/>
                <w:w w:val="99"/>
              </w:rPr>
              <w:t>Common stock, shares issued: 299,281,967 at July 1, 2018 and December 31, 2017</w:t>
            </w:r>
          </w:p>
        </w:tc>
        <w:tc>
          <w:tcPr>
            <w:tcW w:w="36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299,281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299,281</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2"/>
              </w:rPr>
              <w:t>Class B common stock, shares issued: 60,619,777 at July 1, 2018 and December 31, 2017</w:t>
            </w:r>
          </w:p>
        </w:tc>
        <w:tc>
          <w:tcPr>
            <w:tcW w:w="3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60,620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60,620</w:t>
            </w:r>
          </w:p>
        </w:tc>
        <w:tc>
          <w:tcPr>
            <w:tcW w:w="0" w:type="dxa"/>
            <w:vAlign w:val="bottom"/>
          </w:tcPr>
          <w:p>
            <w:pPr>
              <w:spacing w:after="0"/>
              <w:rPr>
                <w:sz w:val="1"/>
                <w:szCs w:val="1"/>
                <w:color w:val="auto"/>
              </w:rPr>
            </w:pPr>
          </w:p>
        </w:tc>
      </w:tr>
      <w:tr>
        <w:trPr>
          <w:trHeight w:val="243"/>
        </w:trPr>
        <w:tc>
          <w:tcPr>
            <w:tcW w:w="700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940,046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924,978</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3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6,727,127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6,371,082</w:t>
            </w:r>
          </w:p>
        </w:tc>
        <w:tc>
          <w:tcPr>
            <w:tcW w:w="0" w:type="dxa"/>
            <w:vAlign w:val="bottom"/>
          </w:tcPr>
          <w:p>
            <w:pPr>
              <w:spacing w:after="0"/>
              <w:rPr>
                <w:sz w:val="1"/>
                <w:szCs w:val="1"/>
                <w:color w:val="auto"/>
              </w:rPr>
            </w:pPr>
          </w:p>
        </w:tc>
      </w:tr>
      <w:tr>
        <w:trPr>
          <w:trHeight w:val="229"/>
        </w:trPr>
        <w:tc>
          <w:tcPr>
            <w:tcW w:w="7000" w:type="dxa"/>
            <w:vAlign w:val="bottom"/>
          </w:tcPr>
          <w:p>
            <w:pPr>
              <w:ind w:left="280"/>
              <w:spacing w:after="0"/>
              <w:rPr>
                <w:sz w:val="20"/>
                <w:szCs w:val="20"/>
                <w:color w:val="auto"/>
              </w:rPr>
            </w:pPr>
            <w:r>
              <w:rPr>
                <w:rFonts w:ascii="Arial" w:cs="Arial" w:eastAsia="Arial" w:hAnsi="Arial"/>
                <w:sz w:val="18"/>
                <w:szCs w:val="18"/>
                <w:color w:val="auto"/>
                <w:w w:val="93"/>
              </w:rPr>
              <w:t>Treasury—common stock shares, at cost: 150,648,644 at July 1, 2018 and 149,040,927 at</w:t>
            </w:r>
          </w:p>
        </w:tc>
        <w:tc>
          <w:tcPr>
            <w:tcW w:w="3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80"/>
              <w:spacing w:after="0"/>
              <w:rPr>
                <w:sz w:val="20"/>
                <w:szCs w:val="20"/>
                <w:color w:val="auto"/>
              </w:rPr>
            </w:pPr>
            <w:r>
              <w:rPr>
                <w:rFonts w:ascii="Arial" w:cs="Arial" w:eastAsia="Arial" w:hAnsi="Arial"/>
                <w:sz w:val="18"/>
                <w:szCs w:val="18"/>
                <w:color w:val="auto"/>
              </w:rPr>
              <w:t>December 31, 2017</w:t>
            </w:r>
          </w:p>
        </w:tc>
        <w:tc>
          <w:tcPr>
            <w:tcW w:w="3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(6,609,312)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(6,426,877)</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(367,818)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(313,746)</w:t>
            </w:r>
          </w:p>
        </w:tc>
        <w:tc>
          <w:tcPr>
            <w:tcW w:w="0" w:type="dxa"/>
            <w:vAlign w:val="bottom"/>
          </w:tcPr>
          <w:p>
            <w:pPr>
              <w:spacing w:after="0"/>
              <w:rPr>
                <w:sz w:val="1"/>
                <w:szCs w:val="1"/>
                <w:color w:val="auto"/>
              </w:rPr>
            </w:pPr>
          </w:p>
        </w:tc>
      </w:tr>
      <w:tr>
        <w:trPr>
          <w:trHeight w:val="237"/>
        </w:trPr>
        <w:tc>
          <w:tcPr>
            <w:tcW w:w="7000" w:type="dxa"/>
            <w:vAlign w:val="bottom"/>
          </w:tcPr>
          <w:p>
            <w:pPr>
              <w:ind w:left="380"/>
              <w:spacing w:after="0"/>
              <w:rPr>
                <w:sz w:val="20"/>
                <w:szCs w:val="20"/>
                <w:color w:val="auto"/>
              </w:rPr>
            </w:pPr>
            <w:r>
              <w:rPr>
                <w:rFonts w:ascii="Arial" w:cs="Arial" w:eastAsia="Arial" w:hAnsi="Arial"/>
                <w:sz w:val="18"/>
                <w:szCs w:val="18"/>
                <w:color w:val="auto"/>
              </w:rPr>
              <w:t>Total—The Hershey Company stockholders’ equity</w:t>
            </w:r>
          </w:p>
        </w:tc>
        <w:tc>
          <w:tcPr>
            <w:tcW w:w="3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1,049,944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915,338</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 in subsidiary</w:t>
            </w:r>
          </w:p>
        </w:tc>
        <w:tc>
          <w:tcPr>
            <w:tcW w:w="3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13,873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16,227</w:t>
            </w:r>
          </w:p>
        </w:tc>
        <w:tc>
          <w:tcPr>
            <w:tcW w:w="0" w:type="dxa"/>
            <w:vAlign w:val="bottom"/>
          </w:tcPr>
          <w:p>
            <w:pPr>
              <w:spacing w:after="0"/>
              <w:rPr>
                <w:sz w:val="1"/>
                <w:szCs w:val="1"/>
                <w:color w:val="auto"/>
              </w:rPr>
            </w:pPr>
          </w:p>
        </w:tc>
      </w:tr>
      <w:tr>
        <w:trPr>
          <w:trHeight w:val="237"/>
        </w:trPr>
        <w:tc>
          <w:tcPr>
            <w:tcW w:w="7000" w:type="dxa"/>
            <w:vAlign w:val="bottom"/>
          </w:tcPr>
          <w:p>
            <w:pPr>
              <w:ind w:left="38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1,063,817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931,565</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7,405,653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5,553,726</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Unaudited Consolidated Financial Statements.</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580" w:right="239" w:bottom="1440" w:gutter="0" w:footer="0" w:header="0"/>
          <w:type w:val="continuous"/>
        </w:sectPr>
      </w:pPr>
    </w:p>
    <w:bookmarkStart w:id="5" w:name="page6"/>
    <w:bookmarkEnd w:id="5"/>
    <w:p>
      <w:pPr>
        <w:jc w:val="center"/>
        <w:ind w:left="340"/>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Six Months Ended</w:t>
            </w: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9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60" w:type="dxa"/>
            <w:vAlign w:val="bottom"/>
            <w:gridSpan w:val="2"/>
          </w:tcPr>
          <w:p>
            <w:pPr>
              <w:ind w:left="340"/>
              <w:spacing w:after="0"/>
              <w:rPr>
                <w:sz w:val="20"/>
                <w:szCs w:val="20"/>
                <w:color w:val="auto"/>
              </w:rPr>
            </w:pPr>
            <w:r>
              <w:rPr>
                <w:rFonts w:ascii="Arial" w:cs="Arial" w:eastAsia="Arial" w:hAnsi="Arial"/>
                <w:sz w:val="14"/>
                <w:szCs w:val="14"/>
                <w:b w:val="1"/>
                <w:bCs w:val="1"/>
                <w:color w:val="auto"/>
              </w:rPr>
              <w:t>July 1, 2018</w:t>
            </w:r>
          </w:p>
        </w:tc>
        <w:tc>
          <w:tcPr>
            <w:tcW w:w="620" w:type="dxa"/>
            <w:vAlign w:val="bottom"/>
          </w:tcPr>
          <w:p>
            <w:pPr>
              <w:spacing w:after="0"/>
              <w:rPr>
                <w:sz w:val="22"/>
                <w:szCs w:val="22"/>
                <w:color w:val="auto"/>
              </w:rPr>
            </w:pPr>
          </w:p>
        </w:tc>
        <w:tc>
          <w:tcPr>
            <w:tcW w:w="1520" w:type="dxa"/>
            <w:vAlign w:val="bottom"/>
          </w:tcPr>
          <w:p>
            <w:pPr>
              <w:jc w:val="right"/>
              <w:ind w:right="588"/>
              <w:spacing w:after="0"/>
              <w:rPr>
                <w:sz w:val="20"/>
                <w:szCs w:val="20"/>
                <w:color w:val="auto"/>
              </w:rPr>
            </w:pPr>
            <w:r>
              <w:rPr>
                <w:rFonts w:ascii="Arial" w:cs="Arial" w:eastAsia="Arial" w:hAnsi="Arial"/>
                <w:sz w:val="14"/>
                <w:szCs w:val="14"/>
                <w:b w:val="1"/>
                <w:bCs w:val="1"/>
                <w:color w:val="auto"/>
              </w:rPr>
              <w:t>July 2, 2017</w:t>
            </w:r>
          </w:p>
        </w:tc>
        <w:tc>
          <w:tcPr>
            <w:tcW w:w="0" w:type="dxa"/>
            <w:vAlign w:val="bottom"/>
          </w:tcPr>
          <w:p>
            <w:pPr>
              <w:spacing w:after="0"/>
              <w:rPr>
                <w:sz w:val="1"/>
                <w:szCs w:val="1"/>
                <w:color w:val="auto"/>
              </w:rPr>
            </w:pPr>
          </w:p>
        </w:tc>
      </w:tr>
      <w:tr>
        <w:trPr>
          <w:trHeight w:val="270"/>
        </w:trPr>
        <w:tc>
          <w:tcPr>
            <w:tcW w:w="6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Operating Activities</w:t>
            </w:r>
          </w:p>
        </w:tc>
        <w:tc>
          <w:tcPr>
            <w:tcW w:w="440" w:type="dxa"/>
            <w:vAlign w:val="bottom"/>
            <w:tcBorders>
              <w:top w:val="single" w:sz="8" w:color="auto"/>
            </w:tcBorders>
            <w:shd w:val="clear" w:color="auto" w:fill="CCEEFF"/>
          </w:tcPr>
          <w:p>
            <w:pPr>
              <w:spacing w:after="0"/>
              <w:rPr>
                <w:sz w:val="23"/>
                <w:szCs w:val="23"/>
                <w:color w:val="auto"/>
              </w:rPr>
            </w:pPr>
          </w:p>
        </w:tc>
        <w:tc>
          <w:tcPr>
            <w:tcW w:w="17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spacing w:after="0"/>
              <w:rPr>
                <w:sz w:val="23"/>
                <w:szCs w:val="23"/>
                <w:color w:val="auto"/>
              </w:rPr>
            </w:pPr>
          </w:p>
        </w:tc>
        <w:tc>
          <w:tcPr>
            <w:tcW w:w="15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980" w:type="dxa"/>
            <w:vAlign w:val="bottom"/>
          </w:tcPr>
          <w:p>
            <w:pPr>
              <w:ind w:left="380"/>
              <w:spacing w:after="0"/>
              <w:rPr>
                <w:sz w:val="20"/>
                <w:szCs w:val="20"/>
                <w:color w:val="auto"/>
              </w:rPr>
            </w:pPr>
            <w:r>
              <w:rPr>
                <w:rFonts w:ascii="Arial" w:cs="Arial" w:eastAsia="Arial" w:hAnsi="Arial"/>
                <w:sz w:val="14"/>
                <w:szCs w:val="14"/>
                <w:color w:val="auto"/>
              </w:rPr>
              <w:t>Net income including noncontrolling interest</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574,038</w:t>
            </w:r>
          </w:p>
        </w:tc>
        <w:tc>
          <w:tcPr>
            <w:tcW w:w="120" w:type="dxa"/>
            <w:vAlign w:val="bottom"/>
          </w:tcPr>
          <w:p>
            <w:pPr>
              <w:spacing w:after="0"/>
              <w:rPr>
                <w:sz w:val="22"/>
                <w:szCs w:val="22"/>
                <w:color w:val="auto"/>
              </w:rPr>
            </w:pPr>
          </w:p>
        </w:tc>
        <w:tc>
          <w:tcPr>
            <w:tcW w:w="62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300,975</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44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980" w:type="dxa"/>
            <w:vAlign w:val="bottom"/>
          </w:tcPr>
          <w:p>
            <w:pPr>
              <w:ind w:left="600"/>
              <w:spacing w:after="0"/>
              <w:rPr>
                <w:sz w:val="20"/>
                <w:szCs w:val="20"/>
                <w:color w:val="auto"/>
              </w:rPr>
            </w:pPr>
            <w:r>
              <w:rPr>
                <w:rFonts w:ascii="Arial" w:cs="Arial" w:eastAsia="Arial" w:hAnsi="Arial"/>
                <w:sz w:val="14"/>
                <w:szCs w:val="14"/>
                <w:color w:val="auto"/>
              </w:rPr>
              <w:t>Depreciation and amortization</w:t>
            </w:r>
          </w:p>
        </w:tc>
        <w:tc>
          <w:tcPr>
            <w:tcW w:w="440" w:type="dxa"/>
            <w:vAlign w:val="bottom"/>
          </w:tcPr>
          <w:p>
            <w:pPr>
              <w:spacing w:after="0"/>
              <w:rPr>
                <w:sz w:val="22"/>
                <w:szCs w:val="22"/>
                <w:color w:val="auto"/>
              </w:rPr>
            </w:pP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150,996</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132,079</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600"/>
              <w:spacing w:after="0"/>
              <w:rPr>
                <w:sz w:val="20"/>
                <w:szCs w:val="20"/>
                <w:color w:val="auto"/>
              </w:rPr>
            </w:pPr>
            <w:r>
              <w:rPr>
                <w:rFonts w:ascii="Arial" w:cs="Arial" w:eastAsia="Arial" w:hAnsi="Arial"/>
                <w:sz w:val="14"/>
                <w:szCs w:val="14"/>
                <w:color w:val="auto"/>
              </w:rPr>
              <w:t>Stock-based compensation expense</w:t>
            </w:r>
          </w:p>
        </w:tc>
        <w:tc>
          <w:tcPr>
            <w:tcW w:w="44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23,546</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24,557</w:t>
            </w:r>
          </w:p>
        </w:tc>
        <w:tc>
          <w:tcPr>
            <w:tcW w:w="0" w:type="dxa"/>
            <w:vAlign w:val="bottom"/>
          </w:tcPr>
          <w:p>
            <w:pPr>
              <w:spacing w:after="0"/>
              <w:rPr>
                <w:sz w:val="1"/>
                <w:szCs w:val="1"/>
                <w:color w:val="auto"/>
              </w:rPr>
            </w:pPr>
          </w:p>
        </w:tc>
      </w:tr>
      <w:tr>
        <w:trPr>
          <w:trHeight w:val="264"/>
        </w:trPr>
        <w:tc>
          <w:tcPr>
            <w:tcW w:w="6980" w:type="dxa"/>
            <w:vAlign w:val="bottom"/>
          </w:tcPr>
          <w:p>
            <w:pPr>
              <w:ind w:left="600"/>
              <w:spacing w:after="0"/>
              <w:rPr>
                <w:sz w:val="20"/>
                <w:szCs w:val="20"/>
                <w:color w:val="auto"/>
              </w:rPr>
            </w:pPr>
            <w:r>
              <w:rPr>
                <w:rFonts w:ascii="Arial" w:cs="Arial" w:eastAsia="Arial" w:hAnsi="Arial"/>
                <w:sz w:val="14"/>
                <w:szCs w:val="14"/>
                <w:color w:val="auto"/>
              </w:rPr>
              <w:t>Deferred income taxes</w:t>
            </w:r>
          </w:p>
        </w:tc>
        <w:tc>
          <w:tcPr>
            <w:tcW w:w="440" w:type="dxa"/>
            <w:vAlign w:val="bottom"/>
          </w:tcPr>
          <w:p>
            <w:pPr>
              <w:spacing w:after="0"/>
              <w:rPr>
                <w:sz w:val="22"/>
                <w:szCs w:val="22"/>
                <w:color w:val="auto"/>
              </w:rPr>
            </w:pP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1,080</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(44,484)</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600"/>
              <w:spacing w:after="0"/>
              <w:rPr>
                <w:sz w:val="20"/>
                <w:szCs w:val="20"/>
                <w:color w:val="auto"/>
              </w:rPr>
            </w:pPr>
            <w:r>
              <w:rPr>
                <w:rFonts w:ascii="Arial" w:cs="Arial" w:eastAsia="Arial" w:hAnsi="Arial"/>
                <w:sz w:val="14"/>
                <w:szCs w:val="14"/>
                <w:color w:val="auto"/>
              </w:rPr>
              <w:t>Impairment of long-lived assets (see Notes 6 and 8)</w:t>
            </w:r>
          </w:p>
        </w:tc>
        <w:tc>
          <w:tcPr>
            <w:tcW w:w="44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27,168</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208,712</w:t>
            </w:r>
          </w:p>
        </w:tc>
        <w:tc>
          <w:tcPr>
            <w:tcW w:w="0" w:type="dxa"/>
            <w:vAlign w:val="bottom"/>
          </w:tcPr>
          <w:p>
            <w:pPr>
              <w:spacing w:after="0"/>
              <w:rPr>
                <w:sz w:val="1"/>
                <w:szCs w:val="1"/>
                <w:color w:val="auto"/>
              </w:rPr>
            </w:pPr>
          </w:p>
        </w:tc>
      </w:tr>
      <w:tr>
        <w:trPr>
          <w:trHeight w:val="264"/>
        </w:trPr>
        <w:tc>
          <w:tcPr>
            <w:tcW w:w="6980" w:type="dxa"/>
            <w:vAlign w:val="bottom"/>
          </w:tcPr>
          <w:p>
            <w:pPr>
              <w:ind w:left="600"/>
              <w:spacing w:after="0"/>
              <w:rPr>
                <w:sz w:val="20"/>
                <w:szCs w:val="20"/>
                <w:color w:val="auto"/>
              </w:rPr>
            </w:pPr>
            <w:r>
              <w:rPr>
                <w:rFonts w:ascii="Arial" w:cs="Arial" w:eastAsia="Arial" w:hAnsi="Arial"/>
                <w:sz w:val="14"/>
                <w:szCs w:val="14"/>
                <w:color w:val="auto"/>
              </w:rPr>
              <w:t>Write-down of equity investments</w:t>
            </w:r>
          </w:p>
        </w:tc>
        <w:tc>
          <w:tcPr>
            <w:tcW w:w="440" w:type="dxa"/>
            <w:vAlign w:val="bottom"/>
          </w:tcPr>
          <w:p>
            <w:pPr>
              <w:spacing w:after="0"/>
              <w:rPr>
                <w:sz w:val="22"/>
                <w:szCs w:val="22"/>
                <w:color w:val="auto"/>
              </w:rPr>
            </w:pP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19,764</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10,263</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600"/>
              <w:spacing w:after="0"/>
              <w:rPr>
                <w:sz w:val="20"/>
                <w:szCs w:val="20"/>
                <w:color w:val="auto"/>
              </w:rPr>
            </w:pPr>
            <w:r>
              <w:rPr>
                <w:rFonts w:ascii="Arial" w:cs="Arial" w:eastAsia="Arial" w:hAnsi="Arial"/>
                <w:sz w:val="14"/>
                <w:szCs w:val="14"/>
                <w:color w:val="auto"/>
              </w:rPr>
              <w:t>Other</w:t>
            </w:r>
          </w:p>
        </w:tc>
        <w:tc>
          <w:tcPr>
            <w:tcW w:w="44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14,212</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26,418</w:t>
            </w:r>
          </w:p>
        </w:tc>
        <w:tc>
          <w:tcPr>
            <w:tcW w:w="0" w:type="dxa"/>
            <w:vAlign w:val="bottom"/>
          </w:tcPr>
          <w:p>
            <w:pPr>
              <w:spacing w:after="0"/>
              <w:rPr>
                <w:sz w:val="1"/>
                <w:szCs w:val="1"/>
                <w:color w:val="auto"/>
              </w:rPr>
            </w:pPr>
          </w:p>
        </w:tc>
      </w:tr>
      <w:tr>
        <w:trPr>
          <w:trHeight w:val="264"/>
        </w:trPr>
        <w:tc>
          <w:tcPr>
            <w:tcW w:w="6980" w:type="dxa"/>
            <w:vAlign w:val="bottom"/>
          </w:tcPr>
          <w:p>
            <w:pPr>
              <w:ind w:left="600"/>
              <w:spacing w:after="0"/>
              <w:rPr>
                <w:sz w:val="20"/>
                <w:szCs w:val="20"/>
                <w:color w:val="auto"/>
              </w:rPr>
            </w:pPr>
            <w:r>
              <w:rPr>
                <w:rFonts w:ascii="Arial" w:cs="Arial" w:eastAsia="Arial" w:hAnsi="Arial"/>
                <w:sz w:val="14"/>
                <w:szCs w:val="14"/>
                <w:color w:val="auto"/>
              </w:rPr>
              <w:t>Changes in assets and liabilities, net of business acquisition:</w:t>
            </w:r>
          </w:p>
        </w:tc>
        <w:tc>
          <w:tcPr>
            <w:tcW w:w="4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820"/>
              <w:spacing w:after="0"/>
              <w:rPr>
                <w:sz w:val="20"/>
                <w:szCs w:val="20"/>
                <w:color w:val="auto"/>
              </w:rPr>
            </w:pPr>
            <w:r>
              <w:rPr>
                <w:rFonts w:ascii="Arial" w:cs="Arial" w:eastAsia="Arial" w:hAnsi="Arial"/>
                <w:sz w:val="14"/>
                <w:szCs w:val="14"/>
                <w:color w:val="auto"/>
              </w:rPr>
              <w:t>Accounts receivable—trade, net</w:t>
            </w:r>
          </w:p>
        </w:tc>
        <w:tc>
          <w:tcPr>
            <w:tcW w:w="44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100,864</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163,924</w:t>
            </w:r>
          </w:p>
        </w:tc>
        <w:tc>
          <w:tcPr>
            <w:tcW w:w="0" w:type="dxa"/>
            <w:vAlign w:val="bottom"/>
          </w:tcPr>
          <w:p>
            <w:pPr>
              <w:spacing w:after="0"/>
              <w:rPr>
                <w:sz w:val="1"/>
                <w:szCs w:val="1"/>
                <w:color w:val="auto"/>
              </w:rPr>
            </w:pPr>
          </w:p>
        </w:tc>
      </w:tr>
      <w:tr>
        <w:trPr>
          <w:trHeight w:val="264"/>
        </w:trPr>
        <w:tc>
          <w:tcPr>
            <w:tcW w:w="6980" w:type="dxa"/>
            <w:vAlign w:val="bottom"/>
          </w:tcPr>
          <w:p>
            <w:pPr>
              <w:ind w:left="820"/>
              <w:spacing w:after="0"/>
              <w:rPr>
                <w:sz w:val="20"/>
                <w:szCs w:val="20"/>
                <w:color w:val="auto"/>
              </w:rPr>
            </w:pPr>
            <w:r>
              <w:rPr>
                <w:rFonts w:ascii="Arial" w:cs="Arial" w:eastAsia="Arial" w:hAnsi="Arial"/>
                <w:sz w:val="14"/>
                <w:szCs w:val="14"/>
                <w:color w:val="auto"/>
              </w:rPr>
              <w:t>Inventories</w:t>
            </w:r>
          </w:p>
        </w:tc>
        <w:tc>
          <w:tcPr>
            <w:tcW w:w="44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(147,090)</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(190,759)</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820"/>
              <w:spacing w:after="0"/>
              <w:rPr>
                <w:sz w:val="20"/>
                <w:szCs w:val="20"/>
                <w:color w:val="auto"/>
              </w:rPr>
            </w:pPr>
            <w:r>
              <w:rPr>
                <w:rFonts w:ascii="Arial" w:cs="Arial" w:eastAsia="Arial" w:hAnsi="Arial"/>
                <w:sz w:val="14"/>
                <w:szCs w:val="14"/>
                <w:color w:val="auto"/>
              </w:rPr>
              <w:t>Prepaid expenses and other current assets</w:t>
            </w:r>
          </w:p>
        </w:tc>
        <w:tc>
          <w:tcPr>
            <w:tcW w:w="440" w:type="dxa"/>
            <w:vAlign w:val="bottom"/>
            <w:shd w:val="clear" w:color="auto" w:fill="CCEEFF"/>
          </w:tcPr>
          <w:p>
            <w:pPr>
              <w:spacing w:after="0"/>
              <w:rPr>
                <w:sz w:val="24"/>
                <w:szCs w:val="24"/>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(25,966)</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(40,162)</w:t>
            </w:r>
          </w:p>
        </w:tc>
        <w:tc>
          <w:tcPr>
            <w:tcW w:w="0" w:type="dxa"/>
            <w:vAlign w:val="bottom"/>
          </w:tcPr>
          <w:p>
            <w:pPr>
              <w:spacing w:after="0"/>
              <w:rPr>
                <w:sz w:val="1"/>
                <w:szCs w:val="1"/>
                <w:color w:val="auto"/>
              </w:rPr>
            </w:pPr>
          </w:p>
        </w:tc>
      </w:tr>
      <w:tr>
        <w:trPr>
          <w:trHeight w:val="264"/>
        </w:trPr>
        <w:tc>
          <w:tcPr>
            <w:tcW w:w="6980" w:type="dxa"/>
            <w:vAlign w:val="bottom"/>
          </w:tcPr>
          <w:p>
            <w:pPr>
              <w:ind w:left="820"/>
              <w:spacing w:after="0"/>
              <w:rPr>
                <w:sz w:val="20"/>
                <w:szCs w:val="20"/>
                <w:color w:val="auto"/>
              </w:rPr>
            </w:pPr>
            <w:r>
              <w:rPr>
                <w:rFonts w:ascii="Arial" w:cs="Arial" w:eastAsia="Arial" w:hAnsi="Arial"/>
                <w:sz w:val="14"/>
                <w:szCs w:val="14"/>
                <w:color w:val="auto"/>
              </w:rPr>
              <w:t>Accounts payable and accrued liabilities</w:t>
            </w:r>
          </w:p>
        </w:tc>
        <w:tc>
          <w:tcPr>
            <w:tcW w:w="44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(162,054)</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(174,004)</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820"/>
              <w:spacing w:after="0"/>
              <w:rPr>
                <w:sz w:val="20"/>
                <w:szCs w:val="20"/>
                <w:color w:val="auto"/>
              </w:rPr>
            </w:pPr>
            <w:r>
              <w:rPr>
                <w:rFonts w:ascii="Arial" w:cs="Arial" w:eastAsia="Arial" w:hAnsi="Arial"/>
                <w:sz w:val="14"/>
                <w:szCs w:val="14"/>
                <w:color w:val="auto"/>
              </w:rPr>
              <w:t>Accrued income taxes</w:t>
            </w:r>
          </w:p>
        </w:tc>
        <w:tc>
          <w:tcPr>
            <w:tcW w:w="44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54,079</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(74,638)</w:t>
            </w:r>
          </w:p>
        </w:tc>
        <w:tc>
          <w:tcPr>
            <w:tcW w:w="0" w:type="dxa"/>
            <w:vAlign w:val="bottom"/>
          </w:tcPr>
          <w:p>
            <w:pPr>
              <w:spacing w:after="0"/>
              <w:rPr>
                <w:sz w:val="1"/>
                <w:szCs w:val="1"/>
                <w:color w:val="auto"/>
              </w:rPr>
            </w:pPr>
          </w:p>
        </w:tc>
      </w:tr>
      <w:tr>
        <w:trPr>
          <w:trHeight w:val="264"/>
        </w:trPr>
        <w:tc>
          <w:tcPr>
            <w:tcW w:w="6980" w:type="dxa"/>
            <w:vAlign w:val="bottom"/>
          </w:tcPr>
          <w:p>
            <w:pPr>
              <w:ind w:left="820"/>
              <w:spacing w:after="0"/>
              <w:rPr>
                <w:sz w:val="20"/>
                <w:szCs w:val="20"/>
                <w:color w:val="auto"/>
              </w:rPr>
            </w:pPr>
            <w:r>
              <w:rPr>
                <w:rFonts w:ascii="Arial" w:cs="Arial" w:eastAsia="Arial" w:hAnsi="Arial"/>
                <w:sz w:val="14"/>
                <w:szCs w:val="14"/>
                <w:color w:val="auto"/>
              </w:rPr>
              <w:t>Contributions to pension and other benefit plans</w:t>
            </w:r>
          </w:p>
        </w:tc>
        <w:tc>
          <w:tcPr>
            <w:tcW w:w="44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(14,079)</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(19,449)</w:t>
            </w:r>
          </w:p>
        </w:tc>
        <w:tc>
          <w:tcPr>
            <w:tcW w:w="0" w:type="dxa"/>
            <w:vAlign w:val="bottom"/>
          </w:tcPr>
          <w:p>
            <w:pPr>
              <w:spacing w:after="0"/>
              <w:rPr>
                <w:sz w:val="1"/>
                <w:szCs w:val="1"/>
                <w:color w:val="auto"/>
              </w:rPr>
            </w:pPr>
          </w:p>
        </w:tc>
      </w:tr>
      <w:tr>
        <w:trPr>
          <w:trHeight w:val="270"/>
        </w:trPr>
        <w:tc>
          <w:tcPr>
            <w:tcW w:w="6980" w:type="dxa"/>
            <w:vAlign w:val="bottom"/>
            <w:shd w:val="clear" w:color="auto" w:fill="CCEEFF"/>
          </w:tcPr>
          <w:p>
            <w:pPr>
              <w:ind w:left="820"/>
              <w:spacing w:after="0"/>
              <w:rPr>
                <w:sz w:val="20"/>
                <w:szCs w:val="20"/>
                <w:color w:val="auto"/>
              </w:rPr>
            </w:pPr>
            <w:r>
              <w:rPr>
                <w:rFonts w:ascii="Arial" w:cs="Arial" w:eastAsia="Arial" w:hAnsi="Arial"/>
                <w:sz w:val="14"/>
                <w:szCs w:val="14"/>
                <w:color w:val="auto"/>
              </w:rPr>
              <w:t>Other assets and liabilities</w:t>
            </w:r>
          </w:p>
        </w:tc>
        <w:tc>
          <w:tcPr>
            <w:tcW w:w="44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(13,676)</w:t>
            </w:r>
          </w:p>
        </w:tc>
        <w:tc>
          <w:tcPr>
            <w:tcW w:w="12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12,302</w:t>
            </w: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44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602,882</w:t>
            </w:r>
          </w:p>
        </w:tc>
        <w:tc>
          <w:tcPr>
            <w:tcW w:w="12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335,734</w:t>
            </w:r>
          </w:p>
        </w:tc>
        <w:tc>
          <w:tcPr>
            <w:tcW w:w="0" w:type="dxa"/>
            <w:vAlign w:val="bottom"/>
          </w:tcPr>
          <w:p>
            <w:pPr>
              <w:spacing w:after="0"/>
              <w:rPr>
                <w:sz w:val="1"/>
                <w:szCs w:val="1"/>
                <w:color w:val="auto"/>
              </w:rPr>
            </w:pPr>
          </w:p>
        </w:tc>
      </w:tr>
      <w:tr>
        <w:trPr>
          <w:trHeight w:val="270"/>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Investing Activities</w:t>
            </w:r>
          </w:p>
        </w:tc>
        <w:tc>
          <w:tcPr>
            <w:tcW w:w="44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980" w:type="dxa"/>
            <w:vAlign w:val="bottom"/>
          </w:tcPr>
          <w:p>
            <w:pPr>
              <w:ind w:left="380"/>
              <w:spacing w:after="0"/>
              <w:rPr>
                <w:sz w:val="20"/>
                <w:szCs w:val="20"/>
                <w:color w:val="auto"/>
              </w:rPr>
            </w:pPr>
            <w:r>
              <w:rPr>
                <w:rFonts w:ascii="Arial" w:cs="Arial" w:eastAsia="Arial" w:hAnsi="Arial"/>
                <w:sz w:val="14"/>
                <w:szCs w:val="14"/>
                <w:color w:val="auto"/>
              </w:rPr>
              <w:t>Capital additions (including software)</w:t>
            </w:r>
          </w:p>
        </w:tc>
        <w:tc>
          <w:tcPr>
            <w:tcW w:w="44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(135,919)</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(84,687)</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sales of property, plant and equipment and other long-lived assets</w:t>
            </w:r>
          </w:p>
        </w:tc>
        <w:tc>
          <w:tcPr>
            <w:tcW w:w="44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16,123</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865</w:t>
            </w:r>
          </w:p>
        </w:tc>
        <w:tc>
          <w:tcPr>
            <w:tcW w:w="0" w:type="dxa"/>
            <w:vAlign w:val="bottom"/>
          </w:tcPr>
          <w:p>
            <w:pPr>
              <w:spacing w:after="0"/>
              <w:rPr>
                <w:sz w:val="1"/>
                <w:szCs w:val="1"/>
                <w:color w:val="auto"/>
              </w:rPr>
            </w:pPr>
          </w:p>
        </w:tc>
      </w:tr>
      <w:tr>
        <w:trPr>
          <w:trHeight w:val="264"/>
        </w:trPr>
        <w:tc>
          <w:tcPr>
            <w:tcW w:w="6980" w:type="dxa"/>
            <w:vAlign w:val="bottom"/>
          </w:tcPr>
          <w:p>
            <w:pPr>
              <w:ind w:left="380"/>
              <w:spacing w:after="0"/>
              <w:rPr>
                <w:sz w:val="20"/>
                <w:szCs w:val="20"/>
                <w:color w:val="auto"/>
              </w:rPr>
            </w:pPr>
            <w:r>
              <w:rPr>
                <w:rFonts w:ascii="Arial" w:cs="Arial" w:eastAsia="Arial" w:hAnsi="Arial"/>
                <w:sz w:val="14"/>
                <w:szCs w:val="14"/>
                <w:color w:val="auto"/>
              </w:rPr>
              <w:t>Equity investments in tax credit qualifying partnerships</w:t>
            </w:r>
          </w:p>
        </w:tc>
        <w:tc>
          <w:tcPr>
            <w:tcW w:w="44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(29,027)</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(22,415)</w:t>
            </w:r>
          </w:p>
        </w:tc>
        <w:tc>
          <w:tcPr>
            <w:tcW w:w="0" w:type="dxa"/>
            <w:vAlign w:val="bottom"/>
          </w:tcPr>
          <w:p>
            <w:pPr>
              <w:spacing w:after="0"/>
              <w:rPr>
                <w:sz w:val="1"/>
                <w:szCs w:val="1"/>
                <w:color w:val="auto"/>
              </w:rPr>
            </w:pPr>
          </w:p>
        </w:tc>
      </w:tr>
      <w:tr>
        <w:trPr>
          <w:trHeight w:val="270"/>
        </w:trPr>
        <w:tc>
          <w:tcPr>
            <w:tcW w:w="6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Business acquisition, net of cash and cash equivalents acquired</w:t>
            </w:r>
          </w:p>
        </w:tc>
        <w:tc>
          <w:tcPr>
            <w:tcW w:w="44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(915,457)</w:t>
            </w:r>
          </w:p>
        </w:tc>
        <w:tc>
          <w:tcPr>
            <w:tcW w:w="12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used in investing activities</w:t>
            </w:r>
          </w:p>
        </w:tc>
        <w:tc>
          <w:tcPr>
            <w:tcW w:w="44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(1,064,280)</w:t>
            </w:r>
          </w:p>
        </w:tc>
        <w:tc>
          <w:tcPr>
            <w:tcW w:w="12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(106,237)</w:t>
            </w:r>
          </w:p>
        </w:tc>
        <w:tc>
          <w:tcPr>
            <w:tcW w:w="0" w:type="dxa"/>
            <w:vAlign w:val="bottom"/>
          </w:tcPr>
          <w:p>
            <w:pPr>
              <w:spacing w:after="0"/>
              <w:rPr>
                <w:sz w:val="1"/>
                <w:szCs w:val="1"/>
                <w:color w:val="auto"/>
              </w:rPr>
            </w:pPr>
          </w:p>
        </w:tc>
      </w:tr>
      <w:tr>
        <w:trPr>
          <w:trHeight w:val="270"/>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Financing Activities</w:t>
            </w:r>
          </w:p>
        </w:tc>
        <w:tc>
          <w:tcPr>
            <w:tcW w:w="44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980" w:type="dxa"/>
            <w:vAlign w:val="bottom"/>
          </w:tcPr>
          <w:p>
            <w:pPr>
              <w:ind w:left="380"/>
              <w:spacing w:after="0"/>
              <w:rPr>
                <w:sz w:val="20"/>
                <w:szCs w:val="20"/>
                <w:color w:val="auto"/>
              </w:rPr>
            </w:pPr>
            <w:r>
              <w:rPr>
                <w:rFonts w:ascii="Arial" w:cs="Arial" w:eastAsia="Arial" w:hAnsi="Arial"/>
                <w:sz w:val="14"/>
                <w:szCs w:val="14"/>
                <w:color w:val="auto"/>
              </w:rPr>
              <w:t>Net increase (decrease) in short-term debt</w:t>
            </w:r>
          </w:p>
        </w:tc>
        <w:tc>
          <w:tcPr>
            <w:tcW w:w="440" w:type="dxa"/>
            <w:vAlign w:val="bottom"/>
          </w:tcPr>
          <w:p>
            <w:pPr>
              <w:spacing w:after="0"/>
              <w:rPr>
                <w:sz w:val="22"/>
                <w:szCs w:val="22"/>
                <w:color w:val="auto"/>
              </w:rPr>
            </w:pP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491,100</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(13,696)</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Long-term borrowings</w:t>
            </w:r>
          </w:p>
        </w:tc>
        <w:tc>
          <w:tcPr>
            <w:tcW w:w="44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1,199,921</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6980" w:type="dxa"/>
            <w:vAlign w:val="bottom"/>
          </w:tcPr>
          <w:p>
            <w:pPr>
              <w:ind w:left="380"/>
              <w:spacing w:after="0"/>
              <w:rPr>
                <w:sz w:val="20"/>
                <w:szCs w:val="20"/>
                <w:color w:val="auto"/>
              </w:rPr>
            </w:pPr>
            <w:r>
              <w:rPr>
                <w:rFonts w:ascii="Arial" w:cs="Arial" w:eastAsia="Arial" w:hAnsi="Arial"/>
                <w:sz w:val="14"/>
                <w:szCs w:val="14"/>
                <w:color w:val="auto"/>
              </w:rPr>
              <w:t>Repayment of long-term debt</w:t>
            </w:r>
          </w:p>
        </w:tc>
        <w:tc>
          <w:tcPr>
            <w:tcW w:w="44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(606,540)</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Repayment of tax receivable obligation</w:t>
            </w:r>
          </w:p>
        </w:tc>
        <w:tc>
          <w:tcPr>
            <w:tcW w:w="440" w:type="dxa"/>
            <w:vAlign w:val="bottom"/>
            <w:shd w:val="clear" w:color="auto" w:fill="CCEEFF"/>
          </w:tcPr>
          <w:p>
            <w:pPr>
              <w:spacing w:after="0"/>
              <w:rPr>
                <w:sz w:val="24"/>
                <w:szCs w:val="24"/>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(72,000)</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6980" w:type="dxa"/>
            <w:vAlign w:val="bottom"/>
          </w:tcPr>
          <w:p>
            <w:pPr>
              <w:ind w:left="380"/>
              <w:spacing w:after="0"/>
              <w:rPr>
                <w:sz w:val="20"/>
                <w:szCs w:val="20"/>
                <w:color w:val="auto"/>
              </w:rPr>
            </w:pPr>
            <w:r>
              <w:rPr>
                <w:rFonts w:ascii="Arial" w:cs="Arial" w:eastAsia="Arial" w:hAnsi="Arial"/>
                <w:sz w:val="14"/>
                <w:szCs w:val="14"/>
                <w:color w:val="auto"/>
              </w:rPr>
              <w:t>Cash dividends paid</w:t>
            </w:r>
          </w:p>
        </w:tc>
        <w:tc>
          <w:tcPr>
            <w:tcW w:w="44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(267,879)</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(256,128)</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Repurchase of common stock</w:t>
            </w:r>
          </w:p>
        </w:tc>
        <w:tc>
          <w:tcPr>
            <w:tcW w:w="440" w:type="dxa"/>
            <w:vAlign w:val="bottom"/>
            <w:shd w:val="clear" w:color="auto" w:fill="CCEEFF"/>
          </w:tcPr>
          <w:p>
            <w:pPr>
              <w:spacing w:after="0"/>
              <w:rPr>
                <w:sz w:val="24"/>
                <w:szCs w:val="24"/>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(199,665)</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(99,992)</w:t>
            </w:r>
          </w:p>
        </w:tc>
        <w:tc>
          <w:tcPr>
            <w:tcW w:w="0" w:type="dxa"/>
            <w:vAlign w:val="bottom"/>
          </w:tcPr>
          <w:p>
            <w:pPr>
              <w:spacing w:after="0"/>
              <w:rPr>
                <w:sz w:val="1"/>
                <w:szCs w:val="1"/>
                <w:color w:val="auto"/>
              </w:rPr>
            </w:pPr>
          </w:p>
        </w:tc>
      </w:tr>
      <w:tr>
        <w:trPr>
          <w:trHeight w:val="264"/>
        </w:trPr>
        <w:tc>
          <w:tcPr>
            <w:tcW w:w="698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Exercise of stock options</w:t>
            </w:r>
          </w:p>
        </w:tc>
        <w:tc>
          <w:tcPr>
            <w:tcW w:w="4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8,222</w:t>
            </w:r>
          </w:p>
        </w:tc>
        <w:tc>
          <w:tcPr>
            <w:tcW w:w="12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54,826</w:t>
            </w:r>
          </w:p>
        </w:tc>
        <w:tc>
          <w:tcPr>
            <w:tcW w:w="0" w:type="dxa"/>
            <w:vAlign w:val="bottom"/>
          </w:tcPr>
          <w:p>
            <w:pPr>
              <w:spacing w:after="0"/>
              <w:rPr>
                <w:sz w:val="1"/>
                <w:szCs w:val="1"/>
                <w:color w:val="auto"/>
              </w:rPr>
            </w:pPr>
          </w:p>
        </w:tc>
      </w:tr>
      <w:tr>
        <w:trPr>
          <w:trHeight w:val="250"/>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(used in) financing activities</w:t>
            </w:r>
          </w:p>
        </w:tc>
        <w:tc>
          <w:tcPr>
            <w:tcW w:w="440" w:type="dxa"/>
            <w:vAlign w:val="bottom"/>
            <w:tcBorders>
              <w:bottom w:val="single" w:sz="8" w:color="auto"/>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553,159</w:t>
            </w:r>
          </w:p>
        </w:tc>
        <w:tc>
          <w:tcPr>
            <w:tcW w:w="120" w:type="dxa"/>
            <w:vAlign w:val="bottom"/>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(315,140)</w:t>
            </w: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44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(4,588)</w:t>
            </w:r>
          </w:p>
        </w:tc>
        <w:tc>
          <w:tcPr>
            <w:tcW w:w="12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2,738</w:t>
            </w:r>
          </w:p>
        </w:tc>
        <w:tc>
          <w:tcPr>
            <w:tcW w:w="0" w:type="dxa"/>
            <w:vAlign w:val="bottom"/>
          </w:tcPr>
          <w:p>
            <w:pPr>
              <w:spacing w:after="0"/>
              <w:rPr>
                <w:sz w:val="1"/>
                <w:szCs w:val="1"/>
                <w:color w:val="auto"/>
              </w:rPr>
            </w:pPr>
          </w:p>
        </w:tc>
      </w:tr>
      <w:tr>
        <w:trPr>
          <w:trHeight w:val="256"/>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Increase (decrease) in cash and cash equivalents</w:t>
            </w:r>
          </w:p>
        </w:tc>
        <w:tc>
          <w:tcPr>
            <w:tcW w:w="440" w:type="dxa"/>
            <w:vAlign w:val="bottom"/>
            <w:shd w:val="clear" w:color="auto" w:fill="CCEEFF"/>
          </w:tcPr>
          <w:p>
            <w:pPr>
              <w:spacing w:after="0"/>
              <w:rPr>
                <w:sz w:val="22"/>
                <w:szCs w:val="22"/>
                <w:color w:val="auto"/>
              </w:rPr>
            </w:pPr>
          </w:p>
        </w:tc>
        <w:tc>
          <w:tcPr>
            <w:tcW w:w="1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87,173</w:t>
            </w: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(82,905)</w:t>
            </w:r>
          </w:p>
        </w:tc>
        <w:tc>
          <w:tcPr>
            <w:tcW w:w="0" w:type="dxa"/>
            <w:vAlign w:val="bottom"/>
          </w:tcPr>
          <w:p>
            <w:pPr>
              <w:spacing w:after="0"/>
              <w:rPr>
                <w:sz w:val="1"/>
                <w:szCs w:val="1"/>
                <w:color w:val="auto"/>
              </w:rPr>
            </w:pPr>
          </w:p>
        </w:tc>
      </w:tr>
      <w:tr>
        <w:trPr>
          <w:trHeight w:val="264"/>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beginning of period</w:t>
            </w:r>
          </w:p>
        </w:tc>
        <w:tc>
          <w:tcPr>
            <w:tcW w:w="4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380,179</w:t>
            </w:r>
          </w:p>
        </w:tc>
        <w:tc>
          <w:tcPr>
            <w:tcW w:w="12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296,967</w:t>
            </w:r>
          </w:p>
        </w:tc>
        <w:tc>
          <w:tcPr>
            <w:tcW w:w="0" w:type="dxa"/>
            <w:vAlign w:val="bottom"/>
          </w:tcPr>
          <w:p>
            <w:pPr>
              <w:spacing w:after="0"/>
              <w:rPr>
                <w:sz w:val="1"/>
                <w:szCs w:val="1"/>
                <w:color w:val="auto"/>
              </w:rPr>
            </w:pPr>
          </w:p>
        </w:tc>
      </w:tr>
      <w:tr>
        <w:trPr>
          <w:trHeight w:val="243"/>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 end of period</w:t>
            </w: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467,352</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214,062</w:t>
            </w:r>
          </w:p>
        </w:tc>
        <w:tc>
          <w:tcPr>
            <w:tcW w:w="0" w:type="dxa"/>
            <w:vAlign w:val="bottom"/>
          </w:tcPr>
          <w:p>
            <w:pPr>
              <w:spacing w:after="0"/>
              <w:rPr>
                <w:sz w:val="1"/>
                <w:szCs w:val="1"/>
                <w:color w:val="auto"/>
              </w:rPr>
            </w:pPr>
          </w:p>
        </w:tc>
      </w:tr>
      <w:tr>
        <w:trPr>
          <w:trHeight w:val="20"/>
        </w:trPr>
        <w:tc>
          <w:tcPr>
            <w:tcW w:w="6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Supplemental Disclosure</w:t>
            </w:r>
          </w:p>
        </w:tc>
        <w:tc>
          <w:tcPr>
            <w:tcW w:w="4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98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paid</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61,452</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49,565</w:t>
            </w:r>
          </w:p>
        </w:tc>
        <w:tc>
          <w:tcPr>
            <w:tcW w:w="0" w:type="dxa"/>
            <w:vAlign w:val="bottom"/>
          </w:tcPr>
          <w:p>
            <w:pPr>
              <w:spacing w:after="0"/>
              <w:rPr>
                <w:sz w:val="1"/>
                <w:szCs w:val="1"/>
                <w:color w:val="auto"/>
              </w:rPr>
            </w:pPr>
          </w:p>
        </w:tc>
      </w:tr>
      <w:tr>
        <w:trPr>
          <w:trHeight w:val="258"/>
        </w:trPr>
        <w:tc>
          <w:tcPr>
            <w:tcW w:w="6980" w:type="dxa"/>
            <w:vAlign w:val="bottom"/>
          </w:tcPr>
          <w:p>
            <w:pPr>
              <w:spacing w:after="0"/>
              <w:rPr>
                <w:sz w:val="20"/>
                <w:szCs w:val="20"/>
                <w:color w:val="auto"/>
              </w:rPr>
            </w:pPr>
            <w:r>
              <w:rPr>
                <w:rFonts w:ascii="Arial" w:cs="Arial" w:eastAsia="Arial" w:hAnsi="Arial"/>
                <w:sz w:val="14"/>
                <w:szCs w:val="14"/>
                <w:color w:val="auto"/>
              </w:rPr>
              <w:t>Income taxes paid</w:t>
            </w:r>
          </w:p>
        </w:tc>
        <w:tc>
          <w:tcPr>
            <w:tcW w:w="440" w:type="dxa"/>
            <w:vAlign w:val="bottom"/>
          </w:tcPr>
          <w:p>
            <w:pPr>
              <w:spacing w:after="0"/>
              <w:rPr>
                <w:sz w:val="22"/>
                <w:szCs w:val="22"/>
                <w:color w:val="auto"/>
              </w:rPr>
            </w:pP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70,398</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265,756</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Unaudited Consolidated Financial Statements.</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580" w:right="239" w:bottom="1440" w:gutter="0" w:footer="0" w:header="0"/>
          <w:type w:val="continuous"/>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Balance, December 31, 2017</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Net income (loss)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Other comprehensive income (loss)</w:t>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color w:val="auto"/>
        </w:rPr>
        <w:t>Dividends (including dividend equivalents):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Common Stock, $1.312 per share</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2"/>
          <w:szCs w:val="12"/>
          <w:color w:val="auto"/>
        </w:rPr>
        <w:t>Class B Common Stock, $1.192 per share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Stock-based compensation</w:t>
      </w:r>
    </w:p>
    <w:p>
      <w:pPr>
        <w:spacing w:after="0" w:line="42" w:lineRule="exact"/>
        <w:rPr>
          <w:sz w:val="20"/>
          <w:szCs w:val="20"/>
          <w:color w:val="auto"/>
        </w:rPr>
      </w:pPr>
    </w:p>
    <w:p>
      <w:pPr>
        <w:ind w:right="20"/>
        <w:spacing w:after="0" w:line="253" w:lineRule="auto"/>
        <w:rPr>
          <w:sz w:val="20"/>
          <w:szCs w:val="20"/>
          <w:color w:val="auto"/>
        </w:rPr>
      </w:pPr>
      <w:r>
        <w:rPr>
          <w:rFonts w:ascii="Arial" w:cs="Arial" w:eastAsia="Arial" w:hAnsi="Arial"/>
          <w:sz w:val="14"/>
          <w:szCs w:val="14"/>
          <w:color w:val="auto"/>
        </w:rPr>
        <w:t>Exercise of stock options and incentive-based transactions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Repurchase of common stock</w:t>
      </w:r>
    </w:p>
    <w:p>
      <w:pPr>
        <w:spacing w:after="0" w:line="42" w:lineRule="exact"/>
        <w:rPr>
          <w:sz w:val="20"/>
          <w:szCs w:val="20"/>
          <w:color w:val="auto"/>
        </w:rPr>
      </w:pPr>
    </w:p>
    <w:p>
      <w:pPr>
        <w:ind w:right="20"/>
        <w:spacing w:after="0" w:line="253" w:lineRule="auto"/>
        <w:rPr>
          <w:sz w:val="20"/>
          <w:szCs w:val="20"/>
          <w:color w:val="auto"/>
        </w:rPr>
      </w:pPr>
      <w:r>
        <w:rPr>
          <w:rFonts w:ascii="Arial" w:cs="Arial" w:eastAsia="Arial" w:hAnsi="Arial"/>
          <w:sz w:val="14"/>
          <w:szCs w:val="14"/>
          <w:color w:val="auto"/>
        </w:rPr>
        <w:t>Reclassification of tax effects relating to U.S. tax reform</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Balance, July 1, 2018</w:t>
      </w:r>
    </w:p>
    <w:p>
      <w:pPr>
        <w:spacing w:after="0" w:line="20" w:lineRule="exact"/>
        <w:rPr>
          <w:sz w:val="20"/>
          <w:szCs w:val="20"/>
          <w:color w:val="auto"/>
        </w:rPr>
      </w:pPr>
      <w:r>
        <w:rPr>
          <w:sz w:val="20"/>
          <w:szCs w:val="20"/>
          <w:color w:val="auto"/>
        </w:rPr>
        <w:br w:type="column"/>
      </w:r>
    </w:p>
    <w:p>
      <w:pPr>
        <w:ind w:left="1700"/>
        <w:spacing w:after="0"/>
        <w:rPr>
          <w:sz w:val="20"/>
          <w:szCs w:val="20"/>
          <w:color w:val="auto"/>
        </w:rPr>
      </w:pPr>
      <w:r>
        <w:rPr>
          <w:rFonts w:ascii="Arial" w:cs="Arial" w:eastAsia="Arial" w:hAnsi="Arial"/>
          <w:sz w:val="18"/>
          <w:szCs w:val="18"/>
          <w:b w:val="1"/>
          <w:bCs w:val="1"/>
          <w:color w:val="auto"/>
        </w:rPr>
        <w:t>THE HERSHEY COMPANY</w:t>
      </w:r>
    </w:p>
    <w:p>
      <w:pPr>
        <w:ind w:left="320"/>
        <w:spacing w:after="0" w:line="203" w:lineRule="auto"/>
        <w:rPr>
          <w:sz w:val="20"/>
          <w:szCs w:val="20"/>
          <w:color w:val="auto"/>
        </w:rPr>
      </w:pPr>
      <w:r>
        <w:rPr>
          <w:rFonts w:ascii="Arial" w:cs="Arial" w:eastAsia="Arial" w:hAnsi="Arial"/>
          <w:sz w:val="18"/>
          <w:szCs w:val="18"/>
          <w:b w:val="1"/>
          <w:bCs w:val="1"/>
          <w:color w:val="auto"/>
        </w:rPr>
        <w:t>CONSOLIDATED STATEMENTS OF STOCKHOLDERS’ EQUITY</w:t>
      </w:r>
    </w:p>
    <w:p>
      <w:pPr>
        <w:jc w:val="center"/>
        <w:ind w:right="2880"/>
        <w:spacing w:after="0" w:line="204" w:lineRule="auto"/>
        <w:rPr>
          <w:sz w:val="20"/>
          <w:szCs w:val="20"/>
          <w:color w:val="auto"/>
        </w:rPr>
      </w:pPr>
      <w:r>
        <w:rPr>
          <w:rFonts w:ascii="Arial" w:cs="Arial" w:eastAsia="Arial" w:hAnsi="Arial"/>
          <w:sz w:val="18"/>
          <w:szCs w:val="18"/>
          <w:b w:val="1"/>
          <w:bCs w:val="1"/>
          <w:color w:val="auto"/>
        </w:rPr>
        <w:t>(in thousands)</w:t>
      </w:r>
    </w:p>
    <w:p>
      <w:pPr>
        <w:jc w:val="center"/>
        <w:ind w:right="2880"/>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Class B</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Additional</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Treasury</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11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2"/>
              </w:rPr>
              <w:t>Noncontrolling</w:t>
            </w:r>
          </w:p>
        </w:tc>
        <w:tc>
          <w:tcPr>
            <w:tcW w:w="9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82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6"/>
              </w:rPr>
              <w:t>Preferred</w:t>
            </w: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Common</w:t>
            </w:r>
          </w:p>
        </w:tc>
        <w:tc>
          <w:tcPr>
            <w:tcW w:w="76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2"/>
              </w:rPr>
              <w:t>Common</w:t>
            </w:r>
          </w:p>
        </w:tc>
        <w:tc>
          <w:tcPr>
            <w:tcW w:w="900" w:type="dxa"/>
            <w:vAlign w:val="bottom"/>
            <w:gridSpan w:val="2"/>
            <w:vMerge w:val="continue"/>
          </w:tcPr>
          <w:p>
            <w:pPr>
              <w:spacing w:after="0"/>
              <w:rPr>
                <w:sz w:val="12"/>
                <w:szCs w:val="12"/>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Retained</w:t>
            </w: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1"/>
              </w:rPr>
              <w:t>Comprehensive</w:t>
            </w:r>
          </w:p>
        </w:tc>
        <w:tc>
          <w:tcPr>
            <w:tcW w:w="1120" w:type="dxa"/>
            <w:vAlign w:val="bottom"/>
            <w:gridSpan w:val="3"/>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 w:type="dxa"/>
            <w:vAlign w:val="bottom"/>
            <w:gridSpan w:val="3"/>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w:t>
            </w:r>
          </w:p>
        </w:tc>
        <w:tc>
          <w:tcPr>
            <w:tcW w:w="90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Paid-in</w:t>
            </w:r>
          </w:p>
        </w:tc>
        <w:tc>
          <w:tcPr>
            <w:tcW w:w="900" w:type="dxa"/>
            <w:vAlign w:val="bottom"/>
            <w:gridSpan w:val="2"/>
            <w:vMerge w:val="continue"/>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Income (Loss)</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Interests in</w:t>
            </w: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62"/>
        </w:trPr>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4"/>
                <w:szCs w:val="14"/>
                <w:color w:val="auto"/>
              </w:rPr>
            </w:pPr>
          </w:p>
        </w:tc>
        <w:tc>
          <w:tcPr>
            <w:tcW w:w="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Pr>
          <w:p>
            <w:pPr>
              <w:spacing w:after="0"/>
              <w:rPr>
                <w:sz w:val="14"/>
                <w:szCs w:val="14"/>
                <w:color w:val="auto"/>
              </w:rPr>
            </w:pPr>
          </w:p>
        </w:tc>
        <w:tc>
          <w:tcPr>
            <w:tcW w:w="9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38"/>
        </w:trPr>
        <w:tc>
          <w:tcPr>
            <w:tcW w:w="140" w:type="dxa"/>
            <w:vAlign w:val="bottom"/>
          </w:tcPr>
          <w:p>
            <w:pPr>
              <w:spacing w:after="0"/>
              <w:rPr>
                <w:sz w:val="20"/>
                <w:szCs w:val="20"/>
                <w:color w:val="auto"/>
              </w:rPr>
            </w:pPr>
          </w:p>
        </w:tc>
        <w:tc>
          <w:tcPr>
            <w:tcW w:w="6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299,281</w:t>
            </w:r>
          </w:p>
        </w:tc>
        <w:tc>
          <w:tcPr>
            <w:tcW w:w="120" w:type="dxa"/>
            <w:vAlign w:val="bottom"/>
          </w:tcPr>
          <w:p>
            <w:pPr>
              <w:spacing w:after="0"/>
              <w:rPr>
                <w:sz w:val="20"/>
                <w:szCs w:val="20"/>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60,620</w:t>
            </w:r>
          </w:p>
        </w:tc>
        <w:tc>
          <w:tcPr>
            <w:tcW w:w="100" w:type="dxa"/>
            <w:vAlign w:val="bottom"/>
          </w:tcPr>
          <w:p>
            <w:pPr>
              <w:spacing w:after="0"/>
              <w:rPr>
                <w:sz w:val="20"/>
                <w:szCs w:val="20"/>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924,978</w:t>
            </w:r>
          </w:p>
        </w:tc>
        <w:tc>
          <w:tcPr>
            <w:tcW w:w="120" w:type="dxa"/>
            <w:vAlign w:val="bottom"/>
          </w:tcPr>
          <w:p>
            <w:pPr>
              <w:spacing w:after="0"/>
              <w:rPr>
                <w:sz w:val="20"/>
                <w:szCs w:val="20"/>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6,371,082</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(6,426,877)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(313,746)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16,227</w:t>
            </w:r>
          </w:p>
        </w:tc>
        <w:tc>
          <w:tcPr>
            <w:tcW w:w="100" w:type="dxa"/>
            <w:vAlign w:val="bottom"/>
          </w:tcPr>
          <w:p>
            <w:pPr>
              <w:spacing w:after="0"/>
              <w:rPr>
                <w:sz w:val="20"/>
                <w:szCs w:val="20"/>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931,565</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577,058</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(3,020)</w:t>
            </w:r>
          </w:p>
        </w:tc>
        <w:tc>
          <w:tcPr>
            <w:tcW w:w="10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574,038</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(6,416)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666</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(5,750)</w:t>
            </w:r>
          </w:p>
        </w:tc>
        <w:tc>
          <w:tcPr>
            <w:tcW w:w="0" w:type="dxa"/>
            <w:vAlign w:val="bottom"/>
          </w:tcPr>
          <w:p>
            <w:pPr>
              <w:spacing w:after="0"/>
              <w:rPr>
                <w:sz w:val="1"/>
                <w:szCs w:val="1"/>
                <w:color w:val="auto"/>
              </w:rPr>
            </w:pPr>
          </w:p>
        </w:tc>
      </w:tr>
      <w:tr>
        <w:trPr>
          <w:trHeight w:val="540"/>
        </w:trPr>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(196,410)</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(196,410)</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(72,259)</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(72,259)</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24,076</w:t>
            </w: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24,076</w:t>
            </w:r>
          </w:p>
        </w:tc>
        <w:tc>
          <w:tcPr>
            <w:tcW w:w="0" w:type="dxa"/>
            <w:vAlign w:val="bottom"/>
          </w:tcPr>
          <w:p>
            <w:pPr>
              <w:spacing w:after="0"/>
              <w:rPr>
                <w:sz w:val="1"/>
                <w:szCs w:val="1"/>
                <w:color w:val="auto"/>
              </w:rPr>
            </w:pPr>
          </w:p>
        </w:tc>
      </w:tr>
      <w:tr>
        <w:trPr>
          <w:trHeight w:val="351"/>
        </w:trPr>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(9,008)</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17,230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8,222</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(199,665)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(199,665)</w:t>
            </w:r>
          </w:p>
        </w:tc>
        <w:tc>
          <w:tcPr>
            <w:tcW w:w="0" w:type="dxa"/>
            <w:vAlign w:val="bottom"/>
          </w:tcPr>
          <w:p>
            <w:pPr>
              <w:spacing w:after="0"/>
              <w:rPr>
                <w:sz w:val="1"/>
                <w:szCs w:val="1"/>
                <w:color w:val="auto"/>
              </w:rPr>
            </w:pPr>
          </w:p>
        </w:tc>
      </w:tr>
      <w:tr>
        <w:trPr>
          <w:trHeight w:val="357"/>
        </w:trPr>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47,656</w:t>
            </w:r>
          </w:p>
        </w:tc>
        <w:tc>
          <w:tcPr>
            <w:tcW w:w="1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(47,656)</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w w:val="93"/>
              </w:rPr>
              <w:t>$ 299,281</w:t>
            </w:r>
          </w:p>
        </w:tc>
        <w:tc>
          <w:tcPr>
            <w:tcW w:w="120" w:type="dxa"/>
            <w:vAlign w:val="bottom"/>
          </w:tcPr>
          <w:p>
            <w:pPr>
              <w:spacing w:after="0"/>
              <w:rPr>
                <w:sz w:val="20"/>
                <w:szCs w:val="20"/>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w w:val="95"/>
              </w:rPr>
              <w:t>$ 60,620</w:t>
            </w:r>
          </w:p>
        </w:tc>
        <w:tc>
          <w:tcPr>
            <w:tcW w:w="100" w:type="dxa"/>
            <w:vAlign w:val="bottom"/>
          </w:tcPr>
          <w:p>
            <w:pPr>
              <w:spacing w:after="0"/>
              <w:rPr>
                <w:sz w:val="20"/>
                <w:szCs w:val="20"/>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w w:val="99"/>
              </w:rPr>
              <w:t>$  940,046</w:t>
            </w:r>
          </w:p>
        </w:tc>
        <w:tc>
          <w:tcPr>
            <w:tcW w:w="120" w:type="dxa"/>
            <w:vAlign w:val="bottom"/>
          </w:tcPr>
          <w:p>
            <w:pPr>
              <w:spacing w:after="0"/>
              <w:rPr>
                <w:sz w:val="20"/>
                <w:szCs w:val="20"/>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w w:val="94"/>
              </w:rPr>
              <w:t>$6,727,127</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w w:val="91"/>
              </w:rPr>
              <w:t>$ (6,609,312)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(367,818)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13,873</w:t>
            </w:r>
          </w:p>
        </w:tc>
        <w:tc>
          <w:tcPr>
            <w:tcW w:w="100" w:type="dxa"/>
            <w:vAlign w:val="bottom"/>
          </w:tcPr>
          <w:p>
            <w:pPr>
              <w:spacing w:after="0"/>
              <w:rPr>
                <w:sz w:val="20"/>
                <w:szCs w:val="20"/>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  1,063,817</w:t>
            </w:r>
          </w:p>
        </w:tc>
        <w:tc>
          <w:tcPr>
            <w:tcW w:w="0" w:type="dxa"/>
            <w:vAlign w:val="bottom"/>
          </w:tcPr>
          <w:p>
            <w:pPr>
              <w:spacing w:after="0"/>
              <w:rPr>
                <w:sz w:val="1"/>
                <w:szCs w:val="1"/>
                <w:color w:val="auto"/>
              </w:rPr>
            </w:pP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-2005965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-1663065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-1320165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-977265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-582295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-187960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1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See Notes to Unaudited Consolidated Financial Statements.</w:t>
      </w:r>
    </w:p>
    <w:p>
      <w:pPr>
        <w:spacing w:after="0" w:line="200" w:lineRule="exact"/>
        <w:rPr>
          <w:sz w:val="20"/>
          <w:szCs w:val="20"/>
          <w:color w:val="auto"/>
        </w:rPr>
      </w:pPr>
    </w:p>
    <w:p>
      <w:pPr>
        <w:spacing w:after="0" w:line="245"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5</w:t>
      </w:r>
    </w:p>
    <w:p>
      <w:pPr>
        <w:sectPr>
          <w:pgSz w:w="11900" w:h="16838" w:orient="portrait"/>
          <w:cols w:equalWidth="0" w:num="2">
            <w:col w:w="2640" w:space="200"/>
            <w:col w:w="8540"/>
          </w:cols>
          <w:pgMar w:left="280" w:top="555"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unaudited consolidated financial statements provided in this report include the accounts of The Hershey Company (the “Company,” “Hershey,” “we” or “us”) and our majority-owned subsidiaries and entities in which we have a controlling financial interest after the elimination of intercompany accounts and transactions. We have a controlling financial interest if we own a majority of the outstanding voting common stock and the noncontrolling shareholders do not have substantive participating rights, or we have significant control over an entity through contractual or economic interests in which we are the primary beneficiary.</w:t>
      </w:r>
    </w:p>
    <w:p>
      <w:pPr>
        <w:spacing w:after="0" w:line="134"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financial statements have been prepared in accordance with accounting principles generally accepted in the United States of America (“GAAP”) for interim financial reporting and with the rules and regulations for reporting on Form 10-Q. Accordingly, they do not contain certain information and disclosures required by GAAP for comprehensive financial statements. The financial statements reflect all adjustments which are, in our opinion, necessary for a fair presentation of the results of operations, financial position, and cash flows for the indicated periods.</w:t>
      </w:r>
    </w:p>
    <w:p>
      <w:pPr>
        <w:spacing w:after="0" w:line="3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Operating results for the quarter ended July 1, 2018 may not be indicative of the results that may be expected for the year ending December 31, 2018 because of seasonal effects on our business. These financial statements should be read in conjunction with our Annual Report on Form 10-K for the year ended December 31, 2017 (our “2017 Annual Report on Form 10-K”), which provides a more complete understanding of our accounting policies, financial position, operating results and other matters.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75" w:lineRule="exact"/>
        <w:rPr>
          <w:sz w:val="20"/>
          <w:szCs w:val="20"/>
          <w:color w:val="auto"/>
        </w:rPr>
      </w:pPr>
    </w:p>
    <w:p>
      <w:pPr>
        <w:jc w:val="both"/>
        <w:ind w:right="200"/>
        <w:spacing w:after="0" w:line="257" w:lineRule="auto"/>
        <w:rPr>
          <w:sz w:val="20"/>
          <w:szCs w:val="20"/>
          <w:color w:val="auto"/>
        </w:rPr>
      </w:pPr>
      <w:r>
        <w:rPr>
          <w:rFonts w:ascii="Arial" w:cs="Arial" w:eastAsia="Arial" w:hAnsi="Arial"/>
          <w:sz w:val="18"/>
          <w:szCs w:val="18"/>
          <w:color w:val="auto"/>
        </w:rPr>
        <w:t>The majority of our revenue is derived by fulfilling customer orders for the purchase of our products, including chocolate, sweets, mints and other grocery and snack offerings. We recognize revenue at the point in time that control of the ordered product(s) is transferred to the customer, which is typically upon delivery to the customer or other customer-designated delivery point. Shipping and handling costs incurred to deliver product to the customer are recorded within cost of sales. Amounts billed and due from our customers are classified as accounts receivables on the balance sheet and require payment on a short-term basis.</w:t>
      </w:r>
    </w:p>
    <w:p>
      <w:pPr>
        <w:spacing w:after="0" w:line="188" w:lineRule="exact"/>
        <w:rPr>
          <w:sz w:val="20"/>
          <w:szCs w:val="20"/>
          <w:color w:val="auto"/>
        </w:rPr>
      </w:pPr>
    </w:p>
    <w:p>
      <w:pPr>
        <w:ind w:right="240"/>
        <w:spacing w:after="0" w:line="290" w:lineRule="auto"/>
        <w:rPr>
          <w:sz w:val="20"/>
          <w:szCs w:val="20"/>
          <w:color w:val="auto"/>
        </w:rPr>
      </w:pPr>
      <w:r>
        <w:rPr>
          <w:rFonts w:ascii="Arial" w:cs="Arial" w:eastAsia="Arial" w:hAnsi="Arial"/>
          <w:sz w:val="16"/>
          <w:szCs w:val="16"/>
          <w:color w:val="auto"/>
        </w:rPr>
        <w:t>Revenue is measured as the amount of consideration we expect to receive in exchange for fulfilling product orders. Sales, value add, and other taxes we collect concurrent with revenue-producing activities are excluded from revenue. Incidental items that are immaterial in the context of the contract are recognized as expense. The amount of consideration we expect to receive and revenue we recognize includes estimates of variable consideration, including costs for trade promotional programs, consumer incentives, and allowances and discounts associated with aged or potentially unsaleable products. These estimates are based upon our analysis of the programs offered, historical trends, expectations regarding customer and consumer participation, sales and payment trends and our experience with payment patterns associated with similar programs offered in the past. We review and update these estimates regularly and the impact of any adjustments are recognized in the period the adjustments are identified. The adjustments recognized in 2018 and 2017 resulting from updated estimates of revenue for prior year product sales were not significant.</w:t>
      </w:r>
    </w:p>
    <w:p>
      <w:pPr>
        <w:spacing w:after="0" w:line="16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also recognize a minor amount of royalty income (less than 1% of our consolidated net sales) from sales-based licensing arrangements, pursuant to which revenue is recognized as the third-party licensee sales occur.</w:t>
      </w:r>
    </w:p>
    <w:p>
      <w:pPr>
        <w:spacing w:after="0" w:line="170"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majority of our products are confectionery or confectionery-based and, therefore, exhibit similar economic characteristics, such that they are based on similar ingredients and are marketed and sold through the same channels to the same customers. See Note 12 for revenues reported by geographic segment, which is consistent with how we organize and manage our operations.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1" w:lineRule="exact"/>
        <w:rPr>
          <w:sz w:val="20"/>
          <w:szCs w:val="20"/>
          <w:color w:val="auto"/>
        </w:rPr>
      </w:pPr>
    </w:p>
    <w:p>
      <w:pPr>
        <w:jc w:val="both"/>
        <w:ind w:right="60"/>
        <w:spacing w:after="0" w:line="288"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("ASU") No.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w:t>
      </w:r>
      <w:r>
        <w:rPr>
          <w:rFonts w:ascii="Arial" w:cs="Arial" w:eastAsia="Arial" w:hAnsi="Arial"/>
          <w:sz w:val="16"/>
          <w:szCs w:val="16"/>
          <w:color w:val="auto"/>
        </w:rPr>
        <w:t>(ASC Topic 606), which replaces numerous requirements in U.S. GAAP, including industry-specific requirements, and provides companies with a</w:t>
      </w:r>
      <w:r>
        <w:rPr>
          <w:rFonts w:ascii="Arial" w:cs="Arial" w:eastAsia="Arial" w:hAnsi="Arial"/>
          <w:sz w:val="16"/>
          <w:szCs w:val="16"/>
          <w:i w:val="1"/>
          <w:iCs w:val="1"/>
          <w:color w:val="auto"/>
        </w:rPr>
        <w:t xml:space="preserve"> </w:t>
      </w:r>
      <w:r>
        <w:rPr>
          <w:rFonts w:ascii="Arial" w:cs="Arial" w:eastAsia="Arial" w:hAnsi="Arial"/>
          <w:sz w:val="16"/>
          <w:szCs w:val="16"/>
          <w:color w:val="auto"/>
        </w:rPr>
        <w:t>single revenue recognition model for recognizing revenue from contracts with customers. On January 1, 2018, we adopted the requirements of ASC Topic</w:t>
      </w:r>
    </w:p>
    <w:p>
      <w:pPr>
        <w:ind w:right="20"/>
        <w:spacing w:after="0" w:line="254" w:lineRule="auto"/>
        <w:rPr>
          <w:sz w:val="20"/>
          <w:szCs w:val="20"/>
          <w:color w:val="auto"/>
        </w:rPr>
      </w:pPr>
      <w:r>
        <w:rPr>
          <w:rFonts w:ascii="Arial" w:cs="Arial" w:eastAsia="Arial" w:hAnsi="Arial"/>
          <w:sz w:val="18"/>
          <w:szCs w:val="18"/>
          <w:color w:val="auto"/>
        </w:rPr>
        <w:t>606 and all the related amendments to all of our contracts using the modified retrospective method. Upon completing our implementation assessment of Topic ASC 606, we concluded that no adjustment was required to the opening balance of retained earnings at the date of initial application. The comparative information was not restated and continues to be reported under the accounting standards in effect for those periods. Additional disclosures required by ASC Topic 606 are presented within the aforementioned Revenue Recognition policy disclosure.</w:t>
      </w:r>
    </w:p>
    <w:p>
      <w:pPr>
        <w:spacing w:after="0" w:line="13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 xml:space="preserve">In October 2016, the FASB issued ASU No. 2016-16, </w:t>
      </w:r>
      <w:r>
        <w:rPr>
          <w:rFonts w:ascii="Arial" w:cs="Arial" w:eastAsia="Arial" w:hAnsi="Arial"/>
          <w:sz w:val="17"/>
          <w:szCs w:val="17"/>
          <w:i w:val="1"/>
          <w:iCs w:val="1"/>
          <w:color w:val="auto"/>
        </w:rPr>
        <w:t>Income Taxes (Topic 740): Intra-Entity Transfers of Assets Other Than Inventory.</w:t>
      </w:r>
      <w:r>
        <w:rPr>
          <w:rFonts w:ascii="Arial" w:cs="Arial" w:eastAsia="Arial" w:hAnsi="Arial"/>
          <w:sz w:val="17"/>
          <w:szCs w:val="17"/>
          <w:color w:val="auto"/>
        </w:rPr>
        <w:t xml:space="preserve"> This ASU requires the income tax consequences of intra-entity transfers of assets other than inventory to be recognized when the intra-entity transfer occurs rather than deferring recognition of income tax consequences until the transfer was made with an outside party. We adopted the provisions of this ASU in the first quarter of 2018. Adoption of the new standard did not have a material impact on our Consolidated Financial Statements.</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In March 2017, the FASB issued ASU No. 2017-07, </w:t>
      </w:r>
      <w:r>
        <w:rPr>
          <w:rFonts w:ascii="Arial" w:cs="Arial" w:eastAsia="Arial" w:hAnsi="Arial"/>
          <w:sz w:val="17"/>
          <w:szCs w:val="17"/>
          <w:i w:val="1"/>
          <w:iCs w:val="1"/>
          <w:color w:val="auto"/>
        </w:rPr>
        <w:t>Compensation-Retirement Benefits (Topic 715)</w:t>
      </w:r>
      <w:r>
        <w:rPr>
          <w:rFonts w:ascii="Arial" w:cs="Arial" w:eastAsia="Arial" w:hAnsi="Arial"/>
          <w:sz w:val="17"/>
          <w:szCs w:val="17"/>
          <w:color w:val="auto"/>
        </w:rPr>
        <w:t>. This ASU requires an employer to report the service cost component of net benefit cost in the same line item as other compensation costs arising from services rendered by the pertinent employees during the period. The other components of net benefit cost are required to be presented in the income statement separately from the service cost component and outside a subtotal of income from operations, if presented, or disclosed separately. In addition, only the service cost component may be eligible for capitalization where applicable. The amendments should be applied on a retrospective basis. We adopted the provisions of this ASU in the first quarter of 2018, with retrospective adjustment to the comparative periods determined using the previously disclosed service cost and other costs from our prior year pension and other post-retirement benefit plan footnote. As a result, the following amounts were reclassified for the three and six months ended July 2, 2017 to correspond to the current year presentation:</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2"/>
          </w:tcPr>
          <w:p>
            <w:pPr>
              <w:ind w:left="100"/>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8"/>
                <w:szCs w:val="18"/>
                <w:color w:val="auto"/>
              </w:rPr>
            </w:pPr>
          </w:p>
        </w:tc>
        <w:tc>
          <w:tcPr>
            <w:tcW w:w="1760" w:type="dxa"/>
            <w:vAlign w:val="bottom"/>
          </w:tcPr>
          <w:p>
            <w:pPr>
              <w:jc w:val="right"/>
              <w:ind w:right="352"/>
              <w:spacing w:after="0"/>
              <w:rPr>
                <w:sz w:val="20"/>
                <w:szCs w:val="20"/>
                <w:color w:val="auto"/>
              </w:rPr>
            </w:pPr>
            <w:r>
              <w:rPr>
                <w:rFonts w:ascii="Arial" w:cs="Arial" w:eastAsia="Arial" w:hAnsi="Arial"/>
                <w:sz w:val="16"/>
                <w:szCs w:val="16"/>
                <w:b w:val="1"/>
                <w:bCs w:val="1"/>
                <w:color w:val="auto"/>
                <w:w w:val="93"/>
              </w:rPr>
              <w:t>Six Months Ended</w:t>
            </w:r>
          </w:p>
        </w:tc>
      </w:tr>
      <w:tr>
        <w:trPr>
          <w:trHeight w:val="33"/>
        </w:trPr>
        <w:tc>
          <w:tcPr>
            <w:tcW w:w="6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3"/>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17"/>
        </w:trPr>
        <w:tc>
          <w:tcPr>
            <w:tcW w:w="6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40" w:type="dxa"/>
            <w:vAlign w:val="bottom"/>
            <w:gridSpan w:val="3"/>
          </w:tcPr>
          <w:p>
            <w:pPr>
              <w:jc w:val="right"/>
              <w:spacing w:after="0"/>
              <w:rPr>
                <w:sz w:val="20"/>
                <w:szCs w:val="20"/>
                <w:color w:val="auto"/>
              </w:rPr>
            </w:pPr>
            <w:r>
              <w:rPr>
                <w:rFonts w:ascii="Arial" w:cs="Arial" w:eastAsia="Arial" w:hAnsi="Arial"/>
                <w:sz w:val="16"/>
                <w:szCs w:val="16"/>
                <w:b w:val="1"/>
                <w:bCs w:val="1"/>
                <w:color w:val="auto"/>
              </w:rPr>
              <w:t>July 2, 2017</w:t>
            </w:r>
          </w:p>
        </w:tc>
        <w:tc>
          <w:tcPr>
            <w:tcW w:w="1760" w:type="dxa"/>
            <w:vAlign w:val="bottom"/>
          </w:tcPr>
          <w:p>
            <w:pPr>
              <w:spacing w:after="0"/>
              <w:rPr>
                <w:sz w:val="18"/>
                <w:szCs w:val="18"/>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Reclassified from:</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Cost of sales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34"/>
              <w:spacing w:after="0"/>
              <w:rPr>
                <w:sz w:val="20"/>
                <w:szCs w:val="20"/>
                <w:color w:val="auto"/>
              </w:rPr>
            </w:pPr>
            <w:r>
              <w:rPr>
                <w:rFonts w:ascii="Arial" w:cs="Arial" w:eastAsia="Arial" w:hAnsi="Arial"/>
                <w:sz w:val="18"/>
                <w:szCs w:val="18"/>
                <w:color w:val="auto"/>
              </w:rPr>
              <w:t>2,637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5,429</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marketing and administrative expense</w:t>
            </w:r>
          </w:p>
        </w:tc>
        <w:tc>
          <w:tcPr>
            <w:tcW w:w="24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2,514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5,028</w:t>
            </w:r>
          </w:p>
        </w:tc>
      </w:tr>
      <w:tr>
        <w:trPr>
          <w:trHeight w:val="257"/>
        </w:trPr>
        <w:tc>
          <w:tcPr>
            <w:tcW w:w="6980" w:type="dxa"/>
            <w:vAlign w:val="bottom"/>
          </w:tcPr>
          <w:p>
            <w:pPr>
              <w:ind w:left="40"/>
              <w:spacing w:after="0"/>
              <w:rPr>
                <w:sz w:val="20"/>
                <w:szCs w:val="20"/>
                <w:color w:val="auto"/>
              </w:rPr>
            </w:pPr>
            <w:r>
              <w:rPr>
                <w:rFonts w:ascii="Arial" w:cs="Arial" w:eastAsia="Arial" w:hAnsi="Arial"/>
                <w:sz w:val="18"/>
                <w:szCs w:val="18"/>
                <w:color w:val="auto"/>
              </w:rPr>
              <w:t>Reclassified to Other (income) expense, net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5,151</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10,457</w:t>
            </w:r>
          </w:p>
        </w:tc>
      </w:tr>
      <w:tr>
        <w:trPr>
          <w:trHeight w:val="20"/>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adoption of this ASU had no impact on our consolidated balance sheets or statements of cash flows.</w:t>
      </w:r>
    </w:p>
    <w:p>
      <w:pPr>
        <w:spacing w:after="0" w:line="17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 xml:space="preserve">In February 2018, the FASB issued ASU No. 2018-02, </w:t>
      </w:r>
      <w:r>
        <w:rPr>
          <w:rFonts w:ascii="Arial" w:cs="Arial" w:eastAsia="Arial" w:hAnsi="Arial"/>
          <w:sz w:val="17"/>
          <w:szCs w:val="17"/>
          <w:i w:val="1"/>
          <w:iCs w:val="1"/>
          <w:color w:val="auto"/>
        </w:rPr>
        <w:t>Income Statement-Reporting Comprehensive Income (Topic 220): Reclassification of Certain Tax</w:t>
      </w:r>
      <w:r>
        <w:rPr>
          <w:rFonts w:ascii="Arial" w:cs="Arial" w:eastAsia="Arial" w:hAnsi="Arial"/>
          <w:sz w:val="17"/>
          <w:szCs w:val="17"/>
          <w:color w:val="auto"/>
        </w:rPr>
        <w:t xml:space="preserve"> </w:t>
      </w:r>
      <w:r>
        <w:rPr>
          <w:rFonts w:ascii="Arial" w:cs="Arial" w:eastAsia="Arial" w:hAnsi="Arial"/>
          <w:sz w:val="17"/>
          <w:szCs w:val="17"/>
          <w:i w:val="1"/>
          <w:iCs w:val="1"/>
          <w:color w:val="auto"/>
        </w:rPr>
        <w:t>Effects from Accumulated Other Comprehensive Income</w:t>
      </w:r>
      <w:r>
        <w:rPr>
          <w:rFonts w:ascii="Arial" w:cs="Arial" w:eastAsia="Arial" w:hAnsi="Arial"/>
          <w:sz w:val="17"/>
          <w:szCs w:val="17"/>
          <w:color w:val="auto"/>
        </w:rPr>
        <w:t>. This ASU permits a company to reclassify the income tax effects of the 2017 Tax Cuts and Jobs Act</w:t>
      </w:r>
      <w:r>
        <w:rPr>
          <w:rFonts w:ascii="Arial" w:cs="Arial" w:eastAsia="Arial" w:hAnsi="Arial"/>
          <w:sz w:val="17"/>
          <w:szCs w:val="17"/>
          <w:i w:val="1"/>
          <w:iCs w:val="1"/>
          <w:color w:val="auto"/>
        </w:rPr>
        <w:t xml:space="preserve"> </w:t>
      </w:r>
      <w:r>
        <w:rPr>
          <w:rFonts w:ascii="Arial" w:cs="Arial" w:eastAsia="Arial" w:hAnsi="Arial"/>
          <w:sz w:val="17"/>
          <w:szCs w:val="17"/>
          <w:color w:val="auto"/>
        </w:rPr>
        <w:t>(“U.S. tax reform”) on items within accumulated other comprehensive income (“AOCI”) to retained earnings. We adopted the provisions of this ASU in the first quarter of 2018. We elected to reclassify the income tax effects of the 2017 U.S. tax reform from items in AOCI as of January 1, 2018 so that the tax effects of items within AOCI are reflected at the appropriate tax rate. The impact of the reclassification resulted in a $47,656 decrease to AOCI and a corresponding increase to retained earnings. This amount is considered “provisional” based on reasonable estimates as the Company continues to collect and analyze detailed information about the associated impact of items under U.S. tax reform.</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9" w:name="page10"/>
    <w:bookmarkEnd w:id="9"/>
    <w:p>
      <w:pPr>
        <w:jc w:val="center"/>
        <w:ind w:right="-7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7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This ASU will require lessees to recognize most leases on their balance sheets as lease liabilities with corresponding right-of-use (“ROU”) assets. Recognition, measurement and presentation of expenses will depend on classification as a finance or operating lease. We are currently in the process of evaluating our existing lease portfolio, including accumulating all of the necessary information required to properly account for the leases under the new standard. Additionally, we are implementing new software functionality to assist in the accounting and are evaluating changes to our processes and internal controls to ensure we meet the standard’s reporting and disclosure requirements. ASU 2016-02 is effective for us beginning January 1, 2019. The guidance originally required entities to apply ASU 2016-02 on a modified retrospective basis; however, the FASB has recently proposed guidance that would allow adoption of the standard as of the effective date without restating prior periods. We expect adoption of this standard to result in a material increase in lease-related assets and liabilities on our Consolidated Balance Sheets; however, we do not expect it to have a significant impact on our Consolidated Statements of Income or Cash Flows.</w:t>
      </w:r>
    </w:p>
    <w:p>
      <w:pPr>
        <w:spacing w:after="0" w:line="12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In August 2017, the FASB issued ASU No. 2017-12, </w:t>
      </w:r>
      <w:r>
        <w:rPr>
          <w:rFonts w:ascii="Arial" w:cs="Arial" w:eastAsia="Arial" w:hAnsi="Arial"/>
          <w:sz w:val="16"/>
          <w:szCs w:val="16"/>
          <w:i w:val="1"/>
          <w:iCs w:val="1"/>
          <w:color w:val="auto"/>
        </w:rPr>
        <w:t>Derivatives and Hedging (Topic 815): Targeted Improvements to Accounting for Hedging Activities</w:t>
      </w:r>
      <w:r>
        <w:rPr>
          <w:rFonts w:ascii="Arial" w:cs="Arial" w:eastAsia="Arial" w:hAnsi="Arial"/>
          <w:sz w:val="16"/>
          <w:szCs w:val="16"/>
          <w:color w:val="auto"/>
        </w:rPr>
        <w:t>, which amends ASC 815. The purpose of this ASU is to better align accounting rules with a company’s risk management activities and financial reporting for hedging relationships, better reflect economic results of hedging in financial statements, simplify hedge accounting requirements and improve the disclosures of hedging arrangements. The amendment should be applied using the modified retrospective transition method. ASU 2017-12 is effective for annual periods beginning after December 15, 2018 and interim periods within those annual periods, with early adoption permitted. We will adopt the provisions of this ASU in the first quarter of 2019. Adoption of the new standard is not expected to have a material impact on our Consolidated Financial Statements.</w:t>
      </w:r>
    </w:p>
    <w:p>
      <w:pPr>
        <w:spacing w:after="0" w:line="11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 xml:space="preserve">In June 2018, the FASB issued ASU No. 2018-07, </w:t>
      </w:r>
      <w:r>
        <w:rPr>
          <w:rFonts w:ascii="Arial" w:cs="Arial" w:eastAsia="Arial" w:hAnsi="Arial"/>
          <w:sz w:val="16"/>
          <w:szCs w:val="16"/>
          <w:i w:val="1"/>
          <w:iCs w:val="1"/>
          <w:color w:val="auto"/>
        </w:rPr>
        <w:t>Compensation – Stock Compensation (Topic 718), Improvements to Nonemployee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w:t>
      </w:r>
      <w:r>
        <w:rPr>
          <w:rFonts w:ascii="Arial" w:cs="Arial" w:eastAsia="Arial" w:hAnsi="Arial"/>
          <w:sz w:val="16"/>
          <w:szCs w:val="16"/>
          <w:color w:val="auto"/>
        </w:rPr>
        <w:t>This ASU is intended to simplify aspects of share-based compensation issued to non-employees by making the guidance consistent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for employee share-based compensation. ASU 2018-07 is effective for annual periods beginning after December 15, 2018 and interim periods within those annual periods, with early adoption permitted but no earlier than an entity’s adoption date of Topic 606. We will adopt the provisions of this ASU in the first quarter of 2019. Adoption of the new standard is not expected to have a material impact on our Consolidated Financial Statements.</w:t>
      </w:r>
    </w:p>
    <w:p>
      <w:pPr>
        <w:spacing w:after="0" w:line="10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No other new accounting pronouncement issued or effective during the fiscal year had or is expected to have a material impact on our consolidated financial statements or disclosures.</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121" w:right="31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BUSINESS ACQUISITION</w:t>
      </w:r>
    </w:p>
    <w:p>
      <w:pPr>
        <w:spacing w:after="0" w:line="175"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 xml:space="preserve">On January 31, 2018, we completed the acquisition of all of the outstanding shares of Amplify Snack Brands, Inc. (“Amplify”), a publicly traded company based in Austin, Texas that owns several popular better-for-you snack brands such as </w:t>
      </w:r>
      <w:r>
        <w:rPr>
          <w:rFonts w:ascii="Arial" w:cs="Arial" w:eastAsia="Arial" w:hAnsi="Arial"/>
          <w:sz w:val="17"/>
          <w:szCs w:val="17"/>
          <w:i w:val="1"/>
          <w:iCs w:val="1"/>
          <w:color w:val="auto"/>
        </w:rPr>
        <w:t>SkinnyPop</w:t>
      </w:r>
      <w:r>
        <w:rPr>
          <w:rFonts w:ascii="Arial" w:cs="Arial" w:eastAsia="Arial" w:hAnsi="Arial"/>
          <w:sz w:val="17"/>
          <w:szCs w:val="17"/>
          <w:color w:val="auto"/>
        </w:rPr>
        <w:t xml:space="preserve">, </w:t>
      </w:r>
      <w:r>
        <w:rPr>
          <w:rFonts w:ascii="Arial" w:cs="Arial" w:eastAsia="Arial" w:hAnsi="Arial"/>
          <w:sz w:val="17"/>
          <w:szCs w:val="17"/>
          <w:i w:val="1"/>
          <w:iCs w:val="1"/>
          <w:color w:val="auto"/>
        </w:rPr>
        <w:t>Oatmega</w:t>
      </w:r>
      <w:r>
        <w:rPr>
          <w:rFonts w:ascii="Arial" w:cs="Arial" w:eastAsia="Arial" w:hAnsi="Arial"/>
          <w:sz w:val="17"/>
          <w:szCs w:val="17"/>
          <w:color w:val="auto"/>
        </w:rPr>
        <w:t xml:space="preserve">, </w:t>
      </w:r>
      <w:r>
        <w:rPr>
          <w:rFonts w:ascii="Arial" w:cs="Arial" w:eastAsia="Arial" w:hAnsi="Arial"/>
          <w:sz w:val="17"/>
          <w:szCs w:val="17"/>
          <w:i w:val="1"/>
          <w:iCs w:val="1"/>
          <w:color w:val="auto"/>
        </w:rPr>
        <w:t>Paqui</w:t>
      </w:r>
      <w:r>
        <w:rPr>
          <w:rFonts w:ascii="Arial" w:cs="Arial" w:eastAsia="Arial" w:hAnsi="Arial"/>
          <w:sz w:val="17"/>
          <w:szCs w:val="17"/>
          <w:color w:val="auto"/>
        </w:rPr>
        <w:t xml:space="preserve"> and </w:t>
      </w:r>
      <w:r>
        <w:rPr>
          <w:rFonts w:ascii="Arial" w:cs="Arial" w:eastAsia="Arial" w:hAnsi="Arial"/>
          <w:sz w:val="17"/>
          <w:szCs w:val="17"/>
          <w:i w:val="1"/>
          <w:iCs w:val="1"/>
          <w:color w:val="auto"/>
        </w:rPr>
        <w:t>Tyrrells</w:t>
      </w:r>
      <w:r>
        <w:rPr>
          <w:rFonts w:ascii="Arial" w:cs="Arial" w:eastAsia="Arial" w:hAnsi="Arial"/>
          <w:sz w:val="17"/>
          <w:szCs w:val="17"/>
          <w:color w:val="auto"/>
        </w:rPr>
        <w:t xml:space="preserve">. Amplify's anchor brand, </w:t>
      </w:r>
      <w:r>
        <w:rPr>
          <w:rFonts w:ascii="Arial" w:cs="Arial" w:eastAsia="Arial" w:hAnsi="Arial"/>
          <w:sz w:val="17"/>
          <w:szCs w:val="17"/>
          <w:i w:val="1"/>
          <w:iCs w:val="1"/>
          <w:color w:val="auto"/>
        </w:rPr>
        <w:t>SkinnyPop</w:t>
      </w:r>
      <w:r>
        <w:rPr>
          <w:rFonts w:ascii="Arial" w:cs="Arial" w:eastAsia="Arial" w:hAnsi="Arial"/>
          <w:sz w:val="17"/>
          <w:szCs w:val="17"/>
          <w:color w:val="auto"/>
        </w:rPr>
        <w:t>, is a market-leading ready-to-eat popcorn brand and is available in a wide range of food distribution channels in the United States. Total</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consideration of $968,781 included payment of $12.00 per share for Amplify's outstanding common stock (for a total of $907,766), as well as payment of Amplify's transaction related expenses, including accelerated equity compensation, consultant fees and other deal costs. The business enables us to capture more consumer snacking occasions by contributing a new portfolio of brands.</w:t>
      </w:r>
    </w:p>
    <w:p>
      <w:pPr>
        <w:spacing w:after="0" w:line="124"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acquisition has been accounted for as a purchase and, accordingly, Amplify's results of operations have been included within the North America segment results in our consolidated financial statements since the date of acquisition. The purchase consideration, net of cash acquired totaling $53,324, was allocated to assets acquired and liabilities assumed based on their respective fair values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Accounts receivable</w:t>
            </w: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41,152</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7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35,509</w:t>
            </w:r>
          </w:p>
        </w:tc>
      </w:tr>
      <w:tr>
        <w:trPr>
          <w:trHeight w:val="27"/>
        </w:trPr>
        <w:tc>
          <w:tcPr>
            <w:tcW w:w="9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Plant, property and equipment, net</w:t>
            </w:r>
          </w:p>
        </w:tc>
        <w:tc>
          <w:tcPr>
            <w:tcW w:w="7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71,093</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Goodwill</w:t>
            </w:r>
          </w:p>
        </w:tc>
        <w:tc>
          <w:tcPr>
            <w:tcW w:w="7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939,388</w:t>
            </w:r>
          </w:p>
        </w:tc>
      </w:tr>
      <w:tr>
        <w:trPr>
          <w:trHeight w:val="27"/>
        </w:trPr>
        <w:tc>
          <w:tcPr>
            <w:tcW w:w="9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Other intangible assets</w:t>
            </w:r>
          </w:p>
        </w:tc>
        <w:tc>
          <w:tcPr>
            <w:tcW w:w="7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682,000</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7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1,049</w:t>
            </w:r>
          </w:p>
        </w:tc>
      </w:tr>
      <w:tr>
        <w:trPr>
          <w:trHeight w:val="27"/>
        </w:trPr>
        <w:tc>
          <w:tcPr>
            <w:tcW w:w="9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Accounts payable</w:t>
            </w:r>
          </w:p>
        </w:tc>
        <w:tc>
          <w:tcPr>
            <w:tcW w:w="7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(32,394)</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Accrued liabilities</w:t>
            </w:r>
          </w:p>
        </w:tc>
        <w:tc>
          <w:tcPr>
            <w:tcW w:w="7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(109,565)</w:t>
            </w:r>
          </w:p>
        </w:tc>
      </w:tr>
      <w:tr>
        <w:trPr>
          <w:trHeight w:val="27"/>
        </w:trPr>
        <w:tc>
          <w:tcPr>
            <w:tcW w:w="9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Current debt</w:t>
            </w:r>
          </w:p>
        </w:tc>
        <w:tc>
          <w:tcPr>
            <w:tcW w:w="7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(610,836)</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7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(2,931)</w:t>
            </w:r>
          </w:p>
        </w:tc>
      </w:tr>
      <w:tr>
        <w:trPr>
          <w:trHeight w:val="27"/>
        </w:trPr>
        <w:tc>
          <w:tcPr>
            <w:tcW w:w="9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Non-current deferred income taxes</w:t>
            </w:r>
          </w:p>
        </w:tc>
        <w:tc>
          <w:tcPr>
            <w:tcW w:w="7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(93,859)</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7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(5,149)</w:t>
            </w:r>
          </w:p>
        </w:tc>
      </w:tr>
      <w:tr>
        <w:trPr>
          <w:trHeight w:val="27"/>
        </w:trPr>
        <w:tc>
          <w:tcPr>
            <w:tcW w:w="92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9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Net assets acquired</w:t>
            </w: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915,457</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During the second quarter of 2018, we recorded measurement period adjustments totaling $26,741, the majority of which related to an increase in the final valuation of the assumed tax receivable obligation. The purchase price allocation has been concluded as of the end of the second quarter, except for the valuation of income tax-related liabilities, which we are still in the process of finalizing.</w:t>
      </w:r>
    </w:p>
    <w:p>
      <w:pPr>
        <w:spacing w:after="0" w:line="18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In connection with the acquisition, the Company agreed to pay in full all outstanding debt owed by Amplify under its existing credit agreement as of January 31, 2018, as well as the amount due under Amplify's existing tax receivable obligation. The Company funded the acquisition and repayment of the acquired debt utilizing the proceeds from the issuance of commercial paper.</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Goodwill is being determined as the excess of the purchase price over the fair value of the net assets acquired (including the identifiable intangible assets) and is not expected to be deductible for tax purposes. The goodwill that will result from the acquisition is attributable primarily to cost-reduction synergies as Amplify leverages Hershey's resources, expertise and capability-building.</w:t>
      </w:r>
    </w:p>
    <w:p>
      <w:pPr>
        <w:spacing w:after="0" w:line="181" w:lineRule="exact"/>
        <w:rPr>
          <w:sz w:val="20"/>
          <w:szCs w:val="20"/>
          <w:color w:val="auto"/>
        </w:rPr>
      </w:pPr>
    </w:p>
    <w:p>
      <w:pPr>
        <w:jc w:val="both"/>
        <w:ind w:right="360"/>
        <w:spacing w:after="0" w:line="277" w:lineRule="auto"/>
        <w:rPr>
          <w:sz w:val="20"/>
          <w:szCs w:val="20"/>
          <w:color w:val="auto"/>
        </w:rPr>
      </w:pPr>
      <w:r>
        <w:rPr>
          <w:rFonts w:ascii="Arial" w:cs="Arial" w:eastAsia="Arial" w:hAnsi="Arial"/>
          <w:sz w:val="18"/>
          <w:szCs w:val="18"/>
          <w:color w:val="auto"/>
        </w:rPr>
        <w:t>Other intangible assets includes trademarks of $648,000 and customer relationships of $34,000. Trademarks were assigned estimated useful lives ranging from 28 to 38 years and customer relationships were assigned estimated useful lives ranging from 14 to 18 years.</w:t>
      </w:r>
    </w:p>
    <w:p>
      <w:pPr>
        <w:spacing w:after="0" w:line="170"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We used various valuation techniques to determine fair value, with the primary techniques being discounted cash flow analysis, relief-from-royalty, and a form of the multi-period excess earnings valuation approaches, which use significant unobservable inputs, or Level 3 inputs, as defined by the fair value hierarchy. Under these valuation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approaches, we are required to make estimates and assumptions about sales, operating margins, growth rates, royalty rates and discount rates based on budgets, business plans, economic projections, anticipated future cash flows and marketplace data.</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incurred acquisition-related costs of $20,577 related to the acquisition of Amplify, the majority of which were incurred during the first quarter of 2018. Acquisition-related costs consisted primarily of legal fees, consultant fees, valuation fees and other deal costs and are recorded in the selling, marketing and administrative expense caption within the Consolidated Statements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AND INTANGIBLE ASSETS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value of goodwill by reportable segment for the six months ended July 1, 2018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2"/>
          </w:tcPr>
          <w:p>
            <w:pPr>
              <w:ind w:left="180"/>
              <w:spacing w:after="0"/>
              <w:rPr>
                <w:sz w:val="20"/>
                <w:szCs w:val="20"/>
                <w:color w:val="auto"/>
              </w:rPr>
            </w:pPr>
            <w:r>
              <w:rPr>
                <w:rFonts w:ascii="Arial" w:cs="Arial" w:eastAsia="Arial" w:hAnsi="Arial"/>
                <w:sz w:val="16"/>
                <w:szCs w:val="16"/>
                <w:b w:val="1"/>
                <w:bCs w:val="1"/>
                <w:color w:val="auto"/>
              </w:rPr>
              <w:t>North America</w:t>
            </w:r>
          </w:p>
        </w:tc>
        <w:tc>
          <w:tcPr>
            <w:tcW w:w="180" w:type="dxa"/>
            <w:vAlign w:val="bottom"/>
          </w:tcPr>
          <w:p>
            <w:pPr>
              <w:spacing w:after="0"/>
              <w:rPr>
                <w:sz w:val="18"/>
                <w:szCs w:val="18"/>
                <w:color w:val="auto"/>
              </w:rPr>
            </w:pPr>
          </w:p>
        </w:tc>
        <w:tc>
          <w:tcPr>
            <w:tcW w:w="1860" w:type="dxa"/>
            <w:vAlign w:val="bottom"/>
            <w:gridSpan w:val="2"/>
          </w:tcPr>
          <w:p>
            <w:pPr>
              <w:ind w:left="40"/>
              <w:spacing w:after="0"/>
              <w:rPr>
                <w:sz w:val="20"/>
                <w:szCs w:val="20"/>
                <w:color w:val="auto"/>
              </w:rPr>
            </w:pPr>
            <w:r>
              <w:rPr>
                <w:rFonts w:ascii="Arial" w:cs="Arial" w:eastAsia="Arial" w:hAnsi="Arial"/>
                <w:sz w:val="16"/>
                <w:szCs w:val="16"/>
                <w:b w:val="1"/>
                <w:bCs w:val="1"/>
                <w:color w:val="auto"/>
              </w:rPr>
              <w:t>International and Other</w:t>
            </w:r>
          </w:p>
        </w:tc>
        <w:tc>
          <w:tcPr>
            <w:tcW w:w="460" w:type="dxa"/>
            <w:vAlign w:val="bottom"/>
          </w:tcPr>
          <w:p>
            <w:pPr>
              <w:spacing w:after="0"/>
              <w:rPr>
                <w:sz w:val="18"/>
                <w:szCs w:val="18"/>
                <w:color w:val="auto"/>
              </w:rPr>
            </w:pPr>
          </w:p>
        </w:tc>
        <w:tc>
          <w:tcPr>
            <w:tcW w:w="1480" w:type="dxa"/>
            <w:vAlign w:val="bottom"/>
          </w:tcPr>
          <w:p>
            <w:pPr>
              <w:jc w:val="right"/>
              <w:ind w:right="691"/>
              <w:spacing w:after="0"/>
              <w:rPr>
                <w:sz w:val="20"/>
                <w:szCs w:val="20"/>
                <w:color w:val="auto"/>
              </w:rPr>
            </w:pPr>
            <w:r>
              <w:rPr>
                <w:rFonts w:ascii="Arial" w:cs="Arial" w:eastAsia="Arial" w:hAnsi="Arial"/>
                <w:sz w:val="16"/>
                <w:szCs w:val="16"/>
                <w:b w:val="1"/>
                <w:bCs w:val="1"/>
                <w:color w:val="auto"/>
              </w:rPr>
              <w:t>Total</w:t>
            </w:r>
          </w:p>
        </w:tc>
      </w:tr>
      <w:tr>
        <w:trPr>
          <w:trHeight w:val="33"/>
        </w:trPr>
        <w:tc>
          <w:tcPr>
            <w:tcW w:w="5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799,929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21,132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821,061</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Acquired during the period (see Note 2)</w:t>
            </w:r>
          </w:p>
        </w:tc>
        <w:tc>
          <w:tcPr>
            <w:tcW w:w="28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939,388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939,388</w:t>
            </w:r>
          </w:p>
        </w:tc>
      </w:tr>
      <w:tr>
        <w:trPr>
          <w:trHeight w:val="27"/>
        </w:trPr>
        <w:tc>
          <w:tcPr>
            <w:tcW w:w="5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price allocation adjustments (see Note 2)</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26,741</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Reclassified to assets held for sale (see Note 7)</w:t>
            </w:r>
          </w:p>
        </w:tc>
        <w:tc>
          <w:tcPr>
            <w:tcW w:w="2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(98,379)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(98,379)</w:t>
            </w:r>
          </w:p>
        </w:tc>
      </w:tr>
      <w:tr>
        <w:trPr>
          <w:trHeight w:val="27"/>
        </w:trPr>
        <w:tc>
          <w:tcPr>
            <w:tcW w:w="5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and other</w:t>
            </w:r>
          </w:p>
        </w:tc>
        <w:tc>
          <w:tcPr>
            <w:tcW w:w="2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(11,101)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(13,845)</w:t>
            </w:r>
          </w:p>
        </w:tc>
      </w:tr>
      <w:tr>
        <w:trPr>
          <w:trHeight w:val="257"/>
        </w:trPr>
        <w:tc>
          <w:tcPr>
            <w:tcW w:w="5380" w:type="dxa"/>
            <w:vAlign w:val="bottom"/>
          </w:tcPr>
          <w:p>
            <w:pPr>
              <w:ind w:left="40"/>
              <w:spacing w:after="0"/>
              <w:rPr>
                <w:sz w:val="20"/>
                <w:szCs w:val="20"/>
                <w:color w:val="auto"/>
              </w:rPr>
            </w:pPr>
            <w:r>
              <w:rPr>
                <w:rFonts w:ascii="Arial" w:cs="Arial" w:eastAsia="Arial" w:hAnsi="Arial"/>
                <w:sz w:val="18"/>
                <w:szCs w:val="18"/>
                <w:color w:val="auto"/>
              </w:rPr>
              <w:t>Balance at July 1, 2018</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1,656,578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18,388</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1,674,966</w:t>
            </w:r>
          </w:p>
        </w:tc>
      </w:tr>
      <w:tr>
        <w:trPr>
          <w:trHeight w:val="20"/>
        </w:trPr>
        <w:tc>
          <w:tcPr>
            <w:tcW w:w="5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gross carrying amount and accumulated amortization for each major class of intangible asset: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40" w:type="dxa"/>
            <w:vAlign w:val="bottom"/>
            <w:gridSpan w:val="5"/>
          </w:tcPr>
          <w:p>
            <w:pPr>
              <w:ind w:left="1040"/>
              <w:spacing w:after="0"/>
              <w:rPr>
                <w:sz w:val="20"/>
                <w:szCs w:val="20"/>
                <w:color w:val="auto"/>
              </w:rPr>
            </w:pPr>
            <w:r>
              <w:rPr>
                <w:rFonts w:ascii="Arial" w:cs="Arial" w:eastAsia="Arial" w:hAnsi="Arial"/>
                <w:sz w:val="16"/>
                <w:szCs w:val="16"/>
                <w:b w:val="1"/>
                <w:bCs w:val="1"/>
                <w:color w:val="auto"/>
              </w:rPr>
              <w:t>July 1, 2018</w:t>
            </w:r>
          </w:p>
        </w:tc>
        <w:tc>
          <w:tcPr>
            <w:tcW w:w="160" w:type="dxa"/>
            <w:vAlign w:val="bottom"/>
          </w:tcPr>
          <w:p>
            <w:pPr>
              <w:spacing w:after="0"/>
              <w:rPr>
                <w:sz w:val="18"/>
                <w:szCs w:val="18"/>
                <w:color w:val="auto"/>
              </w:rPr>
            </w:pPr>
          </w:p>
        </w:tc>
        <w:tc>
          <w:tcPr>
            <w:tcW w:w="3020" w:type="dxa"/>
            <w:vAlign w:val="bottom"/>
            <w:gridSpan w:val="4"/>
          </w:tcPr>
          <w:p>
            <w:pPr>
              <w:jc w:val="right"/>
              <w:ind w:right="833"/>
              <w:spacing w:after="0"/>
              <w:rPr>
                <w:sz w:val="20"/>
                <w:szCs w:val="20"/>
                <w:color w:val="auto"/>
              </w:rPr>
            </w:pPr>
            <w:r>
              <w:rPr>
                <w:rFonts w:ascii="Arial" w:cs="Arial" w:eastAsia="Arial" w:hAnsi="Arial"/>
                <w:sz w:val="16"/>
                <w:szCs w:val="16"/>
                <w:b w:val="1"/>
                <w:bCs w:val="1"/>
                <w:color w:val="auto"/>
              </w:rPr>
              <w:t>December 31, 2017</w:t>
            </w:r>
          </w:p>
        </w:tc>
      </w:tr>
      <w:tr>
        <w:trPr>
          <w:trHeight w:val="33"/>
        </w:trPr>
        <w:tc>
          <w:tcPr>
            <w:tcW w:w="4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133"/>
              <w:spacing w:after="0"/>
              <w:rPr>
                <w:sz w:val="20"/>
                <w:szCs w:val="20"/>
                <w:color w:val="auto"/>
              </w:rPr>
            </w:pPr>
            <w:r>
              <w:rPr>
                <w:rFonts w:ascii="Arial" w:cs="Arial" w:eastAsia="Arial" w:hAnsi="Arial"/>
                <w:sz w:val="16"/>
                <w:szCs w:val="16"/>
                <w:b w:val="1"/>
                <w:bCs w:val="1"/>
                <w:color w:val="auto"/>
                <w:w w:val="94"/>
              </w:rPr>
              <w:t>Gross Carrying</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ind w:left="120"/>
              <w:spacing w:after="0"/>
              <w:rPr>
                <w:sz w:val="20"/>
                <w:szCs w:val="20"/>
                <w:color w:val="auto"/>
              </w:rPr>
            </w:pPr>
            <w:r>
              <w:rPr>
                <w:rFonts w:ascii="Arial" w:cs="Arial" w:eastAsia="Arial" w:hAnsi="Arial"/>
                <w:sz w:val="16"/>
                <w:szCs w:val="16"/>
                <w:b w:val="1"/>
                <w:bCs w:val="1"/>
                <w:color w:val="auto"/>
              </w:rPr>
              <w:t>Accumulated</w:t>
            </w:r>
          </w:p>
        </w:tc>
        <w:tc>
          <w:tcPr>
            <w:tcW w:w="160" w:type="dxa"/>
            <w:vAlign w:val="bottom"/>
          </w:tcPr>
          <w:p>
            <w:pPr>
              <w:spacing w:after="0"/>
              <w:rPr>
                <w:sz w:val="18"/>
                <w:szCs w:val="18"/>
                <w:color w:val="auto"/>
              </w:rPr>
            </w:pPr>
          </w:p>
        </w:tc>
        <w:tc>
          <w:tcPr>
            <w:tcW w:w="1320" w:type="dxa"/>
            <w:vAlign w:val="bottom"/>
          </w:tcPr>
          <w:p>
            <w:pPr>
              <w:jc w:val="right"/>
              <w:ind w:right="113"/>
              <w:spacing w:after="0"/>
              <w:rPr>
                <w:sz w:val="20"/>
                <w:szCs w:val="20"/>
                <w:color w:val="auto"/>
              </w:rPr>
            </w:pPr>
            <w:r>
              <w:rPr>
                <w:rFonts w:ascii="Arial" w:cs="Arial" w:eastAsia="Arial" w:hAnsi="Arial"/>
                <w:sz w:val="16"/>
                <w:szCs w:val="16"/>
                <w:b w:val="1"/>
                <w:bCs w:val="1"/>
                <w:color w:val="auto"/>
                <w:w w:val="94"/>
              </w:rPr>
              <w:t>Gross Carrying</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ind w:right="253"/>
              <w:spacing w:after="0"/>
              <w:rPr>
                <w:sz w:val="20"/>
                <w:szCs w:val="20"/>
                <w:color w:val="auto"/>
              </w:rPr>
            </w:pPr>
            <w:r>
              <w:rPr>
                <w:rFonts w:ascii="Arial" w:cs="Arial" w:eastAsia="Arial" w:hAnsi="Arial"/>
                <w:sz w:val="16"/>
                <w:szCs w:val="16"/>
                <w:b w:val="1"/>
                <w:bCs w:val="1"/>
                <w:color w:val="auto"/>
                <w:w w:val="99"/>
              </w:rPr>
              <w:t>Accumulated</w:t>
            </w:r>
          </w:p>
        </w:tc>
      </w:tr>
      <w:tr>
        <w:trPr>
          <w:trHeight w:val="210"/>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393"/>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ind w:left="120"/>
              <w:spacing w:after="0"/>
              <w:rPr>
                <w:sz w:val="20"/>
                <w:szCs w:val="20"/>
                <w:color w:val="auto"/>
              </w:rPr>
            </w:pPr>
            <w:r>
              <w:rPr>
                <w:rFonts w:ascii="Arial" w:cs="Arial" w:eastAsia="Arial" w:hAnsi="Arial"/>
                <w:sz w:val="16"/>
                <w:szCs w:val="16"/>
                <w:b w:val="1"/>
                <w:bCs w:val="1"/>
                <w:color w:val="auto"/>
              </w:rPr>
              <w:t>Amortization</w:t>
            </w:r>
          </w:p>
        </w:tc>
        <w:tc>
          <w:tcPr>
            <w:tcW w:w="160" w:type="dxa"/>
            <w:vAlign w:val="bottom"/>
          </w:tcPr>
          <w:p>
            <w:pPr>
              <w:spacing w:after="0"/>
              <w:rPr>
                <w:sz w:val="18"/>
                <w:szCs w:val="18"/>
                <w:color w:val="auto"/>
              </w:rPr>
            </w:pPr>
          </w:p>
        </w:tc>
        <w:tc>
          <w:tcPr>
            <w:tcW w:w="1320" w:type="dxa"/>
            <w:vAlign w:val="bottom"/>
          </w:tcPr>
          <w:p>
            <w:pPr>
              <w:jc w:val="right"/>
              <w:ind w:right="373"/>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ind w:right="253"/>
              <w:spacing w:after="0"/>
              <w:rPr>
                <w:sz w:val="20"/>
                <w:szCs w:val="20"/>
                <w:color w:val="auto"/>
              </w:rPr>
            </w:pPr>
            <w:r>
              <w:rPr>
                <w:rFonts w:ascii="Arial" w:cs="Arial" w:eastAsia="Arial" w:hAnsi="Arial"/>
                <w:sz w:val="16"/>
                <w:szCs w:val="16"/>
                <w:b w:val="1"/>
                <w:bCs w:val="1"/>
                <w:color w:val="auto"/>
              </w:rPr>
              <w:t>Amortization</w:t>
            </w:r>
          </w:p>
        </w:tc>
      </w:tr>
      <w:tr>
        <w:trPr>
          <w:trHeight w:val="33"/>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subject to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360"/>
              <w:spacing w:after="0"/>
              <w:rPr>
                <w:sz w:val="20"/>
                <w:szCs w:val="20"/>
                <w:color w:val="auto"/>
              </w:rPr>
            </w:pPr>
            <w:r>
              <w:rPr>
                <w:rFonts w:ascii="Arial" w:cs="Arial" w:eastAsia="Arial" w:hAnsi="Arial"/>
                <w:sz w:val="18"/>
                <w:szCs w:val="18"/>
                <w:color w:val="auto"/>
              </w:rPr>
              <w:t>Trademarks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909,537</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(48,704)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277,473</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(37,510)</w:t>
            </w: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Customer-related</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156,368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128,182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(34,659)</w:t>
            </w:r>
          </w:p>
        </w:tc>
      </w:tr>
      <w:tr>
        <w:trPr>
          <w:trHeight w:val="243"/>
        </w:trPr>
        <w:tc>
          <w:tcPr>
            <w:tcW w:w="4920" w:type="dxa"/>
            <w:vAlign w:val="bottom"/>
          </w:tcPr>
          <w:p>
            <w:pPr>
              <w:ind w:left="360"/>
              <w:spacing w:after="0"/>
              <w:rPr>
                <w:sz w:val="20"/>
                <w:szCs w:val="20"/>
                <w:color w:val="auto"/>
              </w:rPr>
            </w:pPr>
            <w:r>
              <w:rPr>
                <w:rFonts w:ascii="Arial" w:cs="Arial" w:eastAsia="Arial" w:hAnsi="Arial"/>
                <w:sz w:val="18"/>
                <w:szCs w:val="18"/>
                <w:color w:val="auto"/>
              </w:rPr>
              <w:t>Patents</w:t>
            </w:r>
          </w:p>
        </w:tc>
        <w:tc>
          <w:tcPr>
            <w:tcW w:w="18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16,606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(15,877)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17,009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(15,975)</w:t>
            </w:r>
          </w:p>
        </w:tc>
      </w:tr>
      <w:tr>
        <w:trPr>
          <w:trHeight w:val="27"/>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1,082,511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(100,826)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422,664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(88,144)</w:t>
            </w:r>
          </w:p>
        </w:tc>
      </w:tr>
      <w:tr>
        <w:trPr>
          <w:trHeight w:val="324"/>
        </w:trPr>
        <w:tc>
          <w:tcPr>
            <w:tcW w:w="4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not subject to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360"/>
              <w:spacing w:after="0"/>
              <w:rPr>
                <w:sz w:val="20"/>
                <w:szCs w:val="20"/>
                <w:color w:val="auto"/>
              </w:rPr>
            </w:pPr>
            <w:r>
              <w:rPr>
                <w:rFonts w:ascii="Arial" w:cs="Arial" w:eastAsia="Arial" w:hAnsi="Arial"/>
                <w:sz w:val="18"/>
                <w:szCs w:val="18"/>
                <w:color w:val="auto"/>
              </w:rPr>
              <w:t>Trademarks</w:t>
            </w:r>
          </w:p>
        </w:tc>
        <w:tc>
          <w:tcPr>
            <w:tcW w:w="18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34,627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34,636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intangible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1,016,312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369,156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r>
      <w:tr>
        <w:trPr>
          <w:trHeight w:val="20"/>
        </w:trPr>
        <w:tc>
          <w:tcPr>
            <w:tcW w:w="4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Total amortization expense for the three months ended July 1, 2018 and July 2, 2017 was $9,834 and $5,407, respectively. Total amortization expense for the six months ended July 1, 2018 and July 2, 2017 was $18,285 and $12,558, respectively.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SHORT AND LONG-TERM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Debt</w:t>
      </w:r>
    </w:p>
    <w:p>
      <w:pPr>
        <w:spacing w:after="0" w:line="94"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As a source of short-term financing, we utilize cash on hand and commercial paper or bank loans with an original maturity of three months or less. We maintain a $1.0 billion unsecured revolving credit facility, which currently expires in November 2020. This agreement also includes an option to increase borrowings by an additional $400 million with the consent of the lenders. On January 8, 2018, we entered into an additional unsecured revolving credit facility that provides for borrowings up to $1.5 billion. This facility is scheduled to expire on January 7, 2019.</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The credit agreement contains certain financial and other covenants, customary representations, warranties and events of default. As of July 1, 2018, we were in compliance with all covenants pertaining to the credit agreement, and we had no significant compensating balance agreements that legally restricted these funds. For more information, refer to the Consolidated Financial Statements included in our 2017 Annual Report on Form 10-K.</w:t>
      </w:r>
    </w:p>
    <w:p>
      <w:pPr>
        <w:spacing w:after="0" w:line="11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addition to the revolving credit facility, we maintain lines of credit with domestic and international commercial banks. We had short-term foreign bank loans against these lines of credit for $113,560 at July 1, 2018 and $110,684 at December 31, 2017. Commitment fees relating to our revolving credit facility and lines of credit are not material.</w:t>
      </w:r>
    </w:p>
    <w:p>
      <w:pPr>
        <w:spacing w:after="0" w:line="12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At July 1, 2018, we had outstanding commercial paper totaling $933,367, at a weighted average interest rate of 2.0%. At December 31, 2017, we had outstanding commercial paper totaling $448,675, at a weighted average interest rate of 1.4%.</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gridSpan w:val="2"/>
          </w:tcPr>
          <w:p>
            <w:pPr>
              <w:ind w:left="240"/>
              <w:spacing w:after="0"/>
              <w:rPr>
                <w:sz w:val="20"/>
                <w:szCs w:val="20"/>
                <w:color w:val="auto"/>
              </w:rPr>
            </w:pPr>
            <w:r>
              <w:rPr>
                <w:rFonts w:ascii="Arial" w:cs="Arial" w:eastAsia="Arial" w:hAnsi="Arial"/>
                <w:sz w:val="14"/>
                <w:szCs w:val="14"/>
                <w:b w:val="1"/>
                <w:bCs w:val="1"/>
                <w:color w:val="auto"/>
              </w:rPr>
              <w:t>July 1, 2018</w:t>
            </w:r>
          </w:p>
        </w:tc>
        <w:tc>
          <w:tcPr>
            <w:tcW w:w="240" w:type="dxa"/>
            <w:vAlign w:val="bottom"/>
          </w:tcPr>
          <w:p>
            <w:pPr>
              <w:spacing w:after="0"/>
              <w:rPr>
                <w:sz w:val="16"/>
                <w:szCs w:val="16"/>
                <w:color w:val="auto"/>
              </w:rPr>
            </w:pPr>
          </w:p>
        </w:tc>
        <w:tc>
          <w:tcPr>
            <w:tcW w:w="1580" w:type="dxa"/>
            <w:vAlign w:val="bottom"/>
          </w:tcPr>
          <w:p>
            <w:pPr>
              <w:jc w:val="right"/>
              <w:ind w:right="191"/>
              <w:spacing w:after="0"/>
              <w:rPr>
                <w:sz w:val="20"/>
                <w:szCs w:val="20"/>
                <w:color w:val="auto"/>
              </w:rPr>
            </w:pPr>
            <w:r>
              <w:rPr>
                <w:rFonts w:ascii="Arial" w:cs="Arial" w:eastAsia="Arial" w:hAnsi="Arial"/>
                <w:sz w:val="14"/>
                <w:szCs w:val="14"/>
                <w:b w:val="1"/>
                <w:bCs w:val="1"/>
                <w:color w:val="auto"/>
              </w:rPr>
              <w:t>December 31, 2017</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1.60% Notes due 2018</w:t>
            </w: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300,000</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2.90% Notes due 2020</w:t>
            </w:r>
          </w:p>
        </w:tc>
        <w:tc>
          <w:tcPr>
            <w:tcW w:w="3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350,000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4.125% Notes due 2020</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350,000</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3.10% Notes due 2021</w:t>
            </w:r>
          </w:p>
        </w:tc>
        <w:tc>
          <w:tcPr>
            <w:tcW w:w="3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350,000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8.8% Debentures due 2021</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84,715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84,715</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3.375% Notes due 2023</w:t>
            </w:r>
          </w:p>
        </w:tc>
        <w:tc>
          <w:tcPr>
            <w:tcW w:w="3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2.625% Notes due 2023</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250,000</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3.20% Notes due 2025</w:t>
            </w:r>
          </w:p>
        </w:tc>
        <w:tc>
          <w:tcPr>
            <w:tcW w:w="3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300,000</w:t>
            </w:r>
          </w:p>
        </w:tc>
      </w:tr>
      <w:tr>
        <w:trPr>
          <w:trHeight w:val="27"/>
        </w:trPr>
        <w:tc>
          <w:tcPr>
            <w:tcW w:w="7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2.30% Notes due 2026</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500,000</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7.2% Debentures due 2027</w:t>
            </w:r>
          </w:p>
        </w:tc>
        <w:tc>
          <w:tcPr>
            <w:tcW w:w="3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193,639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193,639</w:t>
            </w:r>
          </w:p>
        </w:tc>
      </w:tr>
      <w:tr>
        <w:trPr>
          <w:trHeight w:val="27"/>
        </w:trPr>
        <w:tc>
          <w:tcPr>
            <w:tcW w:w="7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3.375% Notes due 2046</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300,000</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Capital lease obligations</w:t>
            </w:r>
          </w:p>
        </w:tc>
        <w:tc>
          <w:tcPr>
            <w:tcW w:w="3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97,684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99,194</w:t>
            </w:r>
          </w:p>
        </w:tc>
      </w:tr>
      <w:tr>
        <w:trPr>
          <w:trHeight w:val="27"/>
        </w:trPr>
        <w:tc>
          <w:tcPr>
            <w:tcW w:w="7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impact of interest rate swaps, debt issuance costs and unamortized debt discounts</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(21,948)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(16,427)</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 long-term debt</w:t>
            </w: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3,554,090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2,361,121</w:t>
            </w:r>
          </w:p>
        </w:tc>
      </w:tr>
      <w:tr>
        <w:trPr>
          <w:trHeight w:val="27"/>
        </w:trPr>
        <w:tc>
          <w:tcPr>
            <w:tcW w:w="7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Less—current portion</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304,401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300,098</w:t>
            </w: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Long-term portion</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3,249,689</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2,061,023</w:t>
            </w:r>
          </w:p>
        </w:tc>
      </w:tr>
      <w:tr>
        <w:trPr>
          <w:trHeight w:val="20"/>
        </w:trPr>
        <w:tc>
          <w:tcPr>
            <w:tcW w:w="7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May 2018, we issued $350,000 of 2.90% Notes due in 2020, $350,000 of 3.10% Notes due in 2021 and $500,000 of 3.375% Notes due in 2023 (the "Notes"). Proceeds from the issuance of the Notes, net of discounts and issuance costs, totaled $1,193,827. The Notes were issued under a shelf registration statement on Form S-3 filed in June 2015 that registered an indeterminate amount of debt securities.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Net interest expense consists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103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1180" w:type="dxa"/>
            <w:vAlign w:val="bottom"/>
            <w:tcBorders>
              <w:bottom w:val="single" w:sz="8" w:color="auto"/>
            </w:tcBorders>
          </w:tcPr>
          <w:p>
            <w:pPr>
              <w:spacing w:after="0"/>
              <w:rPr>
                <w:sz w:val="16"/>
                <w:szCs w:val="16"/>
                <w:color w:val="auto"/>
              </w:rPr>
            </w:pPr>
          </w:p>
        </w:tc>
      </w:tr>
      <w:tr>
        <w:trPr>
          <w:trHeight w:val="264"/>
        </w:trPr>
        <w:tc>
          <w:tcPr>
            <w:tcW w:w="4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20" w:type="dxa"/>
            <w:vAlign w:val="bottom"/>
            <w:gridSpan w:val="2"/>
          </w:tcPr>
          <w:p>
            <w:pPr>
              <w:ind w:left="220"/>
              <w:spacing w:after="0"/>
              <w:rPr>
                <w:sz w:val="20"/>
                <w:szCs w:val="20"/>
                <w:color w:val="auto"/>
              </w:rPr>
            </w:pPr>
            <w:r>
              <w:rPr>
                <w:rFonts w:ascii="Arial" w:cs="Arial" w:eastAsia="Arial" w:hAnsi="Arial"/>
                <w:sz w:val="14"/>
                <w:szCs w:val="14"/>
                <w:b w:val="1"/>
                <w:bCs w:val="1"/>
                <w:color w:val="auto"/>
              </w:rPr>
              <w:t>July 1, 2018</w:t>
            </w:r>
          </w:p>
        </w:tc>
        <w:tc>
          <w:tcPr>
            <w:tcW w:w="320" w:type="dxa"/>
            <w:vAlign w:val="bottom"/>
          </w:tcPr>
          <w:p>
            <w:pPr>
              <w:spacing w:after="0"/>
              <w:rPr>
                <w:sz w:val="22"/>
                <w:szCs w:val="22"/>
                <w:color w:val="auto"/>
              </w:rPr>
            </w:pPr>
          </w:p>
        </w:tc>
        <w:tc>
          <w:tcPr>
            <w:tcW w:w="1480" w:type="dxa"/>
            <w:vAlign w:val="bottom"/>
            <w:gridSpan w:val="2"/>
          </w:tcPr>
          <w:p>
            <w:pPr>
              <w:ind w:left="220"/>
              <w:spacing w:after="0"/>
              <w:rPr>
                <w:sz w:val="20"/>
                <w:szCs w:val="20"/>
                <w:color w:val="auto"/>
              </w:rPr>
            </w:pPr>
            <w:r>
              <w:rPr>
                <w:rFonts w:ascii="Arial" w:cs="Arial" w:eastAsia="Arial" w:hAnsi="Arial"/>
                <w:sz w:val="14"/>
                <w:szCs w:val="14"/>
                <w:b w:val="1"/>
                <w:bCs w:val="1"/>
                <w:color w:val="auto"/>
              </w:rPr>
              <w:t>July 2, 2017</w:t>
            </w:r>
          </w:p>
        </w:tc>
        <w:tc>
          <w:tcPr>
            <w:tcW w:w="340" w:type="dxa"/>
            <w:vAlign w:val="bottom"/>
          </w:tcPr>
          <w:p>
            <w:pPr>
              <w:spacing w:after="0"/>
              <w:rPr>
                <w:sz w:val="22"/>
                <w:szCs w:val="22"/>
                <w:color w:val="auto"/>
              </w:rPr>
            </w:pPr>
          </w:p>
        </w:tc>
        <w:tc>
          <w:tcPr>
            <w:tcW w:w="1480" w:type="dxa"/>
            <w:vAlign w:val="bottom"/>
            <w:gridSpan w:val="2"/>
          </w:tcPr>
          <w:p>
            <w:pPr>
              <w:ind w:left="200"/>
              <w:spacing w:after="0"/>
              <w:rPr>
                <w:sz w:val="20"/>
                <w:szCs w:val="20"/>
                <w:color w:val="auto"/>
              </w:rPr>
            </w:pPr>
            <w:r>
              <w:rPr>
                <w:rFonts w:ascii="Arial" w:cs="Arial" w:eastAsia="Arial" w:hAnsi="Arial"/>
                <w:sz w:val="14"/>
                <w:szCs w:val="14"/>
                <w:b w:val="1"/>
                <w:bCs w:val="1"/>
                <w:color w:val="auto"/>
              </w:rPr>
              <w:t>July 1, 2018</w:t>
            </w:r>
          </w:p>
        </w:tc>
        <w:tc>
          <w:tcPr>
            <w:tcW w:w="520" w:type="dxa"/>
            <w:vAlign w:val="bottom"/>
          </w:tcPr>
          <w:p>
            <w:pPr>
              <w:spacing w:after="0"/>
              <w:rPr>
                <w:sz w:val="22"/>
                <w:szCs w:val="22"/>
                <w:color w:val="auto"/>
              </w:rPr>
            </w:pPr>
          </w:p>
        </w:tc>
        <w:tc>
          <w:tcPr>
            <w:tcW w:w="1180" w:type="dxa"/>
            <w:vAlign w:val="bottom"/>
          </w:tcPr>
          <w:p>
            <w:pPr>
              <w:jc w:val="right"/>
              <w:ind w:right="353"/>
              <w:spacing w:after="0"/>
              <w:rPr>
                <w:sz w:val="20"/>
                <w:szCs w:val="20"/>
                <w:color w:val="auto"/>
              </w:rPr>
            </w:pPr>
            <w:r>
              <w:rPr>
                <w:rFonts w:ascii="Arial" w:cs="Arial" w:eastAsia="Arial" w:hAnsi="Arial"/>
                <w:sz w:val="14"/>
                <w:szCs w:val="14"/>
                <w:b w:val="1"/>
                <w:bCs w:val="1"/>
                <w:color w:val="auto"/>
                <w:w w:val="91"/>
              </w:rPr>
              <w:t>July 2, 2017</w:t>
            </w:r>
          </w:p>
        </w:tc>
      </w:tr>
      <w:tr>
        <w:trPr>
          <w:trHeight w:val="250"/>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38,098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25,299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70,951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50,253</w:t>
            </w:r>
          </w:p>
        </w:tc>
      </w:tr>
      <w:tr>
        <w:trPr>
          <w:trHeight w:val="243"/>
        </w:trPr>
        <w:tc>
          <w:tcPr>
            <w:tcW w:w="4240" w:type="dxa"/>
            <w:vAlign w:val="bottom"/>
          </w:tcPr>
          <w:p>
            <w:pPr>
              <w:spacing w:after="0"/>
              <w:rPr>
                <w:sz w:val="20"/>
                <w:szCs w:val="20"/>
                <w:color w:val="auto"/>
              </w:rPr>
            </w:pPr>
            <w:r>
              <w:rPr>
                <w:rFonts w:ascii="Arial" w:cs="Arial" w:eastAsia="Arial" w:hAnsi="Arial"/>
                <w:sz w:val="18"/>
                <w:szCs w:val="18"/>
                <w:color w:val="auto"/>
              </w:rPr>
              <w:t>Capitalized interest</w:t>
            </w:r>
          </w:p>
        </w:tc>
        <w:tc>
          <w:tcPr>
            <w:tcW w:w="3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(2,633)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(1,859)</w:t>
            </w:r>
          </w:p>
        </w:tc>
      </w:tr>
      <w:tr>
        <w:trPr>
          <w:trHeight w:val="27"/>
        </w:trPr>
        <w:tc>
          <w:tcPr>
            <w:tcW w:w="4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36,764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24,424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68,318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48,394</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(4,027)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(527)</w:t>
            </w:r>
          </w:p>
        </w:tc>
      </w:tr>
      <w:tr>
        <w:trPr>
          <w:trHeight w:val="27"/>
        </w:trPr>
        <w:tc>
          <w:tcPr>
            <w:tcW w:w="4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34,952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24,126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64,291</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47,867</w:t>
            </w:r>
          </w:p>
        </w:tc>
      </w:tr>
      <w:tr>
        <w:trPr>
          <w:trHeight w:val="20"/>
        </w:trPr>
        <w:tc>
          <w:tcPr>
            <w:tcW w:w="4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1" w:right="239" w:bottom="1440" w:gutter="0" w:footer="0" w:header="0"/>
          <w:type w:val="continuous"/>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INSTRUMENTS</w:t>
      </w:r>
    </w:p>
    <w:p>
      <w:pPr>
        <w:spacing w:after="0" w:line="175"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We are exposed to market risks arising principally from changes in foreign currency exchange rates, interest rates and commodity prices. We use certain derivative instruments to manage these risks. These include interest rate swaps to manage interest rate risk, foreign currency forward exchange contracts to manage foreign currency exchange rate risk, and commodities futures and options contracts to manage commodity market price risk exposures.</w:t>
      </w:r>
    </w:p>
    <w:p>
      <w:pPr>
        <w:spacing w:after="0" w:line="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entering into these contracts, we have assumed the risk that might arise from the possible inability of counterparties to meet the terms of their contracts. We mitigate this risk by entering into exchanged-traded contracts with collateral posting requirements and/or by performing financial assessments prior to contract execution, conducting periodic evaluations of counterparty performance and maintaining a diverse portfolio of qualified counterparties. We do not expect any significant losses from counterparty defaults.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94"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We enter into commodities futures and options contracts and other commodity derivative instruments to reduce the effect of future price fluctuations associated with the purchase of raw materials, energy requirements and transportation services. We generally hedge commodity price risks for 6- to 24-month periods. Our open commodity derivative contracts had a notional value of $524,145 as of July 1, 2018 and $405,288 as of December 31, 2017.</w:t>
      </w:r>
    </w:p>
    <w:p>
      <w:pPr>
        <w:spacing w:after="0" w:line="9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Derivatives used to manage commodity price risk are not designated for hedge accounting treatment. Therefore, the changes in fair value of these derivatives are recorded as incurred within cost of sales. As discussed in Note 12, we define our segment income to exclude gains and losses on commodity derivatives until the related inventory is sold, at which time the related gains and losses are reflected within segment income. This enables us to continue to align the derivative gains and losses with the underlying economic exposure being hedged and thereby eliminate the mark-to-market volatility within our reported segment income.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Price Risk</w:t>
      </w:r>
    </w:p>
    <w:p>
      <w:pPr>
        <w:spacing w:after="0" w:line="9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are exposed to foreign currency exchange rate risk related to our international operations, including non-functional currency intercompany debt and other non-functional currency transactions of certain subsidiaries. Principal currencies hedged include the euro, Canadian dollar, Japanese yen, and Brazilian real. We typically utilize foreign currency forward exchange contracts to hedge these exposures for periods ranging from 6 to 12 months. The contracts are either designated as cash flow hedges or are undesignated. The net notional amount of foreign exchange contracts accounted for as cash flow hedges was $122,109 at July 1, 2018 and $135,962 at December 31, 2017. The effective portion of the changes in fair value on these contracts is recorded in other comprehensive income and reclassified into earnings in the same period in which the hedged transactions affect earnings. The net notional amount of foreign exchange contracts that are not designated as accounting hedges was $2,791 at July 1, 2018 and December 31, 2017, respectively. The change in fair value on these instruments is recorded directly in cost of sales or selling, marketing and administrative expense, depending on the nature of the underlying exposure.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manage our targeted mix of fixed and floating rate debt with debt issuances and by entering into fixed-to-floating interest rate swaps in order to mitigate fluctuations in earnings and cash flows that may result from interest rate volatility. These swaps are designated as fair value hedges, for which the gain or loss on the derivative and the offsetting loss or gain on the hedged item are recognized in current earnings as interest expense (income), net. We had one interest rate derivative instrument in a fair value hedging relationship with a notional amount of $350,000 at July 1, 2018 and December 31, 2017.</w:t>
      </w:r>
    </w:p>
    <w:p>
      <w:pPr>
        <w:spacing w:after="0" w:line="10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order to manage interest rate exposure, in previous years we utilized interest rate swap agreements to protect against unfavorable interest rate changes relating to forecasted debt transactions. These swaps, which were settled upon issuance of the related debt, were designated as cash flow hedges and the gains and losses that were deferred in other comprehensive income are being recognized as an adjustment to interest expense over the same period that the hedged interest payments affect earnings.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1" w:right="25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Price Risk</w:t>
      </w:r>
    </w:p>
    <w:p>
      <w:pPr>
        <w:spacing w:after="0" w:line="9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are exposed to market price changes in certain broad market indices related to our deferred compensation obligations to our employees. To mitigate this risk, we use equity swap contracts to hedge the portion of the exposure that is linked to market-level equity returns. These contracts are not designated as hedges for accounting purposes and are entered into for periods of 6 to 12 months. The change in fair value of these derivatives is recorded in selling, marketing and administrative expense, together with the change in the related liabilities. The notional amount of the contracts outstanding at July 1, 2018 and December 31, 2017 was $29,771 and $25,246, respectively.</w:t>
      </w:r>
    </w:p>
    <w:p>
      <w:pPr>
        <w:spacing w:after="0" w:line="13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presents the classification of derivative assets and liabilities within the Consolidated Balance Sheets as of July 1, 2018 and December 31, 2017:</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40" w:type="dxa"/>
            <w:vAlign w:val="bottom"/>
            <w:gridSpan w:val="5"/>
          </w:tcPr>
          <w:p>
            <w:pPr>
              <w:ind w:left="940"/>
              <w:spacing w:after="0"/>
              <w:rPr>
                <w:sz w:val="20"/>
                <w:szCs w:val="20"/>
                <w:color w:val="auto"/>
              </w:rPr>
            </w:pPr>
            <w:r>
              <w:rPr>
                <w:rFonts w:ascii="Arial" w:cs="Arial" w:eastAsia="Arial" w:hAnsi="Arial"/>
                <w:sz w:val="16"/>
                <w:szCs w:val="16"/>
                <w:b w:val="1"/>
                <w:bCs w:val="1"/>
                <w:color w:val="auto"/>
              </w:rPr>
              <w:t>July 1, 2018</w:t>
            </w:r>
          </w:p>
        </w:tc>
        <w:tc>
          <w:tcPr>
            <w:tcW w:w="280" w:type="dxa"/>
            <w:vAlign w:val="bottom"/>
          </w:tcPr>
          <w:p>
            <w:pPr>
              <w:spacing w:after="0"/>
              <w:rPr>
                <w:sz w:val="18"/>
                <w:szCs w:val="18"/>
                <w:color w:val="auto"/>
              </w:rPr>
            </w:pPr>
          </w:p>
        </w:tc>
        <w:tc>
          <w:tcPr>
            <w:tcW w:w="2900" w:type="dxa"/>
            <w:vAlign w:val="bottom"/>
            <w:gridSpan w:val="4"/>
          </w:tcPr>
          <w:p>
            <w:pPr>
              <w:jc w:val="right"/>
              <w:ind w:right="830"/>
              <w:spacing w:after="0"/>
              <w:rPr>
                <w:sz w:val="20"/>
                <w:szCs w:val="20"/>
                <w:color w:val="auto"/>
              </w:rPr>
            </w:pPr>
            <w:r>
              <w:rPr>
                <w:rFonts w:ascii="Arial" w:cs="Arial" w:eastAsia="Arial" w:hAnsi="Arial"/>
                <w:sz w:val="16"/>
                <w:szCs w:val="16"/>
                <w:b w:val="1"/>
                <w:bCs w:val="1"/>
                <w:color w:val="auto"/>
              </w:rPr>
              <w:t>December 31, 2017</w:t>
            </w:r>
          </w:p>
        </w:tc>
      </w:tr>
      <w:tr>
        <w:trPr>
          <w:trHeight w:val="33"/>
        </w:trPr>
        <w:tc>
          <w:tcPr>
            <w:tcW w:w="4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gridSpan w:val="2"/>
          </w:tcPr>
          <w:p>
            <w:pPr>
              <w:ind w:left="180"/>
              <w:spacing w:after="0"/>
              <w:rPr>
                <w:sz w:val="20"/>
                <w:szCs w:val="20"/>
                <w:color w:val="auto"/>
              </w:rPr>
            </w:pPr>
            <w:r>
              <w:rPr>
                <w:rFonts w:ascii="Arial" w:cs="Arial" w:eastAsia="Arial" w:hAnsi="Arial"/>
                <w:sz w:val="18"/>
                <w:szCs w:val="18"/>
                <w:b w:val="1"/>
                <w:bCs w:val="1"/>
                <w:color w:val="auto"/>
              </w:rPr>
              <w:t>Assets (1)</w:t>
            </w:r>
          </w:p>
        </w:tc>
        <w:tc>
          <w:tcPr>
            <w:tcW w:w="18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 (1)</w:t>
            </w:r>
          </w:p>
        </w:tc>
        <w:tc>
          <w:tcPr>
            <w:tcW w:w="280" w:type="dxa"/>
            <w:vAlign w:val="bottom"/>
          </w:tcPr>
          <w:p>
            <w:pPr>
              <w:spacing w:after="0"/>
              <w:rPr>
                <w:sz w:val="20"/>
                <w:szCs w:val="20"/>
                <w:color w:val="auto"/>
              </w:rPr>
            </w:pPr>
          </w:p>
        </w:tc>
        <w:tc>
          <w:tcPr>
            <w:tcW w:w="1420" w:type="dxa"/>
            <w:vAlign w:val="bottom"/>
            <w:gridSpan w:val="2"/>
          </w:tcPr>
          <w:p>
            <w:pPr>
              <w:ind w:left="160"/>
              <w:spacing w:after="0"/>
              <w:rPr>
                <w:sz w:val="20"/>
                <w:szCs w:val="20"/>
                <w:color w:val="auto"/>
              </w:rPr>
            </w:pPr>
            <w:r>
              <w:rPr>
                <w:rFonts w:ascii="Arial" w:cs="Arial" w:eastAsia="Arial" w:hAnsi="Arial"/>
                <w:sz w:val="18"/>
                <w:szCs w:val="18"/>
                <w:b w:val="1"/>
                <w:bCs w:val="1"/>
                <w:color w:val="auto"/>
              </w:rPr>
              <w:t>Assets (1)</w:t>
            </w:r>
          </w:p>
        </w:tc>
        <w:tc>
          <w:tcPr>
            <w:tcW w:w="18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Liabilities (1)</w:t>
            </w: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97"/>
              </w:rPr>
              <w:t>Derivatives designated as cash flow hedging instruments:</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Foreign exchange contracts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6,883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1,427</w:t>
            </w: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b w:val="1"/>
                <w:bCs w:val="1"/>
                <w:color w:val="auto"/>
                <w:w w:val="98"/>
              </w:rPr>
              <w:t>Derivatives designated as fair value hedging instruments:</w:t>
            </w: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1,897</w:t>
            </w:r>
          </w:p>
        </w:tc>
      </w:tr>
      <w:tr>
        <w:trPr>
          <w:trHeight w:val="324"/>
        </w:trPr>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Commodities futures and options (2)</w:t>
            </w:r>
          </w:p>
        </w:tc>
        <w:tc>
          <w:tcPr>
            <w:tcW w:w="28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8,630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3,054</w:t>
            </w: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compensation derivatives</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Foreign exchange contracts</w:t>
            </w:r>
          </w:p>
        </w:tc>
        <w:tc>
          <w:tcPr>
            <w:tcW w:w="28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4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9,499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3,054</w:t>
            </w:r>
          </w:p>
        </w:tc>
      </w:tr>
      <w:tr>
        <w:trPr>
          <w:trHeight w:val="257"/>
        </w:trPr>
        <w:tc>
          <w:tcPr>
            <w:tcW w:w="492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16,382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7,939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2,425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6,378</w:t>
            </w:r>
          </w:p>
        </w:tc>
      </w:tr>
      <w:tr>
        <w:trPr>
          <w:trHeight w:val="20"/>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500" w:right="220" w:hanging="330"/>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Derivatives assets are classified on our balance sheet within prepaid expenses and other as well as other assets. Derivative liabilities are classified on our balance sheet within accrued liabilities and other long-term liabilities.</w:t>
      </w:r>
    </w:p>
    <w:p>
      <w:pPr>
        <w:spacing w:after="0" w:line="8" w:lineRule="exact"/>
        <w:rPr>
          <w:rFonts w:ascii="Arial" w:cs="Arial" w:eastAsia="Arial" w:hAnsi="Arial"/>
          <w:sz w:val="18"/>
          <w:szCs w:val="18"/>
          <w:color w:val="auto"/>
        </w:rPr>
      </w:pPr>
    </w:p>
    <w:p>
      <w:pPr>
        <w:ind w:left="500" w:right="60" w:hanging="330"/>
        <w:spacing w:after="0" w:line="25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of July 1, 2018, amounts reflected on a net basis in assets were assets of $68,302 and liabilities of $59,671, which are associated with cash transfers receivable or payable on commodities futures contracts reflecting the change in quoted market prices on the last trading day for the period. The comparable amounts reflected on a net basis in liabilities at December 31, 2017 were assets of $48,505 and liabilities of $50,179. At July 1, 2018 and December 31, 2017, the remaining amount reflected in assets and liabilities related to the fair value of other non-exchange traded derivative instruments, respectively.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 Impact of Derivative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effect of derivative instruments on the Consolidated Statements of Income for the three months ended July 1, 2018 and July 2, 2017 was as follows:</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88"/>
              </w:rPr>
              <w:t>Non-designated Hedges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60" w:type="dxa"/>
            <w:vAlign w:val="bottom"/>
            <w:gridSpan w:val="4"/>
          </w:tcPr>
          <w:p>
            <w:pPr>
              <w:jc w:val="right"/>
              <w:ind w:right="493"/>
              <w:spacing w:after="0"/>
              <w:rPr>
                <w:sz w:val="20"/>
                <w:szCs w:val="20"/>
                <w:color w:val="auto"/>
              </w:rPr>
            </w:pPr>
            <w:r>
              <w:rPr>
                <w:rFonts w:ascii="Arial" w:cs="Arial" w:eastAsia="Arial" w:hAnsi="Arial"/>
                <w:sz w:val="16"/>
                <w:szCs w:val="16"/>
                <w:b w:val="1"/>
                <w:bCs w:val="1"/>
                <w:color w:val="auto"/>
              </w:rPr>
              <w:t>Cash Flow Hedges</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4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r>
      <w:tr>
        <w:trPr>
          <w:trHeight w:val="209"/>
        </w:trPr>
        <w:tc>
          <w:tcPr>
            <w:tcW w:w="4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5"/>
          </w:tcPr>
          <w:p>
            <w:pPr>
              <w:ind w:left="40"/>
              <w:spacing w:after="0"/>
              <w:rPr>
                <w:sz w:val="20"/>
                <w:szCs w:val="20"/>
                <w:color w:val="auto"/>
              </w:rPr>
            </w:pPr>
            <w:r>
              <w:rPr>
                <w:rFonts w:ascii="Arial" w:cs="Arial" w:eastAsia="Arial" w:hAnsi="Arial"/>
                <w:sz w:val="16"/>
                <w:szCs w:val="16"/>
                <w:b w:val="1"/>
                <w:bCs w:val="1"/>
                <w:color w:val="auto"/>
                <w:w w:val="92"/>
              </w:rPr>
              <w:t>Gains (losses) recognized in other</w:t>
            </w:r>
          </w:p>
        </w:tc>
        <w:tc>
          <w:tcPr>
            <w:tcW w:w="120" w:type="dxa"/>
            <w:vAlign w:val="bottom"/>
          </w:tcPr>
          <w:p>
            <w:pPr>
              <w:spacing w:after="0"/>
              <w:rPr>
                <w:sz w:val="18"/>
                <w:szCs w:val="18"/>
                <w:color w:val="auto"/>
              </w:rPr>
            </w:pPr>
          </w:p>
        </w:tc>
        <w:tc>
          <w:tcPr>
            <w:tcW w:w="2260" w:type="dxa"/>
            <w:vAlign w:val="bottom"/>
            <w:gridSpan w:val="3"/>
          </w:tcPr>
          <w:p>
            <w:pPr>
              <w:jc w:val="center"/>
              <w:spacing w:after="0"/>
              <w:rPr>
                <w:sz w:val="20"/>
                <w:szCs w:val="20"/>
                <w:color w:val="auto"/>
              </w:rPr>
            </w:pPr>
            <w:r>
              <w:rPr>
                <w:rFonts w:ascii="Arial" w:cs="Arial" w:eastAsia="Arial" w:hAnsi="Arial"/>
                <w:sz w:val="16"/>
                <w:szCs w:val="16"/>
                <w:b w:val="1"/>
                <w:bCs w:val="1"/>
                <w:color w:val="auto"/>
                <w:w w:val="88"/>
              </w:rPr>
              <w:t>Gains (losses) reclassified from</w:t>
            </w:r>
          </w:p>
        </w:tc>
      </w:tr>
      <w:tr>
        <w:trPr>
          <w:trHeight w:val="203"/>
        </w:trPr>
        <w:tc>
          <w:tcPr>
            <w:tcW w:w="4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4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87"/>
              </w:rPr>
              <w:t>Gains (losses) recognized in</w:t>
            </w:r>
          </w:p>
        </w:tc>
        <w:tc>
          <w:tcPr>
            <w:tcW w:w="248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w w:val="92"/>
              </w:rPr>
              <w:t>comprehensive income (“OCI”)</w:t>
            </w:r>
          </w:p>
        </w:tc>
        <w:tc>
          <w:tcPr>
            <w:tcW w:w="120" w:type="dxa"/>
            <w:vAlign w:val="bottom"/>
          </w:tcPr>
          <w:p>
            <w:pPr>
              <w:spacing w:after="0"/>
              <w:rPr>
                <w:sz w:val="17"/>
                <w:szCs w:val="17"/>
                <w:color w:val="auto"/>
              </w:rPr>
            </w:pPr>
          </w:p>
        </w:tc>
        <w:tc>
          <w:tcPr>
            <w:tcW w:w="2260" w:type="dxa"/>
            <w:vAlign w:val="bottom"/>
            <w:gridSpan w:val="3"/>
          </w:tcPr>
          <w:p>
            <w:pPr>
              <w:jc w:val="center"/>
              <w:ind w:right="10"/>
              <w:spacing w:after="0"/>
              <w:rPr>
                <w:sz w:val="20"/>
                <w:szCs w:val="20"/>
                <w:color w:val="auto"/>
              </w:rPr>
            </w:pPr>
            <w:r>
              <w:rPr>
                <w:rFonts w:ascii="Arial" w:cs="Arial" w:eastAsia="Arial" w:hAnsi="Arial"/>
                <w:sz w:val="16"/>
                <w:szCs w:val="16"/>
                <w:b w:val="1"/>
                <w:bCs w:val="1"/>
                <w:color w:val="auto"/>
                <w:w w:val="92"/>
              </w:rPr>
              <w:t>accumulated OCI into income</w:t>
            </w:r>
          </w:p>
        </w:tc>
      </w:tr>
      <w:tr>
        <w:trPr>
          <w:trHeight w:val="210"/>
        </w:trPr>
        <w:tc>
          <w:tcPr>
            <w:tcW w:w="4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left="533"/>
              <w:spacing w:after="0"/>
              <w:rPr>
                <w:sz w:val="20"/>
                <w:szCs w:val="20"/>
                <w:color w:val="auto"/>
              </w:rPr>
            </w:pPr>
            <w:r>
              <w:rPr>
                <w:rFonts w:ascii="Arial" w:cs="Arial" w:eastAsia="Arial" w:hAnsi="Arial"/>
                <w:sz w:val="16"/>
                <w:szCs w:val="16"/>
                <w:b w:val="1"/>
                <w:bCs w:val="1"/>
                <w:color w:val="auto"/>
                <w:w w:val="92"/>
              </w:rPr>
              <w:t>income (a)</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20" w:type="dxa"/>
            <w:vAlign w:val="bottom"/>
            <w:gridSpan w:val="4"/>
          </w:tcPr>
          <w:p>
            <w:pPr>
              <w:jc w:val="center"/>
              <w:ind w:right="340"/>
              <w:spacing w:after="0"/>
              <w:rPr>
                <w:sz w:val="20"/>
                <w:szCs w:val="20"/>
                <w:color w:val="auto"/>
              </w:rPr>
            </w:pPr>
            <w:r>
              <w:rPr>
                <w:rFonts w:ascii="Arial" w:cs="Arial" w:eastAsia="Arial" w:hAnsi="Arial"/>
                <w:sz w:val="16"/>
                <w:szCs w:val="16"/>
                <w:b w:val="1"/>
                <w:bCs w:val="1"/>
                <w:color w:val="auto"/>
                <w:w w:val="91"/>
              </w:rPr>
              <w:t>(effective portion)</w:t>
            </w:r>
          </w:p>
        </w:tc>
        <w:tc>
          <w:tcPr>
            <w:tcW w:w="120" w:type="dxa"/>
            <w:vAlign w:val="bottom"/>
          </w:tcPr>
          <w:p>
            <w:pPr>
              <w:spacing w:after="0"/>
              <w:rPr>
                <w:sz w:val="18"/>
                <w:szCs w:val="18"/>
                <w:color w:val="auto"/>
              </w:rPr>
            </w:pPr>
          </w:p>
        </w:tc>
        <w:tc>
          <w:tcPr>
            <w:tcW w:w="2260" w:type="dxa"/>
            <w:vAlign w:val="bottom"/>
            <w:gridSpan w:val="3"/>
          </w:tcPr>
          <w:p>
            <w:pPr>
              <w:jc w:val="center"/>
              <w:ind w:right="10"/>
              <w:spacing w:after="0"/>
              <w:rPr>
                <w:sz w:val="20"/>
                <w:szCs w:val="20"/>
                <w:color w:val="auto"/>
              </w:rPr>
            </w:pPr>
            <w:r>
              <w:rPr>
                <w:rFonts w:ascii="Arial" w:cs="Arial" w:eastAsia="Arial" w:hAnsi="Arial"/>
                <w:sz w:val="16"/>
                <w:szCs w:val="16"/>
                <w:b w:val="1"/>
                <w:bCs w:val="1"/>
                <w:color w:val="auto"/>
                <w:w w:val="92"/>
              </w:rPr>
              <w:t>(effective portion) (b)</w:t>
            </w:r>
          </w:p>
        </w:tc>
      </w:tr>
      <w:tr>
        <w:trPr>
          <w:trHeight w:val="33"/>
        </w:trPr>
        <w:tc>
          <w:tcPr>
            <w:tcW w:w="4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426"/>
        </w:trPr>
        <w:tc>
          <w:tcPr>
            <w:tcW w:w="4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ind w:right="333"/>
              <w:spacing w:after="0"/>
              <w:rPr>
                <w:sz w:val="20"/>
                <w:szCs w:val="20"/>
                <w:color w:val="auto"/>
              </w:rPr>
            </w:pPr>
            <w:r>
              <w:rPr>
                <w:rFonts w:ascii="Arial" w:cs="Arial" w:eastAsia="Arial" w:hAnsi="Arial"/>
                <w:sz w:val="18"/>
                <w:szCs w:val="18"/>
                <w:b w:val="1"/>
                <w:bCs w:val="1"/>
                <w:color w:val="auto"/>
              </w:rPr>
              <w:t>2018</w:t>
            </w:r>
          </w:p>
        </w:tc>
        <w:tc>
          <w:tcPr>
            <w:tcW w:w="460" w:type="dxa"/>
            <w:vAlign w:val="bottom"/>
          </w:tcPr>
          <w:p>
            <w:pPr>
              <w:spacing w:after="0"/>
              <w:rPr>
                <w:sz w:val="24"/>
                <w:szCs w:val="24"/>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b w:val="1"/>
                <w:bCs w:val="1"/>
                <w:color w:val="auto"/>
                <w:w w:val="94"/>
              </w:rPr>
              <w:t>2017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311"/>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4"/>
                <w:szCs w:val="24"/>
                <w:color w:val="auto"/>
              </w:rPr>
            </w:pPr>
          </w:p>
        </w:tc>
        <w:tc>
          <w:tcPr>
            <w:tcW w:w="880" w:type="dxa"/>
            <w:vAlign w:val="bottom"/>
          </w:tcPr>
          <w:p>
            <w:pPr>
              <w:jc w:val="right"/>
              <w:ind w:right="311"/>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ind w:right="333"/>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4"/>
                <w:szCs w:val="24"/>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7"/>
        </w:trPr>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Commodities futures and options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183</w:t>
            </w:r>
          </w:p>
        </w:tc>
        <w:tc>
          <w:tcPr>
            <w:tcW w:w="4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Foreign exchange contracts</w:t>
            </w:r>
          </w:p>
        </w:tc>
        <w:tc>
          <w:tcPr>
            <w:tcW w:w="20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137</w:t>
            </w:r>
          </w:p>
        </w:tc>
        <w:tc>
          <w:tcPr>
            <w:tcW w:w="46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3,559</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(93)</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390</w:t>
            </w:r>
          </w:p>
        </w:tc>
      </w:tr>
      <w:tr>
        <w:trPr>
          <w:trHeight w:val="27"/>
        </w:trPr>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(2,370)</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(2,370)</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Deferred compensation derivatives</w:t>
            </w:r>
          </w:p>
        </w:tc>
        <w:tc>
          <w:tcPr>
            <w:tcW w:w="20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1,199</w:t>
            </w: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1,519</w:t>
            </w:r>
          </w:p>
        </w:tc>
        <w:tc>
          <w:tcPr>
            <w:tcW w:w="4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(33,107)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3,559</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(2,463)</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(2,379)</w:t>
            </w:r>
          </w:p>
        </w:tc>
      </w:tr>
      <w:tr>
        <w:trPr>
          <w:trHeight w:val="20"/>
        </w:trPr>
        <w:tc>
          <w:tcPr>
            <w:tcW w:w="4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The effect of derivative instruments on the Consolidated Statements of Income for the six months ended July 1, 2018 and July 2, 2017 was as follows:</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88"/>
              </w:rPr>
              <w:t>Non-designated Hedges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60" w:type="dxa"/>
            <w:vAlign w:val="bottom"/>
            <w:gridSpan w:val="4"/>
          </w:tcPr>
          <w:p>
            <w:pPr>
              <w:jc w:val="right"/>
              <w:ind w:right="493"/>
              <w:spacing w:after="0"/>
              <w:rPr>
                <w:sz w:val="20"/>
                <w:szCs w:val="20"/>
                <w:color w:val="auto"/>
              </w:rPr>
            </w:pPr>
            <w:r>
              <w:rPr>
                <w:rFonts w:ascii="Arial" w:cs="Arial" w:eastAsia="Arial" w:hAnsi="Arial"/>
                <w:sz w:val="16"/>
                <w:szCs w:val="16"/>
                <w:b w:val="1"/>
                <w:bCs w:val="1"/>
                <w:color w:val="auto"/>
              </w:rPr>
              <w:t>Cash Flow Hedges</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4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r>
      <w:tr>
        <w:trPr>
          <w:trHeight w:val="209"/>
        </w:trPr>
        <w:tc>
          <w:tcPr>
            <w:tcW w:w="4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5"/>
          </w:tcPr>
          <w:p>
            <w:pPr>
              <w:ind w:left="40"/>
              <w:spacing w:after="0"/>
              <w:rPr>
                <w:sz w:val="20"/>
                <w:szCs w:val="20"/>
                <w:color w:val="auto"/>
              </w:rPr>
            </w:pPr>
            <w:r>
              <w:rPr>
                <w:rFonts w:ascii="Arial" w:cs="Arial" w:eastAsia="Arial" w:hAnsi="Arial"/>
                <w:sz w:val="16"/>
                <w:szCs w:val="16"/>
                <w:b w:val="1"/>
                <w:bCs w:val="1"/>
                <w:color w:val="auto"/>
                <w:w w:val="92"/>
              </w:rPr>
              <w:t>Gains (losses) recognized in other</w:t>
            </w:r>
          </w:p>
        </w:tc>
        <w:tc>
          <w:tcPr>
            <w:tcW w:w="120" w:type="dxa"/>
            <w:vAlign w:val="bottom"/>
          </w:tcPr>
          <w:p>
            <w:pPr>
              <w:spacing w:after="0"/>
              <w:rPr>
                <w:sz w:val="18"/>
                <w:szCs w:val="18"/>
                <w:color w:val="auto"/>
              </w:rPr>
            </w:pPr>
          </w:p>
        </w:tc>
        <w:tc>
          <w:tcPr>
            <w:tcW w:w="2260" w:type="dxa"/>
            <w:vAlign w:val="bottom"/>
            <w:gridSpan w:val="3"/>
          </w:tcPr>
          <w:p>
            <w:pPr>
              <w:jc w:val="center"/>
              <w:spacing w:after="0"/>
              <w:rPr>
                <w:sz w:val="20"/>
                <w:szCs w:val="20"/>
                <w:color w:val="auto"/>
              </w:rPr>
            </w:pPr>
            <w:r>
              <w:rPr>
                <w:rFonts w:ascii="Arial" w:cs="Arial" w:eastAsia="Arial" w:hAnsi="Arial"/>
                <w:sz w:val="16"/>
                <w:szCs w:val="16"/>
                <w:b w:val="1"/>
                <w:bCs w:val="1"/>
                <w:color w:val="auto"/>
                <w:w w:val="88"/>
              </w:rPr>
              <w:t>Gains (losses) reclassified from</w:t>
            </w:r>
          </w:p>
        </w:tc>
      </w:tr>
      <w:tr>
        <w:trPr>
          <w:trHeight w:val="203"/>
        </w:trPr>
        <w:tc>
          <w:tcPr>
            <w:tcW w:w="4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4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87"/>
              </w:rPr>
              <w:t>Gains (losses) recognized in</w:t>
            </w:r>
          </w:p>
        </w:tc>
        <w:tc>
          <w:tcPr>
            <w:tcW w:w="248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w w:val="92"/>
              </w:rPr>
              <w:t>comprehensive income (“OCI”)</w:t>
            </w:r>
          </w:p>
        </w:tc>
        <w:tc>
          <w:tcPr>
            <w:tcW w:w="120" w:type="dxa"/>
            <w:vAlign w:val="bottom"/>
          </w:tcPr>
          <w:p>
            <w:pPr>
              <w:spacing w:after="0"/>
              <w:rPr>
                <w:sz w:val="17"/>
                <w:szCs w:val="17"/>
                <w:color w:val="auto"/>
              </w:rPr>
            </w:pPr>
          </w:p>
        </w:tc>
        <w:tc>
          <w:tcPr>
            <w:tcW w:w="2260" w:type="dxa"/>
            <w:vAlign w:val="bottom"/>
            <w:gridSpan w:val="3"/>
          </w:tcPr>
          <w:p>
            <w:pPr>
              <w:jc w:val="center"/>
              <w:ind w:right="10"/>
              <w:spacing w:after="0"/>
              <w:rPr>
                <w:sz w:val="20"/>
                <w:szCs w:val="20"/>
                <w:color w:val="auto"/>
              </w:rPr>
            </w:pPr>
            <w:r>
              <w:rPr>
                <w:rFonts w:ascii="Arial" w:cs="Arial" w:eastAsia="Arial" w:hAnsi="Arial"/>
                <w:sz w:val="16"/>
                <w:szCs w:val="16"/>
                <w:b w:val="1"/>
                <w:bCs w:val="1"/>
                <w:color w:val="auto"/>
                <w:w w:val="92"/>
              </w:rPr>
              <w:t>accumulated OCI into income</w:t>
            </w:r>
          </w:p>
        </w:tc>
      </w:tr>
      <w:tr>
        <w:trPr>
          <w:trHeight w:val="210"/>
        </w:trPr>
        <w:tc>
          <w:tcPr>
            <w:tcW w:w="4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left="533"/>
              <w:spacing w:after="0"/>
              <w:rPr>
                <w:sz w:val="20"/>
                <w:szCs w:val="20"/>
                <w:color w:val="auto"/>
              </w:rPr>
            </w:pPr>
            <w:r>
              <w:rPr>
                <w:rFonts w:ascii="Arial" w:cs="Arial" w:eastAsia="Arial" w:hAnsi="Arial"/>
                <w:sz w:val="16"/>
                <w:szCs w:val="16"/>
                <w:b w:val="1"/>
                <w:bCs w:val="1"/>
                <w:color w:val="auto"/>
                <w:w w:val="92"/>
              </w:rPr>
              <w:t>income (a)</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20" w:type="dxa"/>
            <w:vAlign w:val="bottom"/>
            <w:gridSpan w:val="4"/>
          </w:tcPr>
          <w:p>
            <w:pPr>
              <w:jc w:val="center"/>
              <w:ind w:right="340"/>
              <w:spacing w:after="0"/>
              <w:rPr>
                <w:sz w:val="20"/>
                <w:szCs w:val="20"/>
                <w:color w:val="auto"/>
              </w:rPr>
            </w:pPr>
            <w:r>
              <w:rPr>
                <w:rFonts w:ascii="Arial" w:cs="Arial" w:eastAsia="Arial" w:hAnsi="Arial"/>
                <w:sz w:val="16"/>
                <w:szCs w:val="16"/>
                <w:b w:val="1"/>
                <w:bCs w:val="1"/>
                <w:color w:val="auto"/>
                <w:w w:val="91"/>
              </w:rPr>
              <w:t>(effective portion)</w:t>
            </w:r>
          </w:p>
        </w:tc>
        <w:tc>
          <w:tcPr>
            <w:tcW w:w="120" w:type="dxa"/>
            <w:vAlign w:val="bottom"/>
          </w:tcPr>
          <w:p>
            <w:pPr>
              <w:spacing w:after="0"/>
              <w:rPr>
                <w:sz w:val="18"/>
                <w:szCs w:val="18"/>
                <w:color w:val="auto"/>
              </w:rPr>
            </w:pPr>
          </w:p>
        </w:tc>
        <w:tc>
          <w:tcPr>
            <w:tcW w:w="2260" w:type="dxa"/>
            <w:vAlign w:val="bottom"/>
            <w:gridSpan w:val="3"/>
          </w:tcPr>
          <w:p>
            <w:pPr>
              <w:jc w:val="center"/>
              <w:ind w:right="10"/>
              <w:spacing w:after="0"/>
              <w:rPr>
                <w:sz w:val="20"/>
                <w:szCs w:val="20"/>
                <w:color w:val="auto"/>
              </w:rPr>
            </w:pPr>
            <w:r>
              <w:rPr>
                <w:rFonts w:ascii="Arial" w:cs="Arial" w:eastAsia="Arial" w:hAnsi="Arial"/>
                <w:sz w:val="16"/>
                <w:szCs w:val="16"/>
                <w:b w:val="1"/>
                <w:bCs w:val="1"/>
                <w:color w:val="auto"/>
                <w:w w:val="92"/>
              </w:rPr>
              <w:t>(effective portion) (b)</w:t>
            </w:r>
          </w:p>
        </w:tc>
      </w:tr>
      <w:tr>
        <w:trPr>
          <w:trHeight w:val="33"/>
        </w:trPr>
        <w:tc>
          <w:tcPr>
            <w:tcW w:w="4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426"/>
        </w:trPr>
        <w:tc>
          <w:tcPr>
            <w:tcW w:w="4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ind w:right="373"/>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24"/>
                <w:szCs w:val="24"/>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b w:val="1"/>
                <w:bCs w:val="1"/>
                <w:color w:val="auto"/>
                <w:w w:val="94"/>
              </w:rPr>
              <w:t>2017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311"/>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4"/>
                <w:szCs w:val="24"/>
                <w:color w:val="auto"/>
              </w:rPr>
            </w:pPr>
          </w:p>
        </w:tc>
        <w:tc>
          <w:tcPr>
            <w:tcW w:w="880" w:type="dxa"/>
            <w:vAlign w:val="bottom"/>
          </w:tcPr>
          <w:p>
            <w:pPr>
              <w:jc w:val="right"/>
              <w:ind w:right="311"/>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ind w:right="333"/>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4"/>
                <w:szCs w:val="24"/>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7"/>
        </w:trPr>
        <w:tc>
          <w:tcPr>
            <w:tcW w:w="4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Commodities futures and options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66,773</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Foreign exchange contracts</w:t>
            </w:r>
          </w:p>
        </w:tc>
        <w:tc>
          <w:tcPr>
            <w:tcW w:w="2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(15)</w:t>
            </w:r>
          </w:p>
        </w:tc>
        <w:tc>
          <w:tcPr>
            <w:tcW w:w="4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7,804</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43</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218</w:t>
            </w:r>
          </w:p>
        </w:tc>
      </w:tr>
      <w:tr>
        <w:trPr>
          <w:trHeight w:val="27"/>
        </w:trPr>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(4,766)</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(4,793)</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Deferred compensation derivatives</w:t>
            </w:r>
          </w:p>
        </w:tc>
        <w:tc>
          <w:tcPr>
            <w:tcW w:w="200" w:type="dxa"/>
            <w:vAlign w:val="bottom"/>
          </w:tcPr>
          <w:p>
            <w:pPr>
              <w:spacing w:after="0"/>
              <w:rPr>
                <w:sz w:val="21"/>
                <w:szCs w:val="21"/>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806</w:t>
            </w:r>
          </w:p>
        </w:tc>
        <w:tc>
          <w:tcPr>
            <w:tcW w:w="4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67,564</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(37,461)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7,804</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(4,723)</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(5,412)</w:t>
            </w:r>
          </w:p>
        </w:tc>
      </w:tr>
      <w:tr>
        <w:trPr>
          <w:trHeight w:val="20"/>
        </w:trPr>
        <w:tc>
          <w:tcPr>
            <w:tcW w:w="4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40" w:right="220" w:hanging="332"/>
        <w:spacing w:after="0" w:line="264"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Gains (losses) recognized in income for non-designated commodities futures and options contracts were included in cost of sales. Gains (losses) recognized in income for non-designated foreign currency forward exchange contracts and deferred compensation derivatives were included in selling, marketing and administrative expenses.</w:t>
      </w:r>
    </w:p>
    <w:p>
      <w:pPr>
        <w:spacing w:after="0" w:line="19" w:lineRule="exact"/>
        <w:rPr>
          <w:rFonts w:ascii="Arial" w:cs="Arial" w:eastAsia="Arial" w:hAnsi="Arial"/>
          <w:sz w:val="18"/>
          <w:szCs w:val="18"/>
          <w:color w:val="auto"/>
        </w:rPr>
      </w:pPr>
    </w:p>
    <w:p>
      <w:pPr>
        <w:ind w:left="340" w:right="120" w:hanging="332"/>
        <w:spacing w:after="0" w:line="259"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Gains (losses) reclassified from AOCI into income were included in cost of sales for commodities futures and options contracts and for foreign currency forward exchange contracts designated as hedges of purchases of inventory or other productive assets. Other gains (losses) for foreign currency forward exchange contracts were included in selling, marketing and administrative expenses. Losses reclassified from AOCI into income for interest rate swap agreements were included in interest expense.</w:t>
      </w:r>
    </w:p>
    <w:p>
      <w:pPr>
        <w:spacing w:after="0" w:line="13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amount of pretax net losses on derivative instruments, including interest rate swap agreements and foreign currency forward exchange contracts expected to be reclassified from accumulated OCI into earnings in the next 12 months was approximately $2,915 as of July 1, 2018. This amount was primarily associated with interest rate swap agreements.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Hedges</w:t>
      </w:r>
    </w:p>
    <w:p>
      <w:pPr>
        <w:spacing w:after="0" w:line="9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For the three months ended July 1, 2018 and 2017, we recognized a net pretax loss to interest expense of $153 and a net pretax benefit of $732 relating to our fixed-to-floating interest swap arrangements. For the six months ended July 1, 2018 and 2017, we recognized a net pretax benefit to interest expense of $125 and $1,630 relating to our fixed-to-floating interest swap arrangements.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17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Accounting guidance on fair value measurements requires that financial assets and liabilities be classified and disclosed in one of the following categories of the fair value hierarchy:</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Based on unadjusted quoted prices for identical assets or liabilities in an active market.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Based on observable market-based inputs or unobservable inputs that are corroborated by market data.</w:t>
      </w:r>
    </w:p>
    <w:p>
      <w:pPr>
        <w:spacing w:after="0" w:line="63" w:lineRule="exact"/>
        <w:rPr>
          <w:sz w:val="20"/>
          <w:szCs w:val="20"/>
          <w:color w:val="auto"/>
        </w:rPr>
      </w:pPr>
    </w:p>
    <w:p>
      <w:pPr>
        <w:ind w:left="40" w:right="2960"/>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Based on unobservable inputs that reflect the entity's own assumptions about the assumptions that a market</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would use in pricing the asset or liability.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any level 3 financial assets or liabilities, nor were there any transfers between levels during the periods presented.</w:t>
      </w:r>
    </w:p>
    <w:p>
      <w:pPr>
        <w:spacing w:after="0" w:line="25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presents assets and liabilities that were measured at fair value in the Consolidated Balance Sheet on a recurring basis as of July 1, 2018 and December 31, 2017:</w:t>
      </w:r>
    </w:p>
    <w:p>
      <w:pPr>
        <w:spacing w:after="0" w:line="112" w:lineRule="exact"/>
        <w:rPr>
          <w:sz w:val="20"/>
          <w:szCs w:val="20"/>
          <w:color w:val="auto"/>
        </w:rPr>
      </w:pPr>
    </w:p>
    <w:p>
      <w:pPr>
        <w:ind w:left="7300"/>
        <w:spacing w:after="0"/>
        <w:rPr>
          <w:sz w:val="20"/>
          <w:szCs w:val="20"/>
          <w:color w:val="auto"/>
        </w:rPr>
      </w:pPr>
      <w:r>
        <w:rPr>
          <w:rFonts w:ascii="Arial" w:cs="Arial" w:eastAsia="Arial" w:hAnsi="Arial"/>
          <w:sz w:val="18"/>
          <w:szCs w:val="18"/>
          <w:b w:val="1"/>
          <w:bCs w:val="1"/>
          <w:color w:val="auto"/>
        </w:rPr>
        <w:t>Assets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34290</wp:posOffset>
            </wp:positionV>
            <wp:extent cx="43567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35673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Level 2</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rPr>
              <w:t>Level 3</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530"/>
              <w:spacing w:after="0"/>
              <w:rPr>
                <w:sz w:val="20"/>
                <w:szCs w:val="20"/>
                <w:color w:val="auto"/>
              </w:rPr>
            </w:pPr>
            <w:r>
              <w:rPr>
                <w:rFonts w:ascii="Arial" w:cs="Arial" w:eastAsia="Arial" w:hAnsi="Arial"/>
                <w:sz w:val="18"/>
                <w:szCs w:val="18"/>
                <w:b w:val="1"/>
                <w:bCs w:val="1"/>
                <w:color w:val="auto"/>
              </w:rPr>
              <w:t>Total</w:t>
            </w:r>
          </w:p>
        </w:tc>
      </w:tr>
      <w:tr>
        <w:trPr>
          <w:trHeight w:val="27"/>
        </w:trPr>
        <w:tc>
          <w:tcPr>
            <w:tcW w:w="4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July 1, 2018:</w:t>
            </w: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gridSpan w:val="2"/>
          </w:tcPr>
          <w:p>
            <w:pPr>
              <w:ind w:left="40"/>
              <w:spacing w:after="0"/>
              <w:rPr>
                <w:sz w:val="20"/>
                <w:szCs w:val="20"/>
                <w:color w:val="auto"/>
              </w:rPr>
            </w:pPr>
            <w:r>
              <w:rPr>
                <w:rFonts w:ascii="Arial" w:cs="Arial" w:eastAsia="Arial" w:hAnsi="Arial"/>
                <w:sz w:val="18"/>
                <w:szCs w:val="18"/>
                <w:color w:val="auto"/>
              </w:rPr>
              <w:t>Derivative Instruments:</w:t>
            </w:r>
          </w:p>
        </w:tc>
        <w:tc>
          <w:tcPr>
            <w:tcW w:w="1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Assets:</w:t>
            </w: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gridSpan w:val="2"/>
          </w:tcPr>
          <w:p>
            <w:pPr>
              <w:ind w:left="500"/>
              <w:spacing w:after="0"/>
              <w:rPr>
                <w:sz w:val="20"/>
                <w:szCs w:val="20"/>
                <w:color w:val="auto"/>
              </w:rPr>
            </w:pPr>
            <w:r>
              <w:rPr>
                <w:rFonts w:ascii="Arial" w:cs="Arial" w:eastAsia="Arial" w:hAnsi="Arial"/>
                <w:sz w:val="18"/>
                <w:szCs w:val="18"/>
                <w:color w:val="auto"/>
              </w:rPr>
              <w:t>Foreign exchange contracts (1)</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6,946</w:t>
            </w:r>
          </w:p>
        </w:tc>
        <w:tc>
          <w:tcPr>
            <w:tcW w:w="100" w:type="dxa"/>
            <w:vAlign w:val="bottom"/>
          </w:tcPr>
          <w:p>
            <w:pPr>
              <w:spacing w:after="0"/>
              <w:rPr>
                <w:sz w:val="21"/>
                <w:szCs w:val="21"/>
                <w:color w:val="auto"/>
              </w:rPr>
            </w:pPr>
          </w:p>
        </w:tc>
        <w:tc>
          <w:tcPr>
            <w:tcW w:w="1220" w:type="dxa"/>
            <w:vAlign w:val="bottom"/>
          </w:tcPr>
          <w:p>
            <w:pPr>
              <w:jc w:val="right"/>
              <w:ind w:right="101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6,946</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Deferred compensation derivatives (3)</w:t>
            </w: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806</w:t>
            </w:r>
          </w:p>
        </w:tc>
      </w:tr>
      <w:tr>
        <w:trPr>
          <w:trHeight w:val="243"/>
        </w:trPr>
        <w:tc>
          <w:tcPr>
            <w:tcW w:w="4560" w:type="dxa"/>
            <w:vAlign w:val="bottom"/>
            <w:gridSpan w:val="2"/>
          </w:tcPr>
          <w:p>
            <w:pPr>
              <w:ind w:left="500"/>
              <w:spacing w:after="0"/>
              <w:rPr>
                <w:sz w:val="20"/>
                <w:szCs w:val="20"/>
                <w:color w:val="auto"/>
              </w:rPr>
            </w:pPr>
            <w:r>
              <w:rPr>
                <w:rFonts w:ascii="Arial" w:cs="Arial" w:eastAsia="Arial" w:hAnsi="Arial"/>
                <w:sz w:val="18"/>
                <w:szCs w:val="18"/>
                <w:color w:val="auto"/>
              </w:rPr>
              <w:t>Commodities futures and options (4)</w:t>
            </w:r>
          </w:p>
        </w:tc>
        <w:tc>
          <w:tcPr>
            <w:tcW w:w="11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8,630</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21"/>
                <w:szCs w:val="21"/>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8,630</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Liabilities:</w:t>
            </w: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gridSpan w:val="2"/>
          </w:tcPr>
          <w:p>
            <w:pPr>
              <w:ind w:left="500"/>
              <w:spacing w:after="0"/>
              <w:rPr>
                <w:sz w:val="20"/>
                <w:szCs w:val="20"/>
                <w:color w:val="auto"/>
              </w:rPr>
            </w:pPr>
            <w:r>
              <w:rPr>
                <w:rFonts w:ascii="Arial" w:cs="Arial" w:eastAsia="Arial" w:hAnsi="Arial"/>
                <w:sz w:val="18"/>
                <w:szCs w:val="18"/>
                <w:color w:val="auto"/>
              </w:rPr>
              <w:t>Foreign exchange contracts (1)</w:t>
            </w:r>
          </w:p>
        </w:tc>
        <w:tc>
          <w:tcPr>
            <w:tcW w:w="110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266</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Interest rate swap agreements (2)</w:t>
            </w: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7,276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7,276</w:t>
            </w:r>
          </w:p>
        </w:tc>
      </w:tr>
      <w:tr>
        <w:trPr>
          <w:trHeight w:val="243"/>
        </w:trPr>
        <w:tc>
          <w:tcPr>
            <w:tcW w:w="4560" w:type="dxa"/>
            <w:vAlign w:val="bottom"/>
            <w:gridSpan w:val="2"/>
          </w:tcPr>
          <w:p>
            <w:pPr>
              <w:ind w:left="500"/>
              <w:spacing w:after="0"/>
              <w:rPr>
                <w:sz w:val="20"/>
                <w:szCs w:val="20"/>
                <w:color w:val="auto"/>
              </w:rPr>
            </w:pPr>
            <w:r>
              <w:rPr>
                <w:rFonts w:ascii="Arial" w:cs="Arial" w:eastAsia="Arial" w:hAnsi="Arial"/>
                <w:sz w:val="18"/>
                <w:szCs w:val="18"/>
                <w:color w:val="auto"/>
              </w:rPr>
              <w:t>Commodities futures and options (4)</w:t>
            </w:r>
          </w:p>
        </w:tc>
        <w:tc>
          <w:tcPr>
            <w:tcW w:w="11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21"/>
                <w:szCs w:val="21"/>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397</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2017:</w:t>
            </w: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gridSpan w:val="2"/>
          </w:tcPr>
          <w:p>
            <w:pPr>
              <w:ind w:left="280"/>
              <w:spacing w:after="0"/>
              <w:rPr>
                <w:sz w:val="20"/>
                <w:szCs w:val="20"/>
                <w:color w:val="auto"/>
              </w:rPr>
            </w:pPr>
            <w:r>
              <w:rPr>
                <w:rFonts w:ascii="Arial" w:cs="Arial" w:eastAsia="Arial" w:hAnsi="Arial"/>
                <w:sz w:val="18"/>
                <w:szCs w:val="18"/>
                <w:color w:val="auto"/>
              </w:rPr>
              <w:t>Assets:</w:t>
            </w:r>
          </w:p>
        </w:tc>
        <w:tc>
          <w:tcPr>
            <w:tcW w:w="1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Foreign exchange contracts (1)</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w:t>
            </w:r>
          </w:p>
        </w:tc>
      </w:tr>
      <w:tr>
        <w:trPr>
          <w:trHeight w:val="243"/>
        </w:trPr>
        <w:tc>
          <w:tcPr>
            <w:tcW w:w="4560" w:type="dxa"/>
            <w:vAlign w:val="bottom"/>
            <w:gridSpan w:val="2"/>
          </w:tcPr>
          <w:p>
            <w:pPr>
              <w:ind w:left="500"/>
              <w:spacing w:after="0"/>
              <w:rPr>
                <w:sz w:val="20"/>
                <w:szCs w:val="20"/>
                <w:color w:val="auto"/>
              </w:rPr>
            </w:pPr>
            <w:r>
              <w:rPr>
                <w:rFonts w:ascii="Arial" w:cs="Arial" w:eastAsia="Arial" w:hAnsi="Arial"/>
                <w:sz w:val="18"/>
                <w:szCs w:val="18"/>
                <w:color w:val="auto"/>
              </w:rPr>
              <w:t>Deferred compensation derivatives (3)</w:t>
            </w:r>
          </w:p>
        </w:tc>
        <w:tc>
          <w:tcPr>
            <w:tcW w:w="110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1,581</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1,581</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Commodities futures and options (4)</w:t>
            </w: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w:t>
            </w:r>
          </w:p>
        </w:tc>
      </w:tr>
      <w:tr>
        <w:trPr>
          <w:trHeight w:val="243"/>
        </w:trPr>
        <w:tc>
          <w:tcPr>
            <w:tcW w:w="4560" w:type="dxa"/>
            <w:vAlign w:val="bottom"/>
            <w:gridSpan w:val="2"/>
          </w:tcPr>
          <w:p>
            <w:pPr>
              <w:ind w:left="280"/>
              <w:spacing w:after="0"/>
              <w:rPr>
                <w:sz w:val="20"/>
                <w:szCs w:val="20"/>
                <w:color w:val="auto"/>
              </w:rPr>
            </w:pPr>
            <w:r>
              <w:rPr>
                <w:rFonts w:ascii="Arial" w:cs="Arial" w:eastAsia="Arial" w:hAnsi="Arial"/>
                <w:sz w:val="18"/>
                <w:szCs w:val="18"/>
                <w:color w:val="auto"/>
              </w:rPr>
              <w:t>Liabilities:</w:t>
            </w:r>
          </w:p>
        </w:tc>
        <w:tc>
          <w:tcPr>
            <w:tcW w:w="1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Foreign exchange contracts (1)</w:t>
            </w: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1,427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1,427</w:t>
            </w:r>
          </w:p>
        </w:tc>
      </w:tr>
      <w:tr>
        <w:trPr>
          <w:trHeight w:val="243"/>
        </w:trPr>
        <w:tc>
          <w:tcPr>
            <w:tcW w:w="4560" w:type="dxa"/>
            <w:vAlign w:val="bottom"/>
            <w:gridSpan w:val="2"/>
          </w:tcPr>
          <w:p>
            <w:pPr>
              <w:ind w:left="500"/>
              <w:spacing w:after="0"/>
              <w:rPr>
                <w:sz w:val="20"/>
                <w:szCs w:val="20"/>
                <w:color w:val="auto"/>
              </w:rPr>
            </w:pPr>
            <w:r>
              <w:rPr>
                <w:rFonts w:ascii="Arial" w:cs="Arial" w:eastAsia="Arial" w:hAnsi="Arial"/>
                <w:sz w:val="18"/>
                <w:szCs w:val="18"/>
                <w:color w:val="auto"/>
              </w:rPr>
              <w:t>Interest rate swap agreements (2)</w:t>
            </w:r>
          </w:p>
        </w:tc>
        <w:tc>
          <w:tcPr>
            <w:tcW w:w="110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1,897</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1,897</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45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Commodities futures and options (4)</w:t>
            </w:r>
          </w:p>
        </w:tc>
        <w:tc>
          <w:tcPr>
            <w:tcW w:w="110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8"/>
              </w:rPr>
              <w:t>3,054</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spacing w:after="0"/>
              <w:rPr>
                <w:sz w:val="21"/>
                <w:szCs w:val="21"/>
                <w:color w:val="auto"/>
              </w:rPr>
            </w:pPr>
          </w:p>
        </w:tc>
        <w:tc>
          <w:tcPr>
            <w:tcW w:w="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3,054</w:t>
            </w:r>
          </w:p>
        </w:tc>
      </w:tr>
      <w:tr>
        <w:trPr>
          <w:trHeight w:val="27"/>
        </w:trPr>
        <w:tc>
          <w:tcPr>
            <w:tcW w:w="4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left="660" w:right="180" w:hanging="328"/>
        <w:spacing w:after="0" w:line="286"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fair value of foreign currency forward exchange contracts is the difference between the contract and current market foreign currency exchange rates at the end of the period. We estimate the fair value of foreign currency forward exchange contracts on a quarterly basis by obtaining market quotes of spot and forward rates for contracts with similar terms, adjusted where necessary for maturity differences.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right="2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fair value of interest rate swap agreements represents the difference in the present value of cash flows calculated at the contracted interest rates and at current market interest rates at the end of the period. We calculate the fair value of interest rate swap agreements quarterly based on the quoted market price for the same or similar financial instruments.</w:t>
      </w:r>
    </w:p>
    <w:p>
      <w:pPr>
        <w:spacing w:after="0" w:line="10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fair value of deferred compensation derivatives is based on quoted prices for market interest rates and a broad market equity index.</w:t>
      </w:r>
    </w:p>
    <w:p>
      <w:pPr>
        <w:spacing w:after="0" w:line="155"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fair value of commodities futures and options contracts is based on quoted market prices.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Instruments</w:t>
      </w:r>
    </w:p>
    <w:p>
      <w:pPr>
        <w:spacing w:after="0" w:line="14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carrying amounts of cash and cash equivalents, short-term investments, accounts receivable, accounts payable and short-term debt approximated fair values as of July 1, 2018 and December 31, 2017 because of the relatively short maturity of these instruments.</w:t>
      </w:r>
    </w:p>
    <w:p>
      <w:pPr>
        <w:spacing w:after="0" w:line="89"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The estimated fair value of our long-term debt is based on quoted market prices for similar debt issues and is, therefore, classified as Level 2 within the valuation hierarchy. The fair values and carrying values of long-term debt, including the current portion, were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780" w:type="dxa"/>
            <w:vAlign w:val="bottom"/>
            <w:gridSpan w:val="5"/>
          </w:tcPr>
          <w:p>
            <w:pPr>
              <w:ind w:left="1260"/>
              <w:spacing w:after="0"/>
              <w:rPr>
                <w:sz w:val="20"/>
                <w:szCs w:val="20"/>
                <w:color w:val="auto"/>
              </w:rPr>
            </w:pPr>
            <w:r>
              <w:rPr>
                <w:rFonts w:ascii="Arial" w:cs="Arial" w:eastAsia="Arial" w:hAnsi="Arial"/>
                <w:sz w:val="18"/>
                <w:szCs w:val="18"/>
                <w:b w:val="1"/>
                <w:bCs w:val="1"/>
                <w:color w:val="auto"/>
              </w:rPr>
              <w:t>Fair Value</w:t>
            </w:r>
          </w:p>
        </w:tc>
        <w:tc>
          <w:tcPr>
            <w:tcW w:w="380" w:type="dxa"/>
            <w:vAlign w:val="bottom"/>
          </w:tcPr>
          <w:p>
            <w:pPr>
              <w:spacing w:after="0"/>
              <w:rPr>
                <w:sz w:val="20"/>
                <w:szCs w:val="20"/>
                <w:color w:val="auto"/>
              </w:rPr>
            </w:pPr>
          </w:p>
        </w:tc>
        <w:tc>
          <w:tcPr>
            <w:tcW w:w="3680" w:type="dxa"/>
            <w:vAlign w:val="bottom"/>
            <w:gridSpan w:val="4"/>
          </w:tcPr>
          <w:p>
            <w:pPr>
              <w:jc w:val="right"/>
              <w:ind w:right="1332"/>
              <w:spacing w:after="0"/>
              <w:rPr>
                <w:sz w:val="20"/>
                <w:szCs w:val="20"/>
                <w:color w:val="auto"/>
              </w:rPr>
            </w:pPr>
            <w:r>
              <w:rPr>
                <w:rFonts w:ascii="Arial" w:cs="Arial" w:eastAsia="Arial" w:hAnsi="Arial"/>
                <w:sz w:val="18"/>
                <w:szCs w:val="18"/>
                <w:b w:val="1"/>
                <w:bCs w:val="1"/>
                <w:color w:val="auto"/>
              </w:rPr>
              <w:t>Carrying Value</w:t>
            </w:r>
          </w:p>
        </w:tc>
      </w:tr>
      <w:tr>
        <w:trPr>
          <w:trHeight w:val="27"/>
        </w:trPr>
        <w:tc>
          <w:tcPr>
            <w:tcW w:w="3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1"/>
        </w:trPr>
        <w:tc>
          <w:tcPr>
            <w:tcW w:w="3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00" w:type="dxa"/>
            <w:vAlign w:val="bottom"/>
            <w:gridSpan w:val="2"/>
          </w:tcPr>
          <w:p>
            <w:pPr>
              <w:ind w:left="260"/>
              <w:spacing w:after="0"/>
              <w:rPr>
                <w:sz w:val="20"/>
                <w:szCs w:val="20"/>
                <w:color w:val="auto"/>
              </w:rPr>
            </w:pPr>
            <w:r>
              <w:rPr>
                <w:rFonts w:ascii="Arial" w:cs="Arial" w:eastAsia="Arial" w:hAnsi="Arial"/>
                <w:sz w:val="16"/>
                <w:szCs w:val="16"/>
                <w:b w:val="1"/>
                <w:bCs w:val="1"/>
                <w:color w:val="auto"/>
              </w:rPr>
              <w:t>July 1, 2018</w:t>
            </w:r>
          </w:p>
        </w:tc>
        <w:tc>
          <w:tcPr>
            <w:tcW w:w="240" w:type="dxa"/>
            <w:vAlign w:val="bottom"/>
          </w:tcPr>
          <w:p>
            <w:pPr>
              <w:spacing w:after="0"/>
              <w:rPr>
                <w:sz w:val="20"/>
                <w:szCs w:val="20"/>
                <w:color w:val="auto"/>
              </w:rPr>
            </w:pPr>
          </w:p>
        </w:tc>
        <w:tc>
          <w:tcPr>
            <w:tcW w:w="184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 2017</w:t>
            </w:r>
          </w:p>
        </w:tc>
        <w:tc>
          <w:tcPr>
            <w:tcW w:w="380" w:type="dxa"/>
            <w:vAlign w:val="bottom"/>
          </w:tcPr>
          <w:p>
            <w:pPr>
              <w:spacing w:after="0"/>
              <w:rPr>
                <w:sz w:val="20"/>
                <w:szCs w:val="20"/>
                <w:color w:val="auto"/>
              </w:rPr>
            </w:pPr>
          </w:p>
        </w:tc>
        <w:tc>
          <w:tcPr>
            <w:tcW w:w="1700" w:type="dxa"/>
            <w:vAlign w:val="bottom"/>
            <w:gridSpan w:val="2"/>
          </w:tcPr>
          <w:p>
            <w:pPr>
              <w:ind w:left="240"/>
              <w:spacing w:after="0"/>
              <w:rPr>
                <w:sz w:val="20"/>
                <w:szCs w:val="20"/>
                <w:color w:val="auto"/>
              </w:rPr>
            </w:pPr>
            <w:r>
              <w:rPr>
                <w:rFonts w:ascii="Arial" w:cs="Arial" w:eastAsia="Arial" w:hAnsi="Arial"/>
                <w:sz w:val="16"/>
                <w:szCs w:val="16"/>
                <w:b w:val="1"/>
                <w:bCs w:val="1"/>
                <w:color w:val="auto"/>
              </w:rPr>
              <w:t>July 1, 2018</w:t>
            </w:r>
          </w:p>
        </w:tc>
        <w:tc>
          <w:tcPr>
            <w:tcW w:w="240" w:type="dxa"/>
            <w:vAlign w:val="bottom"/>
          </w:tcPr>
          <w:p>
            <w:pPr>
              <w:spacing w:after="0"/>
              <w:rPr>
                <w:sz w:val="20"/>
                <w:szCs w:val="20"/>
                <w:color w:val="auto"/>
              </w:rPr>
            </w:pPr>
          </w:p>
        </w:tc>
        <w:tc>
          <w:tcPr>
            <w:tcW w:w="1740" w:type="dxa"/>
            <w:vAlign w:val="bottom"/>
          </w:tcPr>
          <w:p>
            <w:pPr>
              <w:jc w:val="right"/>
              <w:ind w:right="252"/>
              <w:spacing w:after="0"/>
              <w:rPr>
                <w:sz w:val="20"/>
                <w:szCs w:val="20"/>
                <w:color w:val="auto"/>
              </w:rPr>
            </w:pPr>
            <w:r>
              <w:rPr>
                <w:rFonts w:ascii="Arial" w:cs="Arial" w:eastAsia="Arial" w:hAnsi="Arial"/>
                <w:sz w:val="16"/>
                <w:szCs w:val="16"/>
                <w:b w:val="1"/>
                <w:bCs w:val="1"/>
                <w:color w:val="auto"/>
                <w:w w:val="95"/>
              </w:rPr>
              <w:t>December 31, 2017</w:t>
            </w:r>
          </w:p>
        </w:tc>
      </w:tr>
      <w:tr>
        <w:trPr>
          <w:trHeight w:val="33"/>
        </w:trPr>
        <w:tc>
          <w:tcPr>
            <w:tcW w:w="3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portion of long-term debt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304,087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299,430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304,401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300,098</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8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3,228,667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2,113,296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3,249,689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2,061,023</w:t>
            </w:r>
          </w:p>
        </w:tc>
      </w:tr>
      <w:tr>
        <w:trPr>
          <w:trHeight w:val="27"/>
        </w:trPr>
        <w:tc>
          <w:tcPr>
            <w:tcW w:w="3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57"/>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3,532,754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2,412,726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3,554,090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2,361,121</w:t>
            </w:r>
          </w:p>
        </w:tc>
      </w:tr>
      <w:tr>
        <w:trPr>
          <w:trHeight w:val="20"/>
        </w:trPr>
        <w:tc>
          <w:tcPr>
            <w:tcW w:w="3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Fair Value Measurements</w:t>
      </w:r>
    </w:p>
    <w:p>
      <w:pPr>
        <w:spacing w:after="0" w:line="148"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In addition to assets and liabilities that are recorded at fair value on a recurring basis, GAAP requires that, under certain circumstances, we also record assets and liabilities at fair value on a nonrecurring basis.</w:t>
      </w:r>
    </w:p>
    <w:p>
      <w:pPr>
        <w:spacing w:after="0" w:line="8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connection with the Amplify acquisition, during the first quarter of 2018, as discussed in Note 2, we used various valuation techniques to determine fair value, with the primary techniques being discounted cash flow analysis, relief-from-royalty, and a form of the multi-period excess earnings valuation approaches, which use significant unobservable inputs, or Level 3 inputs, as defined by the fair value hierarchy. In connection with disposal groups classified as held for sale, as discussed in Note 7, during the second quarter of 2018, we recorded impairment charges totaling $27,168 to adjust the long-lived asset values within the Shanghai Golden Monkey and Tyrrells disposal groups. These charges represent the excess of the disposal groups' carrying values, including the related currency translation adjustment amounts to be realized upon completion of the sales, over the estimated fair values less costs to sell for the respective businesses. The fair values of the disposal groups were supported by the sales prices agreed with the third-party buyers.</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color w:val="auto"/>
        </w:rPr>
        <w:t>During the first quarter of 2017, as discussed in Note 8, we recorded impairment charges totaling $105,992 to write down distributor relationship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trademark intangible assets that had been recognized in connection with the 2014 SGM acquisition and wrote down property, plant and equipment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$102,720. These charges were determined by comparing the fair value of the assets to their carrying value. The fair value of the assets were derived using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combination of an estimated market liquidation approach and discounted cash flow analyses based on Level 3 inputs.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ASSETS AND LIABILITIES HELD FOR SALE</w:t>
      </w:r>
    </w:p>
    <w:p>
      <w:pPr>
        <w:spacing w:after="0" w:line="17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As of July 1, 2018, the following four disposal groups have been classified as held for sale, in each case stated at the lower of net book value or estimated sales value less costs to sell:</w:t>
      </w:r>
    </w:p>
    <w:p>
      <w:pPr>
        <w:spacing w:after="0" w:line="116" w:lineRule="exact"/>
        <w:rPr>
          <w:sz w:val="20"/>
          <w:szCs w:val="20"/>
          <w:color w:val="auto"/>
        </w:rPr>
      </w:pPr>
    </w:p>
    <w:p>
      <w:pPr>
        <w:ind w:left="660" w:right="30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Select China facilities that were taken out of operation and classified as assets held for sale during the first quarter of 2017 in connection with the 2016 Operational Optimization Program. We sold a minor portion of</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assets in the second quarter of 2018 and expect the remaining facilities to be sold in the third quarter of 2018.</w:t>
      </w:r>
    </w:p>
    <w:p>
      <w:pPr>
        <w:spacing w:after="0" w:line="185" w:lineRule="exact"/>
        <w:rPr>
          <w:sz w:val="20"/>
          <w:szCs w:val="20"/>
          <w:color w:val="auto"/>
        </w:rPr>
      </w:pPr>
    </w:p>
    <w:p>
      <w:pPr>
        <w:ind w:left="660" w:right="8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Tyrrells business, which was acquired in connection with the January 2018 acquisition of Amplify. We began efforts to sell this business shortly after closing on the Amplify acquisition and the sale was completed on July 5, 2018.</w:t>
      </w:r>
    </w:p>
    <w:p>
      <w:pPr>
        <w:spacing w:after="0" w:line="116"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Shanghai Golden Monkey ("SGM") business, that met the held for sale criteria in the second quarter 2018 based on our efforts to market this business for sale. The sale of the SGM business was completed on July 24, 2018.</w:t>
      </w:r>
    </w:p>
    <w:p>
      <w:pPr>
        <w:spacing w:after="0" w:line="116"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long-lived assets of Lotte Shanghai Foods Co., Ltd. that were taken out of operation and classified as held for sale during the second quarter of 2018. This venture is currently in the process of being liquidated by the venture partners.</w:t>
      </w:r>
    </w:p>
    <w:p>
      <w:pPr>
        <w:spacing w:after="0" w:line="1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 April 2018, we sold the licensing rights for a non-core trademark relating to a brand marketed outside of the U.S. for sale proceeds of approximately $13,000, realizing a gain on the sale of $2,658.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amounts classified as assets and liabilities held for sale at July 1, 2018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4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 held for sale, included in prepaid expenses and other assets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tcPr>
          <w:p>
            <w:pPr>
              <w:ind w:left="180"/>
              <w:spacing w:after="0"/>
              <w:rPr>
                <w:sz w:val="20"/>
                <w:szCs w:val="20"/>
                <w:color w:val="auto"/>
              </w:rPr>
            </w:pPr>
            <w:r>
              <w:rPr>
                <w:rFonts w:ascii="Arial" w:cs="Arial" w:eastAsia="Arial" w:hAnsi="Arial"/>
                <w:sz w:val="18"/>
                <w:szCs w:val="18"/>
                <w:color w:val="auto"/>
              </w:rPr>
              <w:t>Cash</w:t>
            </w:r>
          </w:p>
        </w:tc>
        <w:tc>
          <w:tcPr>
            <w:tcW w:w="800" w:type="dxa"/>
            <w:vAlign w:val="bottom"/>
          </w:tcPr>
          <w:p>
            <w:pPr>
              <w:jc w:val="right"/>
              <w:ind w:right="5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3,458</w:t>
            </w:r>
          </w:p>
        </w:tc>
      </w:tr>
      <w:tr>
        <w:trPr>
          <w:trHeight w:val="27"/>
        </w:trPr>
        <w:tc>
          <w:tcPr>
            <w:tcW w:w="9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Accounts receivable</w:t>
            </w:r>
          </w:p>
        </w:tc>
        <w:tc>
          <w:tcPr>
            <w:tcW w:w="8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26,298</w:t>
            </w:r>
          </w:p>
        </w:tc>
      </w:tr>
      <w:tr>
        <w:trPr>
          <w:trHeight w:val="243"/>
        </w:trPr>
        <w:tc>
          <w:tcPr>
            <w:tcW w:w="926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8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10,301</w:t>
            </w:r>
          </w:p>
        </w:tc>
      </w:tr>
      <w:tr>
        <w:trPr>
          <w:trHeight w:val="27"/>
        </w:trPr>
        <w:tc>
          <w:tcPr>
            <w:tcW w:w="9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Prepaid expenses and other</w:t>
            </w:r>
          </w:p>
        </w:tc>
        <w:tc>
          <w:tcPr>
            <w:tcW w:w="8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7,603</w:t>
            </w:r>
          </w:p>
        </w:tc>
      </w:tr>
      <w:tr>
        <w:trPr>
          <w:trHeight w:val="243"/>
        </w:trPr>
        <w:tc>
          <w:tcPr>
            <w:tcW w:w="9260" w:type="dxa"/>
            <w:vAlign w:val="bottom"/>
          </w:tcPr>
          <w:p>
            <w:pPr>
              <w:ind w:left="180"/>
              <w:spacing w:after="0"/>
              <w:rPr>
                <w:sz w:val="20"/>
                <w:szCs w:val="20"/>
                <w:color w:val="auto"/>
              </w:rPr>
            </w:pPr>
            <w:r>
              <w:rPr>
                <w:rFonts w:ascii="Arial" w:cs="Arial" w:eastAsia="Arial" w:hAnsi="Arial"/>
                <w:sz w:val="18"/>
                <w:szCs w:val="18"/>
                <w:color w:val="auto"/>
              </w:rPr>
              <w:t>Long-lived assets</w:t>
            </w:r>
          </w:p>
        </w:tc>
        <w:tc>
          <w:tcPr>
            <w:tcW w:w="8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167,994</w:t>
            </w:r>
          </w:p>
        </w:tc>
      </w:tr>
      <w:tr>
        <w:trPr>
          <w:trHeight w:val="27"/>
        </w:trPr>
        <w:tc>
          <w:tcPr>
            <w:tcW w:w="9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Non-current assets</w:t>
            </w:r>
          </w:p>
        </w:tc>
        <w:tc>
          <w:tcPr>
            <w:tcW w:w="8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31,472</w:t>
            </w:r>
          </w:p>
        </w:tc>
      </w:tr>
      <w:tr>
        <w:trPr>
          <w:trHeight w:val="237"/>
        </w:trPr>
        <w:tc>
          <w:tcPr>
            <w:tcW w:w="9260" w:type="dxa"/>
            <w:vAlign w:val="bottom"/>
          </w:tcPr>
          <w:p>
            <w:pPr>
              <w:spacing w:after="0"/>
              <w:rPr>
                <w:sz w:val="20"/>
                <w:szCs w:val="20"/>
                <w:color w:val="auto"/>
              </w:rPr>
            </w:pPr>
          </w:p>
        </w:tc>
        <w:tc>
          <w:tcPr>
            <w:tcW w:w="80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247,126</w:t>
            </w:r>
          </w:p>
        </w:tc>
      </w:tr>
      <w:tr>
        <w:trPr>
          <w:trHeight w:val="67"/>
        </w:trPr>
        <w:tc>
          <w:tcPr>
            <w:tcW w:w="9260" w:type="dxa"/>
            <w:vAlign w:val="bottom"/>
            <w:tcBorders>
              <w:bottom w:val="single" w:sz="8" w:color="CCEEFF"/>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r>
      <w:tr>
        <w:trPr>
          <w:trHeight w:val="305"/>
        </w:trPr>
        <w:tc>
          <w:tcPr>
            <w:tcW w:w="92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b w:val="1"/>
                <w:bCs w:val="1"/>
                <w:color w:val="auto"/>
              </w:rPr>
              <w:t>Liabilities held for sale, included in accrued liabilities</w:t>
            </w:r>
          </w:p>
        </w:tc>
        <w:tc>
          <w:tcPr>
            <w:tcW w:w="8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9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Accounts payable and accrued liabilities</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35,081</w:t>
            </w:r>
          </w:p>
        </w:tc>
      </w:tr>
      <w:tr>
        <w:trPr>
          <w:trHeight w:val="243"/>
        </w:trPr>
        <w:tc>
          <w:tcPr>
            <w:tcW w:w="9260" w:type="dxa"/>
            <w:vAlign w:val="bottom"/>
          </w:tcPr>
          <w:p>
            <w:pPr>
              <w:ind w:left="180"/>
              <w:spacing w:after="0"/>
              <w:rPr>
                <w:sz w:val="20"/>
                <w:szCs w:val="20"/>
                <w:color w:val="auto"/>
              </w:rPr>
            </w:pPr>
            <w:r>
              <w:rPr>
                <w:rFonts w:ascii="Arial" w:cs="Arial" w:eastAsia="Arial" w:hAnsi="Arial"/>
                <w:sz w:val="18"/>
                <w:szCs w:val="18"/>
                <w:color w:val="auto"/>
              </w:rPr>
              <w:t>Other long-term liabilities</w:t>
            </w:r>
          </w:p>
        </w:tc>
        <w:tc>
          <w:tcPr>
            <w:tcW w:w="8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2,940</w:t>
            </w:r>
          </w:p>
        </w:tc>
      </w:tr>
      <w:tr>
        <w:trPr>
          <w:trHeight w:val="27"/>
        </w:trPr>
        <w:tc>
          <w:tcPr>
            <w:tcW w:w="92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92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38,021</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BUSINESS REALIGNMENT ACTIVITIES</w:t>
      </w:r>
    </w:p>
    <w:p>
      <w:pPr>
        <w:spacing w:after="0" w:line="175"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We are currently executing upon several business realignment initiatives designed to increase our efficiency and focus our business in support of our key growth strategies. Costs recorded during the three and six months ended July 1, 2018 and July 2, 2017 related to these activities are as follows:</w:t>
      </w: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60" w:type="dxa"/>
            <w:vAlign w:val="bottom"/>
            <w:gridSpan w:val="5"/>
          </w:tcPr>
          <w:p>
            <w:pPr>
              <w:ind w:left="76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3220" w:type="dxa"/>
            <w:vAlign w:val="bottom"/>
            <w:gridSpan w:val="4"/>
          </w:tcPr>
          <w:p>
            <w:pPr>
              <w:jc w:val="right"/>
              <w:ind w:right="1011"/>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4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1"/>
        </w:trPr>
        <w:tc>
          <w:tcPr>
            <w:tcW w:w="4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gridSpan w:val="2"/>
          </w:tcPr>
          <w:p>
            <w:pPr>
              <w:ind w:left="160"/>
              <w:spacing w:after="0"/>
              <w:rPr>
                <w:sz w:val="20"/>
                <w:szCs w:val="20"/>
                <w:color w:val="auto"/>
              </w:rPr>
            </w:pPr>
            <w:r>
              <w:rPr>
                <w:rFonts w:ascii="Arial" w:cs="Arial" w:eastAsia="Arial" w:hAnsi="Arial"/>
                <w:sz w:val="16"/>
                <w:szCs w:val="16"/>
                <w:b w:val="1"/>
                <w:bCs w:val="1"/>
                <w:color w:val="auto"/>
              </w:rPr>
              <w:t>July 1, 2018</w:t>
            </w:r>
          </w:p>
        </w:tc>
        <w:tc>
          <w:tcPr>
            <w:tcW w:w="280" w:type="dxa"/>
            <w:vAlign w:val="bottom"/>
          </w:tcPr>
          <w:p>
            <w:pPr>
              <w:spacing w:after="0"/>
              <w:rPr>
                <w:sz w:val="20"/>
                <w:szCs w:val="20"/>
                <w:color w:val="auto"/>
              </w:rPr>
            </w:pPr>
          </w:p>
        </w:tc>
        <w:tc>
          <w:tcPr>
            <w:tcW w:w="1540" w:type="dxa"/>
            <w:vAlign w:val="bottom"/>
            <w:gridSpan w:val="2"/>
          </w:tcPr>
          <w:p>
            <w:pPr>
              <w:ind w:left="160"/>
              <w:spacing w:after="0"/>
              <w:rPr>
                <w:sz w:val="20"/>
                <w:szCs w:val="20"/>
                <w:color w:val="auto"/>
              </w:rPr>
            </w:pPr>
            <w:r>
              <w:rPr>
                <w:rFonts w:ascii="Arial" w:cs="Arial" w:eastAsia="Arial" w:hAnsi="Arial"/>
                <w:sz w:val="16"/>
                <w:szCs w:val="16"/>
                <w:b w:val="1"/>
                <w:bCs w:val="1"/>
                <w:color w:val="auto"/>
              </w:rPr>
              <w:t>July 2, 2017</w:t>
            </w:r>
          </w:p>
        </w:tc>
        <w:tc>
          <w:tcPr>
            <w:tcW w:w="280" w:type="dxa"/>
            <w:vAlign w:val="bottom"/>
          </w:tcPr>
          <w:p>
            <w:pPr>
              <w:spacing w:after="0"/>
              <w:rPr>
                <w:sz w:val="20"/>
                <w:szCs w:val="20"/>
                <w:color w:val="auto"/>
              </w:rPr>
            </w:pPr>
          </w:p>
        </w:tc>
        <w:tc>
          <w:tcPr>
            <w:tcW w:w="1520" w:type="dxa"/>
            <w:vAlign w:val="bottom"/>
            <w:gridSpan w:val="2"/>
          </w:tcPr>
          <w:p>
            <w:pPr>
              <w:ind w:left="160"/>
              <w:spacing w:after="0"/>
              <w:rPr>
                <w:sz w:val="20"/>
                <w:szCs w:val="20"/>
                <w:color w:val="auto"/>
              </w:rPr>
            </w:pPr>
            <w:r>
              <w:rPr>
                <w:rFonts w:ascii="Arial" w:cs="Arial" w:eastAsia="Arial" w:hAnsi="Arial"/>
                <w:sz w:val="16"/>
                <w:szCs w:val="16"/>
                <w:b w:val="1"/>
                <w:bCs w:val="1"/>
                <w:color w:val="auto"/>
              </w:rPr>
              <w:t>July 1, 2018</w:t>
            </w:r>
          </w:p>
        </w:tc>
        <w:tc>
          <w:tcPr>
            <w:tcW w:w="280" w:type="dxa"/>
            <w:vAlign w:val="bottom"/>
          </w:tcPr>
          <w:p>
            <w:pPr>
              <w:spacing w:after="0"/>
              <w:rPr>
                <w:sz w:val="20"/>
                <w:szCs w:val="20"/>
                <w:color w:val="auto"/>
              </w:rPr>
            </w:pPr>
          </w:p>
        </w:tc>
        <w:tc>
          <w:tcPr>
            <w:tcW w:w="1420" w:type="dxa"/>
            <w:vAlign w:val="bottom"/>
          </w:tcPr>
          <w:p>
            <w:pPr>
              <w:jc w:val="right"/>
              <w:ind w:right="351"/>
              <w:spacing w:after="0"/>
              <w:rPr>
                <w:sz w:val="20"/>
                <w:szCs w:val="20"/>
                <w:color w:val="auto"/>
              </w:rPr>
            </w:pPr>
            <w:r>
              <w:rPr>
                <w:rFonts w:ascii="Arial" w:cs="Arial" w:eastAsia="Arial" w:hAnsi="Arial"/>
                <w:sz w:val="16"/>
                <w:szCs w:val="16"/>
                <w:b w:val="1"/>
                <w:bCs w:val="1"/>
                <w:color w:val="auto"/>
              </w:rPr>
              <w:t>July 2, 2017</w:t>
            </w:r>
          </w:p>
        </w:tc>
      </w:tr>
      <w:tr>
        <w:trPr>
          <w:trHeight w:val="33"/>
        </w:trPr>
        <w:tc>
          <w:tcPr>
            <w:tcW w:w="4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Margin for Growth Program:</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280"/>
              <w:spacing w:after="0"/>
              <w:rPr>
                <w:sz w:val="20"/>
                <w:szCs w:val="20"/>
                <w:color w:val="auto"/>
              </w:rPr>
            </w:pPr>
            <w:r>
              <w:rPr>
                <w:rFonts w:ascii="Arial" w:cs="Arial" w:eastAsia="Arial" w:hAnsi="Arial"/>
                <w:sz w:val="18"/>
                <w:szCs w:val="18"/>
                <w:color w:val="auto"/>
              </w:rPr>
              <w:t>Severance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3,014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888</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7,062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30,455</w:t>
            </w:r>
          </w:p>
        </w:tc>
      </w:tr>
      <w:tr>
        <w:trPr>
          <w:trHeight w:val="27"/>
        </w:trPr>
        <w:tc>
          <w:tcPr>
            <w:tcW w:w="4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Accelerated depreciation</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6,873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6,873</w:t>
            </w:r>
          </w:p>
        </w:tc>
      </w:tr>
      <w:tr>
        <w:trPr>
          <w:trHeight w:val="243"/>
        </w:trPr>
        <w:tc>
          <w:tcPr>
            <w:tcW w:w="4220" w:type="dxa"/>
            <w:vAlign w:val="bottom"/>
          </w:tcPr>
          <w:p>
            <w:pPr>
              <w:ind w:left="280"/>
              <w:spacing w:after="0"/>
              <w:rPr>
                <w:sz w:val="20"/>
                <w:szCs w:val="20"/>
                <w:color w:val="auto"/>
              </w:rPr>
            </w:pPr>
            <w:r>
              <w:rPr>
                <w:rFonts w:ascii="Arial" w:cs="Arial" w:eastAsia="Arial" w:hAnsi="Arial"/>
                <w:sz w:val="18"/>
                <w:szCs w:val="18"/>
                <w:color w:val="auto"/>
              </w:rPr>
              <w:t>Other program costs</w:t>
            </w:r>
          </w:p>
        </w:tc>
        <w:tc>
          <w:tcPr>
            <w:tcW w:w="30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5,117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6,381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15,205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11,203</w:t>
            </w:r>
          </w:p>
        </w:tc>
      </w:tr>
      <w:tr>
        <w:trPr>
          <w:trHeight w:val="27"/>
        </w:trPr>
        <w:tc>
          <w:tcPr>
            <w:tcW w:w="4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Operational Optimization Program:</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280"/>
              <w:spacing w:after="0"/>
              <w:rPr>
                <w:sz w:val="20"/>
                <w:szCs w:val="20"/>
                <w:color w:val="auto"/>
              </w:rPr>
            </w:pPr>
            <w:r>
              <w:rPr>
                <w:rFonts w:ascii="Arial" w:cs="Arial" w:eastAsia="Arial" w:hAnsi="Arial"/>
                <w:sz w:val="18"/>
                <w:szCs w:val="18"/>
                <w:color w:val="auto"/>
              </w:rPr>
              <w:t>Severance</w:t>
            </w:r>
          </w:p>
        </w:tc>
        <w:tc>
          <w:tcPr>
            <w:tcW w:w="30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13,828</w:t>
            </w:r>
          </w:p>
        </w:tc>
      </w:tr>
      <w:tr>
        <w:trPr>
          <w:trHeight w:val="27"/>
        </w:trPr>
        <w:tc>
          <w:tcPr>
            <w:tcW w:w="4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program costs</w:t>
            </w:r>
          </w:p>
        </w:tc>
        <w:tc>
          <w:tcPr>
            <w:tcW w:w="3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1,736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(917)</w:t>
            </w:r>
          </w:p>
        </w:tc>
      </w:tr>
      <w:tr>
        <w:trPr>
          <w:trHeight w:val="257"/>
        </w:trPr>
        <w:tc>
          <w:tcPr>
            <w:tcW w:w="4220" w:type="dxa"/>
            <w:vAlign w:val="bottom"/>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15,296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14,454</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31,247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61,442</w:t>
            </w:r>
          </w:p>
        </w:tc>
      </w:tr>
      <w:tr>
        <w:trPr>
          <w:trHeight w:val="20"/>
        </w:trPr>
        <w:tc>
          <w:tcPr>
            <w:tcW w:w="4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662"/>
        </w:trPr>
        <w:tc>
          <w:tcPr>
            <w:tcW w:w="4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jc w:val="right"/>
              <w:ind w:right="9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Margin for Growth Program</w:t>
      </w:r>
    </w:p>
    <w:p>
      <w:pPr>
        <w:spacing w:after="0" w:line="9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the first quarter 2017, the Company's Board of Directors unanimously approved several initiatives under a single program designed to drive continued net sales, operating income and earnings per-share diluted growth over the next several years. This program is focused on improving global efficiency and effectiveness, optimizing the Company’s supply chain, streamlining the Company’s operating model and reducing administrative expenses to generate long-term savings.</w:t>
      </w:r>
    </w:p>
    <w:p>
      <w:pPr>
        <w:spacing w:after="0" w:line="133"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Company estimates that the “Margin for Growth” program will result in total pre-tax charges of $375,000 to $425,000 from 2017 to 2019. This estimate includes plant and office closure expenses of $100,000 to $115,000, net intangible asset impairment charges of $100,000 to $110,000, employee separation costs of $80,000 to $100,000, contract termination costs of approximately $25,000, and other business realignment costs of $70,000 to $75,000. The cash portion of the total charge is estimated to be $150,000 to $175,000. The Company expects that implementation of the program will reduce its global workforce by approximately 15%, with a majority of the reductions coming from hourly headcount positions outside of the United States.</w:t>
      </w:r>
    </w:p>
    <w:p>
      <w:pPr>
        <w:spacing w:after="0" w:line="104"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For the three and six months ended July 1, 2018, we recognized total costs associated with the Margin for Growth Program of $14,658 and $29,511, respectively. These charges include employee severance and relate largely to our initiative to improve the cost structure of our China business, as well as our initiative to further streamline our corporate operating model. We also recognized non-cash, asset-related incremental depreciation expense as part of optimizing the global supply chain. In addition, we incurred other program costs, which relate primarily to third-party charges in support of our initiative to improve global efficiency and effectiveness. For the three and six months ended July 2, 2017, we recognized total costs associated with the Margin for Growth Program of $14,142 and $48,531, respectively. The 2017 charges are consistent in nature to our 2018 activity.</w:t>
      </w:r>
    </w:p>
    <w:p>
      <w:pPr>
        <w:spacing w:after="0" w:line="12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program included an initiative to optimize the manufacturing operations supporting our China business. When the program was approved in 2017, we deemed this to be a triggering event requiring us to test our China long-lived asset group for impairment by first determining whether the carrying value of the asset group was recovered by our current estimates of future cash flows associated with the asset group. Because this assessment indicated that the carrying value was not recoverable, we calculated an impairment loss as the excess of the asset group's carrying value over its fair value. The resulting impairment loss was allocated to the asset group's long-lived assets. Therefore, as a result of this testing, during the first quarter of 2017, we recorded impairment charges totaling $208,712, with $105,992 representing the portion of the impairment loss that was allocated to the distributor relationship and trademark intangible assets that had been recognized in connection with the 2014 SGM acquisition and $102,720 representing the portion of the impairment loss that was allocated to property, plant and equipment. These impairment charges are recorded in the long-lived asset impairment charges caption within the Consolidated Statements of Operations.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2016 Operational Optimization Program</w:t>
      </w:r>
    </w:p>
    <w:p>
      <w:pPr>
        <w:spacing w:after="0" w:line="9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In the second quarter of 2016, we commenced a program (the “Operational Optimization Program”) to optimize our production and supply chain network, which includes select facility consolidations. The program encompassed the transition of our China chocolate and SGM operations into a united </w:t>
      </w:r>
      <w:r>
        <w:rPr>
          <w:rFonts w:ascii="Arial" w:cs="Arial" w:eastAsia="Arial" w:hAnsi="Arial"/>
          <w:sz w:val="18"/>
          <w:szCs w:val="18"/>
          <w:i w:val="1"/>
          <w:iCs w:val="1"/>
          <w:color w:val="auto"/>
        </w:rPr>
        <w:t>Golden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Hershey </w:t>
      </w:r>
      <w:r>
        <w:rPr>
          <w:rFonts w:ascii="Arial" w:cs="Arial" w:eastAsia="Arial" w:hAnsi="Arial"/>
          <w:sz w:val="18"/>
          <w:szCs w:val="18"/>
          <w:color w:val="auto"/>
        </w:rPr>
        <w:t>platform, including the integration of the China sales force, as well as workforce planning efforts and the consolidation of production within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facilities in China and North America.</w:t>
      </w:r>
    </w:p>
    <w:p>
      <w:pPr>
        <w:spacing w:after="0" w:line="13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For the three and six months ended July 1, 2018, we incurred pre-tax costs totaling $638 and $1,736, respectively, relating primarily to third-party charges in support of our initiative to optimize our production and supply chain network. For the three and six months ended July 2, 2017, we incurred pre-tax costs totaling $312 and $12,911, respectively, primarily related to employee severance associated with the workforce planning efforts within North America. We currently expect to incur additional cash costs of approximately $7,000 over the next six months to complete the remaining facility consolidation efforts relating to this program.</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Costs associated with business realignment activities are classified in our Consolidated Statements of Income for the three and six months ended July 1, 2018 and July 2, 2017 as follows:</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80" w:type="dxa"/>
            <w:vAlign w:val="bottom"/>
            <w:gridSpan w:val="5"/>
          </w:tcPr>
          <w:p>
            <w:pPr>
              <w:ind w:left="60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8"/>
                <w:szCs w:val="18"/>
                <w:color w:val="auto"/>
              </w:rPr>
            </w:pPr>
          </w:p>
        </w:tc>
        <w:tc>
          <w:tcPr>
            <w:tcW w:w="2820" w:type="dxa"/>
            <w:vAlign w:val="bottom"/>
            <w:gridSpan w:val="4"/>
          </w:tcPr>
          <w:p>
            <w:pPr>
              <w:jc w:val="right"/>
              <w:ind w:right="772"/>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5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1"/>
        </w:trPr>
        <w:tc>
          <w:tcPr>
            <w:tcW w:w="5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ind w:left="120"/>
              <w:spacing w:after="0"/>
              <w:rPr>
                <w:sz w:val="20"/>
                <w:szCs w:val="20"/>
                <w:color w:val="auto"/>
              </w:rPr>
            </w:pPr>
            <w:r>
              <w:rPr>
                <w:rFonts w:ascii="Arial" w:cs="Arial" w:eastAsia="Arial" w:hAnsi="Arial"/>
                <w:sz w:val="16"/>
                <w:szCs w:val="16"/>
                <w:b w:val="1"/>
                <w:bCs w:val="1"/>
                <w:color w:val="auto"/>
              </w:rPr>
              <w:t>July 1, 2018</w:t>
            </w:r>
          </w:p>
        </w:tc>
        <w:tc>
          <w:tcPr>
            <w:tcW w:w="220" w:type="dxa"/>
            <w:vAlign w:val="bottom"/>
          </w:tcPr>
          <w:p>
            <w:pPr>
              <w:spacing w:after="0"/>
              <w:rPr>
                <w:sz w:val="20"/>
                <w:szCs w:val="20"/>
                <w:color w:val="auto"/>
              </w:rPr>
            </w:pPr>
          </w:p>
        </w:tc>
        <w:tc>
          <w:tcPr>
            <w:tcW w:w="1360" w:type="dxa"/>
            <w:vAlign w:val="bottom"/>
            <w:gridSpan w:val="2"/>
          </w:tcPr>
          <w:p>
            <w:pPr>
              <w:ind w:left="100"/>
              <w:spacing w:after="0"/>
              <w:rPr>
                <w:sz w:val="20"/>
                <w:szCs w:val="20"/>
                <w:color w:val="auto"/>
              </w:rPr>
            </w:pPr>
            <w:r>
              <w:rPr>
                <w:rFonts w:ascii="Arial" w:cs="Arial" w:eastAsia="Arial" w:hAnsi="Arial"/>
                <w:sz w:val="16"/>
                <w:szCs w:val="16"/>
                <w:b w:val="1"/>
                <w:bCs w:val="1"/>
                <w:color w:val="auto"/>
              </w:rPr>
              <w:t>July 2, 2017</w:t>
            </w:r>
          </w:p>
        </w:tc>
        <w:tc>
          <w:tcPr>
            <w:tcW w:w="220" w:type="dxa"/>
            <w:vAlign w:val="bottom"/>
          </w:tcPr>
          <w:p>
            <w:pPr>
              <w:spacing w:after="0"/>
              <w:rPr>
                <w:sz w:val="20"/>
                <w:szCs w:val="20"/>
                <w:color w:val="auto"/>
              </w:rPr>
            </w:pPr>
          </w:p>
        </w:tc>
        <w:tc>
          <w:tcPr>
            <w:tcW w:w="1360" w:type="dxa"/>
            <w:vAlign w:val="bottom"/>
            <w:gridSpan w:val="2"/>
          </w:tcPr>
          <w:p>
            <w:pPr>
              <w:ind w:left="100"/>
              <w:spacing w:after="0"/>
              <w:rPr>
                <w:sz w:val="20"/>
                <w:szCs w:val="20"/>
                <w:color w:val="auto"/>
              </w:rPr>
            </w:pPr>
            <w:r>
              <w:rPr>
                <w:rFonts w:ascii="Arial" w:cs="Arial" w:eastAsia="Arial" w:hAnsi="Arial"/>
                <w:sz w:val="16"/>
                <w:szCs w:val="16"/>
                <w:b w:val="1"/>
                <w:bCs w:val="1"/>
                <w:color w:val="auto"/>
              </w:rPr>
              <w:t>July 1, 2018</w:t>
            </w:r>
          </w:p>
        </w:tc>
        <w:tc>
          <w:tcPr>
            <w:tcW w:w="220" w:type="dxa"/>
            <w:vAlign w:val="bottom"/>
          </w:tcPr>
          <w:p>
            <w:pPr>
              <w:spacing w:after="0"/>
              <w:rPr>
                <w:sz w:val="20"/>
                <w:szCs w:val="20"/>
                <w:color w:val="auto"/>
              </w:rPr>
            </w:pPr>
          </w:p>
        </w:tc>
        <w:tc>
          <w:tcPr>
            <w:tcW w:w="1240" w:type="dxa"/>
            <w:vAlign w:val="bottom"/>
          </w:tcPr>
          <w:p>
            <w:pPr>
              <w:jc w:val="right"/>
              <w:ind w:right="232"/>
              <w:spacing w:after="0"/>
              <w:rPr>
                <w:sz w:val="20"/>
                <w:szCs w:val="20"/>
                <w:color w:val="auto"/>
              </w:rPr>
            </w:pPr>
            <w:r>
              <w:rPr>
                <w:rFonts w:ascii="Arial" w:cs="Arial" w:eastAsia="Arial" w:hAnsi="Arial"/>
                <w:sz w:val="16"/>
                <w:szCs w:val="16"/>
                <w:b w:val="1"/>
                <w:bCs w:val="1"/>
                <w:color w:val="auto"/>
              </w:rPr>
              <w:t>July 2, 2017</w:t>
            </w:r>
          </w:p>
        </w:tc>
      </w:tr>
      <w:tr>
        <w:trPr>
          <w:trHeight w:val="33"/>
        </w:trPr>
        <w:tc>
          <w:tcPr>
            <w:tcW w:w="5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6,262</w:t>
            </w: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Selling, marketing and administrative expense</w:t>
            </w:r>
          </w:p>
        </w:tc>
        <w:tc>
          <w:tcPr>
            <w:tcW w:w="2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6,994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6,701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12,507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9,182</w:t>
            </w: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Business realignment costs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980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9,204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45,998</w:t>
            </w:r>
          </w:p>
        </w:tc>
      </w:tr>
      <w:tr>
        <w:trPr>
          <w:trHeight w:val="257"/>
        </w:trPr>
        <w:tc>
          <w:tcPr>
            <w:tcW w:w="5140" w:type="dxa"/>
            <w:vAlign w:val="bottom"/>
          </w:tcPr>
          <w:p>
            <w:pPr>
              <w:ind w:left="20"/>
              <w:spacing w:after="0"/>
              <w:rPr>
                <w:sz w:val="20"/>
                <w:szCs w:val="20"/>
                <w:color w:val="auto"/>
              </w:rPr>
            </w:pPr>
            <w:r>
              <w:rPr>
                <w:rFonts w:ascii="Arial" w:cs="Arial" w:eastAsia="Arial" w:hAnsi="Arial"/>
                <w:sz w:val="18"/>
                <w:szCs w:val="18"/>
                <w:color w:val="auto"/>
              </w:rPr>
              <w:t>Costs associated with business realignment activities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15,296</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14,454</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31,247</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61,442</w:t>
            </w:r>
          </w:p>
        </w:tc>
      </w:tr>
      <w:tr>
        <w:trPr>
          <w:trHeight w:val="20"/>
        </w:trPr>
        <w:tc>
          <w:tcPr>
            <w:tcW w:w="5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a cumulative program to date basis, the costs and related benefits of the Margin for Growth Program are approximately 60% to the North America segment and 40% to the International and Other segment. In addition, the costs and related benefits of the Operational Optimization Program relate approximately 35% to the North America segment and 65% to the International and Other segment. However, segment operating results do not include these business realignment expenses because we evaluate segment performance excluding such costs.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liability activity for costs qualifying as exit and disposal costs for the six months ended July 1, 2018:</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ind w:right="611"/>
              <w:spacing w:after="0"/>
              <w:rPr>
                <w:sz w:val="20"/>
                <w:szCs w:val="20"/>
                <w:color w:val="auto"/>
              </w:rPr>
            </w:pPr>
            <w:r>
              <w:rPr>
                <w:rFonts w:ascii="Arial" w:cs="Arial" w:eastAsia="Arial" w:hAnsi="Arial"/>
                <w:sz w:val="16"/>
                <w:szCs w:val="16"/>
                <w:b w:val="1"/>
                <w:bCs w:val="1"/>
                <w:color w:val="auto"/>
              </w:rPr>
              <w:t>Total</w:t>
            </w:r>
          </w:p>
        </w:tc>
      </w:tr>
      <w:tr>
        <w:trPr>
          <w:trHeight w:val="33"/>
        </w:trPr>
        <w:tc>
          <w:tcPr>
            <w:tcW w:w="96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 balance at December 31, 2017</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38,992</w:t>
            </w: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2018 business realignment charges (1)</w:t>
            </w:r>
          </w:p>
        </w:tc>
        <w:tc>
          <w:tcPr>
            <w:tcW w:w="400" w:type="dxa"/>
            <w:vAlign w:val="bottom"/>
          </w:tcPr>
          <w:p>
            <w:pPr>
              <w:spacing w:after="0"/>
              <w:rPr>
                <w:sz w:val="21"/>
                <w:szCs w:val="21"/>
                <w:color w:val="auto"/>
              </w:rPr>
            </w:pP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14,265</w:t>
            </w:r>
          </w:p>
        </w:tc>
      </w:tr>
      <w:tr>
        <w:trPr>
          <w:trHeight w:val="27"/>
        </w:trPr>
        <w:tc>
          <w:tcPr>
            <w:tcW w:w="9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(32,955)</w:t>
            </w: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Other, net</w:t>
            </w:r>
          </w:p>
        </w:tc>
        <w:tc>
          <w:tcPr>
            <w:tcW w:w="400" w:type="dxa"/>
            <w:vAlign w:val="bottom"/>
          </w:tcPr>
          <w:p>
            <w:pPr>
              <w:spacing w:after="0"/>
              <w:rPr>
                <w:sz w:val="21"/>
                <w:szCs w:val="21"/>
                <w:color w:val="auto"/>
              </w:rPr>
            </w:pP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669</w:t>
            </w:r>
          </w:p>
        </w:tc>
      </w:tr>
      <w:tr>
        <w:trPr>
          <w:trHeight w:val="27"/>
        </w:trPr>
        <w:tc>
          <w:tcPr>
            <w:tcW w:w="96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 balance at July 1, 2018 (reported within accrued and other long-term liabilities)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20,971</w:t>
            </w:r>
          </w:p>
        </w:tc>
      </w:tr>
      <w:tr>
        <w:trPr>
          <w:trHeight w:val="20"/>
        </w:trPr>
        <w:tc>
          <w:tcPr>
            <w:tcW w:w="96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500" w:right="140" w:hanging="330"/>
        <w:spacing w:after="0" w:line="286" w:lineRule="auto"/>
        <w:tabs>
          <w:tab w:leader="none" w:pos="500" w:val="left"/>
        </w:tabs>
        <w:numPr>
          <w:ilvl w:val="1"/>
          <w:numId w:val="9"/>
        </w:numPr>
        <w:rPr>
          <w:rFonts w:ascii="Arial" w:cs="Arial" w:eastAsia="Arial" w:hAnsi="Arial"/>
          <w:sz w:val="17"/>
          <w:szCs w:val="17"/>
          <w:color w:val="auto"/>
        </w:rPr>
      </w:pPr>
      <w:r>
        <w:rPr>
          <w:rFonts w:ascii="Arial" w:cs="Arial" w:eastAsia="Arial" w:hAnsi="Arial"/>
          <w:sz w:val="17"/>
          <w:szCs w:val="17"/>
          <w:color w:val="auto"/>
        </w:rPr>
        <w:t>The costs reflected in the liability roll-forward represent employee-related and certain third-party service provider charges. These costs do not include items charged directly to expense, such as accelerated depreciation and amortization and certain of the third-party charges associated with various programs, as those items are not reflected in the business realignment liability in our Consolidated Balance Sheets.</w:t>
      </w:r>
    </w:p>
    <w:p>
      <w:pPr>
        <w:spacing w:after="0" w:line="188" w:lineRule="exact"/>
        <w:rPr>
          <w:rFonts w:ascii="Arial" w:cs="Arial" w:eastAsia="Arial" w:hAnsi="Arial"/>
          <w:sz w:val="17"/>
          <w:szCs w:val="17"/>
          <w:color w:val="auto"/>
        </w:rPr>
      </w:pPr>
    </w:p>
    <w:p>
      <w:pPr>
        <w:ind w:left="180" w:hanging="172"/>
        <w:spacing w:after="0"/>
        <w:tabs>
          <w:tab w:leader="none" w:pos="1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The majority of our taxable income is generated in the U.S. and taxed at the U.S. statutory rate of 21%. The effective tax rates for the six months ended July 1, 2018 and July 2, 2017 were 19.1% and 33.0%, respectively. Relative to the statutory rate, the 2018 effective tax rate was impacted by investment tax credits and favorable rate differential relating to foreign operations, partially offset by state and local taxes. The 2017 effective rate, relative to the previous U.S. statutory rate of 35%, was impacted by investment tax credits, favorable foreign rate differential relating to foreign operations, and the benefit of ASU 2016-09, which were partially offset by non-benefited costs resulting from the Margin for Growth Program.</w:t>
      </w:r>
    </w:p>
    <w:p>
      <w:pPr>
        <w:spacing w:after="0" w:line="11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Hershey and its subsidiaries file tax returns in the U.S., including various state and local returns, and in foreign jurisdictions. We believe adequate provision has been made for all income tax uncertainties. We are routinely audited by taxing authorities in our filing jurisdictions, and a number of these audits are currently underway. We reasonably expect reductions in the liability for unrecognized tax benefits of approximately $10,757 within the next 12 months because of the expiration of statutes of limitations and settlements of tax audits.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 Tax Cuts and Jobs Act of 2017</w:t>
      </w:r>
    </w:p>
    <w:p>
      <w:pPr>
        <w:spacing w:after="0" w:line="25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U.S. Tax Cuts and Jobs Act, enacted in December 2017, (“U.S. tax reform”) significantly changed U.S. corporate income tax laws by, among other things, reducing the U.S. corporate income tax rate to 21% starting in 2018 and creating a territorial tax system with a one-time mandatory tax on previously deferred foreign earnings of U.S. subsidiaries. Under GAAP (specifically, ASC Topic 740), the effects of changes in tax rates and laws on deferred tax balances are recognized in the period in which the new legislation is enacted.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During the fourth quarter of 2017, we recorded a net provisional charge of $32,500, which included the estimated impact of the one-time mandatory tax on previously deferred earnings of non-U.S. subsidiaries offset in part by the benefit from revaluation of net deferred tax liabilities based on the new lower corporate income tax rate. The impact of the U.S. tax reform may differ from this estimate, possibly materially, due to, among other things, changes in interpretations and assumptions made, additional guidance that may be issued and actions taken by Hershey as a result of the U.S. tax reform. During the six months ended July 1, 2018, there were no adjustments to the recorded provisional amount.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PENSION AND OTHER POST-RETIREMENT BENEFIT PLANS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cost for the second quarter were as follows:</w:t>
      </w:r>
    </w:p>
    <w:p>
      <w:pPr>
        <w:spacing w:after="0" w:line="185" w:lineRule="exact"/>
        <w:rPr>
          <w:sz w:val="20"/>
          <w:szCs w:val="20"/>
          <w:color w:val="auto"/>
        </w:rPr>
      </w:pPr>
    </w:p>
    <w:p>
      <w:pPr>
        <w:ind w:left="4900"/>
        <w:spacing w:after="0"/>
        <w:tabs>
          <w:tab w:leader="none" w:pos="8860" w:val="left"/>
        </w:tabs>
        <w:rPr>
          <w:sz w:val="20"/>
          <w:szCs w:val="20"/>
          <w:color w:val="auto"/>
        </w:rPr>
      </w:pPr>
      <w:r>
        <w:rPr>
          <w:rFonts w:ascii="Arial" w:cs="Arial" w:eastAsia="Arial" w:hAnsi="Arial"/>
          <w:sz w:val="16"/>
          <w:szCs w:val="16"/>
          <w:b w:val="1"/>
          <w:bCs w:val="1"/>
          <w:color w:val="auto"/>
        </w:rPr>
        <w:t>Pension Benefits</w:t>
      </w:r>
      <w:r>
        <w:rPr>
          <w:sz w:val="20"/>
          <w:szCs w:val="20"/>
          <w:color w:val="auto"/>
        </w:rPr>
        <w:tab/>
      </w:r>
      <w:r>
        <w:rPr>
          <w:rFonts w:ascii="Arial" w:cs="Arial" w:eastAsia="Arial" w:hAnsi="Arial"/>
          <w:sz w:val="14"/>
          <w:szCs w:val="14"/>
          <w:b w:val="1"/>
          <w:bCs w:val="1"/>
          <w:color w:val="auto"/>
        </w:rPr>
        <w:t>Other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2268855</wp:posOffset>
            </wp:positionH>
            <wp:positionV relativeFrom="paragraph">
              <wp:posOffset>37465</wp:posOffset>
            </wp:positionV>
            <wp:extent cx="49053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05375" cy="88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p>
      <w:pPr>
        <w:spacing w:after="0" w:line="86" w:lineRule="exact"/>
        <w:rPr>
          <w:sz w:val="20"/>
          <w:szCs w:val="20"/>
          <w:color w:val="auto"/>
        </w:rPr>
      </w:pPr>
    </w:p>
    <w:p>
      <w:pPr>
        <w:jc w:val="center"/>
        <w:ind w:left="374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2268855</wp:posOffset>
            </wp:positionH>
            <wp:positionV relativeFrom="paragraph">
              <wp:posOffset>37465</wp:posOffset>
            </wp:positionV>
            <wp:extent cx="24180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80" w:lineRule="exact"/>
        <w:rPr>
          <w:sz w:val="20"/>
          <w:szCs w:val="20"/>
          <w:color w:val="auto"/>
        </w:rPr>
      </w:pPr>
    </w:p>
    <w:p>
      <w:pPr>
        <w:ind w:left="4140"/>
        <w:spacing w:after="0"/>
        <w:tabs>
          <w:tab w:leader="none" w:pos="6080" w:val="left"/>
        </w:tabs>
        <w:rPr>
          <w:sz w:val="20"/>
          <w:szCs w:val="20"/>
          <w:color w:val="auto"/>
        </w:rPr>
      </w:pPr>
      <w:r>
        <w:rPr>
          <w:rFonts w:ascii="Arial" w:cs="Arial" w:eastAsia="Arial" w:hAnsi="Arial"/>
          <w:sz w:val="16"/>
          <w:szCs w:val="16"/>
          <w:b w:val="1"/>
          <w:bCs w:val="1"/>
          <w:color w:val="auto"/>
        </w:rPr>
        <w:t>July 1, 2018</w:t>
      </w:r>
      <w:r>
        <w:rPr>
          <w:sz w:val="20"/>
          <w:szCs w:val="20"/>
          <w:color w:val="auto"/>
        </w:rPr>
        <w:tab/>
      </w:r>
      <w:r>
        <w:rPr>
          <w:rFonts w:ascii="Arial" w:cs="Arial" w:eastAsia="Arial" w:hAnsi="Arial"/>
          <w:sz w:val="14"/>
          <w:szCs w:val="14"/>
          <w:b w:val="1"/>
          <w:bCs w:val="1"/>
          <w:color w:val="auto"/>
        </w:rPr>
        <w:t>July 2, 2017</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jc w:val="center"/>
        <w:ind w:right="54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37465</wp:posOffset>
            </wp:positionV>
            <wp:extent cx="24180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80" w:lineRule="exact"/>
        <w:rPr>
          <w:sz w:val="20"/>
          <w:szCs w:val="20"/>
          <w:color w:val="auto"/>
        </w:rPr>
      </w:pPr>
    </w:p>
    <w:p>
      <w:pPr>
        <w:spacing w:after="0"/>
        <w:tabs>
          <w:tab w:leader="none" w:pos="1920" w:val="left"/>
        </w:tabs>
        <w:rPr>
          <w:sz w:val="20"/>
          <w:szCs w:val="20"/>
          <w:color w:val="auto"/>
        </w:rPr>
      </w:pPr>
      <w:r>
        <w:rPr>
          <w:rFonts w:ascii="Arial" w:cs="Arial" w:eastAsia="Arial" w:hAnsi="Arial"/>
          <w:sz w:val="16"/>
          <w:szCs w:val="16"/>
          <w:b w:val="1"/>
          <w:bCs w:val="1"/>
          <w:color w:val="auto"/>
        </w:rPr>
        <w:t>July 1, 2018</w:t>
      </w:r>
      <w:r>
        <w:rPr>
          <w:sz w:val="20"/>
          <w:szCs w:val="20"/>
          <w:color w:val="auto"/>
        </w:rPr>
        <w:tab/>
      </w:r>
      <w:r>
        <w:rPr>
          <w:rFonts w:ascii="Arial" w:cs="Arial" w:eastAsia="Arial" w:hAnsi="Arial"/>
          <w:sz w:val="14"/>
          <w:szCs w:val="14"/>
          <w:b w:val="1"/>
          <w:bCs w:val="1"/>
          <w:color w:val="auto"/>
        </w:rPr>
        <w:t>July 2, 2017</w:t>
      </w:r>
    </w:p>
    <w:p>
      <w:pPr>
        <w:spacing w:after="0" w:line="39" w:lineRule="exact"/>
        <w:rPr>
          <w:sz w:val="20"/>
          <w:szCs w:val="20"/>
          <w:color w:val="auto"/>
        </w:rPr>
      </w:pPr>
    </w:p>
    <w:p>
      <w:pPr>
        <w:sectPr>
          <w:pgSz w:w="11900" w:h="16838" w:orient="portrait"/>
          <w:cols w:equalWidth="0" w:num="2">
            <w:col w:w="7340" w:space="720"/>
            <w:col w:w="3340"/>
          </w:cols>
          <w:pgMar w:left="240" w:top="121" w:right="25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3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700" w:type="dxa"/>
            <w:vAlign w:val="bottom"/>
            <w:tcBorders>
              <w:top w:val="single" w:sz="8" w:color="auto"/>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5,324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700" w:type="dxa"/>
            <w:vAlign w:val="bottom"/>
            <w:tcBorders>
              <w:top w:val="single" w:sz="8" w:color="auto"/>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5,051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780" w:type="dxa"/>
            <w:vAlign w:val="bottom"/>
            <w:tcBorders>
              <w:top w:val="single" w:sz="8" w:color="auto"/>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780" w:type="dxa"/>
            <w:vAlign w:val="bottom"/>
            <w:tcBorders>
              <w:top w:val="single" w:sz="8" w:color="auto"/>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7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7,827</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10,200</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1,732</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2,204</w:t>
            </w:r>
          </w:p>
        </w:tc>
      </w:tr>
      <w:tr>
        <w:trPr>
          <w:trHeight w:val="27"/>
        </w:trPr>
        <w:tc>
          <w:tcPr>
            <w:tcW w:w="3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7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(14,752)</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(14,344)</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Amortization of prior service (credit) cost</w:t>
            </w:r>
          </w:p>
        </w:tc>
        <w:tc>
          <w:tcPr>
            <w:tcW w:w="7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(1,799)</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(1,455)</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186</w:t>
            </w:r>
          </w:p>
        </w:tc>
      </w:tr>
      <w:tr>
        <w:trPr>
          <w:trHeight w:val="27"/>
        </w:trPr>
        <w:tc>
          <w:tcPr>
            <w:tcW w:w="3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net loss</w:t>
            </w:r>
          </w:p>
        </w:tc>
        <w:tc>
          <w:tcPr>
            <w:tcW w:w="7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6,684</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8,360</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3580" w:type="dxa"/>
            <w:vAlign w:val="bottom"/>
          </w:tcPr>
          <w:p>
            <w:pPr>
              <w:ind w:left="40"/>
              <w:spacing w:after="0"/>
              <w:rPr>
                <w:sz w:val="20"/>
                <w:szCs w:val="20"/>
                <w:color w:val="auto"/>
              </w:rPr>
            </w:pPr>
            <w:r>
              <w:rPr>
                <w:rFonts w:ascii="Arial" w:cs="Arial" w:eastAsia="Arial" w:hAnsi="Arial"/>
                <w:sz w:val="18"/>
                <w:szCs w:val="18"/>
                <w:color w:val="auto"/>
              </w:rPr>
              <w:t>Total net periodic benefit cost</w:t>
            </w:r>
          </w:p>
        </w:tc>
        <w:tc>
          <w:tcPr>
            <w:tcW w:w="7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3,284</w:t>
            </w:r>
          </w:p>
        </w:tc>
        <w:tc>
          <w:tcPr>
            <w:tcW w:w="120" w:type="dxa"/>
            <w:vAlign w:val="bottom"/>
          </w:tcPr>
          <w:p>
            <w:pPr>
              <w:spacing w:after="0"/>
              <w:rPr>
                <w:sz w:val="22"/>
                <w:szCs w:val="22"/>
                <w:color w:val="auto"/>
              </w:rPr>
            </w:pPr>
          </w:p>
        </w:tc>
        <w:tc>
          <w:tcPr>
            <w:tcW w:w="7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7,812</w:t>
            </w:r>
          </w:p>
        </w:tc>
        <w:tc>
          <w:tcPr>
            <w:tcW w:w="100" w:type="dxa"/>
            <w:vAlign w:val="bottom"/>
          </w:tcPr>
          <w:p>
            <w:pPr>
              <w:spacing w:after="0"/>
              <w:rPr>
                <w:sz w:val="22"/>
                <w:szCs w:val="22"/>
                <w:color w:val="auto"/>
              </w:rPr>
            </w:pPr>
          </w:p>
        </w:tc>
        <w:tc>
          <w:tcPr>
            <w:tcW w:w="7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1,999</w:t>
            </w:r>
          </w:p>
        </w:tc>
        <w:tc>
          <w:tcPr>
            <w:tcW w:w="100" w:type="dxa"/>
            <w:vAlign w:val="bottom"/>
          </w:tcPr>
          <w:p>
            <w:pPr>
              <w:spacing w:after="0"/>
              <w:rPr>
                <w:sz w:val="22"/>
                <w:szCs w:val="22"/>
                <w:color w:val="auto"/>
              </w:rPr>
            </w:pPr>
          </w:p>
        </w:tc>
        <w:tc>
          <w:tcPr>
            <w:tcW w:w="7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2,456</w:t>
            </w:r>
          </w:p>
        </w:tc>
      </w:tr>
      <w:tr>
        <w:trPr>
          <w:trHeight w:val="20"/>
        </w:trPr>
        <w:tc>
          <w:tcPr>
            <w:tcW w:w="35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20"/>
        <w:spacing w:after="0" w:line="286" w:lineRule="auto"/>
        <w:rPr>
          <w:sz w:val="20"/>
          <w:szCs w:val="20"/>
          <w:color w:val="auto"/>
        </w:rPr>
      </w:pPr>
      <w:r>
        <w:rPr>
          <w:rFonts w:ascii="Arial" w:cs="Arial" w:eastAsia="Arial" w:hAnsi="Arial"/>
          <w:sz w:val="17"/>
          <w:szCs w:val="17"/>
          <w:color w:val="auto"/>
        </w:rPr>
        <w:t>We made contributions of $296 and $6,334 to the pension plans and other benefits plans, respectively, during the second quarter of 2018. In the second quarter of 2017, we made contributions of $293 and $7,580 to our pension plans and other benefit plans, respectively. The contributions in 2018 and 2017 also included benefit payments from our non-qualified pension plans and post-retirement benefit plans.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cost for the year-to-date periods were as follows:</w:t>
      </w:r>
    </w:p>
    <w:p>
      <w:pPr>
        <w:spacing w:after="0" w:line="185" w:lineRule="exact"/>
        <w:rPr>
          <w:sz w:val="20"/>
          <w:szCs w:val="20"/>
          <w:color w:val="auto"/>
        </w:rPr>
      </w:pPr>
    </w:p>
    <w:p>
      <w:pPr>
        <w:ind w:left="4900"/>
        <w:spacing w:after="0"/>
        <w:tabs>
          <w:tab w:leader="none" w:pos="8860" w:val="left"/>
        </w:tabs>
        <w:rPr>
          <w:sz w:val="20"/>
          <w:szCs w:val="20"/>
          <w:color w:val="auto"/>
        </w:rPr>
      </w:pPr>
      <w:r>
        <w:rPr>
          <w:rFonts w:ascii="Arial" w:cs="Arial" w:eastAsia="Arial" w:hAnsi="Arial"/>
          <w:sz w:val="16"/>
          <w:szCs w:val="16"/>
          <w:b w:val="1"/>
          <w:bCs w:val="1"/>
          <w:color w:val="auto"/>
        </w:rPr>
        <w:t>Pension Benefits</w:t>
      </w:r>
      <w:r>
        <w:rPr>
          <w:sz w:val="20"/>
          <w:szCs w:val="20"/>
          <w:color w:val="auto"/>
        </w:rPr>
        <w:tab/>
      </w:r>
      <w:r>
        <w:rPr>
          <w:rFonts w:ascii="Arial" w:cs="Arial" w:eastAsia="Arial" w:hAnsi="Arial"/>
          <w:sz w:val="14"/>
          <w:szCs w:val="14"/>
          <w:b w:val="1"/>
          <w:bCs w:val="1"/>
          <w:color w:val="auto"/>
        </w:rPr>
        <w:t>Other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2268855</wp:posOffset>
            </wp:positionH>
            <wp:positionV relativeFrom="paragraph">
              <wp:posOffset>37465</wp:posOffset>
            </wp:positionV>
            <wp:extent cx="49053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05375" cy="88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type w:val="continuous"/>
        </w:sectPr>
      </w:pPr>
    </w:p>
    <w:p>
      <w:pPr>
        <w:spacing w:after="0" w:line="86" w:lineRule="exact"/>
        <w:rPr>
          <w:sz w:val="20"/>
          <w:szCs w:val="20"/>
          <w:color w:val="auto"/>
        </w:rPr>
      </w:pPr>
    </w:p>
    <w:p>
      <w:pPr>
        <w:jc w:val="center"/>
        <w:ind w:left="3740"/>
        <w:spacing w:after="0"/>
        <w:rPr>
          <w:sz w:val="20"/>
          <w:szCs w:val="20"/>
          <w:color w:val="auto"/>
        </w:rPr>
      </w:pPr>
      <w:r>
        <w:rPr>
          <w:rFonts w:ascii="Arial" w:cs="Arial" w:eastAsia="Arial" w:hAnsi="Arial"/>
          <w:sz w:val="16"/>
          <w:szCs w:val="16"/>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2268855</wp:posOffset>
            </wp:positionH>
            <wp:positionV relativeFrom="paragraph">
              <wp:posOffset>37465</wp:posOffset>
            </wp:positionV>
            <wp:extent cx="24180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80" w:lineRule="exact"/>
        <w:rPr>
          <w:sz w:val="20"/>
          <w:szCs w:val="20"/>
          <w:color w:val="auto"/>
        </w:rPr>
      </w:pPr>
    </w:p>
    <w:p>
      <w:pPr>
        <w:ind w:left="4140"/>
        <w:spacing w:after="0"/>
        <w:tabs>
          <w:tab w:leader="none" w:pos="6080" w:val="left"/>
        </w:tabs>
        <w:rPr>
          <w:sz w:val="20"/>
          <w:szCs w:val="20"/>
          <w:color w:val="auto"/>
        </w:rPr>
      </w:pPr>
      <w:r>
        <w:rPr>
          <w:rFonts w:ascii="Arial" w:cs="Arial" w:eastAsia="Arial" w:hAnsi="Arial"/>
          <w:sz w:val="16"/>
          <w:szCs w:val="16"/>
          <w:b w:val="1"/>
          <w:bCs w:val="1"/>
          <w:color w:val="auto"/>
        </w:rPr>
        <w:t>July 1, 2018</w:t>
      </w:r>
      <w:r>
        <w:rPr>
          <w:sz w:val="20"/>
          <w:szCs w:val="20"/>
          <w:color w:val="auto"/>
        </w:rPr>
        <w:tab/>
      </w:r>
      <w:r>
        <w:rPr>
          <w:rFonts w:ascii="Arial" w:cs="Arial" w:eastAsia="Arial" w:hAnsi="Arial"/>
          <w:sz w:val="14"/>
          <w:szCs w:val="14"/>
          <w:b w:val="1"/>
          <w:bCs w:val="1"/>
          <w:color w:val="auto"/>
        </w:rPr>
        <w:t>July 2, 2017</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jc w:val="center"/>
        <w:ind w:right="540"/>
        <w:spacing w:after="0"/>
        <w:rPr>
          <w:sz w:val="20"/>
          <w:szCs w:val="20"/>
          <w:color w:val="auto"/>
        </w:rPr>
      </w:pPr>
      <w:r>
        <w:rPr>
          <w:rFonts w:ascii="Arial" w:cs="Arial" w:eastAsia="Arial" w:hAnsi="Arial"/>
          <w:sz w:val="16"/>
          <w:szCs w:val="16"/>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37465</wp:posOffset>
            </wp:positionV>
            <wp:extent cx="24180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80" w:lineRule="exact"/>
        <w:rPr>
          <w:sz w:val="20"/>
          <w:szCs w:val="20"/>
          <w:color w:val="auto"/>
        </w:rPr>
      </w:pPr>
    </w:p>
    <w:p>
      <w:pPr>
        <w:spacing w:after="0"/>
        <w:tabs>
          <w:tab w:leader="none" w:pos="1920" w:val="left"/>
        </w:tabs>
        <w:rPr>
          <w:sz w:val="20"/>
          <w:szCs w:val="20"/>
          <w:color w:val="auto"/>
        </w:rPr>
      </w:pPr>
      <w:r>
        <w:rPr>
          <w:rFonts w:ascii="Arial" w:cs="Arial" w:eastAsia="Arial" w:hAnsi="Arial"/>
          <w:sz w:val="16"/>
          <w:szCs w:val="16"/>
          <w:b w:val="1"/>
          <w:bCs w:val="1"/>
          <w:color w:val="auto"/>
        </w:rPr>
        <w:t>July 1, 2018</w:t>
      </w:r>
      <w:r>
        <w:rPr>
          <w:sz w:val="20"/>
          <w:szCs w:val="20"/>
          <w:color w:val="auto"/>
        </w:rPr>
        <w:tab/>
      </w:r>
      <w:r>
        <w:rPr>
          <w:rFonts w:ascii="Arial" w:cs="Arial" w:eastAsia="Arial" w:hAnsi="Arial"/>
          <w:sz w:val="14"/>
          <w:szCs w:val="14"/>
          <w:b w:val="1"/>
          <w:bCs w:val="1"/>
          <w:color w:val="auto"/>
        </w:rPr>
        <w:t>July 2, 2017</w:t>
      </w:r>
    </w:p>
    <w:p>
      <w:pPr>
        <w:spacing w:after="0" w:line="39" w:lineRule="exact"/>
        <w:rPr>
          <w:sz w:val="20"/>
          <w:szCs w:val="20"/>
          <w:color w:val="auto"/>
        </w:rPr>
      </w:pPr>
    </w:p>
    <w:p>
      <w:pPr>
        <w:sectPr>
          <w:pgSz w:w="11900" w:h="16838" w:orient="portrait"/>
          <w:cols w:equalWidth="0" w:num="2">
            <w:col w:w="7340" w:space="720"/>
            <w:col w:w="3340"/>
          </w:cols>
          <w:pgMar w:left="240" w:top="121" w:right="25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3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700" w:type="dxa"/>
            <w:vAlign w:val="bottom"/>
            <w:tcBorders>
              <w:top w:val="single" w:sz="8" w:color="auto"/>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10,659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700" w:type="dxa"/>
            <w:vAlign w:val="bottom"/>
            <w:tcBorders>
              <w:top w:val="single" w:sz="8" w:color="auto"/>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10,225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780" w:type="dxa"/>
            <w:vAlign w:val="bottom"/>
            <w:tcBorders>
              <w:top w:val="single" w:sz="8" w:color="auto"/>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780" w:type="dxa"/>
            <w:vAlign w:val="bottom"/>
            <w:tcBorders>
              <w:top w:val="single" w:sz="8" w:color="auto"/>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7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15,666</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20,499</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3,464</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4,412</w:t>
            </w:r>
          </w:p>
        </w:tc>
      </w:tr>
      <w:tr>
        <w:trPr>
          <w:trHeight w:val="27"/>
        </w:trPr>
        <w:tc>
          <w:tcPr>
            <w:tcW w:w="3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7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(29,518)</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(28,698)</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Amortization of prior service (credit) cost</w:t>
            </w:r>
          </w:p>
        </w:tc>
        <w:tc>
          <w:tcPr>
            <w:tcW w:w="7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(3,598)</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(2,911)</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373</w:t>
            </w:r>
          </w:p>
        </w:tc>
      </w:tr>
      <w:tr>
        <w:trPr>
          <w:trHeight w:val="27"/>
        </w:trPr>
        <w:tc>
          <w:tcPr>
            <w:tcW w:w="3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net loss</w:t>
            </w:r>
          </w:p>
        </w:tc>
        <w:tc>
          <w:tcPr>
            <w:tcW w:w="7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13,371</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16,782</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3580" w:type="dxa"/>
            <w:vAlign w:val="bottom"/>
          </w:tcPr>
          <w:p>
            <w:pPr>
              <w:ind w:left="40"/>
              <w:spacing w:after="0"/>
              <w:rPr>
                <w:sz w:val="20"/>
                <w:szCs w:val="20"/>
                <w:color w:val="auto"/>
              </w:rPr>
            </w:pPr>
            <w:r>
              <w:rPr>
                <w:rFonts w:ascii="Arial" w:cs="Arial" w:eastAsia="Arial" w:hAnsi="Arial"/>
                <w:sz w:val="18"/>
                <w:szCs w:val="18"/>
                <w:color w:val="auto"/>
              </w:rPr>
              <w:t>Total net periodic benefit cost</w:t>
            </w:r>
          </w:p>
        </w:tc>
        <w:tc>
          <w:tcPr>
            <w:tcW w:w="7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6,580</w:t>
            </w:r>
          </w:p>
        </w:tc>
        <w:tc>
          <w:tcPr>
            <w:tcW w:w="120" w:type="dxa"/>
            <w:vAlign w:val="bottom"/>
          </w:tcPr>
          <w:p>
            <w:pPr>
              <w:spacing w:after="0"/>
              <w:rPr>
                <w:sz w:val="22"/>
                <w:szCs w:val="22"/>
                <w:color w:val="auto"/>
              </w:rPr>
            </w:pPr>
          </w:p>
        </w:tc>
        <w:tc>
          <w:tcPr>
            <w:tcW w:w="7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15,897</w:t>
            </w:r>
          </w:p>
        </w:tc>
        <w:tc>
          <w:tcPr>
            <w:tcW w:w="100" w:type="dxa"/>
            <w:vAlign w:val="bottom"/>
          </w:tcPr>
          <w:p>
            <w:pPr>
              <w:spacing w:after="0"/>
              <w:rPr>
                <w:sz w:val="22"/>
                <w:szCs w:val="22"/>
                <w:color w:val="auto"/>
              </w:rPr>
            </w:pPr>
          </w:p>
        </w:tc>
        <w:tc>
          <w:tcPr>
            <w:tcW w:w="7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3,998</w:t>
            </w:r>
          </w:p>
        </w:tc>
        <w:tc>
          <w:tcPr>
            <w:tcW w:w="100" w:type="dxa"/>
            <w:vAlign w:val="bottom"/>
          </w:tcPr>
          <w:p>
            <w:pPr>
              <w:spacing w:after="0"/>
              <w:rPr>
                <w:sz w:val="22"/>
                <w:szCs w:val="22"/>
                <w:color w:val="auto"/>
              </w:rPr>
            </w:pPr>
          </w:p>
        </w:tc>
        <w:tc>
          <w:tcPr>
            <w:tcW w:w="7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4,916</w:t>
            </w:r>
          </w:p>
        </w:tc>
      </w:tr>
      <w:tr>
        <w:trPr>
          <w:trHeight w:val="20"/>
        </w:trPr>
        <w:tc>
          <w:tcPr>
            <w:tcW w:w="35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We made contributions of $1,301 and $12,778 to the pension plans and other benefits plans, respectively, during the second quarter of 2018. In the second quarter of 2017, we made contributions of $4,985 and $14,464 to our pension plans and other benefit plans, respectively. The contributions in 2018 and 2017 also included benefit payments from our non-qualified pension plans and post-retirement benefit plans.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 COMPENSATION PLANS</w:t>
      </w:r>
    </w:p>
    <w:p>
      <w:pPr>
        <w:spacing w:after="0" w:line="17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have various stock-based compensation programs under which awards, including stock options, performance stock units (“PSUs”) and performance stock, stock appreciation rights, restricted stock units (“RSUs”) and restricted stock may be granted to employees, non-employee directors and certain service providers upon whom the successful</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1" w:right="259" w:bottom="1440" w:gutter="0" w:footer="0" w:header="0"/>
          <w:type w:val="continuous"/>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conduct of our business is dependent. These programs and the accounting treatment related thereto are described in Note 10 to the Consolidated Financial Statements included in our 2017 Annual Report on Form 10-K.</w:t>
      </w:r>
    </w:p>
    <w:p>
      <w:pPr>
        <w:spacing w:after="0" w:line="11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For the periods presented, compensation expense for all types of stock-based compensation programs and the related income tax benefit recognized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560" w:type="dxa"/>
            <w:vAlign w:val="bottom"/>
            <w:gridSpan w:val="5"/>
          </w:tcPr>
          <w:p>
            <w:pPr>
              <w:ind w:left="88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8"/>
                <w:szCs w:val="18"/>
                <w:color w:val="auto"/>
              </w:rPr>
            </w:pPr>
          </w:p>
        </w:tc>
        <w:tc>
          <w:tcPr>
            <w:tcW w:w="3460" w:type="dxa"/>
            <w:vAlign w:val="bottom"/>
            <w:gridSpan w:val="4"/>
          </w:tcPr>
          <w:p>
            <w:pPr>
              <w:jc w:val="right"/>
              <w:ind w:right="1113"/>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3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1"/>
        </w:trPr>
        <w:tc>
          <w:tcPr>
            <w:tcW w:w="3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gridSpan w:val="2"/>
          </w:tcPr>
          <w:p>
            <w:pPr>
              <w:ind w:left="220"/>
              <w:spacing w:after="0"/>
              <w:rPr>
                <w:sz w:val="20"/>
                <w:szCs w:val="20"/>
                <w:color w:val="auto"/>
              </w:rPr>
            </w:pPr>
            <w:r>
              <w:rPr>
                <w:rFonts w:ascii="Arial" w:cs="Arial" w:eastAsia="Arial" w:hAnsi="Arial"/>
                <w:sz w:val="16"/>
                <w:szCs w:val="16"/>
                <w:b w:val="1"/>
                <w:bCs w:val="1"/>
                <w:color w:val="auto"/>
              </w:rPr>
              <w:t>July 1, 2018</w:t>
            </w:r>
          </w:p>
        </w:tc>
        <w:tc>
          <w:tcPr>
            <w:tcW w:w="340" w:type="dxa"/>
            <w:vAlign w:val="bottom"/>
          </w:tcPr>
          <w:p>
            <w:pPr>
              <w:spacing w:after="0"/>
              <w:rPr>
                <w:sz w:val="20"/>
                <w:szCs w:val="20"/>
                <w:color w:val="auto"/>
              </w:rPr>
            </w:pPr>
          </w:p>
        </w:tc>
        <w:tc>
          <w:tcPr>
            <w:tcW w:w="1600" w:type="dxa"/>
            <w:vAlign w:val="bottom"/>
            <w:gridSpan w:val="2"/>
          </w:tcPr>
          <w:p>
            <w:pPr>
              <w:ind w:left="220"/>
              <w:spacing w:after="0"/>
              <w:rPr>
                <w:sz w:val="20"/>
                <w:szCs w:val="20"/>
                <w:color w:val="auto"/>
              </w:rPr>
            </w:pPr>
            <w:r>
              <w:rPr>
                <w:rFonts w:ascii="Arial" w:cs="Arial" w:eastAsia="Arial" w:hAnsi="Arial"/>
                <w:sz w:val="16"/>
                <w:szCs w:val="16"/>
                <w:b w:val="1"/>
                <w:bCs w:val="1"/>
                <w:color w:val="auto"/>
              </w:rPr>
              <w:t>July 2, 2017</w:t>
            </w:r>
          </w:p>
        </w:tc>
        <w:tc>
          <w:tcPr>
            <w:tcW w:w="340" w:type="dxa"/>
            <w:vAlign w:val="bottom"/>
          </w:tcPr>
          <w:p>
            <w:pPr>
              <w:spacing w:after="0"/>
              <w:rPr>
                <w:sz w:val="20"/>
                <w:szCs w:val="20"/>
                <w:color w:val="auto"/>
              </w:rPr>
            </w:pPr>
          </w:p>
        </w:tc>
        <w:tc>
          <w:tcPr>
            <w:tcW w:w="1600" w:type="dxa"/>
            <w:vAlign w:val="bottom"/>
            <w:gridSpan w:val="2"/>
          </w:tcPr>
          <w:p>
            <w:pPr>
              <w:ind w:left="220"/>
              <w:spacing w:after="0"/>
              <w:rPr>
                <w:sz w:val="20"/>
                <w:szCs w:val="20"/>
                <w:color w:val="auto"/>
              </w:rPr>
            </w:pPr>
            <w:r>
              <w:rPr>
                <w:rFonts w:ascii="Arial" w:cs="Arial" w:eastAsia="Arial" w:hAnsi="Arial"/>
                <w:sz w:val="16"/>
                <w:szCs w:val="16"/>
                <w:b w:val="1"/>
                <w:bCs w:val="1"/>
                <w:color w:val="auto"/>
              </w:rPr>
              <w:t>July 1, 2018</w:t>
            </w:r>
          </w:p>
        </w:tc>
        <w:tc>
          <w:tcPr>
            <w:tcW w:w="340" w:type="dxa"/>
            <w:vAlign w:val="bottom"/>
          </w:tcPr>
          <w:p>
            <w:pPr>
              <w:spacing w:after="0"/>
              <w:rPr>
                <w:sz w:val="20"/>
                <w:szCs w:val="20"/>
                <w:color w:val="auto"/>
              </w:rPr>
            </w:pPr>
          </w:p>
        </w:tc>
        <w:tc>
          <w:tcPr>
            <w:tcW w:w="1520" w:type="dxa"/>
            <w:vAlign w:val="bottom"/>
          </w:tcPr>
          <w:p>
            <w:pPr>
              <w:jc w:val="right"/>
              <w:ind w:right="373"/>
              <w:spacing w:after="0"/>
              <w:rPr>
                <w:sz w:val="20"/>
                <w:szCs w:val="20"/>
                <w:color w:val="auto"/>
              </w:rPr>
            </w:pPr>
            <w:r>
              <w:rPr>
                <w:rFonts w:ascii="Arial" w:cs="Arial" w:eastAsia="Arial" w:hAnsi="Arial"/>
                <w:sz w:val="16"/>
                <w:szCs w:val="16"/>
                <w:b w:val="1"/>
                <w:bCs w:val="1"/>
                <w:color w:val="auto"/>
              </w:rPr>
              <w:t>July 2, 2017</w:t>
            </w:r>
          </w:p>
        </w:tc>
      </w:tr>
      <w:tr>
        <w:trPr>
          <w:trHeight w:val="33"/>
        </w:trPr>
        <w:tc>
          <w:tcPr>
            <w:tcW w:w="3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Pre-tax compensation expense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13,088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12,435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23,546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24,557</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Related income tax benefit</w:t>
            </w:r>
          </w:p>
        </w:tc>
        <w:tc>
          <w:tcPr>
            <w:tcW w:w="32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2,364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3,230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4,968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7,048</w:t>
            </w:r>
          </w:p>
        </w:tc>
      </w:tr>
    </w:tbl>
    <w:p>
      <w:pPr>
        <w:spacing w:after="0" w:line="17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Compensation costs for stock compensation plans are primarily included in selling, marketing and administrative expense. As of July 1, 2018, total stock-based compensation cost related to non-vested awards not yet recognized was $75,088 and the weighted-average period over which this amount is expected to be recognized was approximately 2.2 years.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activity relating to grants of stock options for the period ended July 1, 2018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8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Weighted-Average</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Weighted-Average</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8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Exercise Price (per</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200" w:type="dxa"/>
            <w:vAlign w:val="bottom"/>
          </w:tcPr>
          <w:p>
            <w:pPr>
              <w:spacing w:after="0"/>
              <w:rPr>
                <w:sz w:val="18"/>
                <w:szCs w:val="18"/>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b w:val="1"/>
                <w:bCs w:val="1"/>
                <w:color w:val="auto"/>
                <w:w w:val="91"/>
              </w:rPr>
              <w:t>Aggregate Intrinsic</w:t>
            </w:r>
          </w:p>
        </w:tc>
      </w:tr>
      <w:tr>
        <w:trPr>
          <w:trHeight w:val="234"/>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Stock Options</w:t>
            </w:r>
          </w:p>
        </w:tc>
        <w:tc>
          <w:tcPr>
            <w:tcW w:w="1560" w:type="dxa"/>
            <w:vAlign w:val="bottom"/>
          </w:tcPr>
          <w:p>
            <w:pPr>
              <w:jc w:val="right"/>
              <w:ind w:right="430"/>
              <w:spacing w:after="0"/>
              <w:rPr>
                <w:sz w:val="20"/>
                <w:szCs w:val="20"/>
                <w:color w:val="auto"/>
              </w:rPr>
            </w:pPr>
            <w:r>
              <w:rPr>
                <w:rFonts w:ascii="Arial" w:cs="Arial" w:eastAsia="Arial" w:hAnsi="Arial"/>
                <w:sz w:val="18"/>
                <w:szCs w:val="18"/>
                <w:b w:val="1"/>
                <w:bCs w:val="1"/>
                <w:color w:val="auto"/>
              </w:rPr>
              <w:t>Shares</w:t>
            </w:r>
          </w:p>
        </w:tc>
        <w:tc>
          <w:tcPr>
            <w:tcW w:w="1680" w:type="dxa"/>
            <w:vAlign w:val="bottom"/>
          </w:tcPr>
          <w:p>
            <w:pPr>
              <w:jc w:val="center"/>
              <w:ind w:right="10"/>
              <w:spacing w:after="0"/>
              <w:rPr>
                <w:sz w:val="20"/>
                <w:szCs w:val="20"/>
                <w:color w:val="auto"/>
              </w:rPr>
            </w:pPr>
            <w:r>
              <w:rPr>
                <w:rFonts w:ascii="Arial" w:cs="Arial" w:eastAsia="Arial" w:hAnsi="Arial"/>
                <w:sz w:val="18"/>
                <w:szCs w:val="18"/>
                <w:b w:val="1"/>
                <w:bCs w:val="1"/>
                <w:color w:val="auto"/>
                <w:w w:val="85"/>
              </w:rPr>
              <w:t>share)</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2"/>
              </w:rPr>
              <w:t>Contractual Term</w:t>
            </w:r>
          </w:p>
        </w:tc>
        <w:tc>
          <w:tcPr>
            <w:tcW w:w="200" w:type="dxa"/>
            <w:vAlign w:val="bottom"/>
          </w:tcPr>
          <w:p>
            <w:pPr>
              <w:spacing w:after="0"/>
              <w:rPr>
                <w:sz w:val="20"/>
                <w:szCs w:val="20"/>
                <w:color w:val="auto"/>
              </w:rPr>
            </w:pPr>
          </w:p>
        </w:tc>
        <w:tc>
          <w:tcPr>
            <w:tcW w:w="1640" w:type="dxa"/>
            <w:vAlign w:val="bottom"/>
          </w:tcPr>
          <w:p>
            <w:pPr>
              <w:jc w:val="right"/>
              <w:ind w:right="570"/>
              <w:spacing w:after="0"/>
              <w:rPr>
                <w:sz w:val="20"/>
                <w:szCs w:val="20"/>
                <w:color w:val="auto"/>
              </w:rPr>
            </w:pPr>
            <w:r>
              <w:rPr>
                <w:rFonts w:ascii="Arial" w:cs="Arial" w:eastAsia="Arial" w:hAnsi="Arial"/>
                <w:sz w:val="18"/>
                <w:szCs w:val="18"/>
                <w:b w:val="1"/>
                <w:bCs w:val="1"/>
                <w:color w:val="auto"/>
              </w:rPr>
              <w:t>Value</w:t>
            </w:r>
          </w:p>
        </w:tc>
      </w:tr>
      <w:tr>
        <w:trPr>
          <w:trHeight w:val="27"/>
        </w:trPr>
        <w:tc>
          <w:tcPr>
            <w:tcW w:w="47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December 31, 2017</w:t>
            </w: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5,921,062</w:t>
            </w: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$89.06</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5.8 years</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924,445</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$99.88</w:t>
            </w:r>
          </w:p>
        </w:tc>
        <w:tc>
          <w:tcPr>
            <w:tcW w:w="1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(286,284)</w:t>
            </w: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$56.55</w:t>
            </w:r>
          </w:p>
        </w:tc>
        <w:tc>
          <w:tcPr>
            <w:tcW w:w="16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(227,524)</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$101.33</w:t>
            </w:r>
          </w:p>
        </w:tc>
        <w:tc>
          <w:tcPr>
            <w:tcW w:w="1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July 1, 2018</w:t>
            </w:r>
          </w:p>
        </w:tc>
        <w:tc>
          <w:tcPr>
            <w:tcW w:w="15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6,331,699</w:t>
            </w: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$91.66</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5.8 years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48,161</w:t>
            </w:r>
          </w:p>
        </w:tc>
      </w:tr>
      <w:tr>
        <w:trPr>
          <w:trHeight w:val="20"/>
        </w:trPr>
        <w:tc>
          <w:tcPr>
            <w:tcW w:w="47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51"/>
        </w:trPr>
        <w:tc>
          <w:tcPr>
            <w:tcW w:w="4700" w:type="dxa"/>
            <w:vAlign w:val="bottom"/>
          </w:tcPr>
          <w:p>
            <w:pPr>
              <w:ind w:left="40"/>
              <w:spacing w:after="0"/>
              <w:rPr>
                <w:sz w:val="20"/>
                <w:szCs w:val="20"/>
                <w:color w:val="auto"/>
              </w:rPr>
            </w:pPr>
            <w:r>
              <w:rPr>
                <w:rFonts w:ascii="Arial" w:cs="Arial" w:eastAsia="Arial" w:hAnsi="Arial"/>
                <w:sz w:val="18"/>
                <w:szCs w:val="18"/>
                <w:color w:val="auto"/>
              </w:rPr>
              <w:t>Options exercisable as of July 1, 2018</w:t>
            </w:r>
          </w:p>
        </w:tc>
        <w:tc>
          <w:tcPr>
            <w:tcW w:w="15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4,275,052</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$87.29</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4.4 years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47,451</w:t>
            </w:r>
          </w:p>
        </w:tc>
      </w:tr>
      <w:tr>
        <w:trPr>
          <w:trHeight w:val="20"/>
        </w:trPr>
        <w:tc>
          <w:tcPr>
            <w:tcW w:w="47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134"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The weighted-average fair value of options granted was $15.57 and $15.77 per share for the periods ended July 1, 2018 and July 2, 2017, respectively. The fair value was estimated on the date of grant using a Black-Scholes option-pricing model and the following weighted-average assumptions:</w:t>
      </w:r>
    </w:p>
    <w:p>
      <w:pPr>
        <w:spacing w:after="0" w:line="84" w:lineRule="exact"/>
        <w:rPr>
          <w:sz w:val="20"/>
          <w:szCs w:val="20"/>
          <w:color w:val="auto"/>
        </w:rPr>
      </w:pPr>
    </w:p>
    <w:p>
      <w:pPr>
        <w:ind w:left="8220"/>
        <w:spacing w:after="0"/>
        <w:rPr>
          <w:sz w:val="20"/>
          <w:szCs w:val="20"/>
          <w:color w:val="auto"/>
        </w:rPr>
      </w:pPr>
      <w:r>
        <w:rPr>
          <w:rFonts w:ascii="Arial" w:cs="Arial" w:eastAsia="Arial" w:hAnsi="Arial"/>
          <w:sz w:val="16"/>
          <w:szCs w:val="16"/>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37465</wp:posOffset>
            </wp:positionV>
            <wp:extent cx="33191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00" w:type="dxa"/>
            <w:vAlign w:val="bottom"/>
          </w:tcPr>
          <w:p>
            <w:pPr>
              <w:spacing w:after="0"/>
              <w:rPr>
                <w:sz w:val="18"/>
                <w:szCs w:val="18"/>
                <w:color w:val="auto"/>
              </w:rPr>
            </w:pPr>
          </w:p>
        </w:tc>
        <w:tc>
          <w:tcPr>
            <w:tcW w:w="1880" w:type="dxa"/>
            <w:vAlign w:val="bottom"/>
          </w:tcPr>
          <w:p>
            <w:pPr>
              <w:ind w:left="900"/>
              <w:spacing w:after="0"/>
              <w:rPr>
                <w:sz w:val="20"/>
                <w:szCs w:val="20"/>
                <w:color w:val="auto"/>
              </w:rPr>
            </w:pPr>
            <w:r>
              <w:rPr>
                <w:rFonts w:ascii="Arial" w:cs="Arial" w:eastAsia="Arial" w:hAnsi="Arial"/>
                <w:sz w:val="16"/>
                <w:szCs w:val="16"/>
                <w:b w:val="1"/>
                <w:bCs w:val="1"/>
                <w:color w:val="auto"/>
              </w:rPr>
              <w:t>July 1, 2018</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tcPr>
          <w:p>
            <w:pPr>
              <w:jc w:val="right"/>
              <w:ind w:right="732"/>
              <w:spacing w:after="0"/>
              <w:rPr>
                <w:sz w:val="20"/>
                <w:szCs w:val="20"/>
                <w:color w:val="auto"/>
              </w:rPr>
            </w:pPr>
            <w:r>
              <w:rPr>
                <w:rFonts w:ascii="Arial" w:cs="Arial" w:eastAsia="Arial" w:hAnsi="Arial"/>
                <w:sz w:val="16"/>
                <w:szCs w:val="16"/>
                <w:b w:val="1"/>
                <w:bCs w:val="1"/>
                <w:color w:val="auto"/>
              </w:rPr>
              <w:t>July 2, 2017</w:t>
            </w:r>
          </w:p>
        </w:tc>
      </w:tr>
      <w:tr>
        <w:trPr>
          <w:trHeight w:val="33"/>
        </w:trPr>
        <w:tc>
          <w:tcPr>
            <w:tcW w:w="62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r>
      <w:tr>
        <w:trPr>
          <w:trHeight w:val="244"/>
        </w:trPr>
        <w:tc>
          <w:tcPr>
            <w:tcW w:w="8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Dividend yields</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8080" w:type="dxa"/>
            <w:vAlign w:val="bottom"/>
            <w:gridSpan w:val="2"/>
          </w:tcPr>
          <w:p>
            <w:pPr>
              <w:ind w:left="40"/>
              <w:spacing w:after="0"/>
              <w:rPr>
                <w:sz w:val="20"/>
                <w:szCs w:val="20"/>
                <w:color w:val="auto"/>
              </w:rPr>
            </w:pPr>
            <w:r>
              <w:rPr>
                <w:rFonts w:ascii="Arial" w:cs="Arial" w:eastAsia="Arial" w:hAnsi="Arial"/>
                <w:sz w:val="18"/>
                <w:szCs w:val="18"/>
                <w:color w:val="auto"/>
              </w:rPr>
              <w:t>Expected volatility</w:t>
            </w:r>
          </w:p>
        </w:tc>
        <w:tc>
          <w:tcPr>
            <w:tcW w:w="66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1"/>
                <w:szCs w:val="21"/>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7"/>
        </w:trPr>
        <w:tc>
          <w:tcPr>
            <w:tcW w:w="6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60" w:type="dxa"/>
            <w:vAlign w:val="bottom"/>
          </w:tcPr>
          <w:p>
            <w:pPr>
              <w:spacing w:after="0"/>
              <w:rPr>
                <w:sz w:val="2"/>
                <w:szCs w:val="2"/>
                <w:color w:val="auto"/>
              </w:rPr>
            </w:pPr>
          </w:p>
        </w:tc>
      </w:tr>
      <w:tr>
        <w:trPr>
          <w:trHeight w:val="250"/>
        </w:trPr>
        <w:tc>
          <w:tcPr>
            <w:tcW w:w="8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Risk-free interest rates</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8080" w:type="dxa"/>
            <w:vAlign w:val="bottom"/>
            <w:gridSpan w:val="2"/>
          </w:tcPr>
          <w:p>
            <w:pPr>
              <w:ind w:left="40"/>
              <w:spacing w:after="0"/>
              <w:rPr>
                <w:sz w:val="20"/>
                <w:szCs w:val="20"/>
                <w:color w:val="auto"/>
              </w:rPr>
            </w:pPr>
            <w:r>
              <w:rPr>
                <w:rFonts w:ascii="Arial" w:cs="Arial" w:eastAsia="Arial" w:hAnsi="Arial"/>
                <w:sz w:val="18"/>
                <w:szCs w:val="18"/>
                <w:color w:val="auto"/>
              </w:rPr>
              <w:t>Expected term in years</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2560" w:type="dxa"/>
            <w:vAlign w:val="bottom"/>
          </w:tcPr>
          <w:p>
            <w:pPr>
              <w:jc w:val="right"/>
              <w:ind w:right="92"/>
              <w:spacing w:after="0"/>
              <w:rPr>
                <w:sz w:val="20"/>
                <w:szCs w:val="20"/>
                <w:color w:val="auto"/>
              </w:rPr>
            </w:pPr>
            <w:r>
              <w:rPr>
                <w:rFonts w:ascii="Arial" w:cs="Arial" w:eastAsia="Arial" w:hAnsi="Arial"/>
                <w:sz w:val="18"/>
                <w:szCs w:val="18"/>
                <w:color w:val="auto"/>
              </w:rPr>
              <w:t>6.8</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total intrinsic value of options exercised was $12,386 and $36,507 for the periods ended July 1, 2018 and July 2, 2017, respectively.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3" w:name="page24"/>
    <w:bookmarkEnd w:id="23"/>
    <w:p>
      <w:pPr>
        <w:jc w:val="center"/>
        <w:ind w:right="-3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Stock Units and Restricted Stock Units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activity relating to grants of PSUs and RSUs for the period ended July 1, 2018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Performance Stock Units and Restricted Stock Units</w:t>
            </w:r>
          </w:p>
        </w:tc>
        <w:tc>
          <w:tcPr>
            <w:tcW w:w="100" w:type="dxa"/>
            <w:vAlign w:val="bottom"/>
            <w:vMerge w:val="restart"/>
          </w:tcPr>
          <w:p>
            <w:pPr>
              <w:spacing w:after="0"/>
              <w:rPr>
                <w:sz w:val="14"/>
                <w:szCs w:val="14"/>
                <w:color w:val="auto"/>
              </w:rPr>
            </w:pPr>
          </w:p>
        </w:tc>
        <w:tc>
          <w:tcPr>
            <w:tcW w:w="178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Number of units</w:t>
            </w:r>
          </w:p>
        </w:tc>
        <w:tc>
          <w:tcPr>
            <w:tcW w:w="100" w:type="dxa"/>
            <w:vAlign w:val="bottom"/>
          </w:tcPr>
          <w:p>
            <w:pPr>
              <w:spacing w:after="0"/>
              <w:rPr>
                <w:sz w:val="14"/>
                <w:szCs w:val="14"/>
                <w:color w:val="auto"/>
              </w:rPr>
            </w:pPr>
          </w:p>
        </w:tc>
        <w:tc>
          <w:tcPr>
            <w:tcW w:w="3600" w:type="dxa"/>
            <w:vAlign w:val="bottom"/>
          </w:tcPr>
          <w:p>
            <w:pPr>
              <w:jc w:val="right"/>
              <w:ind w:right="488"/>
              <w:spacing w:after="0"/>
              <w:rPr>
                <w:sz w:val="20"/>
                <w:szCs w:val="20"/>
                <w:color w:val="auto"/>
              </w:rPr>
            </w:pPr>
            <w:r>
              <w:rPr>
                <w:rFonts w:ascii="Arial" w:cs="Arial" w:eastAsia="Arial" w:hAnsi="Arial"/>
                <w:sz w:val="14"/>
                <w:szCs w:val="14"/>
                <w:b w:val="1"/>
                <w:bCs w:val="1"/>
                <w:color w:val="auto"/>
              </w:rPr>
              <w:t>Weighted-average grant date fair value</w:t>
            </w:r>
          </w:p>
        </w:tc>
        <w:tc>
          <w:tcPr>
            <w:tcW w:w="0" w:type="dxa"/>
            <w:vAlign w:val="bottom"/>
          </w:tcPr>
          <w:p>
            <w:pPr>
              <w:spacing w:after="0"/>
              <w:rPr>
                <w:sz w:val="1"/>
                <w:szCs w:val="1"/>
                <w:color w:val="auto"/>
              </w:rPr>
            </w:pPr>
          </w:p>
        </w:tc>
      </w:tr>
      <w:tr>
        <w:trPr>
          <w:trHeight w:val="192"/>
        </w:trPr>
        <w:tc>
          <w:tcPr>
            <w:tcW w:w="5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b w:val="1"/>
                <w:bCs w:val="1"/>
                <w:color w:val="auto"/>
              </w:rPr>
              <w:t>for equity awards (per unit)</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as of December 31, 2017</w:t>
            </w:r>
          </w:p>
        </w:tc>
        <w:tc>
          <w:tcPr>
            <w:tcW w:w="17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923,364</w:t>
            </w:r>
          </w:p>
        </w:tc>
        <w:tc>
          <w:tcPr>
            <w:tcW w:w="3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$103.11</w:t>
            </w:r>
          </w:p>
        </w:tc>
        <w:tc>
          <w:tcPr>
            <w:tcW w:w="0" w:type="dxa"/>
            <w:vAlign w:val="bottom"/>
          </w:tcPr>
          <w:p>
            <w:pPr>
              <w:spacing w:after="0"/>
              <w:rPr>
                <w:sz w:val="1"/>
                <w:szCs w:val="1"/>
                <w:color w:val="auto"/>
              </w:rPr>
            </w:pPr>
          </w:p>
        </w:tc>
      </w:tr>
      <w:tr>
        <w:trPr>
          <w:trHeight w:val="243"/>
        </w:trPr>
        <w:tc>
          <w:tcPr>
            <w:tcW w:w="58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780" w:type="dxa"/>
            <w:vAlign w:val="bottom"/>
          </w:tcPr>
          <w:p>
            <w:pPr>
              <w:jc w:val="right"/>
              <w:ind w:right="113"/>
              <w:spacing w:after="0"/>
              <w:rPr>
                <w:sz w:val="20"/>
                <w:szCs w:val="20"/>
                <w:color w:val="auto"/>
              </w:rPr>
            </w:pPr>
            <w:r>
              <w:rPr>
                <w:rFonts w:ascii="Arial" w:cs="Arial" w:eastAsia="Arial" w:hAnsi="Arial"/>
                <w:sz w:val="18"/>
                <w:szCs w:val="18"/>
                <w:color w:val="auto"/>
              </w:rPr>
              <w:t>361,068</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$97.92</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Performance assumption change (1)</w:t>
            </w:r>
          </w:p>
        </w:tc>
        <w:tc>
          <w:tcPr>
            <w:tcW w:w="17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(148,330)</w:t>
            </w:r>
          </w:p>
        </w:tc>
        <w:tc>
          <w:tcPr>
            <w:tcW w:w="3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$101.59</w:t>
            </w:r>
          </w:p>
        </w:tc>
        <w:tc>
          <w:tcPr>
            <w:tcW w:w="0" w:type="dxa"/>
            <w:vAlign w:val="bottom"/>
          </w:tcPr>
          <w:p>
            <w:pPr>
              <w:spacing w:after="0"/>
              <w:rPr>
                <w:sz w:val="1"/>
                <w:szCs w:val="1"/>
                <w:color w:val="auto"/>
              </w:rPr>
            </w:pPr>
          </w:p>
        </w:tc>
      </w:tr>
      <w:tr>
        <w:trPr>
          <w:trHeight w:val="243"/>
        </w:trPr>
        <w:tc>
          <w:tcPr>
            <w:tcW w:w="5840" w:type="dxa"/>
            <w:vAlign w:val="bottom"/>
            <w:gridSpan w:val="2"/>
          </w:tcPr>
          <w:p>
            <w:pPr>
              <w:spacing w:after="0"/>
              <w:rPr>
                <w:sz w:val="20"/>
                <w:szCs w:val="20"/>
                <w:color w:val="auto"/>
              </w:rPr>
            </w:pPr>
            <w:r>
              <w:rPr>
                <w:rFonts w:ascii="Arial" w:cs="Arial" w:eastAsia="Arial" w:hAnsi="Arial"/>
                <w:sz w:val="18"/>
                <w:szCs w:val="18"/>
                <w:color w:val="auto"/>
              </w:rPr>
              <w:t>Vested</w:t>
            </w:r>
          </w:p>
        </w:tc>
        <w:tc>
          <w:tcPr>
            <w:tcW w:w="1780" w:type="dxa"/>
            <w:vAlign w:val="bottom"/>
          </w:tcPr>
          <w:p>
            <w:pPr>
              <w:jc w:val="right"/>
              <w:ind w:right="53"/>
              <w:spacing w:after="0"/>
              <w:rPr>
                <w:sz w:val="20"/>
                <w:szCs w:val="20"/>
                <w:color w:val="auto"/>
              </w:rPr>
            </w:pPr>
            <w:r>
              <w:rPr>
                <w:rFonts w:ascii="Arial" w:cs="Arial" w:eastAsia="Arial" w:hAnsi="Arial"/>
                <w:sz w:val="18"/>
                <w:szCs w:val="18"/>
                <w:color w:val="auto"/>
              </w:rPr>
              <w:t>(200,863)</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$105.43</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7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(87,238)</w:t>
            </w:r>
          </w:p>
        </w:tc>
        <w:tc>
          <w:tcPr>
            <w:tcW w:w="3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$103.72</w:t>
            </w:r>
          </w:p>
        </w:tc>
        <w:tc>
          <w:tcPr>
            <w:tcW w:w="0" w:type="dxa"/>
            <w:vAlign w:val="bottom"/>
          </w:tcPr>
          <w:p>
            <w:pPr>
              <w:spacing w:after="0"/>
              <w:rPr>
                <w:sz w:val="1"/>
                <w:szCs w:val="1"/>
                <w:color w:val="auto"/>
              </w:rPr>
            </w:pPr>
          </w:p>
        </w:tc>
      </w:tr>
      <w:tr>
        <w:trPr>
          <w:trHeight w:val="257"/>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Outstanding as of July 1, 2018</w:t>
            </w:r>
          </w:p>
        </w:tc>
        <w:tc>
          <w:tcPr>
            <w:tcW w:w="178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color w:val="auto"/>
              </w:rPr>
              <w:t>848,001</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$101.53</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(1)  Reflects the net number of PSUs above and below target levels based on the performance metrics.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sets forth information about the fair value of the PSUs and RSUs granted for potential future distribution to employees and non-employee directors. In addition, the table provides assumptions used to determine the fair value of the market-based total shareholder return component using the Monte Carlo simulation model on the date of grant.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8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rPr>
              <w:t>Six Months Ended</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1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1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b w:val="1"/>
                <w:bCs w:val="1"/>
                <w:color w:val="auto"/>
              </w:rPr>
              <w:t>July 1, 2018</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760" w:type="dxa"/>
            <w:vAlign w:val="bottom"/>
          </w:tcPr>
          <w:p>
            <w:pPr>
              <w:jc w:val="right"/>
              <w:ind w:right="731"/>
              <w:spacing w:after="0"/>
              <w:rPr>
                <w:sz w:val="20"/>
                <w:szCs w:val="20"/>
                <w:color w:val="auto"/>
              </w:rPr>
            </w:pPr>
            <w:r>
              <w:rPr>
                <w:rFonts w:ascii="Arial" w:cs="Arial" w:eastAsia="Arial" w:hAnsi="Arial"/>
                <w:sz w:val="16"/>
                <w:szCs w:val="16"/>
                <w:b w:val="1"/>
                <w:bCs w:val="1"/>
                <w:color w:val="auto"/>
              </w:rPr>
              <w:t>July 2, 2017</w:t>
            </w:r>
          </w:p>
        </w:tc>
        <w:tc>
          <w:tcPr>
            <w:tcW w:w="0" w:type="dxa"/>
            <w:vAlign w:val="bottom"/>
          </w:tcPr>
          <w:p>
            <w:pPr>
              <w:spacing w:after="0"/>
              <w:rPr>
                <w:sz w:val="1"/>
                <w:szCs w:val="1"/>
                <w:color w:val="auto"/>
              </w:rPr>
            </w:pPr>
          </w:p>
        </w:tc>
      </w:tr>
      <w:tr>
        <w:trPr>
          <w:trHeight w:val="33"/>
        </w:trPr>
        <w:tc>
          <w:tcPr>
            <w:tcW w:w="6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Units granted</w:t>
            </w:r>
          </w:p>
        </w:tc>
        <w:tc>
          <w:tcPr>
            <w:tcW w:w="17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w w:val="89"/>
              </w:rPr>
              <w:t>361,068</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418,369</w:t>
            </w:r>
          </w:p>
        </w:tc>
        <w:tc>
          <w:tcPr>
            <w:tcW w:w="0" w:type="dxa"/>
            <w:vAlign w:val="bottom"/>
          </w:tcPr>
          <w:p>
            <w:pPr>
              <w:spacing w:after="0"/>
              <w:rPr>
                <w:sz w:val="1"/>
                <w:szCs w:val="1"/>
                <w:color w:val="auto"/>
              </w:rPr>
            </w:pPr>
          </w:p>
        </w:tc>
      </w:tr>
      <w:tr>
        <w:trPr>
          <w:trHeight w:val="243"/>
        </w:trPr>
        <w:tc>
          <w:tcPr>
            <w:tcW w:w="6120" w:type="dxa"/>
            <w:vAlign w:val="bottom"/>
          </w:tcPr>
          <w:p>
            <w:pPr>
              <w:spacing w:after="0"/>
              <w:rPr>
                <w:sz w:val="20"/>
                <w:szCs w:val="20"/>
                <w:color w:val="auto"/>
              </w:rPr>
            </w:pPr>
            <w:r>
              <w:rPr>
                <w:rFonts w:ascii="Arial" w:cs="Arial" w:eastAsia="Arial" w:hAnsi="Arial"/>
                <w:sz w:val="18"/>
                <w:szCs w:val="18"/>
                <w:color w:val="auto"/>
              </w:rPr>
              <w:t>Weighted-average fair value at date of grant</w:t>
            </w:r>
          </w:p>
        </w:tc>
        <w:tc>
          <w:tcPr>
            <w:tcW w:w="1740" w:type="dxa"/>
            <w:vAlign w:val="bottom"/>
            <w:vMerge w:val="restart"/>
          </w:tcPr>
          <w:p>
            <w:pPr>
              <w:jc w:val="right"/>
              <w:ind w:right="1553"/>
              <w:spacing w:after="0"/>
              <w:rPr>
                <w:sz w:val="20"/>
                <w:szCs w:val="20"/>
                <w:color w:val="auto"/>
              </w:rPr>
            </w:pPr>
            <w:r>
              <w:rPr>
                <w:rFonts w:ascii="Arial" w:cs="Arial" w:eastAsia="Arial" w:hAnsi="Arial"/>
                <w:sz w:val="18"/>
                <w:szCs w:val="18"/>
                <w:color w:val="auto"/>
                <w:w w:val="79"/>
              </w:rPr>
              <w:t>$</w:t>
            </w:r>
          </w:p>
        </w:tc>
        <w:tc>
          <w:tcPr>
            <w:tcW w:w="800" w:type="dxa"/>
            <w:vAlign w:val="bottom"/>
            <w:vMerge w:val="restart"/>
          </w:tcPr>
          <w:p>
            <w:pPr>
              <w:jc w:val="right"/>
              <w:ind w:right="111"/>
              <w:spacing w:after="0"/>
              <w:rPr>
                <w:sz w:val="20"/>
                <w:szCs w:val="20"/>
                <w:color w:val="auto"/>
              </w:rPr>
            </w:pPr>
            <w:r>
              <w:rPr>
                <w:rFonts w:ascii="Arial" w:cs="Arial" w:eastAsia="Arial" w:hAnsi="Arial"/>
                <w:sz w:val="18"/>
                <w:szCs w:val="18"/>
                <w:color w:val="auto"/>
              </w:rPr>
              <w:t>97.92</w:t>
            </w:r>
          </w:p>
        </w:tc>
        <w:tc>
          <w:tcPr>
            <w:tcW w:w="100" w:type="dxa"/>
            <w:vAlign w:val="bottom"/>
          </w:tcPr>
          <w:p>
            <w:pPr>
              <w:spacing w:after="0"/>
              <w:rPr>
                <w:sz w:val="21"/>
                <w:szCs w:val="21"/>
                <w:color w:val="auto"/>
              </w:rPr>
            </w:pPr>
          </w:p>
        </w:tc>
        <w:tc>
          <w:tcPr>
            <w:tcW w:w="780" w:type="dxa"/>
            <w:vAlign w:val="bottom"/>
            <w:vMerge w:val="restart"/>
          </w:tcPr>
          <w:p>
            <w:pPr>
              <w:jc w:val="right"/>
              <w:ind w:right="570"/>
              <w:spacing w:after="0"/>
              <w:rPr>
                <w:sz w:val="20"/>
                <w:szCs w:val="20"/>
                <w:color w:val="auto"/>
              </w:rPr>
            </w:pPr>
            <w:r>
              <w:rPr>
                <w:rFonts w:ascii="Arial" w:cs="Arial" w:eastAsia="Arial" w:hAnsi="Arial"/>
                <w:sz w:val="18"/>
                <w:szCs w:val="18"/>
                <w:color w:val="auto"/>
                <w:w w:val="99"/>
              </w:rPr>
              <w:t>$</w:t>
            </w:r>
          </w:p>
        </w:tc>
        <w:tc>
          <w:tcPr>
            <w:tcW w:w="1760" w:type="dxa"/>
            <w:vAlign w:val="bottom"/>
            <w:vMerge w:val="restart"/>
          </w:tcPr>
          <w:p>
            <w:pPr>
              <w:jc w:val="right"/>
              <w:ind w:right="111"/>
              <w:spacing w:after="0"/>
              <w:rPr>
                <w:sz w:val="20"/>
                <w:szCs w:val="20"/>
                <w:color w:val="auto"/>
              </w:rPr>
            </w:pPr>
            <w:r>
              <w:rPr>
                <w:rFonts w:ascii="Arial" w:cs="Arial" w:eastAsia="Arial" w:hAnsi="Arial"/>
                <w:sz w:val="18"/>
                <w:szCs w:val="18"/>
                <w:color w:val="auto"/>
              </w:rPr>
              <w:t>111.06</w:t>
            </w:r>
          </w:p>
        </w:tc>
        <w:tc>
          <w:tcPr>
            <w:tcW w:w="0" w:type="dxa"/>
            <w:vAlign w:val="bottom"/>
          </w:tcPr>
          <w:p>
            <w:pPr>
              <w:spacing w:after="0"/>
              <w:rPr>
                <w:sz w:val="1"/>
                <w:szCs w:val="1"/>
                <w:color w:val="auto"/>
              </w:rPr>
            </w:pPr>
          </w:p>
        </w:tc>
      </w:tr>
      <w:tr>
        <w:trPr>
          <w:trHeight w:val="81"/>
        </w:trPr>
        <w:tc>
          <w:tcPr>
            <w:tcW w:w="6120" w:type="dxa"/>
            <w:vAlign w:val="bottom"/>
          </w:tcPr>
          <w:p>
            <w:pPr>
              <w:spacing w:after="0"/>
              <w:rPr>
                <w:sz w:val="7"/>
                <w:szCs w:val="7"/>
                <w:color w:val="auto"/>
              </w:rPr>
            </w:pPr>
          </w:p>
        </w:tc>
        <w:tc>
          <w:tcPr>
            <w:tcW w:w="174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Monte Carlo simulation assumptions:</w:t>
            </w:r>
          </w:p>
        </w:tc>
        <w:tc>
          <w:tcPr>
            <w:tcW w:w="17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20" w:type="dxa"/>
            <w:vAlign w:val="bottom"/>
          </w:tcPr>
          <w:p>
            <w:pPr>
              <w:ind w:left="360"/>
              <w:spacing w:after="0"/>
              <w:rPr>
                <w:sz w:val="20"/>
                <w:szCs w:val="20"/>
                <w:color w:val="auto"/>
              </w:rPr>
            </w:pPr>
            <w:r>
              <w:rPr>
                <w:rFonts w:ascii="Arial" w:cs="Arial" w:eastAsia="Arial" w:hAnsi="Arial"/>
                <w:sz w:val="18"/>
                <w:szCs w:val="18"/>
                <w:color w:val="auto"/>
              </w:rPr>
              <w:t>Estimated values</w:t>
            </w:r>
          </w:p>
        </w:tc>
        <w:tc>
          <w:tcPr>
            <w:tcW w:w="1740" w:type="dxa"/>
            <w:vAlign w:val="bottom"/>
          </w:tcPr>
          <w:p>
            <w:pPr>
              <w:jc w:val="right"/>
              <w:ind w:right="1553"/>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11"/>
              <w:spacing w:after="0"/>
              <w:rPr>
                <w:sz w:val="20"/>
                <w:szCs w:val="20"/>
                <w:color w:val="auto"/>
              </w:rPr>
            </w:pPr>
            <w:r>
              <w:rPr>
                <w:rFonts w:ascii="Arial" w:cs="Arial" w:eastAsia="Arial" w:hAnsi="Arial"/>
                <w:sz w:val="18"/>
                <w:szCs w:val="18"/>
                <w:color w:val="auto"/>
              </w:rPr>
              <w:t>29.17</w:t>
            </w:r>
          </w:p>
        </w:tc>
        <w:tc>
          <w:tcPr>
            <w:tcW w:w="100" w:type="dxa"/>
            <w:vAlign w:val="bottom"/>
          </w:tcPr>
          <w:p>
            <w:pPr>
              <w:spacing w:after="0"/>
              <w:rPr>
                <w:sz w:val="21"/>
                <w:szCs w:val="21"/>
                <w:color w:val="auto"/>
              </w:rPr>
            </w:pPr>
          </w:p>
        </w:tc>
        <w:tc>
          <w:tcPr>
            <w:tcW w:w="780" w:type="dxa"/>
            <w:vAlign w:val="bottom"/>
          </w:tcPr>
          <w:p>
            <w:pPr>
              <w:jc w:val="right"/>
              <w:ind w:right="57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11"/>
              <w:spacing w:after="0"/>
              <w:rPr>
                <w:sz w:val="20"/>
                <w:szCs w:val="20"/>
                <w:color w:val="auto"/>
              </w:rPr>
            </w:pPr>
            <w:r>
              <w:rPr>
                <w:rFonts w:ascii="Arial" w:cs="Arial" w:eastAsia="Arial" w:hAnsi="Arial"/>
                <w:sz w:val="18"/>
                <w:szCs w:val="18"/>
                <w:color w:val="auto"/>
              </w:rPr>
              <w:t>46.85</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Dividend yields</w:t>
            </w:r>
          </w:p>
        </w:tc>
        <w:tc>
          <w:tcPr>
            <w:tcW w:w="17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6120" w:type="dxa"/>
            <w:vAlign w:val="bottom"/>
          </w:tcPr>
          <w:p>
            <w:pPr>
              <w:ind w:left="360"/>
              <w:spacing w:after="0"/>
              <w:rPr>
                <w:sz w:val="20"/>
                <w:szCs w:val="20"/>
                <w:color w:val="auto"/>
              </w:rPr>
            </w:pPr>
            <w:r>
              <w:rPr>
                <w:rFonts w:ascii="Arial" w:cs="Arial" w:eastAsia="Arial" w:hAnsi="Arial"/>
                <w:sz w:val="18"/>
                <w:szCs w:val="18"/>
                <w:color w:val="auto"/>
              </w:rPr>
              <w:t>Expected volatility</w:t>
            </w:r>
          </w:p>
        </w:tc>
        <w:tc>
          <w:tcPr>
            <w:tcW w:w="17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shares vested totaled $19,740 and $22,206 for the periods ended July 1, 2018 and July 2, 2017, respectively.</w:t>
      </w:r>
    </w:p>
    <w:p>
      <w:pPr>
        <w:spacing w:after="0" w:line="17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Deferred PSUs, deferred RSUs and deferred stock units representing directors’ fees totaled 365,753 units as of July 1, 2018. Each unit is equivalent to one share of the Company’s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w:t>
      </w:r>
    </w:p>
    <w:p>
      <w:pPr>
        <w:spacing w:after="0" w:line="17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Our organizational structure is designed to ensure continued focus on North America, coupled with an emphasis on profitable growth in our focus international markets. Our business is organized around geographic regions, which enables us to build processes for repeatable success in our global markets. As a result, we have defined our operating segments on a geographic basis, as this aligns with how our Chief Operating Decision Maker (“CODM”) manages our business, including resource allocation and performance assessment. Our North America business, which generates approximately 89% of our consolidated revenue, is our only reportable segment. None of our other operating segments meet the quantitative thresholds to qualify as reportable segments; therefore, these operating segments are combined and disclosed below as International and Other.</w:t>
      </w:r>
    </w:p>
    <w:p>
      <w:pPr>
        <w:spacing w:after="0" w:line="120" w:lineRule="exact"/>
        <w:rPr>
          <w:sz w:val="20"/>
          <w:szCs w:val="20"/>
          <w:color w:val="auto"/>
        </w:rPr>
      </w:pPr>
    </w:p>
    <w:p>
      <w:pPr>
        <w:ind w:left="660" w:right="180" w:hanging="328"/>
        <w:spacing w:after="0" w:line="266" w:lineRule="auto"/>
        <w:tabs>
          <w:tab w:leader="none" w:pos="66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North America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segment is responsible for our traditional chocolate and non-chocolate confectionery market position, as well as our grocery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growing snacks market positions, in the United States and Canada. This includes developing and growing our business in chocolate and non-chocolate confectionery, pantry, food service and other snacking product lines.</w:t>
      </w:r>
    </w:p>
    <w:p>
      <w:pPr>
        <w:spacing w:after="0" w:line="122" w:lineRule="exact"/>
        <w:rPr>
          <w:rFonts w:ascii="Arial" w:cs="Arial" w:eastAsia="Arial" w:hAnsi="Arial"/>
          <w:sz w:val="18"/>
          <w:szCs w:val="18"/>
          <w:b w:val="1"/>
          <w:bCs w:val="1"/>
          <w:i w:val="1"/>
          <w:iCs w:val="1"/>
          <w:color w:val="auto"/>
        </w:rPr>
      </w:pPr>
    </w:p>
    <w:p>
      <w:pPr>
        <w:jc w:val="both"/>
        <w:ind w:left="660" w:right="20" w:hanging="328"/>
        <w:spacing w:after="0" w:line="266" w:lineRule="auto"/>
        <w:tabs>
          <w:tab w:leader="none" w:pos="66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International and Other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International and Other is a combination of all other operating segments that are not individually material, including those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geographic regions where we operate outside of North America. We currently have operations and manufacture product in Mexico, Brazil, India and Malaysia, primarily for</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1" w:right="259" w:bottom="1440" w:gutter="0" w:footer="0" w:header="0"/>
        </w:sectPr>
      </w:pPr>
    </w:p>
    <w:bookmarkStart w:id="24" w:name="page25"/>
    <w:bookmarkEnd w:id="24"/>
    <w:p>
      <w:pPr>
        <w:jc w:val="center"/>
        <w:ind w:right="-3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60" w:right="180"/>
        <w:spacing w:after="0" w:line="306" w:lineRule="auto"/>
        <w:rPr>
          <w:sz w:val="20"/>
          <w:szCs w:val="20"/>
          <w:color w:val="auto"/>
        </w:rPr>
      </w:pPr>
      <w:r>
        <w:rPr>
          <w:rFonts w:ascii="Arial" w:cs="Arial" w:eastAsia="Arial" w:hAnsi="Arial"/>
          <w:sz w:val="18"/>
          <w:szCs w:val="18"/>
          <w:color w:val="auto"/>
        </w:rPr>
        <w:t>consumers in these regions, and also distribute and sell confectionery products in export markets of Asia, Latin America, Middle East, Europe, Africa and other regions. This segment also includes our global retail operations, including Hershey's Chocolate World stores in Hershey, Pennsylvania, New York City, Las Vegas, Niagara Falls (Ontario), Dubai, and Singapore, as well as operations associated with licensing the use of certain of the Company's trademarks and products to third parties around the world.</w:t>
      </w:r>
    </w:p>
    <w:p>
      <w:pPr>
        <w:spacing w:after="0" w:line="106"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For segment reporting purposes, we use “segment income” to evaluate segment performance and allocate resources. Segment income excludes unallocated general corporate administrative expenses, unallocated mark-to-market gains and losses on commodity derivatives, business realignment and impairment charges, acquisition-related costs and other unusual gains or losses that are not part of our measurement of segment performance. These items of our operating income are managed centrally at the corporate level and are excluded from the measure of segment income reviewed by the CODM as well the measure of segment performance used for incentive compensation purposes.</w:t>
      </w:r>
    </w:p>
    <w:p>
      <w:pPr>
        <w:spacing w:after="0" w:line="11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Accounting policies associated with our operating segments are generally the same as those described in Note 1 to the Consolidated Financial Statements included in our 2017 Annual Report on Form 10-K.</w:t>
      </w:r>
    </w:p>
    <w:p>
      <w:pPr>
        <w:spacing w:after="0" w:line="11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discussed in Note 5, derivatives used to manage commodity price risk are not designated for hedge accounting treatment. These derivatives are recognized at fair market value with the resulting realized and unrealized losses recognized in unallocated derivative (gains) losses outside of the reporting segment results until the related inventory is sold, at which time the related gains and losses are reallocated to segment income. This enables us to align the derivative gains and losses with the underlying economic exposure being hedged and thereby eliminate the mark-to-market volatility within our reported segment income.</w:t>
      </w:r>
    </w:p>
    <w:p>
      <w:pPr>
        <w:spacing w:after="0" w:line="13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Certain manufacturing, warehousing, distribution and other activities supporting our global operations are integrated to maximize efficiency and productivity. As a result, assets and capital expenditures are not managed on a segment basis and are not included in the information reported to the CODM for the purpose of evaluating performance or allocating resources. We disclose depreciation and amortization that is generated by segment-specific assets, since these amounts are included within the measure of segment income reported to the CODM.</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121" w:right="27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sales and earnings were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40" w:type="dxa"/>
            <w:vAlign w:val="bottom"/>
            <w:gridSpan w:val="5"/>
          </w:tcPr>
          <w:p>
            <w:pPr>
              <w:ind w:left="66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3020" w:type="dxa"/>
            <w:vAlign w:val="bottom"/>
            <w:gridSpan w:val="4"/>
          </w:tcPr>
          <w:p>
            <w:pPr>
              <w:jc w:val="right"/>
              <w:ind w:right="851"/>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4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1"/>
        </w:trPr>
        <w:tc>
          <w:tcPr>
            <w:tcW w:w="4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2"/>
          </w:tcPr>
          <w:p>
            <w:pPr>
              <w:ind w:left="160"/>
              <w:spacing w:after="0"/>
              <w:rPr>
                <w:sz w:val="20"/>
                <w:szCs w:val="20"/>
                <w:color w:val="auto"/>
              </w:rPr>
            </w:pPr>
            <w:r>
              <w:rPr>
                <w:rFonts w:ascii="Arial" w:cs="Arial" w:eastAsia="Arial" w:hAnsi="Arial"/>
                <w:sz w:val="16"/>
                <w:szCs w:val="16"/>
                <w:b w:val="1"/>
                <w:bCs w:val="1"/>
                <w:color w:val="auto"/>
              </w:rPr>
              <w:t>July 1, 2018</w:t>
            </w:r>
          </w:p>
        </w:tc>
        <w:tc>
          <w:tcPr>
            <w:tcW w:w="260" w:type="dxa"/>
            <w:vAlign w:val="bottom"/>
          </w:tcPr>
          <w:p>
            <w:pPr>
              <w:spacing w:after="0"/>
              <w:rPr>
                <w:sz w:val="20"/>
                <w:szCs w:val="20"/>
                <w:color w:val="auto"/>
              </w:rPr>
            </w:pPr>
          </w:p>
        </w:tc>
        <w:tc>
          <w:tcPr>
            <w:tcW w:w="1360" w:type="dxa"/>
            <w:vAlign w:val="bottom"/>
            <w:gridSpan w:val="2"/>
          </w:tcPr>
          <w:p>
            <w:pPr>
              <w:ind w:left="140"/>
              <w:spacing w:after="0"/>
              <w:rPr>
                <w:sz w:val="20"/>
                <w:szCs w:val="20"/>
                <w:color w:val="auto"/>
              </w:rPr>
            </w:pPr>
            <w:r>
              <w:rPr>
                <w:rFonts w:ascii="Arial" w:cs="Arial" w:eastAsia="Arial" w:hAnsi="Arial"/>
                <w:sz w:val="16"/>
                <w:szCs w:val="16"/>
                <w:b w:val="1"/>
                <w:bCs w:val="1"/>
                <w:color w:val="auto"/>
              </w:rPr>
              <w:t>July 2, 2017</w:t>
            </w:r>
          </w:p>
        </w:tc>
        <w:tc>
          <w:tcPr>
            <w:tcW w:w="280" w:type="dxa"/>
            <w:vAlign w:val="bottom"/>
          </w:tcPr>
          <w:p>
            <w:pPr>
              <w:spacing w:after="0"/>
              <w:rPr>
                <w:sz w:val="20"/>
                <w:szCs w:val="20"/>
                <w:color w:val="auto"/>
              </w:rPr>
            </w:pPr>
          </w:p>
        </w:tc>
        <w:tc>
          <w:tcPr>
            <w:tcW w:w="1420" w:type="dxa"/>
            <w:vAlign w:val="bottom"/>
            <w:gridSpan w:val="2"/>
          </w:tcPr>
          <w:p>
            <w:pPr>
              <w:ind w:left="160"/>
              <w:spacing w:after="0"/>
              <w:rPr>
                <w:sz w:val="20"/>
                <w:szCs w:val="20"/>
                <w:color w:val="auto"/>
              </w:rPr>
            </w:pPr>
            <w:r>
              <w:rPr>
                <w:rFonts w:ascii="Arial" w:cs="Arial" w:eastAsia="Arial" w:hAnsi="Arial"/>
                <w:sz w:val="16"/>
                <w:szCs w:val="16"/>
                <w:b w:val="1"/>
                <w:bCs w:val="1"/>
                <w:color w:val="auto"/>
              </w:rPr>
              <w:t>July 1, 2018</w:t>
            </w:r>
          </w:p>
        </w:tc>
        <w:tc>
          <w:tcPr>
            <w:tcW w:w="280" w:type="dxa"/>
            <w:vAlign w:val="bottom"/>
          </w:tcPr>
          <w:p>
            <w:pPr>
              <w:spacing w:after="0"/>
              <w:rPr>
                <w:sz w:val="20"/>
                <w:szCs w:val="20"/>
                <w:color w:val="auto"/>
              </w:rPr>
            </w:pPr>
          </w:p>
        </w:tc>
        <w:tc>
          <w:tcPr>
            <w:tcW w:w="1320" w:type="dxa"/>
            <w:vAlign w:val="bottom"/>
          </w:tcPr>
          <w:p>
            <w:pPr>
              <w:jc w:val="right"/>
              <w:ind w:right="251"/>
              <w:spacing w:after="0"/>
              <w:rPr>
                <w:sz w:val="20"/>
                <w:szCs w:val="20"/>
                <w:color w:val="auto"/>
              </w:rPr>
            </w:pPr>
            <w:r>
              <w:rPr>
                <w:rFonts w:ascii="Arial" w:cs="Arial" w:eastAsia="Arial" w:hAnsi="Arial"/>
                <w:sz w:val="16"/>
                <w:szCs w:val="16"/>
                <w:b w:val="1"/>
                <w:bCs w:val="1"/>
                <w:color w:val="auto"/>
              </w:rPr>
              <w:t>July 2, 2017</w:t>
            </w:r>
          </w:p>
        </w:tc>
      </w:tr>
      <w:tr>
        <w:trPr>
          <w:trHeight w:val="33"/>
        </w:trPr>
        <w:tc>
          <w:tcPr>
            <w:tcW w:w="4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4820" w:type="dxa"/>
            <w:vAlign w:val="bottom"/>
          </w:tcPr>
          <w:p>
            <w:pPr>
              <w:ind w:left="200"/>
              <w:spacing w:after="0"/>
              <w:rPr>
                <w:sz w:val="20"/>
                <w:szCs w:val="20"/>
                <w:color w:val="auto"/>
              </w:rPr>
            </w:pPr>
            <w:r>
              <w:rPr>
                <w:rFonts w:ascii="Arial" w:cs="Arial" w:eastAsia="Arial" w:hAnsi="Arial"/>
                <w:sz w:val="18"/>
                <w:szCs w:val="18"/>
                <w:color w:val="auto"/>
              </w:rPr>
              <w:t>North America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1,559,952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1,477,014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3,311,640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91"/>
              <w:spacing w:after="0"/>
              <w:rPr>
                <w:sz w:val="20"/>
                <w:szCs w:val="20"/>
                <w:color w:val="auto"/>
              </w:rPr>
            </w:pPr>
            <w:r>
              <w:rPr>
                <w:rFonts w:ascii="Arial" w:cs="Arial" w:eastAsia="Arial" w:hAnsi="Arial"/>
                <w:sz w:val="18"/>
                <w:szCs w:val="18"/>
                <w:color w:val="auto"/>
              </w:rPr>
              <w:t>3,154,160</w:t>
            </w:r>
          </w:p>
        </w:tc>
      </w:tr>
      <w:tr>
        <w:trPr>
          <w:trHeight w:val="27"/>
        </w:trPr>
        <w:tc>
          <w:tcPr>
            <w:tcW w:w="4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International and Other</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191,663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185,977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411,934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388,509</w:t>
            </w:r>
          </w:p>
        </w:tc>
      </w:tr>
      <w:tr>
        <w:trPr>
          <w:trHeight w:val="297"/>
        </w:trPr>
        <w:tc>
          <w:tcPr>
            <w:tcW w:w="48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1,751,615</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1,662,991</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3,723,574</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3,542,669</w:t>
            </w:r>
          </w:p>
        </w:tc>
      </w:tr>
      <w:tr>
        <w:trPr>
          <w:trHeight w:val="311"/>
        </w:trPr>
        <w:tc>
          <w:tcPr>
            <w:tcW w:w="48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Segment income:</w:t>
            </w: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4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North America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443,859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460,048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978,285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1,012,807</w:t>
            </w:r>
          </w:p>
        </w:tc>
      </w:tr>
      <w:tr>
        <w:trPr>
          <w:trHeight w:val="243"/>
        </w:trPr>
        <w:tc>
          <w:tcPr>
            <w:tcW w:w="4820" w:type="dxa"/>
            <w:vAlign w:val="bottom"/>
          </w:tcPr>
          <w:p>
            <w:pPr>
              <w:ind w:left="200"/>
              <w:spacing w:after="0"/>
              <w:rPr>
                <w:sz w:val="20"/>
                <w:szCs w:val="20"/>
                <w:color w:val="auto"/>
              </w:rPr>
            </w:pPr>
            <w:r>
              <w:rPr>
                <w:rFonts w:ascii="Arial" w:cs="Arial" w:eastAsia="Arial" w:hAnsi="Arial"/>
                <w:sz w:val="18"/>
                <w:szCs w:val="18"/>
                <w:color w:val="auto"/>
              </w:rPr>
              <w:t>International and Other</w:t>
            </w:r>
          </w:p>
        </w:tc>
        <w:tc>
          <w:tcPr>
            <w:tcW w:w="260" w:type="dxa"/>
            <w:vAlign w:val="bottom"/>
          </w:tcPr>
          <w:p>
            <w:pPr>
              <w:spacing w:after="0"/>
              <w:rPr>
                <w:sz w:val="21"/>
                <w:szCs w:val="21"/>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16,627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8,368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34,307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91"/>
              <w:spacing w:after="0"/>
              <w:rPr>
                <w:sz w:val="20"/>
                <w:szCs w:val="20"/>
                <w:color w:val="auto"/>
              </w:rPr>
            </w:pPr>
            <w:r>
              <w:rPr>
                <w:rFonts w:ascii="Arial" w:cs="Arial" w:eastAsia="Arial" w:hAnsi="Arial"/>
                <w:sz w:val="18"/>
                <w:szCs w:val="18"/>
                <w:color w:val="auto"/>
              </w:rPr>
              <w:t>10,091</w:t>
            </w:r>
          </w:p>
        </w:tc>
      </w:tr>
      <w:tr>
        <w:trPr>
          <w:trHeight w:val="27"/>
        </w:trPr>
        <w:tc>
          <w:tcPr>
            <w:tcW w:w="4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segment income (1)</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460,486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468,416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1,012,592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1,022,898</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Unallocated corporate expense (2)</w:t>
            </w:r>
          </w:p>
        </w:tc>
        <w:tc>
          <w:tcPr>
            <w:tcW w:w="260" w:type="dxa"/>
            <w:vAlign w:val="bottom"/>
          </w:tcPr>
          <w:p>
            <w:pPr>
              <w:spacing w:after="0"/>
              <w:rPr>
                <w:sz w:val="21"/>
                <w:szCs w:val="21"/>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121,006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121,903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244,973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91"/>
              <w:spacing w:after="0"/>
              <w:rPr>
                <w:sz w:val="20"/>
                <w:szCs w:val="20"/>
                <w:color w:val="auto"/>
              </w:rPr>
            </w:pPr>
            <w:r>
              <w:rPr>
                <w:rFonts w:ascii="Arial" w:cs="Arial" w:eastAsia="Arial" w:hAnsi="Arial"/>
                <w:sz w:val="18"/>
                <w:szCs w:val="18"/>
                <w:color w:val="auto"/>
              </w:rPr>
              <w:t>240,236</w:t>
            </w:r>
          </w:p>
        </w:tc>
      </w:tr>
      <w:tr>
        <w:trPr>
          <w:trHeight w:val="27"/>
        </w:trPr>
        <w:tc>
          <w:tcPr>
            <w:tcW w:w="4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4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Unallocated mark-to-market (gains) losses on commodity</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7"/>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(20,831)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11,556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(117,081)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(5,532)</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Long-lived asset impairment charges</w:t>
            </w:r>
          </w:p>
        </w:tc>
        <w:tc>
          <w:tcPr>
            <w:tcW w:w="260" w:type="dxa"/>
            <w:vAlign w:val="bottom"/>
          </w:tcPr>
          <w:p>
            <w:pPr>
              <w:spacing w:after="0"/>
              <w:rPr>
                <w:sz w:val="21"/>
                <w:szCs w:val="21"/>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27,168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27,168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91"/>
              <w:spacing w:after="0"/>
              <w:rPr>
                <w:sz w:val="20"/>
                <w:szCs w:val="20"/>
                <w:color w:val="auto"/>
              </w:rPr>
            </w:pPr>
            <w:r>
              <w:rPr>
                <w:rFonts w:ascii="Arial" w:cs="Arial" w:eastAsia="Arial" w:hAnsi="Arial"/>
                <w:sz w:val="18"/>
                <w:szCs w:val="18"/>
                <w:color w:val="auto"/>
              </w:rPr>
              <w:t>208,712</w:t>
            </w:r>
          </w:p>
        </w:tc>
      </w:tr>
      <w:tr>
        <w:trPr>
          <w:trHeight w:val="27"/>
        </w:trPr>
        <w:tc>
          <w:tcPr>
            <w:tcW w:w="4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associated with business realignment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15,296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31,247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61,442</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Acquisition-related costs</w:t>
            </w:r>
          </w:p>
        </w:tc>
        <w:tc>
          <w:tcPr>
            <w:tcW w:w="260" w:type="dxa"/>
            <w:vAlign w:val="bottom"/>
          </w:tcPr>
          <w:p>
            <w:pPr>
              <w:spacing w:after="0"/>
              <w:rPr>
                <w:sz w:val="21"/>
                <w:szCs w:val="21"/>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4,781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32,707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91"/>
              <w:spacing w:after="0"/>
              <w:rPr>
                <w:sz w:val="20"/>
                <w:szCs w:val="20"/>
                <w:color w:val="auto"/>
              </w:rPr>
            </w:pPr>
            <w:r>
              <w:rPr>
                <w:rFonts w:ascii="Arial" w:cs="Arial" w:eastAsia="Arial" w:hAnsi="Arial"/>
                <w:sz w:val="18"/>
                <w:szCs w:val="18"/>
                <w:color w:val="auto"/>
              </w:rPr>
              <w:t>311</w:t>
            </w:r>
          </w:p>
        </w:tc>
      </w:tr>
      <w:tr>
        <w:trPr>
          <w:trHeight w:val="27"/>
        </w:trPr>
        <w:tc>
          <w:tcPr>
            <w:tcW w:w="4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licensing rights</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(2,658)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(2,658)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37"/>
        </w:trPr>
        <w:tc>
          <w:tcPr>
            <w:tcW w:w="482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315,724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320,492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796,236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517,729</w:t>
            </w:r>
          </w:p>
        </w:tc>
      </w:tr>
      <w:tr>
        <w:trPr>
          <w:trHeight w:val="27"/>
        </w:trPr>
        <w:tc>
          <w:tcPr>
            <w:tcW w:w="4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34,952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24,126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64,291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47,867</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21"/>
                <w:szCs w:val="21"/>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20,766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15,249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22,708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91"/>
              <w:spacing w:after="0"/>
              <w:rPr>
                <w:sz w:val="20"/>
                <w:szCs w:val="20"/>
                <w:color w:val="auto"/>
              </w:rPr>
            </w:pPr>
            <w:r>
              <w:rPr>
                <w:rFonts w:ascii="Arial" w:cs="Arial" w:eastAsia="Arial" w:hAnsi="Arial"/>
                <w:sz w:val="18"/>
                <w:szCs w:val="18"/>
                <w:color w:val="auto"/>
              </w:rPr>
              <w:t>20,384</w:t>
            </w:r>
          </w:p>
        </w:tc>
      </w:tr>
      <w:tr>
        <w:trPr>
          <w:trHeight w:val="27"/>
        </w:trPr>
        <w:tc>
          <w:tcPr>
            <w:tcW w:w="4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260,006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281,117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709,237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449,478</w:t>
            </w:r>
          </w:p>
        </w:tc>
      </w:tr>
      <w:tr>
        <w:trPr>
          <w:trHeight w:val="20"/>
        </w:trPr>
        <w:tc>
          <w:tcPr>
            <w:tcW w:w="4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340" w:right="26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Segment income for the three and six months ended July 2, 2017 have been revised to conform to the current definition of segment income, which has been updated for the exclusion of certain pension-related costs.</w:t>
      </w:r>
    </w:p>
    <w:p>
      <w:pPr>
        <w:spacing w:after="0" w:line="35" w:lineRule="exact"/>
        <w:rPr>
          <w:rFonts w:ascii="Arial" w:cs="Arial" w:eastAsia="Arial" w:hAnsi="Arial"/>
          <w:sz w:val="18"/>
          <w:szCs w:val="18"/>
          <w:color w:val="auto"/>
        </w:rPr>
      </w:pPr>
    </w:p>
    <w:p>
      <w:pPr>
        <w:ind w:left="340" w:right="340" w:hanging="332"/>
        <w:spacing w:after="0" w:line="312"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and (d) other gains or losses that are not integral to segment performance.</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Activity within the unallocated mark-to-market (gains) losses on commodity derivatives is as follows:</w:t>
      </w:r>
    </w:p>
    <w:p>
      <w:pPr>
        <w:sectPr>
          <w:pgSz w:w="11900" w:h="16838" w:orient="portrait"/>
          <w:cols w:equalWidth="0" w:num="1">
            <w:col w:w="11420"/>
          </w:cols>
          <w:pgMar w:left="240" w:top="121" w:right="239" w:bottom="1440" w:gutter="0" w:footer="0" w:header="0"/>
        </w:sectPr>
      </w:pPr>
    </w:p>
    <w:p>
      <w:pPr>
        <w:spacing w:after="0" w:line="185" w:lineRule="exact"/>
        <w:rPr>
          <w:sz w:val="20"/>
          <w:szCs w:val="20"/>
          <w:color w:val="auto"/>
        </w:rPr>
      </w:pPr>
    </w:p>
    <w:p>
      <w:pPr>
        <w:jc w:val="center"/>
        <w:ind w:left="552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37465</wp:posOffset>
            </wp:positionV>
            <wp:extent cx="19723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80" w:lineRule="exact"/>
        <w:rPr>
          <w:sz w:val="20"/>
          <w:szCs w:val="20"/>
          <w:color w:val="auto"/>
        </w:rPr>
      </w:pPr>
    </w:p>
    <w:p>
      <w:pPr>
        <w:ind w:left="5540"/>
        <w:spacing w:after="0"/>
        <w:tabs>
          <w:tab w:leader="none" w:pos="7140" w:val="left"/>
        </w:tabs>
        <w:rPr>
          <w:sz w:val="20"/>
          <w:szCs w:val="20"/>
          <w:color w:val="auto"/>
        </w:rPr>
      </w:pPr>
      <w:r>
        <w:rPr>
          <w:rFonts w:ascii="Arial" w:cs="Arial" w:eastAsia="Arial" w:hAnsi="Arial"/>
          <w:sz w:val="16"/>
          <w:szCs w:val="16"/>
          <w:b w:val="1"/>
          <w:bCs w:val="1"/>
          <w:color w:val="auto"/>
        </w:rPr>
        <w:t>July 1, 2018</w:t>
      </w:r>
      <w:r>
        <w:rPr>
          <w:sz w:val="20"/>
          <w:szCs w:val="20"/>
          <w:color w:val="auto"/>
        </w:rPr>
        <w:tab/>
      </w:r>
      <w:r>
        <w:rPr>
          <w:rFonts w:ascii="Arial" w:cs="Arial" w:eastAsia="Arial" w:hAnsi="Arial"/>
          <w:sz w:val="14"/>
          <w:szCs w:val="14"/>
          <w:b w:val="1"/>
          <w:bCs w:val="1"/>
          <w:color w:val="auto"/>
        </w:rPr>
        <w:t>July 2, 2017</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ind w:right="260"/>
        <w:spacing w:after="0"/>
        <w:rPr>
          <w:sz w:val="20"/>
          <w:szCs w:val="20"/>
          <w:color w:val="auto"/>
        </w:rPr>
      </w:pPr>
      <w:r>
        <w:rPr>
          <w:rFonts w:ascii="Arial" w:cs="Arial" w:eastAsia="Arial" w:hAnsi="Arial"/>
          <w:sz w:val="16"/>
          <w:szCs w:val="16"/>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37465</wp:posOffset>
            </wp:positionV>
            <wp:extent cx="19380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80" w:lineRule="exact"/>
        <w:rPr>
          <w:sz w:val="20"/>
          <w:szCs w:val="20"/>
          <w:color w:val="auto"/>
        </w:rPr>
      </w:pPr>
    </w:p>
    <w:p>
      <w:pPr>
        <w:spacing w:after="0"/>
        <w:tabs>
          <w:tab w:leader="none" w:pos="1560" w:val="left"/>
        </w:tabs>
        <w:rPr>
          <w:sz w:val="20"/>
          <w:szCs w:val="20"/>
          <w:color w:val="auto"/>
        </w:rPr>
      </w:pPr>
      <w:r>
        <w:rPr>
          <w:rFonts w:ascii="Arial" w:cs="Arial" w:eastAsia="Arial" w:hAnsi="Arial"/>
          <w:sz w:val="16"/>
          <w:szCs w:val="16"/>
          <w:b w:val="1"/>
          <w:bCs w:val="1"/>
          <w:color w:val="auto"/>
        </w:rPr>
        <w:t>July 1, 2018</w:t>
      </w:r>
      <w:r>
        <w:rPr>
          <w:sz w:val="20"/>
          <w:szCs w:val="20"/>
          <w:color w:val="auto"/>
        </w:rPr>
        <w:tab/>
      </w:r>
      <w:r>
        <w:rPr>
          <w:rFonts w:ascii="Arial" w:cs="Arial" w:eastAsia="Arial" w:hAnsi="Arial"/>
          <w:sz w:val="14"/>
          <w:szCs w:val="14"/>
          <w:b w:val="1"/>
          <w:bCs w:val="1"/>
          <w:color w:val="auto"/>
        </w:rPr>
        <w:t>July 2, 2017</w:t>
      </w:r>
    </w:p>
    <w:p>
      <w:pPr>
        <w:spacing w:after="0" w:line="39" w:lineRule="exact"/>
        <w:rPr>
          <w:sz w:val="20"/>
          <w:szCs w:val="20"/>
          <w:color w:val="auto"/>
        </w:rPr>
      </w:pPr>
    </w:p>
    <w:p>
      <w:pPr>
        <w:sectPr>
          <w:pgSz w:w="11900" w:h="16838" w:orient="portrait"/>
          <w:cols w:equalWidth="0" w:num="2">
            <w:col w:w="8020" w:space="720"/>
            <w:col w:w="268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(gains) losses on mark-to-market valuation of commodity</w:t>
            </w:r>
          </w:p>
        </w:tc>
        <w:tc>
          <w:tcPr>
            <w:tcW w:w="48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positions recognized in income</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w:t>
            </w:r>
          </w:p>
        </w:tc>
        <w:tc>
          <w:tcPr>
            <w:tcW w:w="5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32,519</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(66,773)</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38,055</w:t>
            </w:r>
          </w:p>
        </w:tc>
        <w:tc>
          <w:tcPr>
            <w:tcW w:w="0" w:type="dxa"/>
            <w:vAlign w:val="bottom"/>
          </w:tcPr>
          <w:p>
            <w:pPr>
              <w:spacing w:after="0"/>
              <w:rPr>
                <w:sz w:val="1"/>
                <w:szCs w:val="1"/>
                <w:color w:val="auto"/>
              </w:rPr>
            </w:pP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rPr>
              <w:t>Net losses on commodity derivative positions reclassified from</w:t>
            </w: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unallocated to segment income</w:t>
            </w:r>
          </w:p>
        </w:tc>
        <w:tc>
          <w:tcPr>
            <w:tcW w:w="480" w:type="dxa"/>
            <w:vAlign w:val="bottom"/>
          </w:tcPr>
          <w:p>
            <w:pPr>
              <w:spacing w:after="0"/>
              <w:rPr>
                <w:sz w:val="20"/>
                <w:szCs w:val="20"/>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20,648</w:t>
            </w:r>
          </w:p>
        </w:tc>
        <w:tc>
          <w:tcPr>
            <w:tcW w:w="5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20,963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50,308</w:t>
            </w:r>
          </w:p>
        </w:tc>
        <w:tc>
          <w:tcPr>
            <w:tcW w:w="5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43,587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(gains) losses on mark-to-market valuation of commodity</w:t>
            </w:r>
          </w:p>
        </w:tc>
        <w:tc>
          <w:tcPr>
            <w:tcW w:w="48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(20,831)</w:t>
            </w:r>
          </w:p>
        </w:tc>
        <w:tc>
          <w:tcPr>
            <w:tcW w:w="58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11,556</w:t>
            </w:r>
          </w:p>
        </w:tc>
        <w:tc>
          <w:tcPr>
            <w:tcW w:w="100" w:type="dxa"/>
            <w:vAlign w:val="bottom"/>
            <w:shd w:val="clear" w:color="auto" w:fill="CCEEFF"/>
          </w:tcPr>
          <w:p>
            <w:pPr>
              <w:spacing w:after="0"/>
              <w:rPr>
                <w:sz w:val="18"/>
                <w:szCs w:val="18"/>
                <w:color w:val="auto"/>
              </w:rPr>
            </w:pPr>
          </w:p>
        </w:tc>
        <w:tc>
          <w:tcPr>
            <w:tcW w:w="42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(117,081)</w:t>
            </w:r>
          </w:p>
        </w:tc>
        <w:tc>
          <w:tcPr>
            <w:tcW w:w="56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(5,532)</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positions recognized in unallocated derivative gains</w:t>
            </w:r>
          </w:p>
        </w:tc>
        <w:tc>
          <w:tcPr>
            <w:tcW w:w="48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58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56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As of July 1, 2018, the cumulative amount of mark-to-market losses on commodity derivatives that have been recognized in our consolidated cost of sales and not yet allocated to reportable segments was $10,865. Based on our forecasts of the timing of the recognition of the underlying hedged items, we expect to reclassify net pretax losses on commodity derivatives of $41,445 to segment operating results in the next twelve months.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type w:val="continuous"/>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included within segment income presented above is as follows:</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40" w:type="dxa"/>
            <w:vAlign w:val="bottom"/>
            <w:gridSpan w:val="4"/>
          </w:tcPr>
          <w:p>
            <w:pPr>
              <w:jc w:val="right"/>
              <w:ind w:right="892"/>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8"/>
                <w:szCs w:val="18"/>
                <w:color w:val="auto"/>
              </w:rPr>
            </w:pPr>
          </w:p>
        </w:tc>
        <w:tc>
          <w:tcPr>
            <w:tcW w:w="3200" w:type="dxa"/>
            <w:vAlign w:val="bottom"/>
            <w:gridSpan w:val="4"/>
          </w:tcPr>
          <w:p>
            <w:pPr>
              <w:jc w:val="right"/>
              <w:ind w:right="952"/>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4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1"/>
        </w:trPr>
        <w:tc>
          <w:tcPr>
            <w:tcW w:w="4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20" w:type="dxa"/>
            <w:vAlign w:val="bottom"/>
            <w:gridSpan w:val="2"/>
          </w:tcPr>
          <w:p>
            <w:pPr>
              <w:ind w:left="180"/>
              <w:spacing w:after="0"/>
              <w:rPr>
                <w:sz w:val="20"/>
                <w:szCs w:val="20"/>
                <w:color w:val="auto"/>
              </w:rPr>
            </w:pPr>
            <w:r>
              <w:rPr>
                <w:rFonts w:ascii="Arial" w:cs="Arial" w:eastAsia="Arial" w:hAnsi="Arial"/>
                <w:sz w:val="16"/>
                <w:szCs w:val="16"/>
                <w:b w:val="1"/>
                <w:bCs w:val="1"/>
                <w:color w:val="auto"/>
              </w:rPr>
              <w:t>July 1, 2018</w:t>
            </w:r>
          </w:p>
        </w:tc>
        <w:tc>
          <w:tcPr>
            <w:tcW w:w="300" w:type="dxa"/>
            <w:vAlign w:val="bottom"/>
          </w:tcPr>
          <w:p>
            <w:pPr>
              <w:spacing w:after="0"/>
              <w:rPr>
                <w:sz w:val="20"/>
                <w:szCs w:val="20"/>
                <w:color w:val="auto"/>
              </w:rPr>
            </w:pPr>
          </w:p>
        </w:tc>
        <w:tc>
          <w:tcPr>
            <w:tcW w:w="1420" w:type="dxa"/>
            <w:vAlign w:val="bottom"/>
          </w:tcPr>
          <w:p>
            <w:pPr>
              <w:jc w:val="right"/>
              <w:ind w:right="312"/>
              <w:spacing w:after="0"/>
              <w:rPr>
                <w:sz w:val="20"/>
                <w:szCs w:val="20"/>
                <w:color w:val="auto"/>
              </w:rPr>
            </w:pPr>
            <w:r>
              <w:rPr>
                <w:rFonts w:ascii="Arial" w:cs="Arial" w:eastAsia="Arial" w:hAnsi="Arial"/>
                <w:sz w:val="16"/>
                <w:szCs w:val="16"/>
                <w:b w:val="1"/>
                <w:bCs w:val="1"/>
                <w:color w:val="auto"/>
              </w:rPr>
              <w:t>July 2, 2017</w:t>
            </w:r>
          </w:p>
        </w:tc>
        <w:tc>
          <w:tcPr>
            <w:tcW w:w="400" w:type="dxa"/>
            <w:vAlign w:val="bottom"/>
          </w:tcPr>
          <w:p>
            <w:pPr>
              <w:spacing w:after="0"/>
              <w:rPr>
                <w:sz w:val="20"/>
                <w:szCs w:val="20"/>
                <w:color w:val="auto"/>
              </w:rPr>
            </w:pPr>
          </w:p>
        </w:tc>
        <w:tc>
          <w:tcPr>
            <w:tcW w:w="1500" w:type="dxa"/>
            <w:vAlign w:val="bottom"/>
            <w:gridSpan w:val="2"/>
          </w:tcPr>
          <w:p>
            <w:pPr>
              <w:ind w:left="180"/>
              <w:spacing w:after="0"/>
              <w:rPr>
                <w:sz w:val="20"/>
                <w:szCs w:val="20"/>
                <w:color w:val="auto"/>
              </w:rPr>
            </w:pPr>
            <w:r>
              <w:rPr>
                <w:rFonts w:ascii="Arial" w:cs="Arial" w:eastAsia="Arial" w:hAnsi="Arial"/>
                <w:sz w:val="16"/>
                <w:szCs w:val="16"/>
                <w:b w:val="1"/>
                <w:bCs w:val="1"/>
                <w:color w:val="auto"/>
              </w:rPr>
              <w:t>July 1, 2018</w:t>
            </w:r>
          </w:p>
        </w:tc>
        <w:tc>
          <w:tcPr>
            <w:tcW w:w="300" w:type="dxa"/>
            <w:vAlign w:val="bottom"/>
          </w:tcPr>
          <w:p>
            <w:pPr>
              <w:spacing w:after="0"/>
              <w:rPr>
                <w:sz w:val="20"/>
                <w:szCs w:val="20"/>
                <w:color w:val="auto"/>
              </w:rPr>
            </w:pPr>
          </w:p>
        </w:tc>
        <w:tc>
          <w:tcPr>
            <w:tcW w:w="1400" w:type="dxa"/>
            <w:vAlign w:val="bottom"/>
          </w:tcPr>
          <w:p>
            <w:pPr>
              <w:jc w:val="right"/>
              <w:ind w:right="292"/>
              <w:spacing w:after="0"/>
              <w:rPr>
                <w:sz w:val="20"/>
                <w:szCs w:val="20"/>
                <w:color w:val="auto"/>
              </w:rPr>
            </w:pPr>
            <w:r>
              <w:rPr>
                <w:rFonts w:ascii="Arial" w:cs="Arial" w:eastAsia="Arial" w:hAnsi="Arial"/>
                <w:sz w:val="16"/>
                <w:szCs w:val="16"/>
                <w:b w:val="1"/>
                <w:bCs w:val="1"/>
                <w:color w:val="auto"/>
              </w:rPr>
              <w:t>July 2, 2017</w:t>
            </w:r>
          </w:p>
        </w:tc>
      </w:tr>
      <w:tr>
        <w:trPr>
          <w:trHeight w:val="33"/>
        </w:trPr>
        <w:tc>
          <w:tcPr>
            <w:tcW w:w="4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52,186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41,751</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100,171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82,988</w:t>
            </w: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32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6,542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9,747</w:t>
            </w:r>
          </w:p>
        </w:tc>
        <w:tc>
          <w:tcPr>
            <w:tcW w:w="40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20,830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22,713</w:t>
            </w:r>
          </w:p>
        </w:tc>
      </w:tr>
      <w:tr>
        <w:trPr>
          <w:trHeight w:val="27"/>
        </w:trPr>
        <w:tc>
          <w:tcPr>
            <w:tcW w:w="4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(1)</w:t>
            </w:r>
          </w:p>
        </w:tc>
        <w:tc>
          <w:tcPr>
            <w:tcW w:w="3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17,852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15,629</w:t>
            </w:r>
          </w:p>
        </w:tc>
        <w:tc>
          <w:tcPr>
            <w:tcW w:w="4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29,995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26,378</w:t>
            </w:r>
          </w:p>
        </w:tc>
      </w:tr>
      <w:tr>
        <w:trPr>
          <w:trHeight w:val="257"/>
        </w:trPr>
        <w:tc>
          <w:tcPr>
            <w:tcW w:w="422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76,580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67,127</w:t>
            </w:r>
          </w:p>
        </w:tc>
        <w:tc>
          <w:tcPr>
            <w:tcW w:w="4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150,996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132,079</w:t>
            </w:r>
          </w:p>
        </w:tc>
      </w:tr>
      <w:tr>
        <w:trPr>
          <w:trHeight w:val="20"/>
        </w:trPr>
        <w:tc>
          <w:tcPr>
            <w:tcW w:w="4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340" w:right="32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Corporate includes non-cash asset-related accelerated depreciation and amortization related to business realignment activities, as discussed in Note 8. Such amounts are not included within our measure of segment income.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TREASURY STOCK ACTIVITY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treasury stock activity is as follows:</w:t>
      </w:r>
    </w:p>
    <w:p>
      <w:pPr>
        <w:spacing w:after="0" w:line="185" w:lineRule="exact"/>
        <w:rPr>
          <w:sz w:val="20"/>
          <w:szCs w:val="20"/>
          <w:color w:val="auto"/>
        </w:rPr>
      </w:pPr>
    </w:p>
    <w:p>
      <w:pPr>
        <w:ind w:left="8000"/>
        <w:spacing w:after="0"/>
        <w:rPr>
          <w:sz w:val="20"/>
          <w:szCs w:val="20"/>
          <w:color w:val="auto"/>
        </w:rPr>
      </w:pPr>
      <w:r>
        <w:rPr>
          <w:rFonts w:ascii="Arial" w:cs="Arial" w:eastAsia="Arial" w:hAnsi="Arial"/>
          <w:sz w:val="16"/>
          <w:szCs w:val="16"/>
          <w:b w:val="1"/>
          <w:bCs w:val="1"/>
          <w:color w:val="auto"/>
        </w:rPr>
        <w:t>Six Months Ended July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37465</wp:posOffset>
            </wp:positionV>
            <wp:extent cx="27787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60" w:type="dxa"/>
            <w:vAlign w:val="bottom"/>
          </w:tcPr>
          <w:p>
            <w:pPr>
              <w:spacing w:after="0"/>
              <w:rPr>
                <w:sz w:val="18"/>
                <w:szCs w:val="18"/>
                <w:color w:val="auto"/>
              </w:rPr>
            </w:pPr>
          </w:p>
        </w:tc>
        <w:tc>
          <w:tcPr>
            <w:tcW w:w="1320" w:type="dxa"/>
            <w:vAlign w:val="bottom"/>
          </w:tcPr>
          <w:p>
            <w:pPr>
              <w:ind w:left="840"/>
              <w:spacing w:after="0"/>
              <w:rPr>
                <w:sz w:val="20"/>
                <w:szCs w:val="20"/>
                <w:color w:val="auto"/>
              </w:rPr>
            </w:pPr>
            <w:r>
              <w:rPr>
                <w:rFonts w:ascii="Arial" w:cs="Arial" w:eastAsia="Arial" w:hAnsi="Arial"/>
                <w:sz w:val="16"/>
                <w:szCs w:val="16"/>
                <w:b w:val="1"/>
                <w:bCs w:val="1"/>
                <w:color w:val="auto"/>
                <w:w w:val="86"/>
              </w:rPr>
              <w:t>Shares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jc w:val="right"/>
              <w:ind w:right="733"/>
              <w:spacing w:after="0"/>
              <w:rPr>
                <w:sz w:val="20"/>
                <w:szCs w:val="20"/>
                <w:color w:val="auto"/>
              </w:rPr>
            </w:pPr>
            <w:r>
              <w:rPr>
                <w:rFonts w:ascii="Arial" w:cs="Arial" w:eastAsia="Arial" w:hAnsi="Arial"/>
                <w:sz w:val="16"/>
                <w:szCs w:val="16"/>
                <w:b w:val="1"/>
                <w:bCs w:val="1"/>
                <w:color w:val="auto"/>
              </w:rPr>
              <w:t>Dollars</w:t>
            </w:r>
          </w:p>
        </w:tc>
      </w:tr>
      <w:tr>
        <w:trPr>
          <w:trHeight w:val="47"/>
        </w:trPr>
        <w:tc>
          <w:tcPr>
            <w:tcW w:w="6860" w:type="dxa"/>
            <w:vAlign w:val="bottom"/>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r>
      <w:tr>
        <w:trPr>
          <w:trHeight w:val="217"/>
        </w:trPr>
        <w:tc>
          <w:tcPr>
            <w:tcW w:w="68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jc w:val="right"/>
              <w:ind w:right="533"/>
              <w:spacing w:after="0"/>
              <w:rPr>
                <w:sz w:val="20"/>
                <w:szCs w:val="20"/>
                <w:color w:val="auto"/>
              </w:rPr>
            </w:pPr>
            <w:r>
              <w:rPr>
                <w:rFonts w:ascii="Arial" w:cs="Arial" w:eastAsia="Arial" w:hAnsi="Arial"/>
                <w:sz w:val="16"/>
                <w:szCs w:val="16"/>
                <w:b w:val="1"/>
                <w:bCs w:val="1"/>
                <w:color w:val="auto"/>
              </w:rPr>
              <w:t>In thousands</w:t>
            </w:r>
          </w:p>
        </w:tc>
      </w:tr>
      <w:tr>
        <w:trPr>
          <w:trHeight w:val="47"/>
        </w:trPr>
        <w:tc>
          <w:tcPr>
            <w:tcW w:w="68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760" w:type="dxa"/>
            <w:vAlign w:val="bottom"/>
          </w:tcPr>
          <w:p>
            <w:pPr>
              <w:spacing w:after="0"/>
              <w:rPr>
                <w:sz w:val="4"/>
                <w:szCs w:val="4"/>
                <w:color w:val="auto"/>
              </w:rPr>
            </w:pPr>
          </w:p>
        </w:tc>
      </w:tr>
      <w:tr>
        <w:trPr>
          <w:trHeight w:val="250"/>
        </w:trPr>
        <w:tc>
          <w:tcPr>
            <w:tcW w:w="8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Shares repurchased in the open market under pre-approved share repurchase programs</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1,406,093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140,000</w:t>
            </w:r>
          </w:p>
        </w:tc>
      </w:tr>
      <w:tr>
        <w:trPr>
          <w:trHeight w:val="229"/>
        </w:trPr>
        <w:tc>
          <w:tcPr>
            <w:tcW w:w="8180" w:type="dxa"/>
            <w:vAlign w:val="bottom"/>
            <w:gridSpan w:val="2"/>
          </w:tcPr>
          <w:p>
            <w:pPr>
              <w:ind w:left="40"/>
              <w:spacing w:after="0"/>
              <w:rPr>
                <w:sz w:val="20"/>
                <w:szCs w:val="20"/>
                <w:color w:val="auto"/>
              </w:rPr>
            </w:pPr>
            <w:r>
              <w:rPr>
                <w:rFonts w:ascii="Arial" w:cs="Arial" w:eastAsia="Arial" w:hAnsi="Arial"/>
                <w:sz w:val="18"/>
                <w:szCs w:val="18"/>
                <w:color w:val="auto"/>
              </w:rPr>
              <w:t>Shares repurchased to replace Treasury Stock issued for stock options and incentive</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30"/>
        </w:trPr>
        <w:tc>
          <w:tcPr>
            <w:tcW w:w="8180" w:type="dxa"/>
            <w:vAlign w:val="bottom"/>
            <w:gridSpan w:val="2"/>
          </w:tcPr>
          <w:p>
            <w:pPr>
              <w:ind w:left="40"/>
              <w:spacing w:after="0"/>
              <w:rPr>
                <w:sz w:val="20"/>
                <w:szCs w:val="20"/>
                <w:color w:val="auto"/>
              </w:rPr>
            </w:pPr>
            <w:r>
              <w:rPr>
                <w:rFonts w:ascii="Arial" w:cs="Arial" w:eastAsia="Arial" w:hAnsi="Arial"/>
                <w:sz w:val="18"/>
                <w:szCs w:val="18"/>
                <w:color w:val="auto"/>
              </w:rPr>
              <w:t>compensation</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615,719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60" w:type="dxa"/>
            <w:vAlign w:val="bottom"/>
          </w:tcPr>
          <w:p>
            <w:pPr>
              <w:jc w:val="right"/>
              <w:ind w:right="13"/>
              <w:spacing w:after="0"/>
              <w:rPr>
                <w:sz w:val="20"/>
                <w:szCs w:val="20"/>
                <w:color w:val="auto"/>
              </w:rPr>
            </w:pPr>
            <w:r>
              <w:rPr>
                <w:rFonts w:ascii="Arial" w:cs="Arial" w:eastAsia="Arial" w:hAnsi="Arial"/>
                <w:sz w:val="18"/>
                <w:szCs w:val="18"/>
                <w:color w:val="auto"/>
              </w:rPr>
              <w:t>59,665</w:t>
            </w:r>
          </w:p>
        </w:tc>
      </w:tr>
      <w:tr>
        <w:trPr>
          <w:trHeight w:val="27"/>
        </w:trPr>
        <w:tc>
          <w:tcPr>
            <w:tcW w:w="68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8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share repurchases</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2,021,812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199,665</w:t>
            </w:r>
          </w:p>
        </w:tc>
      </w:tr>
      <w:tr>
        <w:trPr>
          <w:trHeight w:val="243"/>
        </w:trPr>
        <w:tc>
          <w:tcPr>
            <w:tcW w:w="8180" w:type="dxa"/>
            <w:vAlign w:val="bottom"/>
            <w:gridSpan w:val="2"/>
          </w:tcPr>
          <w:p>
            <w:pPr>
              <w:ind w:left="40"/>
              <w:spacing w:after="0"/>
              <w:rPr>
                <w:sz w:val="20"/>
                <w:szCs w:val="20"/>
                <w:color w:val="auto"/>
              </w:rPr>
            </w:pPr>
            <w:r>
              <w:rPr>
                <w:rFonts w:ascii="Arial" w:cs="Arial" w:eastAsia="Arial" w:hAnsi="Arial"/>
                <w:sz w:val="18"/>
                <w:szCs w:val="18"/>
                <w:color w:val="auto"/>
              </w:rPr>
              <w:t>Shares issued for stock options and incentive compensation</w:t>
            </w:r>
          </w:p>
        </w:tc>
        <w:tc>
          <w:tcPr>
            <w:tcW w:w="820" w:type="dxa"/>
            <w:vAlign w:val="bottom"/>
          </w:tcPr>
          <w:p>
            <w:pPr>
              <w:jc w:val="right"/>
              <w:spacing w:after="0"/>
              <w:rPr>
                <w:sz w:val="20"/>
                <w:szCs w:val="20"/>
                <w:color w:val="auto"/>
              </w:rPr>
            </w:pPr>
            <w:r>
              <w:rPr>
                <w:rFonts w:ascii="Arial" w:cs="Arial" w:eastAsia="Arial" w:hAnsi="Arial"/>
                <w:sz w:val="18"/>
                <w:szCs w:val="18"/>
                <w:color w:val="auto"/>
                <w:w w:val="98"/>
              </w:rPr>
              <w:t>(414,095)</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(17,230)</w:t>
            </w:r>
          </w:p>
        </w:tc>
      </w:tr>
      <w:tr>
        <w:trPr>
          <w:trHeight w:val="27"/>
        </w:trPr>
        <w:tc>
          <w:tcPr>
            <w:tcW w:w="68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57"/>
        </w:trPr>
        <w:tc>
          <w:tcPr>
            <w:tcW w:w="8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change</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1,607,717</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182,435</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$500,000 share repurchase program approved by our Board of Directors in January 2016 was completed in the first quarter of 2018. In October 2017, our Board of Directors approved an additional $100,000 share repurchase authorization, to commence after the existing 2016 authorization was completed. As of July 1, 2018, $60,000 remained available for repurchases of our Common Stock under this program. In July 2018, our Board of Directors approved an additional $500,000 share repurchase authorization. This program is to commence after the existing 2017 authorization is completed and is to be utilized at management's discretion. We are authorized to purchase our outstanding shares in open market and privately negotiated transactions. The program has no expiration date and acquired shares of Common Stock will be held as treasury shares. Purchases under approved share repurchase authorizations are in addition to our practice of buying back shares sufficient to offset those issued under incentive compensation plans.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NONCONTROLLING INTEREST</w:t>
      </w:r>
    </w:p>
    <w:p>
      <w:pPr>
        <w:spacing w:after="0" w:line="17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currently own a 50% controlling interest in Lotte Shanghai Foods Co., Ltd. (“LSFC”), a joint venture established in 2007 in China for the purpose of manufacturing and selling product to the venture partners.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 roll-forward showing the 2018 activity relating to the noncontrolling interest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Noncontrolling Interest</w:t>
            </w:r>
          </w:p>
        </w:tc>
        <w:tc>
          <w:tcPr>
            <w:tcW w:w="0" w:type="dxa"/>
            <w:vAlign w:val="bottom"/>
          </w:tcPr>
          <w:p>
            <w:pPr>
              <w:spacing w:after="0"/>
              <w:rPr>
                <w:sz w:val="1"/>
                <w:szCs w:val="1"/>
                <w:color w:val="auto"/>
              </w:rPr>
            </w:pPr>
          </w:p>
        </w:tc>
      </w:tr>
      <w:tr>
        <w:trPr>
          <w:trHeight w:val="27"/>
        </w:trPr>
        <w:tc>
          <w:tcPr>
            <w:tcW w:w="5420" w:type="dxa"/>
            <w:vAlign w:val="bottom"/>
            <w:tcBorders>
              <w:bottom w:val="single" w:sz="8" w:color="CCEEFF"/>
            </w:tcBorders>
          </w:tcPr>
          <w:p>
            <w:pPr>
              <w:spacing w:after="0"/>
              <w:rPr>
                <w:sz w:val="2"/>
                <w:szCs w:val="2"/>
                <w:color w:val="auto"/>
              </w:rPr>
            </w:pPr>
          </w:p>
        </w:tc>
        <w:tc>
          <w:tcPr>
            <w:tcW w:w="40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2017</w:t>
            </w:r>
          </w:p>
        </w:tc>
        <w:tc>
          <w:tcPr>
            <w:tcW w:w="4800" w:type="dxa"/>
            <w:vAlign w:val="bottom"/>
            <w:tcBorders>
              <w:bottom w:val="single" w:sz="8" w:color="CCEEFF"/>
            </w:tcBorders>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16,227</w:t>
            </w:r>
          </w:p>
        </w:tc>
        <w:tc>
          <w:tcPr>
            <w:tcW w:w="0" w:type="dxa"/>
            <w:vAlign w:val="bottom"/>
          </w:tcPr>
          <w:p>
            <w:pPr>
              <w:spacing w:after="0"/>
              <w:rPr>
                <w:sz w:val="1"/>
                <w:szCs w:val="1"/>
                <w:color w:val="auto"/>
              </w:rPr>
            </w:pP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Net loss attributable to noncontrolling interest</w:t>
            </w:r>
          </w:p>
        </w:tc>
        <w:tc>
          <w:tcPr>
            <w:tcW w:w="40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(3,020)</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Other comprehensive income - foreign currency translation adjustments</w:t>
            </w:r>
          </w:p>
        </w:tc>
        <w:tc>
          <w:tcPr>
            <w:tcW w:w="40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57"/>
        </w:trPr>
        <w:tc>
          <w:tcPr>
            <w:tcW w:w="5420" w:type="dxa"/>
            <w:vAlign w:val="bottom"/>
          </w:tcPr>
          <w:p>
            <w:pPr>
              <w:ind w:left="40"/>
              <w:spacing w:after="0"/>
              <w:rPr>
                <w:sz w:val="20"/>
                <w:szCs w:val="20"/>
                <w:color w:val="auto"/>
              </w:rPr>
            </w:pPr>
            <w:r>
              <w:rPr>
                <w:rFonts w:ascii="Arial" w:cs="Arial" w:eastAsia="Arial" w:hAnsi="Arial"/>
                <w:sz w:val="18"/>
                <w:szCs w:val="18"/>
                <w:color w:val="auto"/>
              </w:rPr>
              <w:t>Balance, July 1, 2018</w:t>
            </w:r>
          </w:p>
        </w:tc>
        <w:tc>
          <w:tcPr>
            <w:tcW w:w="4060" w:type="dxa"/>
            <w:vAlign w:val="bottom"/>
          </w:tcPr>
          <w:p>
            <w:pPr>
              <w:spacing w:after="0"/>
              <w:rPr>
                <w:sz w:val="22"/>
                <w:szCs w:val="22"/>
                <w:color w:val="auto"/>
              </w:rPr>
            </w:pPr>
          </w:p>
        </w:tc>
        <w:tc>
          <w:tcPr>
            <w:tcW w:w="7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13,873</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4060" w:type="dxa"/>
            <w:vAlign w:val="bottom"/>
            <w:vMerge w:val="restart"/>
          </w:tcPr>
          <w:p>
            <w:pPr>
              <w:jc w:val="right"/>
              <w:ind w:right="3590"/>
              <w:spacing w:after="0"/>
              <w:rPr>
                <w:sz w:val="20"/>
                <w:szCs w:val="20"/>
                <w:color w:val="auto"/>
              </w:rPr>
            </w:pPr>
            <w:r>
              <w:rPr>
                <w:rFonts w:ascii="Arial" w:cs="Arial" w:eastAsia="Arial" w:hAnsi="Arial"/>
                <w:sz w:val="18"/>
                <w:szCs w:val="18"/>
                <w:color w:val="auto"/>
              </w:rPr>
              <w:t>25</w:t>
            </w: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420" w:type="dxa"/>
            <w:vAlign w:val="bottom"/>
          </w:tcPr>
          <w:p>
            <w:pPr>
              <w:spacing w:after="0"/>
              <w:rPr>
                <w:sz w:val="24"/>
                <w:szCs w:val="24"/>
                <w:color w:val="auto"/>
              </w:rPr>
            </w:pPr>
          </w:p>
        </w:tc>
        <w:tc>
          <w:tcPr>
            <w:tcW w:w="406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CONTINGENCIES</w:t>
      </w:r>
    </w:p>
    <w:p>
      <w:pPr>
        <w:spacing w:after="0" w:line="17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are subject to various pending or threatened legal proceedings and claims that arise in the ordinary course of our business. While it is not feasible to predict or determine the outcome of such proceedings and claims with certainty, in our opinion these matters, both individually and in the aggregate, are not expected to have a material effect on our financial condition, results of operations or cash flows.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EARNINGS PER SHARE</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compute basic earnings per share for Common Stock and Class B common stock using the two-class method. The Class B common stock is convertible into Common Stock on a share-for-share basis at any time. The computation of diluted earnings per share for Common Stock assumes the conversion of Class B common stock using the if-converted method, while the diluted earnings per share of Class B common stock does not assume the conversion of those shares.</w:t>
      </w:r>
    </w:p>
    <w:p>
      <w:pPr>
        <w:spacing w:after="0" w:line="13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compute basic and diluted earnings per share based on the weighted-average number of shares of Common Stock and Class B common stock outstanding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720" w:type="dxa"/>
            <w:vAlign w:val="bottom"/>
            <w:tcBorders>
              <w:bottom w:val="single" w:sz="8" w:color="auto"/>
            </w:tcBorders>
            <w:gridSpan w:val="4"/>
          </w:tcPr>
          <w:p>
            <w:pPr>
              <w:jc w:val="right"/>
              <w:ind w:right="980"/>
              <w:spacing w:after="0"/>
              <w:rPr>
                <w:sz w:val="20"/>
                <w:szCs w:val="20"/>
                <w:color w:val="auto"/>
              </w:rPr>
            </w:pPr>
            <w:r>
              <w:rPr>
                <w:rFonts w:ascii="Arial" w:cs="Arial" w:eastAsia="Arial" w:hAnsi="Arial"/>
                <w:sz w:val="14"/>
                <w:szCs w:val="14"/>
                <w:b w:val="1"/>
                <w:bCs w:val="1"/>
                <w:color w:val="auto"/>
              </w:rPr>
              <w:t>July 1, 2018</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660" w:type="dxa"/>
            <w:vAlign w:val="bottom"/>
            <w:tcBorders>
              <w:bottom w:val="single" w:sz="8" w:color="auto"/>
            </w:tcBorders>
            <w:gridSpan w:val="4"/>
          </w:tcPr>
          <w:p>
            <w:pPr>
              <w:jc w:val="right"/>
              <w:ind w:right="940"/>
              <w:spacing w:after="0"/>
              <w:rPr>
                <w:sz w:val="20"/>
                <w:szCs w:val="20"/>
                <w:color w:val="auto"/>
              </w:rPr>
            </w:pPr>
            <w:r>
              <w:rPr>
                <w:rFonts w:ascii="Arial" w:cs="Arial" w:eastAsia="Arial" w:hAnsi="Arial"/>
                <w:sz w:val="14"/>
                <w:szCs w:val="14"/>
                <w:b w:val="1"/>
                <w:bCs w:val="1"/>
                <w:color w:val="auto"/>
              </w:rPr>
              <w:t>July 2, 2017</w:t>
            </w: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3"/>
                <w:szCs w:val="13"/>
                <w:color w:val="auto"/>
              </w:rPr>
            </w:pPr>
          </w:p>
        </w:tc>
        <w:tc>
          <w:tcPr>
            <w:tcW w:w="13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Class B Common</w:t>
            </w:r>
          </w:p>
        </w:tc>
        <w:tc>
          <w:tcPr>
            <w:tcW w:w="140" w:type="dxa"/>
            <w:vAlign w:val="bottom"/>
          </w:tcPr>
          <w:p>
            <w:pPr>
              <w:spacing w:after="0"/>
              <w:rPr>
                <w:sz w:val="13"/>
                <w:szCs w:val="13"/>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3"/>
                <w:szCs w:val="13"/>
                <w:color w:val="auto"/>
              </w:rPr>
            </w:pPr>
          </w:p>
        </w:tc>
        <w:tc>
          <w:tcPr>
            <w:tcW w:w="1220" w:type="dxa"/>
            <w:vAlign w:val="bottom"/>
          </w:tcPr>
          <w:p>
            <w:pPr>
              <w:jc w:val="right"/>
              <w:ind w:right="60"/>
              <w:spacing w:after="0" w:line="153" w:lineRule="exact"/>
              <w:rPr>
                <w:sz w:val="20"/>
                <w:szCs w:val="20"/>
                <w:color w:val="auto"/>
              </w:rPr>
            </w:pPr>
            <w:r>
              <w:rPr>
                <w:rFonts w:ascii="Arial" w:cs="Arial" w:eastAsia="Arial" w:hAnsi="Arial"/>
                <w:sz w:val="14"/>
                <w:szCs w:val="14"/>
                <w:b w:val="1"/>
                <w:bCs w:val="1"/>
                <w:color w:val="auto"/>
                <w:w w:val="91"/>
              </w:rPr>
              <w:t>Class B Common</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420"/>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earnings per share:</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180"/>
              <w:spacing w:after="0"/>
              <w:rPr>
                <w:sz w:val="20"/>
                <w:szCs w:val="20"/>
                <w:color w:val="auto"/>
              </w:rPr>
            </w:pPr>
            <w:r>
              <w:rPr>
                <w:rFonts w:ascii="Arial" w:cs="Arial" w:eastAsia="Arial" w:hAnsi="Arial"/>
                <w:sz w:val="16"/>
                <w:szCs w:val="16"/>
                <w:color w:val="auto"/>
              </w:rPr>
              <w:t>Numerator:</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Allocation of distributed earnings (cash dividends paid)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97,450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36,129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94,043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34,068</w:t>
            </w:r>
          </w:p>
        </w:tc>
        <w:tc>
          <w:tcPr>
            <w:tcW w:w="0" w:type="dxa"/>
            <w:vAlign w:val="bottom"/>
          </w:tcPr>
          <w:p>
            <w:pPr>
              <w:spacing w:after="0"/>
              <w:rPr>
                <w:sz w:val="1"/>
                <w:szCs w:val="1"/>
                <w:color w:val="auto"/>
              </w:rPr>
            </w:pPr>
          </w:p>
        </w:tc>
      </w:tr>
      <w:tr>
        <w:trPr>
          <w:trHeight w:val="237"/>
        </w:trPr>
        <w:tc>
          <w:tcPr>
            <w:tcW w:w="5620" w:type="dxa"/>
            <w:vAlign w:val="bottom"/>
          </w:tcPr>
          <w:p>
            <w:pPr>
              <w:ind w:left="280"/>
              <w:spacing w:after="0"/>
              <w:rPr>
                <w:sz w:val="20"/>
                <w:szCs w:val="20"/>
                <w:color w:val="auto"/>
              </w:rPr>
            </w:pPr>
            <w:r>
              <w:rPr>
                <w:rFonts w:ascii="Arial" w:cs="Arial" w:eastAsia="Arial" w:hAnsi="Arial"/>
                <w:sz w:val="16"/>
                <w:szCs w:val="16"/>
                <w:color w:val="auto"/>
              </w:rPr>
              <w:t>Allocation of undistributed earnings</w:t>
            </w:r>
          </w:p>
        </w:tc>
        <w:tc>
          <w:tcPr>
            <w:tcW w:w="16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68,097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25,179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55,370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20,020</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earnings—basic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165,547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61,308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149,413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54,088</w:t>
            </w:r>
          </w:p>
        </w:tc>
        <w:tc>
          <w:tcPr>
            <w:tcW w:w="0" w:type="dxa"/>
            <w:vAlign w:val="bottom"/>
          </w:tcPr>
          <w:p>
            <w:pPr>
              <w:spacing w:after="0"/>
              <w:rPr>
                <w:sz w:val="1"/>
                <w:szCs w:val="1"/>
                <w:color w:val="auto"/>
              </w:rPr>
            </w:pPr>
          </w:p>
        </w:tc>
      </w:tr>
      <w:tr>
        <w:trPr>
          <w:trHeight w:val="189"/>
        </w:trPr>
        <w:tc>
          <w:tcPr>
            <w:tcW w:w="5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Denominator (shares in thousands):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280"/>
              <w:spacing w:after="0"/>
              <w:rPr>
                <w:sz w:val="20"/>
                <w:szCs w:val="20"/>
                <w:color w:val="auto"/>
              </w:rPr>
            </w:pPr>
            <w:r>
              <w:rPr>
                <w:rFonts w:ascii="Arial" w:cs="Arial" w:eastAsia="Arial" w:hAnsi="Arial"/>
                <w:sz w:val="16"/>
                <w:szCs w:val="16"/>
                <w:color w:val="auto"/>
              </w:rPr>
              <w:t>Total weighted-average shares—basic</w:t>
            </w:r>
          </w:p>
        </w:tc>
        <w:tc>
          <w:tcPr>
            <w:tcW w:w="16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148,948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60,620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152,466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60,620</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Earnings Per Share—basic</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1.11</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0.98</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0.89</w:t>
            </w:r>
          </w:p>
        </w:tc>
        <w:tc>
          <w:tcPr>
            <w:tcW w:w="0" w:type="dxa"/>
            <w:vAlign w:val="bottom"/>
          </w:tcPr>
          <w:p>
            <w:pPr>
              <w:spacing w:after="0"/>
              <w:rPr>
                <w:sz w:val="1"/>
                <w:szCs w:val="1"/>
                <w:color w:val="auto"/>
              </w:rPr>
            </w:pPr>
          </w:p>
        </w:tc>
      </w:tr>
      <w:tr>
        <w:trPr>
          <w:trHeight w:val="176"/>
        </w:trPr>
        <w:tc>
          <w:tcPr>
            <w:tcW w:w="5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Diluted earnings per share:</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Numerator:</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280"/>
              <w:spacing w:after="0"/>
              <w:rPr>
                <w:sz w:val="20"/>
                <w:szCs w:val="20"/>
                <w:color w:val="auto"/>
              </w:rPr>
            </w:pPr>
            <w:r>
              <w:rPr>
                <w:rFonts w:ascii="Arial" w:cs="Arial" w:eastAsia="Arial" w:hAnsi="Arial"/>
                <w:sz w:val="16"/>
                <w:szCs w:val="16"/>
                <w:color w:val="auto"/>
              </w:rPr>
              <w:t>Allocation of total earnings used in basic computation</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165,547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61,308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149,413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54,088</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Reallocation of total earnings as a result of conversion of Class B common</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 to Common stock</w:t>
            </w:r>
          </w:p>
        </w:tc>
        <w:tc>
          <w:tcPr>
            <w:tcW w:w="1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61,308</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54,088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620" w:type="dxa"/>
            <w:vAlign w:val="bottom"/>
          </w:tcPr>
          <w:p>
            <w:pPr>
              <w:ind w:left="280"/>
              <w:spacing w:after="0"/>
              <w:rPr>
                <w:sz w:val="20"/>
                <w:szCs w:val="20"/>
                <w:color w:val="auto"/>
              </w:rPr>
            </w:pPr>
            <w:r>
              <w:rPr>
                <w:rFonts w:ascii="Arial" w:cs="Arial" w:eastAsia="Arial" w:hAnsi="Arial"/>
                <w:sz w:val="16"/>
                <w:szCs w:val="16"/>
                <w:color w:val="auto"/>
              </w:rPr>
              <w:t>Reallocation of undistributed earnings</w:t>
            </w:r>
          </w:p>
        </w:tc>
        <w:tc>
          <w:tcPr>
            <w:tcW w:w="16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earnings—diluted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226,855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61,208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203,501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53,939</w:t>
            </w:r>
          </w:p>
        </w:tc>
        <w:tc>
          <w:tcPr>
            <w:tcW w:w="0" w:type="dxa"/>
            <w:vAlign w:val="bottom"/>
          </w:tcPr>
          <w:p>
            <w:pPr>
              <w:spacing w:after="0"/>
              <w:rPr>
                <w:sz w:val="1"/>
                <w:szCs w:val="1"/>
                <w:color w:val="auto"/>
              </w:rPr>
            </w:pPr>
          </w:p>
        </w:tc>
      </w:tr>
      <w:tr>
        <w:trPr>
          <w:trHeight w:val="189"/>
        </w:trPr>
        <w:tc>
          <w:tcPr>
            <w:tcW w:w="5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Denominator (shares in thousands):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280"/>
              <w:spacing w:after="0"/>
              <w:rPr>
                <w:sz w:val="20"/>
                <w:szCs w:val="20"/>
                <w:color w:val="auto"/>
              </w:rPr>
            </w:pPr>
            <w:r>
              <w:rPr>
                <w:rFonts w:ascii="Arial" w:cs="Arial" w:eastAsia="Arial" w:hAnsi="Arial"/>
                <w:sz w:val="16"/>
                <w:szCs w:val="16"/>
                <w:color w:val="auto"/>
              </w:rPr>
              <w:t>Number of shares used in basic computation</w:t>
            </w:r>
          </w:p>
        </w:tc>
        <w:tc>
          <w:tcPr>
            <w:tcW w:w="16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148,948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60,620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152,466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60,620</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Weighted-average effect of dilutive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6"/>
                <w:szCs w:val="16"/>
                <w:color w:val="auto"/>
              </w:rPr>
              <w:t>Conversion of Class B common stock to Common shares outstanding</w:t>
            </w:r>
          </w:p>
        </w:tc>
        <w:tc>
          <w:tcPr>
            <w:tcW w:w="16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60,620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60,620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Employee stock options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6"/>
                <w:szCs w:val="16"/>
                <w:color w:val="auto"/>
              </w:rPr>
              <w:t>Performance and restricted stock units</w:t>
            </w:r>
          </w:p>
        </w:tc>
        <w:tc>
          <w:tcPr>
            <w:tcW w:w="16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251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weighted-average shares—diluted</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210,378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60,620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214,640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60,620</w:t>
            </w:r>
          </w:p>
        </w:tc>
        <w:tc>
          <w:tcPr>
            <w:tcW w:w="0" w:type="dxa"/>
            <w:vAlign w:val="bottom"/>
          </w:tcPr>
          <w:p>
            <w:pPr>
              <w:spacing w:after="0"/>
              <w:rPr>
                <w:sz w:val="1"/>
                <w:szCs w:val="1"/>
                <w:color w:val="auto"/>
              </w:rPr>
            </w:pPr>
          </w:p>
        </w:tc>
      </w:tr>
      <w:tr>
        <w:trPr>
          <w:trHeight w:val="189"/>
        </w:trPr>
        <w:tc>
          <w:tcPr>
            <w:tcW w:w="5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Per Share—diluted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0.89</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earnings per share calculations for the three months ended July 1, 2018 and July 2, 2017 excluded 4,196 and 1,808 stock options (in thousands), respectively, that would have been antidilutive.</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1" w:right="239" w:bottom="1440" w:gutter="0" w:footer="0" w:header="0"/>
          <w:type w:val="continuous"/>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ind w:left="70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720" w:type="dxa"/>
            <w:vAlign w:val="bottom"/>
            <w:tcBorders>
              <w:bottom w:val="single" w:sz="8" w:color="auto"/>
            </w:tcBorders>
            <w:gridSpan w:val="4"/>
          </w:tcPr>
          <w:p>
            <w:pPr>
              <w:jc w:val="right"/>
              <w:ind w:right="980"/>
              <w:spacing w:after="0"/>
              <w:rPr>
                <w:sz w:val="20"/>
                <w:szCs w:val="20"/>
                <w:color w:val="auto"/>
              </w:rPr>
            </w:pPr>
            <w:r>
              <w:rPr>
                <w:rFonts w:ascii="Arial" w:cs="Arial" w:eastAsia="Arial" w:hAnsi="Arial"/>
                <w:sz w:val="14"/>
                <w:szCs w:val="14"/>
                <w:b w:val="1"/>
                <w:bCs w:val="1"/>
                <w:color w:val="auto"/>
              </w:rPr>
              <w:t>July 1, 2018</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660" w:type="dxa"/>
            <w:vAlign w:val="bottom"/>
            <w:tcBorders>
              <w:bottom w:val="single" w:sz="8" w:color="auto"/>
            </w:tcBorders>
            <w:gridSpan w:val="4"/>
          </w:tcPr>
          <w:p>
            <w:pPr>
              <w:jc w:val="right"/>
              <w:ind w:right="940"/>
              <w:spacing w:after="0"/>
              <w:rPr>
                <w:sz w:val="20"/>
                <w:szCs w:val="20"/>
                <w:color w:val="auto"/>
              </w:rPr>
            </w:pPr>
            <w:r>
              <w:rPr>
                <w:rFonts w:ascii="Arial" w:cs="Arial" w:eastAsia="Arial" w:hAnsi="Arial"/>
                <w:sz w:val="14"/>
                <w:szCs w:val="14"/>
                <w:b w:val="1"/>
                <w:bCs w:val="1"/>
                <w:color w:val="auto"/>
              </w:rPr>
              <w:t>July 2, 2017</w:t>
            </w: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3"/>
                <w:szCs w:val="13"/>
                <w:color w:val="auto"/>
              </w:rPr>
            </w:pPr>
          </w:p>
        </w:tc>
        <w:tc>
          <w:tcPr>
            <w:tcW w:w="13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Class B Common</w:t>
            </w:r>
          </w:p>
        </w:tc>
        <w:tc>
          <w:tcPr>
            <w:tcW w:w="140" w:type="dxa"/>
            <w:vAlign w:val="bottom"/>
          </w:tcPr>
          <w:p>
            <w:pPr>
              <w:spacing w:after="0"/>
              <w:rPr>
                <w:sz w:val="13"/>
                <w:szCs w:val="13"/>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3"/>
                <w:szCs w:val="13"/>
                <w:color w:val="auto"/>
              </w:rPr>
            </w:pPr>
          </w:p>
        </w:tc>
        <w:tc>
          <w:tcPr>
            <w:tcW w:w="1220" w:type="dxa"/>
            <w:vAlign w:val="bottom"/>
          </w:tcPr>
          <w:p>
            <w:pPr>
              <w:jc w:val="right"/>
              <w:ind w:right="60"/>
              <w:spacing w:after="0" w:line="153" w:lineRule="exact"/>
              <w:rPr>
                <w:sz w:val="20"/>
                <w:szCs w:val="20"/>
                <w:color w:val="auto"/>
              </w:rPr>
            </w:pPr>
            <w:r>
              <w:rPr>
                <w:rFonts w:ascii="Arial" w:cs="Arial" w:eastAsia="Arial" w:hAnsi="Arial"/>
                <w:sz w:val="14"/>
                <w:szCs w:val="14"/>
                <w:b w:val="1"/>
                <w:bCs w:val="1"/>
                <w:color w:val="auto"/>
                <w:w w:val="91"/>
              </w:rPr>
              <w:t>Class B Common</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420"/>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earnings per share:</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180"/>
              <w:spacing w:after="0"/>
              <w:rPr>
                <w:sz w:val="20"/>
                <w:szCs w:val="20"/>
                <w:color w:val="auto"/>
              </w:rPr>
            </w:pPr>
            <w:r>
              <w:rPr>
                <w:rFonts w:ascii="Arial" w:cs="Arial" w:eastAsia="Arial" w:hAnsi="Arial"/>
                <w:sz w:val="16"/>
                <w:szCs w:val="16"/>
                <w:color w:val="auto"/>
              </w:rPr>
              <w:t>Numerator:</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Allocation of distributed earnings (cash dividends paid)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195,620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72,259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187,992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68,136</w:t>
            </w:r>
          </w:p>
        </w:tc>
        <w:tc>
          <w:tcPr>
            <w:tcW w:w="0" w:type="dxa"/>
            <w:vAlign w:val="bottom"/>
          </w:tcPr>
          <w:p>
            <w:pPr>
              <w:spacing w:after="0"/>
              <w:rPr>
                <w:sz w:val="1"/>
                <w:szCs w:val="1"/>
                <w:color w:val="auto"/>
              </w:rPr>
            </w:pPr>
          </w:p>
        </w:tc>
      </w:tr>
      <w:tr>
        <w:trPr>
          <w:trHeight w:val="237"/>
        </w:trPr>
        <w:tc>
          <w:tcPr>
            <w:tcW w:w="5620" w:type="dxa"/>
            <w:vAlign w:val="bottom"/>
          </w:tcPr>
          <w:p>
            <w:pPr>
              <w:ind w:left="280"/>
              <w:spacing w:after="0"/>
              <w:rPr>
                <w:sz w:val="20"/>
                <w:szCs w:val="20"/>
                <w:color w:val="auto"/>
              </w:rPr>
            </w:pPr>
            <w:r>
              <w:rPr>
                <w:rFonts w:ascii="Arial" w:cs="Arial" w:eastAsia="Arial" w:hAnsi="Arial"/>
                <w:sz w:val="16"/>
                <w:szCs w:val="16"/>
                <w:color w:val="auto"/>
              </w:rPr>
              <w:t>Allocation of undistributed earnings</w:t>
            </w:r>
          </w:p>
        </w:tc>
        <w:tc>
          <w:tcPr>
            <w:tcW w:w="16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225,956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83,223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53,180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19,237</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earnings—basic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421,576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155,482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241,172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87,373</w:t>
            </w:r>
          </w:p>
        </w:tc>
        <w:tc>
          <w:tcPr>
            <w:tcW w:w="0" w:type="dxa"/>
            <w:vAlign w:val="bottom"/>
          </w:tcPr>
          <w:p>
            <w:pPr>
              <w:spacing w:after="0"/>
              <w:rPr>
                <w:sz w:val="1"/>
                <w:szCs w:val="1"/>
                <w:color w:val="auto"/>
              </w:rPr>
            </w:pPr>
          </w:p>
        </w:tc>
      </w:tr>
      <w:tr>
        <w:trPr>
          <w:trHeight w:val="189"/>
        </w:trPr>
        <w:tc>
          <w:tcPr>
            <w:tcW w:w="5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Denominator (shares in thousands):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280"/>
              <w:spacing w:after="0"/>
              <w:rPr>
                <w:sz w:val="20"/>
                <w:szCs w:val="20"/>
                <w:color w:val="auto"/>
              </w:rPr>
            </w:pPr>
            <w:r>
              <w:rPr>
                <w:rFonts w:ascii="Arial" w:cs="Arial" w:eastAsia="Arial" w:hAnsi="Arial"/>
                <w:sz w:val="16"/>
                <w:szCs w:val="16"/>
                <w:color w:val="auto"/>
              </w:rPr>
              <w:t>Total weighted-average shares—basic</w:t>
            </w:r>
          </w:p>
        </w:tc>
        <w:tc>
          <w:tcPr>
            <w:tcW w:w="16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149,534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60,620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152,393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60,620</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Earnings Per Share—basic</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2.82</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2.56</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1.58</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176"/>
        </w:trPr>
        <w:tc>
          <w:tcPr>
            <w:tcW w:w="5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Diluted earnings per share:</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Numerator:</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280"/>
              <w:spacing w:after="0"/>
              <w:rPr>
                <w:sz w:val="20"/>
                <w:szCs w:val="20"/>
                <w:color w:val="auto"/>
              </w:rPr>
            </w:pPr>
            <w:r>
              <w:rPr>
                <w:rFonts w:ascii="Arial" w:cs="Arial" w:eastAsia="Arial" w:hAnsi="Arial"/>
                <w:sz w:val="16"/>
                <w:szCs w:val="16"/>
                <w:color w:val="auto"/>
              </w:rPr>
              <w:t>Allocation of total earnings used in basic computation</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421,576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155,482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241,172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87,373</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Reallocation of total earnings as a result of conversion of Class B common</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 to Common stock</w:t>
            </w:r>
          </w:p>
        </w:tc>
        <w:tc>
          <w:tcPr>
            <w:tcW w:w="1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155,482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87,373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620" w:type="dxa"/>
            <w:vAlign w:val="bottom"/>
          </w:tcPr>
          <w:p>
            <w:pPr>
              <w:ind w:left="280"/>
              <w:spacing w:after="0"/>
              <w:rPr>
                <w:sz w:val="20"/>
                <w:szCs w:val="20"/>
                <w:color w:val="auto"/>
              </w:rPr>
            </w:pPr>
            <w:r>
              <w:rPr>
                <w:rFonts w:ascii="Arial" w:cs="Arial" w:eastAsia="Arial" w:hAnsi="Arial"/>
                <w:sz w:val="16"/>
                <w:szCs w:val="16"/>
                <w:color w:val="auto"/>
              </w:rPr>
              <w:t>Reallocation of undistributed earnings</w:t>
            </w:r>
          </w:p>
        </w:tc>
        <w:tc>
          <w:tcPr>
            <w:tcW w:w="16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earnings—diluted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577,058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155,071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328,545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87,228</w:t>
            </w:r>
          </w:p>
        </w:tc>
        <w:tc>
          <w:tcPr>
            <w:tcW w:w="0" w:type="dxa"/>
            <w:vAlign w:val="bottom"/>
          </w:tcPr>
          <w:p>
            <w:pPr>
              <w:spacing w:after="0"/>
              <w:rPr>
                <w:sz w:val="1"/>
                <w:szCs w:val="1"/>
                <w:color w:val="auto"/>
              </w:rPr>
            </w:pPr>
          </w:p>
        </w:tc>
      </w:tr>
      <w:tr>
        <w:trPr>
          <w:trHeight w:val="189"/>
        </w:trPr>
        <w:tc>
          <w:tcPr>
            <w:tcW w:w="5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Denominator (shares in thousands):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280"/>
              <w:spacing w:after="0"/>
              <w:rPr>
                <w:sz w:val="20"/>
                <w:szCs w:val="20"/>
                <w:color w:val="auto"/>
              </w:rPr>
            </w:pPr>
            <w:r>
              <w:rPr>
                <w:rFonts w:ascii="Arial" w:cs="Arial" w:eastAsia="Arial" w:hAnsi="Arial"/>
                <w:sz w:val="16"/>
                <w:szCs w:val="16"/>
                <w:color w:val="auto"/>
              </w:rPr>
              <w:t>Number of shares used in basic computation</w:t>
            </w:r>
          </w:p>
        </w:tc>
        <w:tc>
          <w:tcPr>
            <w:tcW w:w="16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149,534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60,620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152,393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60,620</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Weighted-average effect of dilutive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6"/>
                <w:szCs w:val="16"/>
                <w:color w:val="auto"/>
              </w:rPr>
              <w:t>Conversion of Class B common stock to Common shares outstanding</w:t>
            </w:r>
          </w:p>
        </w:tc>
        <w:tc>
          <w:tcPr>
            <w:tcW w:w="16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60,620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60,620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Employee stock options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6"/>
                <w:szCs w:val="16"/>
                <w:color w:val="auto"/>
              </w:rPr>
              <w:t>Performance and restricted stock units</w:t>
            </w:r>
          </w:p>
        </w:tc>
        <w:tc>
          <w:tcPr>
            <w:tcW w:w="16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314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324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weighted-average shares—diluted</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211,170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60,620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214,585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60,620</w:t>
            </w:r>
          </w:p>
        </w:tc>
        <w:tc>
          <w:tcPr>
            <w:tcW w:w="0" w:type="dxa"/>
            <w:vAlign w:val="bottom"/>
          </w:tcPr>
          <w:p>
            <w:pPr>
              <w:spacing w:after="0"/>
              <w:rPr>
                <w:sz w:val="1"/>
                <w:szCs w:val="1"/>
                <w:color w:val="auto"/>
              </w:rPr>
            </w:pPr>
          </w:p>
        </w:tc>
      </w:tr>
      <w:tr>
        <w:trPr>
          <w:trHeight w:val="189"/>
        </w:trPr>
        <w:tc>
          <w:tcPr>
            <w:tcW w:w="5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Per Share—diluted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The earnings per share calculations for the six months ended July 1, 2018 and July 2, 2017 excluded 4,196 and 2,067 stock options (in thousands), respectively, that would have been antidilutive.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OTHER (INCOME) EXPENSE, NET</w:t>
      </w:r>
    </w:p>
    <w:p>
      <w:pPr>
        <w:spacing w:after="0" w:line="175"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Other (income) expense, net reports certain gains and losses associated with activities not directly related to our core operations. A summary of the components of other (income) expense, net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754"/>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5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July 1, 2018</w:t>
            </w:r>
          </w:p>
        </w:tc>
        <w:tc>
          <w:tcPr>
            <w:tcW w:w="220" w:type="dxa"/>
            <w:vAlign w:val="bottom"/>
          </w:tcPr>
          <w:p>
            <w:pPr>
              <w:spacing w:after="0"/>
              <w:rPr>
                <w:sz w:val="22"/>
                <w:szCs w:val="22"/>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July 2, 2017</w:t>
            </w:r>
          </w:p>
        </w:tc>
        <w:tc>
          <w:tcPr>
            <w:tcW w:w="220" w:type="dxa"/>
            <w:vAlign w:val="bottom"/>
          </w:tcPr>
          <w:p>
            <w:pPr>
              <w:spacing w:after="0"/>
              <w:rPr>
                <w:sz w:val="22"/>
                <w:szCs w:val="22"/>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July 1, 2018</w:t>
            </w:r>
          </w:p>
        </w:tc>
        <w:tc>
          <w:tcPr>
            <w:tcW w:w="220" w:type="dxa"/>
            <w:vAlign w:val="bottom"/>
          </w:tcPr>
          <w:p>
            <w:pPr>
              <w:spacing w:after="0"/>
              <w:rPr>
                <w:sz w:val="22"/>
                <w:szCs w:val="22"/>
                <w:color w:val="auto"/>
              </w:rPr>
            </w:pPr>
          </w:p>
        </w:tc>
        <w:tc>
          <w:tcPr>
            <w:tcW w:w="1160" w:type="dxa"/>
            <w:vAlign w:val="bottom"/>
          </w:tcPr>
          <w:p>
            <w:pPr>
              <w:jc w:val="right"/>
              <w:ind w:right="234"/>
              <w:spacing w:after="0"/>
              <w:rPr>
                <w:sz w:val="20"/>
                <w:szCs w:val="20"/>
                <w:color w:val="auto"/>
              </w:rPr>
            </w:pPr>
            <w:r>
              <w:rPr>
                <w:rFonts w:ascii="Arial" w:cs="Arial" w:eastAsia="Arial" w:hAnsi="Arial"/>
                <w:sz w:val="14"/>
                <w:szCs w:val="14"/>
                <w:b w:val="1"/>
                <w:bCs w:val="1"/>
                <w:color w:val="auto"/>
              </w:rPr>
              <w:t>July 2, 2017</w:t>
            </w:r>
          </w:p>
        </w:tc>
      </w:tr>
      <w:tr>
        <w:trPr>
          <w:trHeight w:val="250"/>
        </w:trPr>
        <w:tc>
          <w:tcPr>
            <w:tcW w:w="56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Write-down of equity investments in partnerships qualifying for tax credits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19,330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19,764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10,263</w:t>
            </w:r>
          </w:p>
        </w:tc>
      </w:tr>
      <w:tr>
        <w:trPr>
          <w:trHeight w:val="229"/>
        </w:trPr>
        <w:tc>
          <w:tcPr>
            <w:tcW w:w="5600" w:type="dxa"/>
            <w:vAlign w:val="bottom"/>
          </w:tcPr>
          <w:p>
            <w:pPr>
              <w:ind w:left="40"/>
              <w:spacing w:after="0"/>
              <w:rPr>
                <w:sz w:val="20"/>
                <w:szCs w:val="20"/>
                <w:color w:val="auto"/>
              </w:rPr>
            </w:pPr>
            <w:r>
              <w:rPr>
                <w:rFonts w:ascii="Arial" w:cs="Arial" w:eastAsia="Arial" w:hAnsi="Arial"/>
                <w:sz w:val="18"/>
                <w:szCs w:val="18"/>
                <w:color w:val="auto"/>
              </w:rPr>
              <w:t>Non-service cost components of net periodic benefit cost relating to</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5600" w:type="dxa"/>
            <w:vAlign w:val="bottom"/>
          </w:tcPr>
          <w:p>
            <w:pPr>
              <w:ind w:left="40"/>
              <w:spacing w:after="0"/>
              <w:rPr>
                <w:sz w:val="20"/>
                <w:szCs w:val="20"/>
                <w:color w:val="auto"/>
              </w:rPr>
            </w:pPr>
            <w:r>
              <w:rPr>
                <w:rFonts w:ascii="Arial" w:cs="Arial" w:eastAsia="Arial" w:hAnsi="Arial"/>
                <w:sz w:val="18"/>
                <w:szCs w:val="18"/>
                <w:color w:val="auto"/>
              </w:rPr>
              <w:t>pension and other post-retirement benefit plans</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5,151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10,457</w:t>
            </w:r>
          </w:p>
        </w:tc>
      </w:tr>
      <w:tr>
        <w:trPr>
          <w:trHeight w:val="27"/>
        </w:trPr>
        <w:tc>
          <w:tcPr>
            <w:tcW w:w="5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1,534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3,140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w:t>
            </w:r>
          </w:p>
        </w:tc>
      </w:tr>
      <w:tr>
        <w:trPr>
          <w:trHeight w:val="257"/>
        </w:trPr>
        <w:tc>
          <w:tcPr>
            <w:tcW w:w="560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20,766</w:t>
            </w: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15,249</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22,708</w:t>
            </w: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20,384</w:t>
            </w:r>
          </w:p>
        </w:tc>
      </w:tr>
      <w:tr>
        <w:trPr>
          <w:trHeight w:val="20"/>
        </w:trPr>
        <w:tc>
          <w:tcPr>
            <w:tcW w:w="5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1" w:right="239" w:bottom="1440" w:gutter="0" w:footer="0" w:header="0"/>
          <w:type w:val="continuous"/>
        </w:sectPr>
      </w:pPr>
    </w:p>
    <w:bookmarkStart w:id="29" w:name="page30"/>
    <w:bookmarkEnd w:id="29"/>
    <w:p>
      <w:pPr>
        <w:jc w:val="center"/>
        <w:ind w:right="-1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SUPPLEMENTAL BALANCE SHEET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certain Consolidated Balance Sheet accounts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60" w:type="dxa"/>
            <w:vAlign w:val="bottom"/>
            <w:gridSpan w:val="2"/>
          </w:tcPr>
          <w:p>
            <w:pPr>
              <w:ind w:left="280"/>
              <w:spacing w:after="0"/>
              <w:rPr>
                <w:sz w:val="20"/>
                <w:szCs w:val="20"/>
                <w:color w:val="auto"/>
              </w:rPr>
            </w:pPr>
            <w:r>
              <w:rPr>
                <w:rFonts w:ascii="Arial" w:cs="Arial" w:eastAsia="Arial" w:hAnsi="Arial"/>
                <w:sz w:val="16"/>
                <w:szCs w:val="16"/>
                <w:b w:val="1"/>
                <w:bCs w:val="1"/>
                <w:color w:val="auto"/>
              </w:rPr>
              <w:t>July 1, 2018</w:t>
            </w:r>
          </w:p>
        </w:tc>
        <w:tc>
          <w:tcPr>
            <w:tcW w:w="380" w:type="dxa"/>
            <w:vAlign w:val="bottom"/>
          </w:tcPr>
          <w:p>
            <w:pPr>
              <w:spacing w:after="0"/>
              <w:rPr>
                <w:sz w:val="18"/>
                <w:szCs w:val="18"/>
                <w:color w:val="auto"/>
              </w:rPr>
            </w:pPr>
          </w:p>
        </w:tc>
        <w:tc>
          <w:tcPr>
            <w:tcW w:w="1940" w:type="dxa"/>
            <w:vAlign w:val="bottom"/>
          </w:tcPr>
          <w:p>
            <w:pPr>
              <w:jc w:val="right"/>
              <w:ind w:right="379"/>
              <w:spacing w:after="0"/>
              <w:rPr>
                <w:sz w:val="20"/>
                <w:szCs w:val="20"/>
                <w:color w:val="auto"/>
              </w:rPr>
            </w:pPr>
            <w:r>
              <w:rPr>
                <w:rFonts w:ascii="Arial" w:cs="Arial" w:eastAsia="Arial" w:hAnsi="Arial"/>
                <w:sz w:val="16"/>
                <w:szCs w:val="16"/>
                <w:b w:val="1"/>
                <w:bCs w:val="1"/>
                <w:color w:val="auto"/>
              </w:rPr>
              <w:t>December 31, 2017</w:t>
            </w:r>
          </w:p>
        </w:tc>
      </w:tr>
      <w:tr>
        <w:trPr>
          <w:trHeight w:val="33"/>
        </w:trPr>
        <w:tc>
          <w:tcPr>
            <w:tcW w:w="65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Inventories:</w:t>
            </w:r>
          </w:p>
        </w:tc>
        <w:tc>
          <w:tcPr>
            <w:tcW w:w="4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37"/>
        </w:trPr>
        <w:tc>
          <w:tcPr>
            <w:tcW w:w="6540" w:type="dxa"/>
            <w:vAlign w:val="bottom"/>
          </w:tcPr>
          <w:p>
            <w:pPr>
              <w:ind w:left="180"/>
              <w:spacing w:after="0"/>
              <w:rPr>
                <w:sz w:val="20"/>
                <w:szCs w:val="20"/>
                <w:color w:val="auto"/>
              </w:rPr>
            </w:pPr>
            <w:r>
              <w:rPr>
                <w:rFonts w:ascii="Arial" w:cs="Arial" w:eastAsia="Arial" w:hAnsi="Arial"/>
                <w:sz w:val="16"/>
                <w:szCs w:val="16"/>
                <w:color w:val="auto"/>
              </w:rPr>
              <w:t>Raw materials</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19"/>
              <w:spacing w:after="0"/>
              <w:rPr>
                <w:sz w:val="20"/>
                <w:szCs w:val="20"/>
                <w:color w:val="auto"/>
              </w:rPr>
            </w:pPr>
            <w:r>
              <w:rPr>
                <w:rFonts w:ascii="Arial" w:cs="Arial" w:eastAsia="Arial" w:hAnsi="Arial"/>
                <w:sz w:val="16"/>
                <w:szCs w:val="16"/>
                <w:color w:val="auto"/>
              </w:rPr>
              <w:t>266,798</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224,940</w:t>
            </w:r>
          </w:p>
        </w:tc>
      </w:tr>
      <w:tr>
        <w:trPr>
          <w:trHeight w:val="33"/>
        </w:trPr>
        <w:tc>
          <w:tcPr>
            <w:tcW w:w="6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Goods in process</w:t>
            </w:r>
          </w:p>
        </w:tc>
        <w:tc>
          <w:tcPr>
            <w:tcW w:w="4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137,704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93,627</w:t>
            </w:r>
          </w:p>
        </w:tc>
      </w:tr>
      <w:tr>
        <w:trPr>
          <w:trHeight w:val="237"/>
        </w:trPr>
        <w:tc>
          <w:tcPr>
            <w:tcW w:w="6540" w:type="dxa"/>
            <w:vAlign w:val="bottom"/>
          </w:tcPr>
          <w:p>
            <w:pPr>
              <w:ind w:left="180"/>
              <w:spacing w:after="0"/>
              <w:rPr>
                <w:sz w:val="20"/>
                <w:szCs w:val="20"/>
                <w:color w:val="auto"/>
              </w:rPr>
            </w:pPr>
            <w:r>
              <w:rPr>
                <w:rFonts w:ascii="Arial" w:cs="Arial" w:eastAsia="Arial" w:hAnsi="Arial"/>
                <w:sz w:val="16"/>
                <w:szCs w:val="16"/>
                <w:color w:val="auto"/>
              </w:rPr>
              <w:t>Finished goods</w:t>
            </w:r>
          </w:p>
        </w:tc>
        <w:tc>
          <w:tcPr>
            <w:tcW w:w="480" w:type="dxa"/>
            <w:vAlign w:val="bottom"/>
          </w:tcPr>
          <w:p>
            <w:pPr>
              <w:spacing w:after="0"/>
              <w:rPr>
                <w:sz w:val="20"/>
                <w:szCs w:val="20"/>
                <w:color w:val="auto"/>
              </w:rPr>
            </w:pPr>
          </w:p>
        </w:tc>
        <w:tc>
          <w:tcPr>
            <w:tcW w:w="1840" w:type="dxa"/>
            <w:vAlign w:val="bottom"/>
          </w:tcPr>
          <w:p>
            <w:pPr>
              <w:jc w:val="right"/>
              <w:ind w:right="19"/>
              <w:spacing w:after="0"/>
              <w:rPr>
                <w:sz w:val="20"/>
                <w:szCs w:val="20"/>
                <w:color w:val="auto"/>
              </w:rPr>
            </w:pPr>
            <w:r>
              <w:rPr>
                <w:rFonts w:ascii="Arial" w:cs="Arial" w:eastAsia="Arial" w:hAnsi="Arial"/>
                <w:sz w:val="16"/>
                <w:szCs w:val="16"/>
                <w:color w:val="auto"/>
              </w:rPr>
              <w:t>681,725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614,945</w:t>
            </w:r>
          </w:p>
        </w:tc>
      </w:tr>
      <w:tr>
        <w:trPr>
          <w:trHeight w:val="33"/>
        </w:trPr>
        <w:tc>
          <w:tcPr>
            <w:tcW w:w="65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3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Inventories at FIFO</w:t>
            </w:r>
          </w:p>
        </w:tc>
        <w:tc>
          <w:tcPr>
            <w:tcW w:w="48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1,086,227</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933,512</w:t>
            </w:r>
          </w:p>
        </w:tc>
      </w:tr>
      <w:tr>
        <w:trPr>
          <w:trHeight w:val="237"/>
        </w:trPr>
        <w:tc>
          <w:tcPr>
            <w:tcW w:w="6540" w:type="dxa"/>
            <w:vAlign w:val="bottom"/>
          </w:tcPr>
          <w:p>
            <w:pPr>
              <w:ind w:left="180"/>
              <w:spacing w:after="0"/>
              <w:rPr>
                <w:sz w:val="20"/>
                <w:szCs w:val="20"/>
                <w:color w:val="auto"/>
              </w:rPr>
            </w:pPr>
            <w:r>
              <w:rPr>
                <w:rFonts w:ascii="Arial" w:cs="Arial" w:eastAsia="Arial" w:hAnsi="Arial"/>
                <w:sz w:val="16"/>
                <w:szCs w:val="16"/>
                <w:color w:val="auto"/>
              </w:rPr>
              <w:t>Adjustment to LIFO</w:t>
            </w:r>
          </w:p>
        </w:tc>
        <w:tc>
          <w:tcPr>
            <w:tcW w:w="48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(169,787)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(180,676)</w:t>
            </w:r>
          </w:p>
        </w:tc>
      </w:tr>
      <w:tr>
        <w:trPr>
          <w:trHeight w:val="33"/>
        </w:trPr>
        <w:tc>
          <w:tcPr>
            <w:tcW w:w="65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inventories</w:t>
            </w: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916,440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752,836</w:t>
            </w:r>
          </w:p>
        </w:tc>
      </w:tr>
      <w:tr>
        <w:trPr>
          <w:trHeight w:val="20"/>
        </w:trPr>
        <w:tc>
          <w:tcPr>
            <w:tcW w:w="65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217"/>
        </w:trPr>
        <w:tc>
          <w:tcPr>
            <w:tcW w:w="6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Prepaid expenses and other:</w:t>
            </w:r>
          </w:p>
        </w:tc>
        <w:tc>
          <w:tcPr>
            <w:tcW w:w="4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37"/>
        </w:trPr>
        <w:tc>
          <w:tcPr>
            <w:tcW w:w="6540" w:type="dxa"/>
            <w:vAlign w:val="bottom"/>
          </w:tcPr>
          <w:p>
            <w:pPr>
              <w:ind w:left="180"/>
              <w:spacing w:after="0"/>
              <w:rPr>
                <w:sz w:val="20"/>
                <w:szCs w:val="20"/>
                <w:color w:val="auto"/>
              </w:rPr>
            </w:pPr>
            <w:r>
              <w:rPr>
                <w:rFonts w:ascii="Arial" w:cs="Arial" w:eastAsia="Arial" w:hAnsi="Arial"/>
                <w:sz w:val="16"/>
                <w:szCs w:val="16"/>
                <w:color w:val="auto"/>
              </w:rPr>
              <w:t>Prepaid expenses</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19"/>
              <w:spacing w:after="0"/>
              <w:rPr>
                <w:sz w:val="20"/>
                <w:szCs w:val="20"/>
                <w:color w:val="auto"/>
              </w:rPr>
            </w:pPr>
            <w:r>
              <w:rPr>
                <w:rFonts w:ascii="Arial" w:cs="Arial" w:eastAsia="Arial" w:hAnsi="Arial"/>
                <w:sz w:val="16"/>
                <w:szCs w:val="16"/>
                <w:color w:val="auto"/>
              </w:rPr>
              <w:t>70,315</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128,735</w:t>
            </w:r>
          </w:p>
        </w:tc>
      </w:tr>
      <w:tr>
        <w:trPr>
          <w:trHeight w:val="33"/>
        </w:trPr>
        <w:tc>
          <w:tcPr>
            <w:tcW w:w="6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Assets held for sale</w:t>
            </w:r>
          </w:p>
        </w:tc>
        <w:tc>
          <w:tcPr>
            <w:tcW w:w="4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247,126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21,124</w:t>
            </w:r>
          </w:p>
        </w:tc>
      </w:tr>
      <w:tr>
        <w:trPr>
          <w:trHeight w:val="237"/>
        </w:trPr>
        <w:tc>
          <w:tcPr>
            <w:tcW w:w="6540" w:type="dxa"/>
            <w:vAlign w:val="bottom"/>
          </w:tcPr>
          <w:p>
            <w:pPr>
              <w:ind w:left="180"/>
              <w:spacing w:after="0"/>
              <w:rPr>
                <w:sz w:val="20"/>
                <w:szCs w:val="20"/>
                <w:color w:val="auto"/>
              </w:rPr>
            </w:pPr>
            <w:r>
              <w:rPr>
                <w:rFonts w:ascii="Arial" w:cs="Arial" w:eastAsia="Arial" w:hAnsi="Arial"/>
                <w:sz w:val="16"/>
                <w:szCs w:val="16"/>
                <w:color w:val="auto"/>
              </w:rPr>
              <w:t>Other current assets</w:t>
            </w:r>
          </w:p>
        </w:tc>
        <w:tc>
          <w:tcPr>
            <w:tcW w:w="480" w:type="dxa"/>
            <w:vAlign w:val="bottom"/>
          </w:tcPr>
          <w:p>
            <w:pPr>
              <w:spacing w:after="0"/>
              <w:rPr>
                <w:sz w:val="20"/>
                <w:szCs w:val="20"/>
                <w:color w:val="auto"/>
              </w:rPr>
            </w:pPr>
          </w:p>
        </w:tc>
        <w:tc>
          <w:tcPr>
            <w:tcW w:w="1840" w:type="dxa"/>
            <w:vAlign w:val="bottom"/>
          </w:tcPr>
          <w:p>
            <w:pPr>
              <w:jc w:val="right"/>
              <w:ind w:right="19"/>
              <w:spacing w:after="0"/>
              <w:rPr>
                <w:sz w:val="20"/>
                <w:szCs w:val="20"/>
                <w:color w:val="auto"/>
              </w:rPr>
            </w:pPr>
            <w:r>
              <w:rPr>
                <w:rFonts w:ascii="Arial" w:cs="Arial" w:eastAsia="Arial" w:hAnsi="Arial"/>
                <w:sz w:val="16"/>
                <w:szCs w:val="16"/>
                <w:color w:val="auto"/>
              </w:rPr>
              <w:t>162,009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130,774</w:t>
            </w:r>
          </w:p>
        </w:tc>
      </w:tr>
      <w:tr>
        <w:trPr>
          <w:trHeight w:val="33"/>
        </w:trPr>
        <w:tc>
          <w:tcPr>
            <w:tcW w:w="65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prepaid expenses and other</w:t>
            </w: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479,450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280,633</w:t>
            </w:r>
          </w:p>
        </w:tc>
      </w:tr>
      <w:tr>
        <w:trPr>
          <w:trHeight w:val="20"/>
        </w:trPr>
        <w:tc>
          <w:tcPr>
            <w:tcW w:w="65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217"/>
        </w:trPr>
        <w:tc>
          <w:tcPr>
            <w:tcW w:w="6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Property, plant and equipment:</w:t>
            </w:r>
          </w:p>
        </w:tc>
        <w:tc>
          <w:tcPr>
            <w:tcW w:w="4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37"/>
        </w:trPr>
        <w:tc>
          <w:tcPr>
            <w:tcW w:w="6540" w:type="dxa"/>
            <w:vAlign w:val="bottom"/>
          </w:tcPr>
          <w:p>
            <w:pPr>
              <w:ind w:left="180"/>
              <w:spacing w:after="0"/>
              <w:rPr>
                <w:sz w:val="20"/>
                <w:szCs w:val="20"/>
                <w:color w:val="auto"/>
              </w:rPr>
            </w:pPr>
            <w:r>
              <w:rPr>
                <w:rFonts w:ascii="Arial" w:cs="Arial" w:eastAsia="Arial" w:hAnsi="Arial"/>
                <w:sz w:val="16"/>
                <w:szCs w:val="16"/>
                <w:color w:val="auto"/>
              </w:rPr>
              <w:t>Land</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19"/>
              <w:spacing w:after="0"/>
              <w:rPr>
                <w:sz w:val="20"/>
                <w:szCs w:val="20"/>
                <w:color w:val="auto"/>
              </w:rPr>
            </w:pPr>
            <w:r>
              <w:rPr>
                <w:rFonts w:ascii="Arial" w:cs="Arial" w:eastAsia="Arial" w:hAnsi="Arial"/>
                <w:sz w:val="16"/>
                <w:szCs w:val="16"/>
                <w:color w:val="auto"/>
              </w:rPr>
              <w:t>109,363</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108,300</w:t>
            </w:r>
          </w:p>
        </w:tc>
      </w:tr>
      <w:tr>
        <w:trPr>
          <w:trHeight w:val="33"/>
        </w:trPr>
        <w:tc>
          <w:tcPr>
            <w:tcW w:w="6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Buildings</w:t>
            </w:r>
          </w:p>
        </w:tc>
        <w:tc>
          <w:tcPr>
            <w:tcW w:w="4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1,235,965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1,214,158</w:t>
            </w:r>
          </w:p>
        </w:tc>
      </w:tr>
      <w:tr>
        <w:trPr>
          <w:trHeight w:val="237"/>
        </w:trPr>
        <w:tc>
          <w:tcPr>
            <w:tcW w:w="6540" w:type="dxa"/>
            <w:vAlign w:val="bottom"/>
          </w:tcPr>
          <w:p>
            <w:pPr>
              <w:ind w:left="180"/>
              <w:spacing w:after="0"/>
              <w:rPr>
                <w:sz w:val="20"/>
                <w:szCs w:val="20"/>
                <w:color w:val="auto"/>
              </w:rPr>
            </w:pPr>
            <w:r>
              <w:rPr>
                <w:rFonts w:ascii="Arial" w:cs="Arial" w:eastAsia="Arial" w:hAnsi="Arial"/>
                <w:sz w:val="16"/>
                <w:szCs w:val="16"/>
                <w:color w:val="auto"/>
              </w:rPr>
              <w:t>Machinery and equipment</w:t>
            </w:r>
          </w:p>
        </w:tc>
        <w:tc>
          <w:tcPr>
            <w:tcW w:w="480" w:type="dxa"/>
            <w:vAlign w:val="bottom"/>
          </w:tcPr>
          <w:p>
            <w:pPr>
              <w:spacing w:after="0"/>
              <w:rPr>
                <w:sz w:val="20"/>
                <w:szCs w:val="20"/>
                <w:color w:val="auto"/>
              </w:rPr>
            </w:pPr>
          </w:p>
        </w:tc>
        <w:tc>
          <w:tcPr>
            <w:tcW w:w="1840" w:type="dxa"/>
            <w:vAlign w:val="bottom"/>
          </w:tcPr>
          <w:p>
            <w:pPr>
              <w:jc w:val="right"/>
              <w:ind w:right="19"/>
              <w:spacing w:after="0"/>
              <w:rPr>
                <w:sz w:val="20"/>
                <w:szCs w:val="20"/>
                <w:color w:val="auto"/>
              </w:rPr>
            </w:pPr>
            <w:r>
              <w:rPr>
                <w:rFonts w:ascii="Arial" w:cs="Arial" w:eastAsia="Arial" w:hAnsi="Arial"/>
                <w:sz w:val="16"/>
                <w:szCs w:val="16"/>
                <w:color w:val="auto"/>
              </w:rPr>
              <w:t>2,959,326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2,925,353</w:t>
            </w:r>
          </w:p>
        </w:tc>
      </w:tr>
      <w:tr>
        <w:trPr>
          <w:trHeight w:val="33"/>
        </w:trPr>
        <w:tc>
          <w:tcPr>
            <w:tcW w:w="6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Construction in progress</w:t>
            </w:r>
          </w:p>
        </w:tc>
        <w:tc>
          <w:tcPr>
            <w:tcW w:w="48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230,456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212,912</w:t>
            </w:r>
          </w:p>
        </w:tc>
      </w:tr>
      <w:tr>
        <w:trPr>
          <w:trHeight w:val="217"/>
        </w:trPr>
        <w:tc>
          <w:tcPr>
            <w:tcW w:w="6540" w:type="dxa"/>
            <w:vAlign w:val="bottom"/>
          </w:tcPr>
          <w:p>
            <w:pPr>
              <w:ind w:left="180"/>
              <w:spacing w:after="0"/>
              <w:rPr>
                <w:sz w:val="20"/>
                <w:szCs w:val="20"/>
                <w:color w:val="auto"/>
              </w:rPr>
            </w:pPr>
            <w:r>
              <w:rPr>
                <w:rFonts w:ascii="Arial" w:cs="Arial" w:eastAsia="Arial" w:hAnsi="Arial"/>
                <w:sz w:val="16"/>
                <w:szCs w:val="16"/>
                <w:color w:val="auto"/>
              </w:rPr>
              <w:t>Property, plant and equipment, gross</w:t>
            </w:r>
          </w:p>
        </w:tc>
        <w:tc>
          <w:tcPr>
            <w:tcW w:w="48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4,535,110</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4,460,723</w:t>
            </w:r>
          </w:p>
        </w:tc>
      </w:tr>
      <w:tr>
        <w:trPr>
          <w:trHeight w:val="33"/>
        </w:trPr>
        <w:tc>
          <w:tcPr>
            <w:tcW w:w="6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Accumulated depreciation</w:t>
            </w:r>
          </w:p>
        </w:tc>
        <w:tc>
          <w:tcPr>
            <w:tcW w:w="48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(2,451,270)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(2,354,026)</w:t>
            </w:r>
          </w:p>
        </w:tc>
      </w:tr>
      <w:tr>
        <w:trPr>
          <w:trHeight w:val="297"/>
        </w:trPr>
        <w:tc>
          <w:tcPr>
            <w:tcW w:w="6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Property, plant and equipment, net</w:t>
            </w:r>
          </w:p>
        </w:tc>
        <w:tc>
          <w:tcPr>
            <w:tcW w:w="4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2,083,840</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2,106,697</w:t>
            </w:r>
          </w:p>
        </w:tc>
      </w:tr>
      <w:tr>
        <w:trPr>
          <w:trHeight w:val="217"/>
        </w:trPr>
        <w:tc>
          <w:tcPr>
            <w:tcW w:w="6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37"/>
        </w:trPr>
        <w:tc>
          <w:tcPr>
            <w:tcW w:w="6540" w:type="dxa"/>
            <w:vAlign w:val="bottom"/>
          </w:tcPr>
          <w:p>
            <w:pPr>
              <w:ind w:left="40"/>
              <w:spacing w:after="0"/>
              <w:rPr>
                <w:sz w:val="20"/>
                <w:szCs w:val="20"/>
                <w:color w:val="auto"/>
              </w:rPr>
            </w:pPr>
            <w:r>
              <w:rPr>
                <w:rFonts w:ascii="Arial" w:cs="Arial" w:eastAsia="Arial" w:hAnsi="Arial"/>
                <w:sz w:val="16"/>
                <w:szCs w:val="16"/>
                <w:b w:val="1"/>
                <w:bCs w:val="1"/>
                <w:color w:val="auto"/>
              </w:rPr>
              <w:t>Other assets:</w:t>
            </w:r>
          </w:p>
        </w:tc>
        <w:tc>
          <w:tcPr>
            <w:tcW w:w="4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33"/>
        </w:trPr>
        <w:tc>
          <w:tcPr>
            <w:tcW w:w="6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Capitalized software, net</w:t>
            </w:r>
          </w:p>
        </w:tc>
        <w:tc>
          <w:tcPr>
            <w:tcW w:w="4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114,936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104,881</w:t>
            </w:r>
          </w:p>
        </w:tc>
      </w:tr>
      <w:tr>
        <w:trPr>
          <w:trHeight w:val="237"/>
        </w:trPr>
        <w:tc>
          <w:tcPr>
            <w:tcW w:w="6540" w:type="dxa"/>
            <w:vAlign w:val="bottom"/>
          </w:tcPr>
          <w:p>
            <w:pPr>
              <w:ind w:left="180"/>
              <w:spacing w:after="0"/>
              <w:rPr>
                <w:sz w:val="20"/>
                <w:szCs w:val="20"/>
                <w:color w:val="auto"/>
              </w:rPr>
            </w:pPr>
            <w:r>
              <w:rPr>
                <w:rFonts w:ascii="Arial" w:cs="Arial" w:eastAsia="Arial" w:hAnsi="Arial"/>
                <w:sz w:val="16"/>
                <w:szCs w:val="16"/>
                <w:color w:val="auto"/>
              </w:rPr>
              <w:t>Other non-current assets</w:t>
            </w:r>
          </w:p>
        </w:tc>
        <w:tc>
          <w:tcPr>
            <w:tcW w:w="480" w:type="dxa"/>
            <w:vAlign w:val="bottom"/>
          </w:tcPr>
          <w:p>
            <w:pPr>
              <w:spacing w:after="0"/>
              <w:rPr>
                <w:sz w:val="20"/>
                <w:szCs w:val="20"/>
                <w:color w:val="auto"/>
              </w:rPr>
            </w:pPr>
          </w:p>
        </w:tc>
        <w:tc>
          <w:tcPr>
            <w:tcW w:w="1840" w:type="dxa"/>
            <w:vAlign w:val="bottom"/>
          </w:tcPr>
          <w:p>
            <w:pPr>
              <w:jc w:val="right"/>
              <w:ind w:right="19"/>
              <w:spacing w:after="0"/>
              <w:rPr>
                <w:sz w:val="20"/>
                <w:szCs w:val="20"/>
                <w:color w:val="auto"/>
              </w:rPr>
            </w:pPr>
            <w:r>
              <w:rPr>
                <w:rFonts w:ascii="Arial" w:cs="Arial" w:eastAsia="Arial" w:hAnsi="Arial"/>
                <w:sz w:val="16"/>
                <w:szCs w:val="16"/>
                <w:color w:val="auto"/>
              </w:rPr>
              <w:t>147,768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146,998</w:t>
            </w:r>
          </w:p>
        </w:tc>
      </w:tr>
      <w:tr>
        <w:trPr>
          <w:trHeight w:val="33"/>
        </w:trPr>
        <w:tc>
          <w:tcPr>
            <w:tcW w:w="65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assets</w:t>
            </w: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262,704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251,879</w:t>
            </w:r>
          </w:p>
        </w:tc>
      </w:tr>
      <w:tr>
        <w:trPr>
          <w:trHeight w:val="20"/>
        </w:trPr>
        <w:tc>
          <w:tcPr>
            <w:tcW w:w="65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217"/>
        </w:trPr>
        <w:tc>
          <w:tcPr>
            <w:tcW w:w="6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Accrued liabilities:</w:t>
            </w:r>
          </w:p>
        </w:tc>
        <w:tc>
          <w:tcPr>
            <w:tcW w:w="4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37"/>
        </w:trPr>
        <w:tc>
          <w:tcPr>
            <w:tcW w:w="6540" w:type="dxa"/>
            <w:vAlign w:val="bottom"/>
          </w:tcPr>
          <w:p>
            <w:pPr>
              <w:ind w:left="180"/>
              <w:spacing w:after="0"/>
              <w:rPr>
                <w:sz w:val="20"/>
                <w:szCs w:val="20"/>
                <w:color w:val="auto"/>
              </w:rPr>
            </w:pPr>
            <w:r>
              <w:rPr>
                <w:rFonts w:ascii="Arial" w:cs="Arial" w:eastAsia="Arial" w:hAnsi="Arial"/>
                <w:sz w:val="16"/>
                <w:szCs w:val="16"/>
                <w:color w:val="auto"/>
              </w:rPr>
              <w:t>Payroll, compensation and benefits</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19"/>
              <w:spacing w:after="0"/>
              <w:rPr>
                <w:sz w:val="20"/>
                <w:szCs w:val="20"/>
                <w:color w:val="auto"/>
              </w:rPr>
            </w:pPr>
            <w:r>
              <w:rPr>
                <w:rFonts w:ascii="Arial" w:cs="Arial" w:eastAsia="Arial" w:hAnsi="Arial"/>
                <w:sz w:val="16"/>
                <w:szCs w:val="16"/>
                <w:color w:val="auto"/>
              </w:rPr>
              <w:t>154,832</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190,863</w:t>
            </w:r>
          </w:p>
        </w:tc>
      </w:tr>
      <w:tr>
        <w:trPr>
          <w:trHeight w:val="33"/>
        </w:trPr>
        <w:tc>
          <w:tcPr>
            <w:tcW w:w="6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Advertising and promotion</w:t>
            </w:r>
          </w:p>
        </w:tc>
        <w:tc>
          <w:tcPr>
            <w:tcW w:w="4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257,228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305,107</w:t>
            </w:r>
          </w:p>
        </w:tc>
      </w:tr>
      <w:tr>
        <w:trPr>
          <w:trHeight w:val="237"/>
        </w:trPr>
        <w:tc>
          <w:tcPr>
            <w:tcW w:w="6540" w:type="dxa"/>
            <w:vAlign w:val="bottom"/>
          </w:tcPr>
          <w:p>
            <w:pPr>
              <w:ind w:left="180"/>
              <w:spacing w:after="0"/>
              <w:rPr>
                <w:sz w:val="20"/>
                <w:szCs w:val="20"/>
                <w:color w:val="auto"/>
              </w:rPr>
            </w:pPr>
            <w:r>
              <w:rPr>
                <w:rFonts w:ascii="Arial" w:cs="Arial" w:eastAsia="Arial" w:hAnsi="Arial"/>
                <w:sz w:val="16"/>
                <w:szCs w:val="16"/>
                <w:color w:val="auto"/>
              </w:rPr>
              <w:t>Liabilities held for sale</w:t>
            </w:r>
          </w:p>
        </w:tc>
        <w:tc>
          <w:tcPr>
            <w:tcW w:w="480" w:type="dxa"/>
            <w:vAlign w:val="bottom"/>
          </w:tcPr>
          <w:p>
            <w:pPr>
              <w:spacing w:after="0"/>
              <w:rPr>
                <w:sz w:val="20"/>
                <w:szCs w:val="20"/>
                <w:color w:val="auto"/>
              </w:rPr>
            </w:pPr>
          </w:p>
        </w:tc>
        <w:tc>
          <w:tcPr>
            <w:tcW w:w="1840" w:type="dxa"/>
            <w:vAlign w:val="bottom"/>
          </w:tcPr>
          <w:p>
            <w:pPr>
              <w:jc w:val="right"/>
              <w:ind w:right="19"/>
              <w:spacing w:after="0"/>
              <w:rPr>
                <w:sz w:val="20"/>
                <w:szCs w:val="20"/>
                <w:color w:val="auto"/>
              </w:rPr>
            </w:pPr>
            <w:r>
              <w:rPr>
                <w:rFonts w:ascii="Arial" w:cs="Arial" w:eastAsia="Arial" w:hAnsi="Arial"/>
                <w:sz w:val="16"/>
                <w:szCs w:val="16"/>
                <w:color w:val="auto"/>
              </w:rPr>
              <w:t>38,021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48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185,647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180,164</w:t>
            </w:r>
          </w:p>
        </w:tc>
      </w:tr>
      <w:tr>
        <w:trPr>
          <w:trHeight w:val="284"/>
        </w:trPr>
        <w:tc>
          <w:tcPr>
            <w:tcW w:w="65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accrued liabilities</w:t>
            </w:r>
          </w:p>
        </w:tc>
        <w:tc>
          <w:tcPr>
            <w:tcW w:w="4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635,728</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676,134</w:t>
            </w:r>
          </w:p>
        </w:tc>
      </w:tr>
      <w:tr>
        <w:trPr>
          <w:trHeight w:val="217"/>
        </w:trPr>
        <w:tc>
          <w:tcPr>
            <w:tcW w:w="6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37"/>
        </w:trPr>
        <w:tc>
          <w:tcPr>
            <w:tcW w:w="6540" w:type="dxa"/>
            <w:vAlign w:val="bottom"/>
          </w:tcPr>
          <w:p>
            <w:pPr>
              <w:ind w:left="40"/>
              <w:spacing w:after="0"/>
              <w:rPr>
                <w:sz w:val="20"/>
                <w:szCs w:val="20"/>
                <w:color w:val="auto"/>
              </w:rPr>
            </w:pPr>
            <w:r>
              <w:rPr>
                <w:rFonts w:ascii="Arial" w:cs="Arial" w:eastAsia="Arial" w:hAnsi="Arial"/>
                <w:sz w:val="16"/>
                <w:szCs w:val="16"/>
                <w:b w:val="1"/>
                <w:bCs w:val="1"/>
                <w:color w:val="auto"/>
              </w:rPr>
              <w:t>Other long-term liabilities:</w:t>
            </w:r>
          </w:p>
        </w:tc>
        <w:tc>
          <w:tcPr>
            <w:tcW w:w="4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33"/>
        </w:trPr>
        <w:tc>
          <w:tcPr>
            <w:tcW w:w="6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Post-retirement benefits liabilities</w:t>
            </w: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210,274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215,320</w:t>
            </w:r>
          </w:p>
        </w:tc>
      </w:tr>
      <w:tr>
        <w:trPr>
          <w:trHeight w:val="237"/>
        </w:trPr>
        <w:tc>
          <w:tcPr>
            <w:tcW w:w="6540" w:type="dxa"/>
            <w:vAlign w:val="bottom"/>
          </w:tcPr>
          <w:p>
            <w:pPr>
              <w:ind w:left="180"/>
              <w:spacing w:after="0"/>
              <w:rPr>
                <w:sz w:val="20"/>
                <w:szCs w:val="20"/>
                <w:color w:val="auto"/>
              </w:rPr>
            </w:pPr>
            <w:r>
              <w:rPr>
                <w:rFonts w:ascii="Arial" w:cs="Arial" w:eastAsia="Arial" w:hAnsi="Arial"/>
                <w:sz w:val="16"/>
                <w:szCs w:val="16"/>
                <w:color w:val="auto"/>
              </w:rPr>
              <w:t>Pension benefits liabilities</w:t>
            </w:r>
          </w:p>
        </w:tc>
        <w:tc>
          <w:tcPr>
            <w:tcW w:w="480" w:type="dxa"/>
            <w:vAlign w:val="bottom"/>
          </w:tcPr>
          <w:p>
            <w:pPr>
              <w:spacing w:after="0"/>
              <w:rPr>
                <w:sz w:val="20"/>
                <w:szCs w:val="20"/>
                <w:color w:val="auto"/>
              </w:rPr>
            </w:pPr>
          </w:p>
        </w:tc>
        <w:tc>
          <w:tcPr>
            <w:tcW w:w="1840" w:type="dxa"/>
            <w:vAlign w:val="bottom"/>
          </w:tcPr>
          <w:p>
            <w:pPr>
              <w:jc w:val="right"/>
              <w:ind w:right="19"/>
              <w:spacing w:after="0"/>
              <w:rPr>
                <w:sz w:val="20"/>
                <w:szCs w:val="20"/>
                <w:color w:val="auto"/>
              </w:rPr>
            </w:pPr>
            <w:r>
              <w:rPr>
                <w:rFonts w:ascii="Arial" w:cs="Arial" w:eastAsia="Arial" w:hAnsi="Arial"/>
                <w:sz w:val="16"/>
                <w:szCs w:val="16"/>
                <w:color w:val="auto"/>
              </w:rPr>
              <w:t>37,632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39,410</w:t>
            </w:r>
          </w:p>
        </w:tc>
      </w:tr>
      <w:tr>
        <w:trPr>
          <w:trHeight w:val="33"/>
        </w:trPr>
        <w:tc>
          <w:tcPr>
            <w:tcW w:w="6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48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188,785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184,209</w:t>
            </w:r>
          </w:p>
        </w:tc>
      </w:tr>
      <w:tr>
        <w:trPr>
          <w:trHeight w:val="284"/>
        </w:trPr>
        <w:tc>
          <w:tcPr>
            <w:tcW w:w="65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other long-term liabilities</w:t>
            </w:r>
          </w:p>
        </w:tc>
        <w:tc>
          <w:tcPr>
            <w:tcW w:w="4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436,691</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438,939</w:t>
            </w:r>
          </w:p>
        </w:tc>
      </w:tr>
      <w:tr>
        <w:trPr>
          <w:trHeight w:val="217"/>
        </w:trPr>
        <w:tc>
          <w:tcPr>
            <w:tcW w:w="6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37"/>
        </w:trPr>
        <w:tc>
          <w:tcPr>
            <w:tcW w:w="6540" w:type="dxa"/>
            <w:vAlign w:val="bottom"/>
          </w:tcPr>
          <w:p>
            <w:pPr>
              <w:ind w:left="40"/>
              <w:spacing w:after="0"/>
              <w:rPr>
                <w:sz w:val="20"/>
                <w:szCs w:val="20"/>
                <w:color w:val="auto"/>
              </w:rPr>
            </w:pPr>
            <w:r>
              <w:rPr>
                <w:rFonts w:ascii="Arial" w:cs="Arial" w:eastAsia="Arial" w:hAnsi="Arial"/>
                <w:sz w:val="16"/>
                <w:szCs w:val="16"/>
                <w:b w:val="1"/>
                <w:bCs w:val="1"/>
                <w:color w:val="auto"/>
              </w:rPr>
              <w:t>Accumulated other comprehensive loss:</w:t>
            </w:r>
          </w:p>
        </w:tc>
        <w:tc>
          <w:tcPr>
            <w:tcW w:w="4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33"/>
        </w:trPr>
        <w:tc>
          <w:tcPr>
            <w:tcW w:w="6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Foreign currency translation adjustments</w:t>
            </w: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(116,182)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(91,837)</w:t>
            </w:r>
          </w:p>
        </w:tc>
      </w:tr>
      <w:tr>
        <w:trPr>
          <w:trHeight w:val="237"/>
        </w:trPr>
        <w:tc>
          <w:tcPr>
            <w:tcW w:w="6540" w:type="dxa"/>
            <w:vAlign w:val="bottom"/>
          </w:tcPr>
          <w:p>
            <w:pPr>
              <w:ind w:left="180"/>
              <w:spacing w:after="0"/>
              <w:rPr>
                <w:sz w:val="20"/>
                <w:szCs w:val="20"/>
                <w:color w:val="auto"/>
              </w:rPr>
            </w:pPr>
            <w:r>
              <w:rPr>
                <w:rFonts w:ascii="Arial" w:cs="Arial" w:eastAsia="Arial" w:hAnsi="Arial"/>
                <w:sz w:val="16"/>
                <w:szCs w:val="16"/>
                <w:color w:val="auto"/>
              </w:rPr>
              <w:t>Pension and post-retirement benefit plans, net of tax</w:t>
            </w:r>
          </w:p>
        </w:tc>
        <w:tc>
          <w:tcPr>
            <w:tcW w:w="48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(198,002)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(169,526)</w:t>
            </w:r>
          </w:p>
        </w:tc>
      </w:tr>
      <w:tr>
        <w:trPr>
          <w:trHeight w:val="33"/>
        </w:trPr>
        <w:tc>
          <w:tcPr>
            <w:tcW w:w="6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flow hedges, net of tax</w:t>
            </w:r>
          </w:p>
        </w:tc>
        <w:tc>
          <w:tcPr>
            <w:tcW w:w="48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(53,634)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(52,383)</w:t>
            </w:r>
          </w:p>
        </w:tc>
      </w:tr>
      <w:tr>
        <w:trPr>
          <w:trHeight w:val="244"/>
        </w:trPr>
        <w:tc>
          <w:tcPr>
            <w:tcW w:w="6540" w:type="dxa"/>
            <w:vAlign w:val="bottom"/>
          </w:tcPr>
          <w:p>
            <w:pPr>
              <w:spacing w:after="0"/>
              <w:rPr>
                <w:sz w:val="20"/>
                <w:szCs w:val="20"/>
                <w:color w:val="auto"/>
              </w:rPr>
            </w:pPr>
            <w:r>
              <w:rPr>
                <w:rFonts w:ascii="Arial" w:cs="Arial" w:eastAsia="Arial" w:hAnsi="Arial"/>
                <w:sz w:val="16"/>
                <w:szCs w:val="16"/>
                <w:color w:val="auto"/>
              </w:rPr>
              <w:t>Total accumulated other comprehensive loss</w:t>
            </w:r>
          </w:p>
        </w:tc>
        <w:tc>
          <w:tcPr>
            <w:tcW w:w="4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(367,818)</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(313,746)</w:t>
            </w:r>
          </w:p>
        </w:tc>
      </w:tr>
      <w:tr>
        <w:trPr>
          <w:trHeight w:val="20"/>
        </w:trPr>
        <w:tc>
          <w:tcPr>
            <w:tcW w:w="65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00"/>
          </w:cols>
          <w:pgMar w:left="240" w:top="121" w:right="359" w:bottom="474" w:gutter="0" w:footer="0" w:header="0"/>
        </w:sectPr>
      </w:pPr>
    </w:p>
    <w:p>
      <w:pPr>
        <w:spacing w:after="0" w:line="2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300"/>
          </w:cols>
          <w:pgMar w:left="240" w:top="121" w:right="359" w:bottom="474"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This Management's Discussion and Analysis (“MD&amp;A”) is intended to provide an understanding of Hershey's financial condition, results of operations and cash flows by focusing on changes in certain key measures from year to year. The MD&amp;A should be read in conjunction with our Consolidated Financial Statements and accompanying notes. This discussion contains a number of forward-looking statements, all of which are based on current expectations. Actual results may differ materially. Refer to the Safe Harbor Statement below as well as the Risk Factors and other information contained in our 2017 Annual Report on Form 10-K for information concerning the key risks to achieving future performance goals.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MD&amp;A is organized in the following sections:</w:t>
      </w:r>
    </w:p>
    <w:p>
      <w:pPr>
        <w:spacing w:after="0" w:line="63"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Overview</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Non-GAAP Information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Consolidated Results of Operations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Segment Results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Overview presented below is an executive-level summary highlighting the key trends and measures on which the Company’s management focuses in evaluating its financial condition and operating performance. Certain earnings and performance measures within the Overview include financial information determined on a non-GAAP basis, which aligns with how management internally evaluates the Company's results of operations, determines incentive compensation, and assesses the impact of known trends and uncertainties on the business. A detailed reconciliation of the non-GAAP financial measures referenced herein to their nearest comparable GAAP financial measures follows this summary. For a detailed analysis of the Company's operations prepared in accordance with accounting principles generally accepted in the United States of America ("GAAP"), referred to as "reported" herein, refer to the discussion and analysis in the Consolidated Results of Operations.</w:t>
      </w:r>
    </w:p>
    <w:p>
      <w:pPr>
        <w:spacing w:after="0" w:line="124"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 xml:space="preserve">In January 2018, we completed the acquisition of all of the outstanding shares of Amplify Snack Brands, Inc. ("Amplify"), a publicly traded company based in Austin, Texas that owns several popular better-for-you snack brands such as </w:t>
      </w:r>
      <w:r>
        <w:rPr>
          <w:rFonts w:ascii="Arial" w:cs="Arial" w:eastAsia="Arial" w:hAnsi="Arial"/>
          <w:sz w:val="18"/>
          <w:szCs w:val="18"/>
          <w:i w:val="1"/>
          <w:iCs w:val="1"/>
          <w:color w:val="auto"/>
        </w:rPr>
        <w:t>SkinnyPop</w:t>
      </w:r>
      <w:r>
        <w:rPr>
          <w:rFonts w:ascii="Arial" w:cs="Arial" w:eastAsia="Arial" w:hAnsi="Arial"/>
          <w:sz w:val="18"/>
          <w:szCs w:val="18"/>
          <w:color w:val="auto"/>
        </w:rPr>
        <w:t xml:space="preserve">, </w:t>
      </w:r>
      <w:r>
        <w:rPr>
          <w:rFonts w:ascii="Arial" w:cs="Arial" w:eastAsia="Arial" w:hAnsi="Arial"/>
          <w:sz w:val="18"/>
          <w:szCs w:val="18"/>
          <w:i w:val="1"/>
          <w:iCs w:val="1"/>
          <w:color w:val="auto"/>
        </w:rPr>
        <w:t>Oatmega</w:t>
      </w:r>
      <w:r>
        <w:rPr>
          <w:rFonts w:ascii="Arial" w:cs="Arial" w:eastAsia="Arial" w:hAnsi="Arial"/>
          <w:sz w:val="18"/>
          <w:szCs w:val="18"/>
          <w:color w:val="auto"/>
        </w:rPr>
        <w:t xml:space="preserve">, </w:t>
      </w:r>
      <w:r>
        <w:rPr>
          <w:rFonts w:ascii="Arial" w:cs="Arial" w:eastAsia="Arial" w:hAnsi="Arial"/>
          <w:sz w:val="18"/>
          <w:szCs w:val="18"/>
          <w:i w:val="1"/>
          <w:iCs w:val="1"/>
          <w:color w:val="auto"/>
        </w:rPr>
        <w:t>Paqui</w:t>
      </w:r>
      <w:r>
        <w:rPr>
          <w:rFonts w:ascii="Arial" w:cs="Arial" w:eastAsia="Arial" w:hAnsi="Arial"/>
          <w:sz w:val="18"/>
          <w:szCs w:val="18"/>
          <w:color w:val="auto"/>
        </w:rPr>
        <w:t xml:space="preserve"> and </w:t>
      </w:r>
      <w:r>
        <w:rPr>
          <w:rFonts w:ascii="Arial" w:cs="Arial" w:eastAsia="Arial" w:hAnsi="Arial"/>
          <w:sz w:val="18"/>
          <w:szCs w:val="18"/>
          <w:i w:val="1"/>
          <w:iCs w:val="1"/>
          <w:color w:val="auto"/>
        </w:rPr>
        <w:t>Tyrrells</w:t>
      </w:r>
      <w:r>
        <w:rPr>
          <w:rFonts w:ascii="Arial" w:cs="Arial" w:eastAsia="Arial" w:hAnsi="Arial"/>
          <w:sz w:val="18"/>
          <w:szCs w:val="18"/>
          <w:color w:val="auto"/>
        </w:rPr>
        <w:t xml:space="preserve">. Amplify's anchor brand, </w:t>
      </w:r>
      <w:r>
        <w:rPr>
          <w:rFonts w:ascii="Arial" w:cs="Arial" w:eastAsia="Arial" w:hAnsi="Arial"/>
          <w:sz w:val="18"/>
          <w:szCs w:val="18"/>
          <w:i w:val="1"/>
          <w:iCs w:val="1"/>
          <w:color w:val="auto"/>
        </w:rPr>
        <w:t>SkinnyPop</w:t>
      </w:r>
      <w:r>
        <w:rPr>
          <w:rFonts w:ascii="Arial" w:cs="Arial" w:eastAsia="Arial" w:hAnsi="Arial"/>
          <w:sz w:val="18"/>
          <w:szCs w:val="18"/>
          <w:color w:val="auto"/>
        </w:rPr>
        <w:t>, is a market-leading ready-to-eat popcorn brand and is available in a wide range of food distribution channels in the United States. The business enables us to capture more consumer snacking occasions by contributing a new portfolio of brands. On July 5, 2018, we sold the Tyrrells business in order to focus on the U.S. growth opportunities.</w:t>
      </w:r>
    </w:p>
    <w:p>
      <w:pPr>
        <w:spacing w:after="0" w:line="13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second quarter 2018 net sales totaled $1,751.6 million, an increase of 5.3%, versus $1,663.0 million for the second quarter 2017. There was no impact from foreign currency exchange rates during the period. Net sales growth was driven primarily by the Amplify acquisition.</w:t>
      </w:r>
    </w:p>
    <w:p>
      <w:pPr>
        <w:spacing w:after="0" w:line="116"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Our reported gross margin was 45.3% for the second quarter 2018, a decrease of 80 basis points compared to the second quarter 2017. Our second quarter 2018 non-GAAP gross margin was 44.5%, a decrease of 260 basis points compared to the second quarter 2017 due to incremental investments in trade promotional spending, higher freight and logistics costs, unfavorable mix and additional plant costs related to new production lines.</w:t>
      </w:r>
    </w:p>
    <w:p>
      <w:pPr>
        <w:spacing w:after="0" w:line="93"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Our second quarter 2018 reported net income and EPS-diluted totaled $226.9 million and $1.08, respectively, compared to the second quarter 2017 reported net income and EPS-diluted of $203.5 million and $0.95, respectively. From a non-GAAP perspective, second quarter 2018 adjusted net income was $240.6 million, an increase of 4.4% versus $230.5 million in the second quarter 2017. Our adjusted EPS-diluted for the second quarter 2018 was $1.14 compared to $1.08 for the second quarter 2017, an increase of 5.6%. The increases in our adjusted net income and adjusted EPS-diluted in 2018 compared to 2017 is primarily due to the lower 2018 tax rate as a result of U.S. tax reform, partially offset by lower gross margin and higher interest expense.</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823" w:right="279" w:bottom="1440" w:gutter="0" w:footer="0" w:header="0"/>
        </w:sectPr>
      </w:pPr>
    </w:p>
    <w:bookmarkStart w:id="31" w:name="page32"/>
    <w:bookmarkEnd w:id="31"/>
    <w:p>
      <w:pPr>
        <w:spacing w:after="0" w:line="257" w:lineRule="auto"/>
        <w:rPr>
          <w:sz w:val="20"/>
          <w:szCs w:val="20"/>
          <w:color w:val="auto"/>
        </w:rPr>
      </w:pPr>
      <w:r>
        <w:rPr>
          <w:rFonts w:ascii="Arial" w:cs="Arial" w:eastAsia="Arial" w:hAnsi="Arial"/>
          <w:sz w:val="18"/>
          <w:szCs w:val="18"/>
          <w:color w:val="auto"/>
        </w:rPr>
        <w:t xml:space="preserve">Looking forward, we expect North America performance to improve in the second half of the year. We are continuing to invest in our core brands including new campaigns, sharper positioning, improved packaging and robust marketing support to drive velocities. We are leveraging new capabilities to secure additional space at key retailers, with a focus on our fastest moving, most profitable product offerings. In addition to these initiatives and the expanded rollout of </w:t>
      </w:r>
      <w:r>
        <w:rPr>
          <w:rFonts w:ascii="Arial" w:cs="Arial" w:eastAsia="Arial" w:hAnsi="Arial"/>
          <w:sz w:val="18"/>
          <w:szCs w:val="18"/>
          <w:i w:val="1"/>
          <w:iCs w:val="1"/>
          <w:color w:val="auto"/>
        </w:rPr>
        <w:t>Reese’s Outrageous</w:t>
      </w:r>
      <w:r>
        <w:rPr>
          <w:rFonts w:ascii="Arial" w:cs="Arial" w:eastAsia="Arial" w:hAnsi="Arial"/>
          <w:sz w:val="18"/>
          <w:szCs w:val="18"/>
          <w:color w:val="auto"/>
        </w:rPr>
        <w:t xml:space="preserve"> bars, we have good visibility into strong Halloween and Holiday orders. We expect the strong sales and profit trends in our international markets to continue in the second half of the year as well.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Comparability of Certain Financial Measures</w:t>
      </w:r>
    </w:p>
    <w:p>
      <w:pPr>
        <w:spacing w:after="0" w:line="9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comparability of certain of our financial measures is impacted by unallocated mark-to-market (gains) losses on commodity derivatives, costs associated with business realignment activities, costs relating to the integration of acquisitions, impairment of long-lived assets and other non-recurring gains and losses.</w:t>
      </w:r>
    </w:p>
    <w:p>
      <w:pPr>
        <w:spacing w:after="0" w:line="124"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To provide additional information to investors to facilitate the comparison of past and present performance, we use non-GAAP financial measures within MD&amp;A that exclude the financial impact of these activities. These non-GAAP financial measures are used internally by management in evaluating results of operations and determining incentive compensation, and in assessing the impact of known trends and uncertainties on our business, but they are not intended to replace the presentation of financial results in accordance with GAAP. Reconciliations of the non-GAAP financial measures referenced in MD&amp;A to their nearest comparable GAAP financial measures as presented in the Consolidated Statements of Income are provided below.</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94"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 xml:space="preserve">In conjunction with the adoption of ASU 2017-07, </w:t>
      </w:r>
      <w:r>
        <w:rPr>
          <w:rFonts w:ascii="Arial" w:cs="Arial" w:eastAsia="Arial" w:hAnsi="Arial"/>
          <w:sz w:val="16"/>
          <w:szCs w:val="16"/>
          <w:i w:val="1"/>
          <w:iCs w:val="1"/>
          <w:color w:val="auto"/>
        </w:rPr>
        <w:t>Compensation-Retirement Benefits (Topic 715)</w:t>
      </w:r>
      <w:r>
        <w:rPr>
          <w:rFonts w:ascii="Arial" w:cs="Arial" w:eastAsia="Arial" w:hAnsi="Arial"/>
          <w:sz w:val="16"/>
          <w:szCs w:val="16"/>
          <w:color w:val="auto"/>
        </w:rPr>
        <w:t>, in the first quarter of 2018, the Company elected to discontinue its practice of excluding the non-service related components of its net periodic benefit cost in deriving its non-GAAP financial measures, with a minor exception. Historically, the Company excluded from its non-GAAP results the following components relating to its pension benefit plans: interest cost, expected return on plan assets, amortization of net loss (gain), and settlement and curtailment charges. The Company did not historically exclude from its non-GAAP results the non-service related components relating to its other post retirement benefit plans. Starting with the first quarter of 2018, the Company will continue to exclude from its non-GAAP results the portion of pension settlement and/or curtailment charges relating to Company-directed initiatives, such as significant business realignment events and benefit plan terminations or amendments. As a result of this change, the non-GAAP reconciliations presented for the three and six months ended July 2, 2017 that follow have been revised to conform to this updated presentation. The revision in the Company’s determination of non-GAAP earnings resulted in a reduction of $0.01 to adjusted earnings per share-diluted from $1.09 to $1.08 for the three months ended July 2, 2017 and a reduction of $0.02 to adjusted earnings per share-diluted from $2.40 to $2.38 for the six months ended July 2, 2017.</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746" w:right="27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10"/>
        </w:trPr>
        <w:tc>
          <w:tcPr>
            <w:tcW w:w="2140" w:type="dxa"/>
            <w:vAlign w:val="bottom"/>
          </w:tcPr>
          <w:p>
            <w:pPr>
              <w:spacing w:after="0"/>
              <w:rPr>
                <w:sz w:val="18"/>
                <w:szCs w:val="18"/>
                <w:color w:val="auto"/>
              </w:rPr>
            </w:pPr>
          </w:p>
        </w:tc>
        <w:tc>
          <w:tcPr>
            <w:tcW w:w="6020" w:type="dxa"/>
            <w:vAlign w:val="bottom"/>
            <w:gridSpan w:val="7"/>
          </w:tcPr>
          <w:p>
            <w:pPr>
              <w:ind w:left="1580"/>
              <w:spacing w:after="0"/>
              <w:rPr>
                <w:sz w:val="20"/>
                <w:szCs w:val="20"/>
                <w:color w:val="auto"/>
              </w:rPr>
            </w:pPr>
            <w:r>
              <w:rPr>
                <w:rFonts w:ascii="Arial" w:cs="Arial" w:eastAsia="Arial" w:hAnsi="Arial"/>
                <w:sz w:val="16"/>
                <w:szCs w:val="16"/>
                <w:b w:val="1"/>
                <w:bCs w:val="1"/>
                <w:color w:val="auto"/>
              </w:rPr>
              <w:t>Reconciliation of Certain Non-GAAP Financial Measures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70"/>
        </w:trPr>
        <w:tc>
          <w:tcPr>
            <w:tcW w:w="4580" w:type="dxa"/>
            <w:vAlign w:val="bottom"/>
            <w:gridSpan w:val="2"/>
          </w:tcPr>
          <w:p>
            <w:pPr>
              <w:ind w:left="40"/>
              <w:spacing w:after="0"/>
              <w:rPr>
                <w:sz w:val="20"/>
                <w:szCs w:val="20"/>
                <w:color w:val="auto"/>
              </w:rPr>
            </w:pPr>
            <w:r>
              <w:rPr>
                <w:rFonts w:ascii="Arial" w:cs="Arial" w:eastAsia="Arial" w:hAnsi="Arial"/>
                <w:sz w:val="16"/>
                <w:szCs w:val="16"/>
                <w:b w:val="1"/>
                <w:bCs w:val="1"/>
                <w:color w:val="auto"/>
              </w:rPr>
              <w:t>Consolidated results</w:t>
            </w:r>
          </w:p>
        </w:tc>
        <w:tc>
          <w:tcPr>
            <w:tcW w:w="260" w:type="dxa"/>
            <w:vAlign w:val="bottom"/>
          </w:tcPr>
          <w:p>
            <w:pPr>
              <w:spacing w:after="0"/>
              <w:rPr>
                <w:sz w:val="23"/>
                <w:szCs w:val="23"/>
                <w:color w:val="auto"/>
              </w:rPr>
            </w:pPr>
          </w:p>
        </w:tc>
        <w:tc>
          <w:tcPr>
            <w:tcW w:w="3320" w:type="dxa"/>
            <w:vAlign w:val="bottom"/>
            <w:gridSpan w:val="5"/>
          </w:tcPr>
          <w:p>
            <w:pPr>
              <w:ind w:left="70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23"/>
                <w:szCs w:val="23"/>
                <w:color w:val="auto"/>
              </w:rPr>
            </w:pPr>
          </w:p>
        </w:tc>
        <w:tc>
          <w:tcPr>
            <w:tcW w:w="3020" w:type="dxa"/>
            <w:vAlign w:val="bottom"/>
            <w:gridSpan w:val="4"/>
          </w:tcPr>
          <w:p>
            <w:pPr>
              <w:jc w:val="right"/>
              <w:ind w:right="899"/>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21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1"/>
        </w:trPr>
        <w:tc>
          <w:tcPr>
            <w:tcW w:w="458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260" w:type="dxa"/>
            <w:vAlign w:val="bottom"/>
          </w:tcPr>
          <w:p>
            <w:pPr>
              <w:spacing w:after="0"/>
              <w:rPr>
                <w:sz w:val="20"/>
                <w:szCs w:val="20"/>
                <w:color w:val="auto"/>
              </w:rPr>
            </w:pPr>
          </w:p>
        </w:tc>
        <w:tc>
          <w:tcPr>
            <w:tcW w:w="1480" w:type="dxa"/>
            <w:vAlign w:val="bottom"/>
            <w:gridSpan w:val="2"/>
          </w:tcPr>
          <w:p>
            <w:pPr>
              <w:ind w:left="140"/>
              <w:spacing w:after="0"/>
              <w:rPr>
                <w:sz w:val="20"/>
                <w:szCs w:val="20"/>
                <w:color w:val="auto"/>
              </w:rPr>
            </w:pPr>
            <w:r>
              <w:rPr>
                <w:rFonts w:ascii="Arial" w:cs="Arial" w:eastAsia="Arial" w:hAnsi="Arial"/>
                <w:sz w:val="16"/>
                <w:szCs w:val="16"/>
                <w:b w:val="1"/>
                <w:bCs w:val="1"/>
                <w:color w:val="auto"/>
              </w:rPr>
              <w:t>July 1, 2018</w:t>
            </w:r>
          </w:p>
        </w:tc>
        <w:tc>
          <w:tcPr>
            <w:tcW w:w="260" w:type="dxa"/>
            <w:vAlign w:val="bottom"/>
          </w:tcPr>
          <w:p>
            <w:pPr>
              <w:spacing w:after="0"/>
              <w:rPr>
                <w:sz w:val="20"/>
                <w:szCs w:val="20"/>
                <w:color w:val="auto"/>
              </w:rPr>
            </w:pPr>
          </w:p>
        </w:tc>
        <w:tc>
          <w:tcPr>
            <w:tcW w:w="158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1"/>
              </w:rPr>
              <w:t>July 2, 2017</w:t>
            </w:r>
          </w:p>
        </w:tc>
        <w:tc>
          <w:tcPr>
            <w:tcW w:w="240" w:type="dxa"/>
            <w:vAlign w:val="bottom"/>
          </w:tcPr>
          <w:p>
            <w:pPr>
              <w:spacing w:after="0"/>
              <w:rPr>
                <w:sz w:val="20"/>
                <w:szCs w:val="20"/>
                <w:color w:val="auto"/>
              </w:rPr>
            </w:pPr>
          </w:p>
        </w:tc>
        <w:tc>
          <w:tcPr>
            <w:tcW w:w="1440" w:type="dxa"/>
            <w:vAlign w:val="bottom"/>
            <w:gridSpan w:val="2"/>
          </w:tcPr>
          <w:p>
            <w:pPr>
              <w:ind w:left="120"/>
              <w:spacing w:after="0"/>
              <w:rPr>
                <w:sz w:val="20"/>
                <w:szCs w:val="20"/>
                <w:color w:val="auto"/>
              </w:rPr>
            </w:pPr>
            <w:r>
              <w:rPr>
                <w:rFonts w:ascii="Arial" w:cs="Arial" w:eastAsia="Arial" w:hAnsi="Arial"/>
                <w:sz w:val="16"/>
                <w:szCs w:val="16"/>
                <w:b w:val="1"/>
                <w:bCs w:val="1"/>
                <w:color w:val="auto"/>
              </w:rPr>
              <w:t>July 1, 2018</w:t>
            </w:r>
          </w:p>
        </w:tc>
        <w:tc>
          <w:tcPr>
            <w:tcW w:w="240" w:type="dxa"/>
            <w:vAlign w:val="bottom"/>
          </w:tcPr>
          <w:p>
            <w:pPr>
              <w:spacing w:after="0"/>
              <w:rPr>
                <w:sz w:val="20"/>
                <w:szCs w:val="20"/>
                <w:color w:val="auto"/>
              </w:rPr>
            </w:pPr>
          </w:p>
        </w:tc>
        <w:tc>
          <w:tcPr>
            <w:tcW w:w="1340" w:type="dxa"/>
            <w:vAlign w:val="bottom"/>
          </w:tcPr>
          <w:p>
            <w:pPr>
              <w:jc w:val="right"/>
              <w:ind w:right="299"/>
              <w:spacing w:after="0"/>
              <w:rPr>
                <w:sz w:val="20"/>
                <w:szCs w:val="20"/>
                <w:color w:val="auto"/>
              </w:rPr>
            </w:pPr>
            <w:r>
              <w:rPr>
                <w:rFonts w:ascii="Arial" w:cs="Arial" w:eastAsia="Arial" w:hAnsi="Arial"/>
                <w:sz w:val="16"/>
                <w:szCs w:val="16"/>
                <w:b w:val="1"/>
                <w:bCs w:val="1"/>
                <w:color w:val="auto"/>
              </w:rPr>
              <w:t>July 2, 2017</w:t>
            </w:r>
          </w:p>
        </w:tc>
      </w:tr>
      <w:tr>
        <w:trPr>
          <w:trHeight w:val="33"/>
        </w:trPr>
        <w:tc>
          <w:tcPr>
            <w:tcW w:w="214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214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center"/>
              <w:ind w:right="480"/>
              <w:spacing w:after="0"/>
              <w:rPr>
                <w:sz w:val="20"/>
                <w:szCs w:val="20"/>
                <w:color w:val="auto"/>
              </w:rPr>
            </w:pPr>
            <w:r>
              <w:rPr>
                <w:rFonts w:ascii="Arial" w:cs="Arial" w:eastAsia="Arial" w:hAnsi="Arial"/>
                <w:sz w:val="16"/>
                <w:szCs w:val="16"/>
                <w:b w:val="1"/>
                <w:bCs w:val="1"/>
                <w:color w:val="auto"/>
                <w:w w:val="91"/>
              </w:rPr>
              <w:t>(Revised)</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(Revised)</w:t>
            </w:r>
          </w:p>
        </w:tc>
      </w:tr>
      <w:tr>
        <w:trPr>
          <w:trHeight w:val="237"/>
        </w:trPr>
        <w:tc>
          <w:tcPr>
            <w:tcW w:w="4580" w:type="dxa"/>
            <w:vAlign w:val="bottom"/>
            <w:gridSpan w:val="2"/>
          </w:tcPr>
          <w:p>
            <w:pPr>
              <w:ind w:left="40"/>
              <w:spacing w:after="0"/>
              <w:rPr>
                <w:sz w:val="20"/>
                <w:szCs w:val="20"/>
                <w:color w:val="auto"/>
              </w:rPr>
            </w:pPr>
            <w:r>
              <w:rPr>
                <w:rFonts w:ascii="Arial" w:cs="Arial" w:eastAsia="Arial" w:hAnsi="Arial"/>
                <w:sz w:val="16"/>
                <w:szCs w:val="16"/>
                <w:color w:val="auto"/>
              </w:rPr>
              <w:t>Reported gross profit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793,420</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765,847</w:t>
            </w:r>
          </w:p>
        </w:tc>
        <w:tc>
          <w:tcPr>
            <w:tcW w:w="2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1,767,480</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1,675,199</w:t>
            </w:r>
          </w:p>
        </w:tc>
      </w:tr>
      <w:tr>
        <w:trPr>
          <w:trHeight w:val="33"/>
        </w:trPr>
        <w:tc>
          <w:tcPr>
            <w:tcW w:w="21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Derivative mark-to-market (gains) losses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11,556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(117,081)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(5,532)</w:t>
            </w:r>
          </w:p>
        </w:tc>
      </w:tr>
      <w:tr>
        <w:trPr>
          <w:trHeight w:val="237"/>
        </w:trPr>
        <w:tc>
          <w:tcPr>
            <w:tcW w:w="4580" w:type="dxa"/>
            <w:vAlign w:val="bottom"/>
            <w:gridSpan w:val="2"/>
          </w:tcPr>
          <w:p>
            <w:pPr>
              <w:ind w:left="40"/>
              <w:spacing w:after="0"/>
              <w:rPr>
                <w:sz w:val="20"/>
                <w:szCs w:val="20"/>
                <w:color w:val="auto"/>
              </w:rPr>
            </w:pPr>
            <w:r>
              <w:rPr>
                <w:rFonts w:ascii="Arial" w:cs="Arial" w:eastAsia="Arial" w:hAnsi="Arial"/>
                <w:sz w:val="16"/>
                <w:szCs w:val="16"/>
                <w:color w:val="auto"/>
              </w:rPr>
              <w:t>Business realignment activities</w:t>
            </w:r>
          </w:p>
        </w:tc>
        <w:tc>
          <w:tcPr>
            <w:tcW w:w="2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7,322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5,772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9,536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6,262</w:t>
            </w:r>
          </w:p>
        </w:tc>
      </w:tr>
      <w:tr>
        <w:trPr>
          <w:trHeight w:val="33"/>
        </w:trPr>
        <w:tc>
          <w:tcPr>
            <w:tcW w:w="21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2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Acquisition-related costs</w:t>
            </w:r>
          </w:p>
        </w:tc>
        <w:tc>
          <w:tcPr>
            <w:tcW w:w="24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4,987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84"/>
        </w:trPr>
        <w:tc>
          <w:tcPr>
            <w:tcW w:w="45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Non-GAAP gross profit</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779,936</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783,175</w:t>
            </w:r>
          </w:p>
        </w:tc>
        <w:tc>
          <w:tcPr>
            <w:tcW w:w="2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1,664,922</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1,675,929</w:t>
            </w:r>
          </w:p>
        </w:tc>
      </w:tr>
      <w:tr>
        <w:trPr>
          <w:trHeight w:val="163"/>
        </w:trPr>
        <w:tc>
          <w:tcPr>
            <w:tcW w:w="214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237"/>
        </w:trPr>
        <w:tc>
          <w:tcPr>
            <w:tcW w:w="4580" w:type="dxa"/>
            <w:vAlign w:val="bottom"/>
            <w:gridSpan w:val="2"/>
          </w:tcPr>
          <w:p>
            <w:pPr>
              <w:ind w:left="40"/>
              <w:spacing w:after="0"/>
              <w:rPr>
                <w:sz w:val="20"/>
                <w:szCs w:val="20"/>
                <w:color w:val="auto"/>
              </w:rPr>
            </w:pPr>
            <w:r>
              <w:rPr>
                <w:rFonts w:ascii="Arial" w:cs="Arial" w:eastAsia="Arial" w:hAnsi="Arial"/>
                <w:sz w:val="16"/>
                <w:szCs w:val="16"/>
                <w:color w:val="auto"/>
              </w:rPr>
              <w:t>Reported operating profit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315,724</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320,492</w:t>
            </w:r>
          </w:p>
        </w:tc>
        <w:tc>
          <w:tcPr>
            <w:tcW w:w="2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796,236</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517,729</w:t>
            </w:r>
          </w:p>
        </w:tc>
      </w:tr>
      <w:tr>
        <w:trPr>
          <w:trHeight w:val="33"/>
        </w:trPr>
        <w:tc>
          <w:tcPr>
            <w:tcW w:w="21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Derivative mark-to-market (gains) losses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11,556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(117,081)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(5,532)</w:t>
            </w:r>
          </w:p>
        </w:tc>
      </w:tr>
      <w:tr>
        <w:trPr>
          <w:trHeight w:val="237"/>
        </w:trPr>
        <w:tc>
          <w:tcPr>
            <w:tcW w:w="4580" w:type="dxa"/>
            <w:vAlign w:val="bottom"/>
            <w:gridSpan w:val="2"/>
          </w:tcPr>
          <w:p>
            <w:pPr>
              <w:ind w:left="40"/>
              <w:spacing w:after="0"/>
              <w:rPr>
                <w:sz w:val="20"/>
                <w:szCs w:val="20"/>
                <w:color w:val="auto"/>
              </w:rPr>
            </w:pPr>
            <w:r>
              <w:rPr>
                <w:rFonts w:ascii="Arial" w:cs="Arial" w:eastAsia="Arial" w:hAnsi="Arial"/>
                <w:sz w:val="16"/>
                <w:szCs w:val="16"/>
                <w:color w:val="auto"/>
              </w:rPr>
              <w:t>Business realignment activities</w:t>
            </w:r>
          </w:p>
        </w:tc>
        <w:tc>
          <w:tcPr>
            <w:tcW w:w="2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15,296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14,454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31,247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61,442</w:t>
            </w:r>
          </w:p>
        </w:tc>
      </w:tr>
      <w:tr>
        <w:trPr>
          <w:trHeight w:val="33"/>
        </w:trPr>
        <w:tc>
          <w:tcPr>
            <w:tcW w:w="21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Acquisition-related costs</w:t>
            </w:r>
          </w:p>
        </w:tc>
        <w:tc>
          <w:tcPr>
            <w:tcW w:w="2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32,707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311</w:t>
            </w:r>
          </w:p>
        </w:tc>
      </w:tr>
      <w:tr>
        <w:trPr>
          <w:trHeight w:val="237"/>
        </w:trPr>
        <w:tc>
          <w:tcPr>
            <w:tcW w:w="4580" w:type="dxa"/>
            <w:vAlign w:val="bottom"/>
            <w:gridSpan w:val="2"/>
          </w:tcPr>
          <w:p>
            <w:pPr>
              <w:ind w:left="40"/>
              <w:spacing w:after="0"/>
              <w:rPr>
                <w:sz w:val="20"/>
                <w:szCs w:val="20"/>
                <w:color w:val="auto"/>
              </w:rPr>
            </w:pPr>
            <w:r>
              <w:rPr>
                <w:rFonts w:ascii="Arial" w:cs="Arial" w:eastAsia="Arial" w:hAnsi="Arial"/>
                <w:sz w:val="16"/>
                <w:szCs w:val="16"/>
                <w:color w:val="auto"/>
              </w:rPr>
              <w:t>Long-lived asset impairment charges</w:t>
            </w:r>
          </w:p>
        </w:tc>
        <w:tc>
          <w:tcPr>
            <w:tcW w:w="2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27,168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27,168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208,712</w:t>
            </w:r>
          </w:p>
        </w:tc>
      </w:tr>
      <w:tr>
        <w:trPr>
          <w:trHeight w:val="33"/>
        </w:trPr>
        <w:tc>
          <w:tcPr>
            <w:tcW w:w="21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2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5"/>
                <w:shd w:val="clear" w:color="auto" w:fill="CCEEFF"/>
              </w:rPr>
              <w:t>Gain on sale of licensing rights</w:t>
            </w:r>
          </w:p>
        </w:tc>
        <w:tc>
          <w:tcPr>
            <w:tcW w:w="24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84"/>
        </w:trPr>
        <w:tc>
          <w:tcPr>
            <w:tcW w:w="45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Non-GAAP operating profit</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339,480</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346,513</w:t>
            </w:r>
          </w:p>
        </w:tc>
        <w:tc>
          <w:tcPr>
            <w:tcW w:w="2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767,619</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782,662</w:t>
            </w:r>
          </w:p>
        </w:tc>
      </w:tr>
      <w:tr>
        <w:trPr>
          <w:trHeight w:val="163"/>
        </w:trPr>
        <w:tc>
          <w:tcPr>
            <w:tcW w:w="214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237"/>
        </w:trPr>
        <w:tc>
          <w:tcPr>
            <w:tcW w:w="4580" w:type="dxa"/>
            <w:vAlign w:val="bottom"/>
            <w:gridSpan w:val="2"/>
          </w:tcPr>
          <w:p>
            <w:pPr>
              <w:ind w:left="40"/>
              <w:spacing w:after="0"/>
              <w:rPr>
                <w:sz w:val="20"/>
                <w:szCs w:val="20"/>
                <w:color w:val="auto"/>
              </w:rPr>
            </w:pPr>
            <w:r>
              <w:rPr>
                <w:rFonts w:ascii="Arial" w:cs="Arial" w:eastAsia="Arial" w:hAnsi="Arial"/>
                <w:sz w:val="16"/>
                <w:szCs w:val="16"/>
                <w:color w:val="auto"/>
              </w:rPr>
              <w:t>Reported provision for income taxes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36,687</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78,390</w:t>
            </w:r>
          </w:p>
        </w:tc>
        <w:tc>
          <w:tcPr>
            <w:tcW w:w="2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135,199</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148,503</w:t>
            </w:r>
          </w:p>
        </w:tc>
      </w:tr>
      <w:tr>
        <w:trPr>
          <w:trHeight w:val="33"/>
        </w:trPr>
        <w:tc>
          <w:tcPr>
            <w:tcW w:w="21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Derivative mark-to-market (gains) losses*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(847)</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352</w:t>
            </w:r>
          </w:p>
        </w:tc>
      </w:tr>
      <w:tr>
        <w:trPr>
          <w:trHeight w:val="237"/>
        </w:trPr>
        <w:tc>
          <w:tcPr>
            <w:tcW w:w="4580" w:type="dxa"/>
            <w:vAlign w:val="bottom"/>
            <w:gridSpan w:val="2"/>
          </w:tcPr>
          <w:p>
            <w:pPr>
              <w:ind w:left="40"/>
              <w:spacing w:after="0"/>
              <w:rPr>
                <w:sz w:val="20"/>
                <w:szCs w:val="20"/>
                <w:color w:val="auto"/>
              </w:rPr>
            </w:pPr>
            <w:r>
              <w:rPr>
                <w:rFonts w:ascii="Arial" w:cs="Arial" w:eastAsia="Arial" w:hAnsi="Arial"/>
                <w:sz w:val="16"/>
                <w:szCs w:val="16"/>
                <w:color w:val="auto"/>
              </w:rPr>
              <w:t>Business realignment activities*</w:t>
            </w:r>
          </w:p>
        </w:tc>
        <w:tc>
          <w:tcPr>
            <w:tcW w:w="2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11,676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5,836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15,503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17,307</w:t>
            </w:r>
          </w:p>
        </w:tc>
      </w:tr>
      <w:tr>
        <w:trPr>
          <w:trHeight w:val="33"/>
        </w:trPr>
        <w:tc>
          <w:tcPr>
            <w:tcW w:w="21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Acquisition-related costs*</w:t>
            </w:r>
          </w:p>
        </w:tc>
        <w:tc>
          <w:tcPr>
            <w:tcW w:w="2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w:t>
            </w:r>
          </w:p>
        </w:tc>
      </w:tr>
      <w:tr>
        <w:trPr>
          <w:trHeight w:val="237"/>
        </w:trPr>
        <w:tc>
          <w:tcPr>
            <w:tcW w:w="4580" w:type="dxa"/>
            <w:vAlign w:val="bottom"/>
            <w:gridSpan w:val="2"/>
          </w:tcPr>
          <w:p>
            <w:pPr>
              <w:ind w:left="40"/>
              <w:spacing w:after="0"/>
              <w:rPr>
                <w:sz w:val="20"/>
                <w:szCs w:val="20"/>
                <w:color w:val="auto"/>
              </w:rPr>
            </w:pPr>
            <w:r>
              <w:rPr>
                <w:rFonts w:ascii="Arial" w:cs="Arial" w:eastAsia="Arial" w:hAnsi="Arial"/>
                <w:sz w:val="16"/>
                <w:szCs w:val="16"/>
                <w:color w:val="auto"/>
              </w:rPr>
              <w:t>Long-lived asset impairment charges**</w:t>
            </w:r>
          </w:p>
        </w:tc>
        <w:tc>
          <w:tcPr>
            <w:tcW w:w="26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(7,227)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37,974</w:t>
            </w:r>
          </w:p>
        </w:tc>
      </w:tr>
      <w:tr>
        <w:trPr>
          <w:trHeight w:val="33"/>
        </w:trPr>
        <w:tc>
          <w:tcPr>
            <w:tcW w:w="21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2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2"/>
                <w:shd w:val="clear" w:color="auto" w:fill="CCEEFF"/>
              </w:rPr>
              <w:t>Gain on sale of licensing rights*</w:t>
            </w:r>
          </w:p>
        </w:tc>
        <w:tc>
          <w:tcPr>
            <w:tcW w:w="24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84"/>
        </w:trPr>
        <w:tc>
          <w:tcPr>
            <w:tcW w:w="45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Non-GAAP provision for income taxes</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45,482</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76,156</w:t>
            </w:r>
          </w:p>
        </w:tc>
        <w:tc>
          <w:tcPr>
            <w:tcW w:w="2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144,283</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204,254</w:t>
            </w:r>
          </w:p>
        </w:tc>
      </w:tr>
      <w:tr>
        <w:trPr>
          <w:trHeight w:val="163"/>
        </w:trPr>
        <w:tc>
          <w:tcPr>
            <w:tcW w:w="214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237"/>
        </w:trPr>
        <w:tc>
          <w:tcPr>
            <w:tcW w:w="4580" w:type="dxa"/>
            <w:vAlign w:val="bottom"/>
            <w:gridSpan w:val="2"/>
          </w:tcPr>
          <w:p>
            <w:pPr>
              <w:ind w:left="40"/>
              <w:spacing w:after="0"/>
              <w:rPr>
                <w:sz w:val="20"/>
                <w:szCs w:val="20"/>
                <w:color w:val="auto"/>
              </w:rPr>
            </w:pPr>
            <w:r>
              <w:rPr>
                <w:rFonts w:ascii="Arial" w:cs="Arial" w:eastAsia="Arial" w:hAnsi="Arial"/>
                <w:sz w:val="16"/>
                <w:szCs w:val="16"/>
                <w:color w:val="auto"/>
              </w:rPr>
              <w:t>Reported net income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226,855</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203,501</w:t>
            </w:r>
          </w:p>
        </w:tc>
        <w:tc>
          <w:tcPr>
            <w:tcW w:w="2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577,058</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328,545</w:t>
            </w:r>
          </w:p>
        </w:tc>
      </w:tr>
      <w:tr>
        <w:trPr>
          <w:trHeight w:val="33"/>
        </w:trPr>
        <w:tc>
          <w:tcPr>
            <w:tcW w:w="21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Derivative mark-to-market (gains) losses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12,403</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(105,386)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(5,884)</w:t>
            </w:r>
          </w:p>
        </w:tc>
      </w:tr>
      <w:tr>
        <w:trPr>
          <w:trHeight w:val="237"/>
        </w:trPr>
        <w:tc>
          <w:tcPr>
            <w:tcW w:w="4580" w:type="dxa"/>
            <w:vAlign w:val="bottom"/>
            <w:gridSpan w:val="2"/>
          </w:tcPr>
          <w:p>
            <w:pPr>
              <w:ind w:left="40"/>
              <w:spacing w:after="0"/>
              <w:rPr>
                <w:sz w:val="20"/>
                <w:szCs w:val="20"/>
                <w:color w:val="auto"/>
              </w:rPr>
            </w:pPr>
            <w:r>
              <w:rPr>
                <w:rFonts w:ascii="Arial" w:cs="Arial" w:eastAsia="Arial" w:hAnsi="Arial"/>
                <w:sz w:val="16"/>
                <w:szCs w:val="16"/>
                <w:color w:val="auto"/>
              </w:rPr>
              <w:t>Business realignment activities</w:t>
            </w:r>
          </w:p>
        </w:tc>
        <w:tc>
          <w:tcPr>
            <w:tcW w:w="2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3,619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8,618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15,743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44,135</w:t>
            </w:r>
          </w:p>
        </w:tc>
      </w:tr>
      <w:tr>
        <w:trPr>
          <w:trHeight w:val="33"/>
        </w:trPr>
        <w:tc>
          <w:tcPr>
            <w:tcW w:w="21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Acquisition-related costs</w:t>
            </w:r>
          </w:p>
        </w:tc>
        <w:tc>
          <w:tcPr>
            <w:tcW w:w="2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26,228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w:t>
            </w:r>
          </w:p>
        </w:tc>
      </w:tr>
      <w:tr>
        <w:trPr>
          <w:trHeight w:val="237"/>
        </w:trPr>
        <w:tc>
          <w:tcPr>
            <w:tcW w:w="4580" w:type="dxa"/>
            <w:vAlign w:val="bottom"/>
            <w:gridSpan w:val="2"/>
          </w:tcPr>
          <w:p>
            <w:pPr>
              <w:ind w:left="40"/>
              <w:spacing w:after="0"/>
              <w:rPr>
                <w:sz w:val="20"/>
                <w:szCs w:val="20"/>
                <w:color w:val="auto"/>
              </w:rPr>
            </w:pPr>
            <w:r>
              <w:rPr>
                <w:rFonts w:ascii="Arial" w:cs="Arial" w:eastAsia="Arial" w:hAnsi="Arial"/>
                <w:sz w:val="16"/>
                <w:szCs w:val="16"/>
                <w:color w:val="auto"/>
              </w:rPr>
              <w:t>Long-lived asset impairment charges</w:t>
            </w:r>
          </w:p>
        </w:tc>
        <w:tc>
          <w:tcPr>
            <w:tcW w:w="2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27,168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7,227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27,168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170,738</w:t>
            </w:r>
          </w:p>
        </w:tc>
      </w:tr>
      <w:tr>
        <w:trPr>
          <w:trHeight w:val="33"/>
        </w:trPr>
        <w:tc>
          <w:tcPr>
            <w:tcW w:w="21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16"/>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Noncontrolling interest share of business realignment and</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3"/>
        </w:trPr>
        <w:tc>
          <w:tcPr>
            <w:tcW w:w="2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impairment charges</w:t>
            </w:r>
          </w:p>
        </w:tc>
        <w:tc>
          <w:tcPr>
            <w:tcW w:w="24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(1,246)</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(1,296)</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(27,962)</w:t>
            </w:r>
          </w:p>
        </w:tc>
      </w:tr>
      <w:tr>
        <w:trPr>
          <w:trHeight w:val="237"/>
        </w:trPr>
        <w:tc>
          <w:tcPr>
            <w:tcW w:w="4580" w:type="dxa"/>
            <w:vAlign w:val="bottom"/>
            <w:gridSpan w:val="2"/>
          </w:tcPr>
          <w:p>
            <w:pPr>
              <w:ind w:left="40"/>
              <w:spacing w:after="0"/>
              <w:rPr>
                <w:sz w:val="20"/>
                <w:szCs w:val="20"/>
                <w:color w:val="auto"/>
              </w:rPr>
            </w:pPr>
            <w:r>
              <w:rPr>
                <w:rFonts w:ascii="Arial" w:cs="Arial" w:eastAsia="Arial" w:hAnsi="Arial"/>
                <w:sz w:val="16"/>
                <w:szCs w:val="16"/>
                <w:color w:val="auto"/>
              </w:rPr>
              <w:t>Gain on sale of licensing rights</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(1,455)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(1,455)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14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5"/>
        </w:trPr>
        <w:tc>
          <w:tcPr>
            <w:tcW w:w="2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Non-GAAP net income</w:t>
            </w:r>
          </w:p>
        </w:tc>
        <w:tc>
          <w:tcPr>
            <w:tcW w:w="2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240,569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230,460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538,566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509,765</w:t>
            </w: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21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250"/>
        </w:trPr>
        <w:tc>
          <w:tcPr>
            <w:tcW w:w="2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Reported EPS - Diluted</w:t>
            </w:r>
          </w:p>
        </w:tc>
        <w:tc>
          <w:tcPr>
            <w:tcW w:w="2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0.95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w:t>
            </w:r>
          </w:p>
        </w:tc>
      </w:tr>
      <w:tr>
        <w:trPr>
          <w:trHeight w:val="237"/>
        </w:trPr>
        <w:tc>
          <w:tcPr>
            <w:tcW w:w="4580" w:type="dxa"/>
            <w:vAlign w:val="bottom"/>
            <w:gridSpan w:val="2"/>
          </w:tcPr>
          <w:p>
            <w:pPr>
              <w:ind w:left="40"/>
              <w:spacing w:after="0"/>
              <w:rPr>
                <w:sz w:val="20"/>
                <w:szCs w:val="20"/>
                <w:color w:val="auto"/>
              </w:rPr>
            </w:pPr>
            <w:r>
              <w:rPr>
                <w:rFonts w:ascii="Arial" w:cs="Arial" w:eastAsia="Arial" w:hAnsi="Arial"/>
                <w:sz w:val="16"/>
                <w:szCs w:val="16"/>
                <w:color w:val="auto"/>
              </w:rPr>
              <w:t>Derivative mark-to-market (gains) losses</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(0.09)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0.06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(0.03)</w:t>
            </w:r>
          </w:p>
        </w:tc>
      </w:tr>
      <w:tr>
        <w:trPr>
          <w:trHeight w:val="33"/>
        </w:trPr>
        <w:tc>
          <w:tcPr>
            <w:tcW w:w="21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5"/>
                <w:shd w:val="clear" w:color="auto" w:fill="CCEEFF"/>
              </w:rPr>
              <w:t>Business realignment activities</w:t>
            </w:r>
          </w:p>
        </w:tc>
        <w:tc>
          <w:tcPr>
            <w:tcW w:w="2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0.04</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0.21</w:t>
            </w:r>
          </w:p>
        </w:tc>
      </w:tr>
      <w:tr>
        <w:trPr>
          <w:trHeight w:val="237"/>
        </w:trPr>
        <w:tc>
          <w:tcPr>
            <w:tcW w:w="4580" w:type="dxa"/>
            <w:vAlign w:val="bottom"/>
            <w:gridSpan w:val="2"/>
          </w:tcPr>
          <w:p>
            <w:pPr>
              <w:ind w:left="40"/>
              <w:spacing w:after="0"/>
              <w:rPr>
                <w:sz w:val="20"/>
                <w:szCs w:val="20"/>
                <w:color w:val="auto"/>
              </w:rPr>
            </w:pPr>
            <w:r>
              <w:rPr>
                <w:rFonts w:ascii="Arial" w:cs="Arial" w:eastAsia="Arial" w:hAnsi="Arial"/>
                <w:sz w:val="16"/>
                <w:szCs w:val="16"/>
                <w:color w:val="auto"/>
              </w:rPr>
              <w:t>Acquisition-related costs</w:t>
            </w:r>
          </w:p>
        </w:tc>
        <w:tc>
          <w:tcPr>
            <w:tcW w:w="2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0.12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1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Long-lived asset impairment charges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0.04</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0.80</w:t>
            </w:r>
          </w:p>
        </w:tc>
      </w:tr>
      <w:tr>
        <w:trPr>
          <w:trHeight w:val="220"/>
        </w:trPr>
        <w:tc>
          <w:tcPr>
            <w:tcW w:w="4580" w:type="dxa"/>
            <w:vAlign w:val="bottom"/>
            <w:gridSpan w:val="2"/>
          </w:tcPr>
          <w:p>
            <w:pPr>
              <w:ind w:left="40"/>
              <w:spacing w:after="0"/>
              <w:rPr>
                <w:sz w:val="20"/>
                <w:szCs w:val="20"/>
                <w:color w:val="auto"/>
              </w:rPr>
            </w:pPr>
            <w:r>
              <w:rPr>
                <w:rFonts w:ascii="Arial" w:cs="Arial" w:eastAsia="Arial" w:hAnsi="Arial"/>
                <w:sz w:val="16"/>
                <w:szCs w:val="16"/>
                <w:color w:val="auto"/>
              </w:rPr>
              <w:t>Noncontrolling interest share of business realignment and</w:t>
            </w: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06"/>
        </w:trPr>
        <w:tc>
          <w:tcPr>
            <w:tcW w:w="4580" w:type="dxa"/>
            <w:vAlign w:val="bottom"/>
            <w:gridSpan w:val="2"/>
          </w:tcPr>
          <w:p>
            <w:pPr>
              <w:ind w:left="40"/>
              <w:spacing w:after="0"/>
              <w:rPr>
                <w:sz w:val="20"/>
                <w:szCs w:val="20"/>
                <w:color w:val="auto"/>
              </w:rPr>
            </w:pPr>
            <w:r>
              <w:rPr>
                <w:rFonts w:ascii="Arial" w:cs="Arial" w:eastAsia="Arial" w:hAnsi="Arial"/>
                <w:sz w:val="16"/>
                <w:szCs w:val="16"/>
                <w:color w:val="auto"/>
              </w:rPr>
              <w:t>impairment charges</w:t>
            </w:r>
          </w:p>
        </w:tc>
        <w:tc>
          <w:tcPr>
            <w:tcW w:w="260" w:type="dxa"/>
            <w:vAlign w:val="bottom"/>
          </w:tcPr>
          <w:p>
            <w:pPr>
              <w:spacing w:after="0"/>
              <w:rPr>
                <w:sz w:val="17"/>
                <w:szCs w:val="17"/>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(0.01)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(0.13)</w:t>
            </w:r>
          </w:p>
        </w:tc>
      </w:tr>
      <w:tr>
        <w:trPr>
          <w:trHeight w:val="33"/>
        </w:trPr>
        <w:tc>
          <w:tcPr>
            <w:tcW w:w="21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2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5"/>
                <w:shd w:val="clear" w:color="auto" w:fill="CCEEFF"/>
              </w:rPr>
              <w:t>Gain on sale of licensing rights</w:t>
            </w:r>
          </w:p>
        </w:tc>
        <w:tc>
          <w:tcPr>
            <w:tcW w:w="24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4"/>
        </w:trPr>
        <w:tc>
          <w:tcPr>
            <w:tcW w:w="4580" w:type="dxa"/>
            <w:vAlign w:val="bottom"/>
            <w:gridSpan w:val="2"/>
          </w:tcPr>
          <w:p>
            <w:pPr>
              <w:ind w:left="40"/>
              <w:spacing w:after="0"/>
              <w:rPr>
                <w:sz w:val="20"/>
                <w:szCs w:val="20"/>
                <w:color w:val="auto"/>
              </w:rPr>
            </w:pPr>
            <w:r>
              <w:rPr>
                <w:rFonts w:ascii="Arial" w:cs="Arial" w:eastAsia="Arial" w:hAnsi="Arial"/>
                <w:sz w:val="16"/>
                <w:szCs w:val="16"/>
                <w:color w:val="auto"/>
              </w:rPr>
              <w:t>Non-GAAP EPS - Diluted</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1.08</w:t>
            </w:r>
          </w:p>
        </w:tc>
        <w:tc>
          <w:tcPr>
            <w:tcW w:w="2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2.38</w:t>
            </w:r>
          </w:p>
        </w:tc>
      </w:tr>
      <w:tr>
        <w:trPr>
          <w:trHeight w:val="20"/>
        </w:trPr>
        <w:tc>
          <w:tcPr>
            <w:tcW w:w="21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 The tax effect for each adjustment is determined by calculating the tax impact of the adjustment on the Company's quarterly effective tax rate.</w:t>
      </w:r>
    </w:p>
    <w:p>
      <w:pPr>
        <w:spacing w:after="0" w:line="19" w:lineRule="exact"/>
        <w:rPr>
          <w:sz w:val="20"/>
          <w:szCs w:val="20"/>
          <w:color w:val="auto"/>
        </w:rPr>
      </w:pPr>
    </w:p>
    <w:p>
      <w:pPr>
        <w:ind w:left="180" w:right="20" w:hanging="172"/>
        <w:spacing w:after="0" w:line="252" w:lineRule="auto"/>
        <w:tabs>
          <w:tab w:leader="none" w:pos="2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There were no pre-tax impairment charges associated with long-lived assets during the three months ended July 2, 2017. However, the long-lived asset impairment charge in the first quarter of 2017 was not treated as a discrete tax item. Therefore, the tax impact was included in the estimated annual effective tax rate resulting in an EPS-diluted impact for each of the quarters throughout 2017.</w:t>
      </w:r>
    </w:p>
    <w:p>
      <w:pPr>
        <w:sectPr>
          <w:pgSz w:w="11900" w:h="16838" w:orient="portrait"/>
          <w:cols w:equalWidth="0" w:num="1">
            <w:col w:w="11420"/>
          </w:cols>
          <w:pgMar w:left="240" w:top="74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747" w:right="239" w:bottom="1440" w:gutter="0" w:footer="0" w:header="0"/>
          <w:type w:val="continuous"/>
        </w:sectPr>
      </w:pPr>
    </w:p>
    <w:bookmarkStart w:id="33" w:name="page34"/>
    <w:bookmarkEnd w:id="33"/>
    <w:p>
      <w:pPr>
        <w:ind w:right="160"/>
        <w:spacing w:after="0" w:line="277" w:lineRule="auto"/>
        <w:rPr>
          <w:sz w:val="20"/>
          <w:szCs w:val="20"/>
          <w:color w:val="auto"/>
        </w:rPr>
      </w:pPr>
      <w:r>
        <w:rPr>
          <w:rFonts w:ascii="Arial" w:cs="Arial" w:eastAsia="Arial" w:hAnsi="Arial"/>
          <w:sz w:val="18"/>
          <w:szCs w:val="18"/>
          <w:color w:val="auto"/>
        </w:rPr>
        <w:t>In the assessment of our results, we review and discuss the following financial metrics that are derived from the reported and non-GAAP financial measures presented above: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00" w:type="dxa"/>
            <w:vAlign w:val="bottom"/>
          </w:tcPr>
          <w:p>
            <w:pPr>
              <w:spacing w:after="0"/>
              <w:rPr>
                <w:sz w:val="18"/>
                <w:szCs w:val="18"/>
                <w:color w:val="auto"/>
              </w:rPr>
            </w:pPr>
          </w:p>
        </w:tc>
        <w:tc>
          <w:tcPr>
            <w:tcW w:w="3560" w:type="dxa"/>
            <w:vAlign w:val="bottom"/>
            <w:gridSpan w:val="4"/>
          </w:tcPr>
          <w:p>
            <w:pPr>
              <w:ind w:left="940"/>
              <w:spacing w:after="0"/>
              <w:rPr>
                <w:sz w:val="20"/>
                <w:szCs w:val="20"/>
                <w:color w:val="auto"/>
              </w:rPr>
            </w:pPr>
            <w:r>
              <w:rPr>
                <w:rFonts w:ascii="Arial" w:cs="Arial" w:eastAsia="Arial" w:hAnsi="Arial"/>
                <w:sz w:val="16"/>
                <w:szCs w:val="16"/>
                <w:b w:val="1"/>
                <w:bCs w:val="1"/>
                <w:color w:val="auto"/>
              </w:rPr>
              <w:t>Three Months Ended</w:t>
            </w:r>
          </w:p>
        </w:tc>
        <w:tc>
          <w:tcPr>
            <w:tcW w:w="3360" w:type="dxa"/>
            <w:vAlign w:val="bottom"/>
            <w:gridSpan w:val="3"/>
          </w:tcPr>
          <w:p>
            <w:pPr>
              <w:jc w:val="right"/>
              <w:ind w:right="939"/>
              <w:spacing w:after="0"/>
              <w:rPr>
                <w:sz w:val="20"/>
                <w:szCs w:val="20"/>
                <w:color w:val="auto"/>
              </w:rPr>
            </w:pPr>
            <w:r>
              <w:rPr>
                <w:rFonts w:ascii="Arial" w:cs="Arial" w:eastAsia="Arial" w:hAnsi="Arial"/>
                <w:sz w:val="16"/>
                <w:szCs w:val="16"/>
                <w:b w:val="1"/>
                <w:bCs w:val="1"/>
                <w:color w:val="auto"/>
              </w:rPr>
              <w:t>Six Months Ended</w:t>
            </w:r>
          </w:p>
        </w:tc>
      </w:tr>
      <w:tr>
        <w:trPr>
          <w:trHeight w:val="47"/>
        </w:trPr>
        <w:tc>
          <w:tcPr>
            <w:tcW w:w="4500" w:type="dxa"/>
            <w:vAlign w:val="bottom"/>
          </w:tcPr>
          <w:p>
            <w:pPr>
              <w:spacing w:after="0"/>
              <w:rPr>
                <w:sz w:val="4"/>
                <w:szCs w:val="4"/>
                <w:color w:val="auto"/>
              </w:rPr>
            </w:pPr>
          </w:p>
        </w:tc>
        <w:tc>
          <w:tcPr>
            <w:tcW w:w="1720" w:type="dxa"/>
            <w:vAlign w:val="bottom"/>
            <w:tcBorders>
              <w:bottom w:val="single" w:sz="8" w:color="auto"/>
            </w:tcBorders>
            <w:gridSpan w:val="2"/>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720" w:type="dxa"/>
            <w:vAlign w:val="bottom"/>
            <w:tcBorders>
              <w:bottom w:val="single" w:sz="8" w:color="auto"/>
            </w:tcBorders>
            <w:gridSpan w:val="2"/>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r>
      <w:tr>
        <w:trPr>
          <w:trHeight w:val="231"/>
        </w:trPr>
        <w:tc>
          <w:tcPr>
            <w:tcW w:w="4500" w:type="dxa"/>
            <w:vAlign w:val="bottom"/>
          </w:tcPr>
          <w:p>
            <w:pPr>
              <w:spacing w:after="0"/>
              <w:rPr>
                <w:sz w:val="20"/>
                <w:szCs w:val="20"/>
                <w:color w:val="auto"/>
              </w:rPr>
            </w:pPr>
          </w:p>
        </w:tc>
        <w:tc>
          <w:tcPr>
            <w:tcW w:w="1720" w:type="dxa"/>
            <w:vAlign w:val="bottom"/>
            <w:gridSpan w:val="2"/>
          </w:tcPr>
          <w:p>
            <w:pPr>
              <w:ind w:left="400"/>
              <w:spacing w:after="0"/>
              <w:rPr>
                <w:sz w:val="20"/>
                <w:szCs w:val="20"/>
                <w:color w:val="auto"/>
              </w:rPr>
            </w:pPr>
            <w:r>
              <w:rPr>
                <w:rFonts w:ascii="Arial" w:cs="Arial" w:eastAsia="Arial" w:hAnsi="Arial"/>
                <w:sz w:val="16"/>
                <w:szCs w:val="16"/>
                <w:b w:val="1"/>
                <w:bCs w:val="1"/>
                <w:color w:val="auto"/>
              </w:rPr>
              <w:t>July 1, 2018</w:t>
            </w:r>
          </w:p>
        </w:tc>
        <w:tc>
          <w:tcPr>
            <w:tcW w:w="1840" w:type="dxa"/>
            <w:vAlign w:val="bottom"/>
            <w:gridSpan w:val="2"/>
          </w:tcPr>
          <w:p>
            <w:pPr>
              <w:ind w:left="400"/>
              <w:spacing w:after="0"/>
              <w:rPr>
                <w:sz w:val="20"/>
                <w:szCs w:val="20"/>
                <w:color w:val="auto"/>
              </w:rPr>
            </w:pPr>
            <w:r>
              <w:rPr>
                <w:rFonts w:ascii="Arial" w:cs="Arial" w:eastAsia="Arial" w:hAnsi="Arial"/>
                <w:sz w:val="16"/>
                <w:szCs w:val="16"/>
                <w:b w:val="1"/>
                <w:bCs w:val="1"/>
                <w:color w:val="auto"/>
              </w:rPr>
              <w:t>July 2, 2017</w:t>
            </w:r>
          </w:p>
        </w:tc>
        <w:tc>
          <w:tcPr>
            <w:tcW w:w="1720" w:type="dxa"/>
            <w:vAlign w:val="bottom"/>
            <w:gridSpan w:val="2"/>
          </w:tcPr>
          <w:p>
            <w:pPr>
              <w:ind w:left="400"/>
              <w:spacing w:after="0"/>
              <w:rPr>
                <w:sz w:val="20"/>
                <w:szCs w:val="20"/>
                <w:color w:val="auto"/>
              </w:rPr>
            </w:pPr>
            <w:r>
              <w:rPr>
                <w:rFonts w:ascii="Arial" w:cs="Arial" w:eastAsia="Arial" w:hAnsi="Arial"/>
                <w:sz w:val="16"/>
                <w:szCs w:val="16"/>
                <w:b w:val="1"/>
                <w:bCs w:val="1"/>
                <w:color w:val="auto"/>
              </w:rPr>
              <w:t>July 1, 2018</w:t>
            </w:r>
          </w:p>
        </w:tc>
        <w:tc>
          <w:tcPr>
            <w:tcW w:w="1640" w:type="dxa"/>
            <w:vAlign w:val="bottom"/>
          </w:tcPr>
          <w:p>
            <w:pPr>
              <w:jc w:val="right"/>
              <w:ind w:right="319"/>
              <w:spacing w:after="0"/>
              <w:rPr>
                <w:sz w:val="20"/>
                <w:szCs w:val="20"/>
                <w:color w:val="auto"/>
              </w:rPr>
            </w:pPr>
            <w:r>
              <w:rPr>
                <w:rFonts w:ascii="Arial" w:cs="Arial" w:eastAsia="Arial" w:hAnsi="Arial"/>
                <w:sz w:val="16"/>
                <w:szCs w:val="16"/>
                <w:b w:val="1"/>
                <w:bCs w:val="1"/>
                <w:color w:val="auto"/>
              </w:rPr>
              <w:t>July 2, 2017</w:t>
            </w:r>
          </w:p>
        </w:tc>
      </w:tr>
      <w:tr>
        <w:trPr>
          <w:trHeight w:val="33"/>
        </w:trPr>
        <w:tc>
          <w:tcPr>
            <w:tcW w:w="45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45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(Revised)</w:t>
            </w:r>
          </w:p>
        </w:tc>
      </w:tr>
      <w:tr>
        <w:trPr>
          <w:trHeight w:val="237"/>
        </w:trPr>
        <w:tc>
          <w:tcPr>
            <w:tcW w:w="4500" w:type="dxa"/>
            <w:vAlign w:val="bottom"/>
          </w:tcPr>
          <w:p>
            <w:pPr>
              <w:ind w:left="40"/>
              <w:spacing w:after="0"/>
              <w:rPr>
                <w:sz w:val="20"/>
                <w:szCs w:val="20"/>
                <w:color w:val="auto"/>
              </w:rPr>
            </w:pPr>
            <w:r>
              <w:rPr>
                <w:rFonts w:ascii="Arial" w:cs="Arial" w:eastAsia="Arial" w:hAnsi="Arial"/>
                <w:sz w:val="16"/>
                <w:szCs w:val="16"/>
                <w:color w:val="auto"/>
              </w:rPr>
              <w:t>As reported gross margin</w:t>
            </w:r>
          </w:p>
        </w:tc>
        <w:tc>
          <w:tcPr>
            <w:tcW w:w="1620" w:type="dxa"/>
            <w:vAlign w:val="bottom"/>
          </w:tcPr>
          <w:p>
            <w:pPr>
              <w:jc w:val="right"/>
              <w:spacing w:after="0"/>
              <w:rPr>
                <w:sz w:val="20"/>
                <w:szCs w:val="20"/>
                <w:color w:val="auto"/>
              </w:rPr>
            </w:pPr>
            <w:r>
              <w:rPr>
                <w:rFonts w:ascii="Arial" w:cs="Arial" w:eastAsia="Arial" w:hAnsi="Arial"/>
                <w:sz w:val="16"/>
                <w:szCs w:val="16"/>
                <w:color w:val="auto"/>
              </w:rPr>
              <w:t>45.3%</w:t>
            </w: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46.1%</w:t>
            </w: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47.5%</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47.3%</w:t>
            </w:r>
          </w:p>
        </w:tc>
      </w:tr>
      <w:tr>
        <w:trPr>
          <w:trHeight w:val="33"/>
        </w:trPr>
        <w:tc>
          <w:tcPr>
            <w:tcW w:w="4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Non-GAAP gross margin (1)</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44.5%</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47.1%</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44.7%</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47.3%</w:t>
            </w:r>
          </w:p>
        </w:tc>
      </w:tr>
      <w:tr>
        <w:trPr>
          <w:trHeight w:val="324"/>
        </w:trPr>
        <w:tc>
          <w:tcPr>
            <w:tcW w:w="45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As reported operating profit margin</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w:t>
            </w:r>
          </w:p>
        </w:tc>
      </w:tr>
      <w:tr>
        <w:trPr>
          <w:trHeight w:val="237"/>
        </w:trPr>
        <w:tc>
          <w:tcPr>
            <w:tcW w:w="4500" w:type="dxa"/>
            <w:vAlign w:val="bottom"/>
          </w:tcPr>
          <w:p>
            <w:pPr>
              <w:ind w:left="40"/>
              <w:spacing w:after="0"/>
              <w:rPr>
                <w:sz w:val="20"/>
                <w:szCs w:val="20"/>
                <w:color w:val="auto"/>
              </w:rPr>
            </w:pPr>
            <w:r>
              <w:rPr>
                <w:rFonts w:ascii="Arial" w:cs="Arial" w:eastAsia="Arial" w:hAnsi="Arial"/>
                <w:sz w:val="16"/>
                <w:szCs w:val="16"/>
                <w:color w:val="auto"/>
              </w:rPr>
              <w:t>Non-GAAP operating profit margin (2)</w:t>
            </w:r>
          </w:p>
        </w:tc>
        <w:tc>
          <w:tcPr>
            <w:tcW w:w="1620" w:type="dxa"/>
            <w:vAlign w:val="bottom"/>
          </w:tcPr>
          <w:p>
            <w:pPr>
              <w:jc w:val="right"/>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20.8%</w:t>
            </w: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22.1%</w:t>
            </w:r>
          </w:p>
        </w:tc>
      </w:tr>
      <w:tr>
        <w:trPr>
          <w:trHeight w:val="33"/>
        </w:trPr>
        <w:tc>
          <w:tcPr>
            <w:tcW w:w="4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324"/>
        </w:trPr>
        <w:tc>
          <w:tcPr>
            <w:tcW w:w="45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r>
      <w:tr>
        <w:trPr>
          <w:trHeight w:val="237"/>
        </w:trPr>
        <w:tc>
          <w:tcPr>
            <w:tcW w:w="4500" w:type="dxa"/>
            <w:vAlign w:val="bottom"/>
          </w:tcPr>
          <w:p>
            <w:pPr>
              <w:ind w:left="40"/>
              <w:spacing w:after="0"/>
              <w:rPr>
                <w:sz w:val="20"/>
                <w:szCs w:val="20"/>
                <w:color w:val="auto"/>
              </w:rPr>
            </w:pPr>
            <w:r>
              <w:rPr>
                <w:rFonts w:ascii="Arial" w:cs="Arial" w:eastAsia="Arial" w:hAnsi="Arial"/>
                <w:sz w:val="16"/>
                <w:szCs w:val="16"/>
                <w:color w:val="auto"/>
              </w:rPr>
              <w:t>As reported effective tax rate</w:t>
            </w:r>
          </w:p>
        </w:tc>
        <w:tc>
          <w:tcPr>
            <w:tcW w:w="1620" w:type="dxa"/>
            <w:vAlign w:val="bottom"/>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27.9%</w:t>
            </w: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33.0%</w:t>
            </w:r>
          </w:p>
        </w:tc>
      </w:tr>
      <w:tr>
        <w:trPr>
          <w:trHeight w:val="33"/>
        </w:trPr>
        <w:tc>
          <w:tcPr>
            <w:tcW w:w="4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0"/>
        </w:trPr>
        <w:tc>
          <w:tcPr>
            <w:tcW w:w="4500" w:type="dxa"/>
            <w:vAlign w:val="bottom"/>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Non-GAAP effective tax rate (3)</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w:t>
            </w:r>
          </w:p>
        </w:tc>
      </w:tr>
      <w:tr>
        <w:trPr>
          <w:trHeight w:val="41"/>
        </w:trPr>
        <w:tc>
          <w:tcPr>
            <w:tcW w:w="4500" w:type="dxa"/>
            <w:vAlign w:val="bottom"/>
            <w:shd w:val="clear" w:color="auto" w:fill="CCEEFF"/>
          </w:tcPr>
          <w:p>
            <w:pPr>
              <w:spacing w:after="0"/>
              <w:rPr>
                <w:sz w:val="3"/>
                <w:szCs w:val="3"/>
                <w:color w:val="auto"/>
              </w:rPr>
            </w:pPr>
          </w:p>
        </w:tc>
        <w:tc>
          <w:tcPr>
            <w:tcW w:w="16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r>
    </w:tbl>
    <w:p>
      <w:pPr>
        <w:spacing w:after="0" w:line="206"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Calculated as non-GAAP gross profit as a percentage of net sales for each period presented.</w:t>
      </w:r>
    </w:p>
    <w:p>
      <w:pPr>
        <w:spacing w:after="0" w:line="19"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Calculated as non-GAAP operating profit as a percentage of net sales for each period presented.</w:t>
      </w:r>
    </w:p>
    <w:p>
      <w:pPr>
        <w:spacing w:after="0" w:line="5" w:lineRule="exact"/>
        <w:rPr>
          <w:rFonts w:ascii="Arial" w:cs="Arial" w:eastAsia="Arial" w:hAnsi="Arial"/>
          <w:sz w:val="16"/>
          <w:szCs w:val="16"/>
          <w:color w:val="auto"/>
        </w:rPr>
      </w:pPr>
    </w:p>
    <w:p>
      <w:pPr>
        <w:ind w:left="660" w:right="40" w:hanging="328"/>
        <w:spacing w:after="0" w:line="257"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Calculated as non-GAAP provision for income taxes as a percentage of non-GAAP income before taxes (calculated as non-GAAP operating profit minus non-GAAP interest expense, net plus or minus non-GAAP other (income) expense, net).</w:t>
      </w:r>
    </w:p>
    <w:p>
      <w:pPr>
        <w:spacing w:after="0" w:line="18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Details of the activities impacting comparability that are presented as reconciling items to derive the non-GAAP financial measures in the tables above are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Mark-to-market (gains) losses on commodity derivatives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mark-to-market (gains) losses on commodity derivatives are recorded as unallocated and excluded from adjusted results until such time as the related inventory is sold, at which time the corresponding (gains) losses are reclassified from unallocated to segment income. Since we often purchase commodity contracts to price inventory requirements in future years, we make this adjustment to facilitate the year-over-year comparison of cost of sales on a basis that matches the derivative gains and losses with the underlying economic exposure being hedged for the period. For the three months ended July 1, 2018 and July 2, 2017, the net adjustment recognized within unallocated was a gain of $20.8 million and a loss of $11.6 million, respectively. For the six months ended July 1, 2018 and July 2, 2017, the net adjustment recognized within unallocated was a gain of $117.1 million and a gain of $5.5 million,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realignment activities</w:t>
      </w:r>
    </w:p>
    <w:p>
      <w:pPr>
        <w:spacing w:after="0" w:line="2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periodically undertake restructuring and cost reduction activities as part of ongoing efforts to enhance long-term profitability. For the three months ended July 1, 2018 and July 2, 2017, we incurred $15.3 million and $14.5 million, respectively, of pre-tax costs related to business realignment activities. For the six months ended July 1, 2018 and July 2, 2017, we incurred $31.2 million and $61.4 million, respectively, of pre-tax costs related to business realignment activities. See Note 8 to the Unaudited Consolidated Financial Statements for more information.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Acquisition-related costs</w:t>
      </w:r>
    </w:p>
    <w:p>
      <w:pPr>
        <w:spacing w:after="0" w:line="23"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For the three months ended July 1, 2018, we incurred expenses totaling $4.8 million. Costs incurred during the three months ended July 2, 2017 were insignificant. For the six months ended July 1, 2018 and July 2, 2017, we incurred expenses totaling $32.7 million and $0.3 million, respectively. 2018 costs related to the acquisition of Amplify Snack Brands, Inc. and primarily include legal and consultant fees, as well as severance and other costs relating to the integration of the business. 2017 costs related to the integration of the 2016 acquisition of Ripple Brand Collective, LLC as we incorporated this business into our operating practices and information systems. See Note 2 to the Unaudited Consolidated Financial Statements for more information.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4"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auto"/>
        </w:rPr>
        <w:t>Long-lived asset impairment charges</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For the three and six months ended July 1, 2018, we incurred $27.2 million of pre-tax long-lived asset impairment charges within the Shanghai Golden Monkey and Tyrrells disposal groups. These charges represent the excess of the disposal groups' carrying values, including the related currency translation adjustment amounts to be realized upon completion of the sales, over the estimated fair values less costs to sell for the respective businesses. See Note 7 to the Unaudited Consolidated Financial Statements for more information. For the six months ended July 2, 2017, we incurred $208.7 million of pre-tax long-lived asset impairment charges related to certain business realignment activities. This included a write-down of certain intangible assets that had been recognized in connection with the 2014 SGM acquisition and write-down of property, plant and equipment. See Note 8 to the Unaudited Consolidated Financial Statements for more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Noncontrolling interest share of business realignment and impairment charges</w:t>
      </w:r>
    </w:p>
    <w:p>
      <w:pPr>
        <w:spacing w:after="0" w:line="23"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Certain of the business realignment and impairment charges recorded for the three and six months ended July 1, 2018 and July 2, 2017, in connection with the Margin for Growth Program, related to Lotte Shanghai Foods Co., Ltd., a joint venture in which we own a 50% controlling interest. Therefore, we have also adjusted for the portion of these charges included within the income (loss) attributed to the non-controlling interest.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Gain on sale of licensing rights</w:t>
      </w:r>
    </w:p>
    <w:p>
      <w:pPr>
        <w:spacing w:after="0" w:line="23"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During the second quarter of 2018, we recorded a $2.7 million gain on the sale of licensing rights for a non-core trademark relating to a brand marketed outside of the 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Constant Currency Net Sales Growth</w:t>
      </w:r>
    </w:p>
    <w:p>
      <w:pPr>
        <w:spacing w:after="0" w:line="94"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We present certain percentage changes in net sales on a constant currency basis, which excludes the impact of foreign currency exchange. This measure is used internally by management in evaluating results of operations and determining incentive compensation. We believe that this measure provides useful information to investors because it provides transparency to underlying performance in our net sales by excluding the effect that foreign currency exchange rate fluctuations have on the year-to-year comparability given volatility in foreign currency exchange markets.</w:t>
      </w:r>
    </w:p>
    <w:p>
      <w:pPr>
        <w:spacing w:after="0" w:line="17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To present this information for historical periods, current period net sales for entities reporting in other than the U.S. dollar are translated into U.S. dollars at the average monthly exchange rates in effect during the corresponding period of the prior fiscal year, rather than at the actual average monthly exchange rates in effect during the current period of the current fiscal year. As a result, the foreign currency impact is equal to the current year results in local currencies multiplied by the change in average foreign currency exchange rate between the current fiscal period and the corresponding period of the prior fiscal year.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A reconciliation between reported and constant currency growth rates is provided below:</w:t>
      </w:r>
    </w:p>
    <w:p>
      <w:pPr>
        <w:spacing w:after="0" w:line="185"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Three Months Ended July 1, 2018</w:t>
            </w:r>
          </w:p>
        </w:tc>
        <w:tc>
          <w:tcPr>
            <w:tcW w:w="240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2"/>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Impact of Foreign Currency</w:t>
            </w:r>
          </w:p>
        </w:tc>
        <w:tc>
          <w:tcPr>
            <w:tcW w:w="2400" w:type="dxa"/>
            <w:vAlign w:val="bottom"/>
          </w:tcPr>
          <w:p>
            <w:pPr>
              <w:jc w:val="right"/>
              <w:spacing w:after="0"/>
              <w:rPr>
                <w:sz w:val="20"/>
                <w:szCs w:val="20"/>
                <w:color w:val="auto"/>
              </w:rPr>
            </w:pPr>
            <w:r>
              <w:rPr>
                <w:rFonts w:ascii="Arial" w:cs="Arial" w:eastAsia="Arial" w:hAnsi="Arial"/>
                <w:sz w:val="16"/>
                <w:szCs w:val="16"/>
                <w:b w:val="1"/>
                <w:bCs w:val="1"/>
                <w:color w:val="auto"/>
                <w:w w:val="93"/>
              </w:rPr>
              <w:t>Percentage Change on Constant</w:t>
            </w:r>
          </w:p>
        </w:tc>
      </w:tr>
      <w:tr>
        <w:trPr>
          <w:trHeight w:val="210"/>
        </w:trPr>
        <w:tc>
          <w:tcPr>
            <w:tcW w:w="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480" w:type="dxa"/>
            <w:vAlign w:val="bottom"/>
            <w:gridSpan w:val="2"/>
          </w:tcPr>
          <w:p>
            <w:pPr>
              <w:ind w:left="80"/>
              <w:spacing w:after="0"/>
              <w:rPr>
                <w:sz w:val="20"/>
                <w:szCs w:val="20"/>
                <w:color w:val="auto"/>
              </w:rPr>
            </w:pPr>
            <w:r>
              <w:rPr>
                <w:rFonts w:ascii="Arial" w:cs="Arial" w:eastAsia="Arial" w:hAnsi="Arial"/>
                <w:sz w:val="16"/>
                <w:szCs w:val="16"/>
                <w:b w:val="1"/>
                <w:bCs w:val="1"/>
                <w:color w:val="auto"/>
                <w:w w:val="96"/>
              </w:rPr>
              <w:t>Percentage Change as Reported</w:t>
            </w:r>
          </w:p>
        </w:tc>
        <w:tc>
          <w:tcPr>
            <w:tcW w:w="2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Exchange</w:t>
            </w:r>
          </w:p>
        </w:tc>
        <w:tc>
          <w:tcPr>
            <w:tcW w:w="2400" w:type="dxa"/>
            <w:vAlign w:val="bottom"/>
          </w:tcPr>
          <w:p>
            <w:pPr>
              <w:jc w:val="right"/>
              <w:ind w:right="579"/>
              <w:spacing w:after="0"/>
              <w:rPr>
                <w:sz w:val="20"/>
                <w:szCs w:val="20"/>
                <w:color w:val="auto"/>
              </w:rPr>
            </w:pPr>
            <w:r>
              <w:rPr>
                <w:rFonts w:ascii="Arial" w:cs="Arial" w:eastAsia="Arial" w:hAnsi="Arial"/>
                <w:sz w:val="16"/>
                <w:szCs w:val="16"/>
                <w:b w:val="1"/>
                <w:bCs w:val="1"/>
                <w:color w:val="auto"/>
              </w:rPr>
              <w:t>Currency Basis</w:t>
            </w:r>
          </w:p>
        </w:tc>
      </w:tr>
      <w:tr>
        <w:trPr>
          <w:trHeight w:val="33"/>
        </w:trPr>
        <w:tc>
          <w:tcPr>
            <w:tcW w:w="40" w:type="dxa"/>
            <w:vAlign w:val="bottom"/>
            <w:tcBorders>
              <w:bottom w:val="single" w:sz="8" w:color="CCEEFF"/>
            </w:tcBorders>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North America segment</w:t>
            </w:r>
          </w:p>
        </w:tc>
        <w:tc>
          <w:tcPr>
            <w:tcW w:w="2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3760" w:type="dxa"/>
            <w:vAlign w:val="bottom"/>
          </w:tcPr>
          <w:p>
            <w:pPr>
              <w:ind w:left="140"/>
              <w:spacing w:after="0"/>
              <w:rPr>
                <w:sz w:val="20"/>
                <w:szCs w:val="20"/>
                <w:color w:val="auto"/>
              </w:rPr>
            </w:pPr>
            <w:r>
              <w:rPr>
                <w:rFonts w:ascii="Arial" w:cs="Arial" w:eastAsia="Arial" w:hAnsi="Arial"/>
                <w:sz w:val="16"/>
                <w:szCs w:val="16"/>
                <w:color w:val="auto"/>
              </w:rPr>
              <w:t>Canada</w:t>
            </w:r>
          </w:p>
        </w:tc>
        <w:tc>
          <w:tcPr>
            <w:tcW w:w="238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2400" w:type="dxa"/>
            <w:vAlign w:val="bottom"/>
          </w:tcPr>
          <w:p>
            <w:pPr>
              <w:jc w:val="right"/>
              <w:spacing w:after="0"/>
              <w:rPr>
                <w:sz w:val="20"/>
                <w:szCs w:val="20"/>
                <w:color w:val="auto"/>
              </w:rPr>
            </w:pPr>
            <w:r>
              <w:rPr>
                <w:rFonts w:ascii="Arial" w:cs="Arial" w:eastAsia="Arial" w:hAnsi="Arial"/>
                <w:sz w:val="16"/>
                <w:szCs w:val="16"/>
                <w:color w:val="auto"/>
              </w:rPr>
              <w:t>3.8 %</w:t>
            </w:r>
          </w:p>
        </w:tc>
        <w:tc>
          <w:tcPr>
            <w:tcW w:w="100" w:type="dxa"/>
            <w:vAlign w:val="bottom"/>
          </w:tcPr>
          <w:p>
            <w:pPr>
              <w:spacing w:after="0"/>
              <w:rPr>
                <w:sz w:val="20"/>
                <w:szCs w:val="20"/>
                <w:color w:val="auto"/>
              </w:rPr>
            </w:pPr>
          </w:p>
        </w:tc>
        <w:tc>
          <w:tcPr>
            <w:tcW w:w="240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33"/>
        </w:trPr>
        <w:tc>
          <w:tcPr>
            <w:tcW w:w="40" w:type="dxa"/>
            <w:vAlign w:val="bottom"/>
            <w:tcBorders>
              <w:bottom w:val="single" w:sz="8" w:color="CCEEFF"/>
            </w:tcBorders>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Total North America segment</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5.6 %</w:t>
            </w:r>
          </w:p>
        </w:tc>
        <w:tc>
          <w:tcPr>
            <w:tcW w:w="100" w:type="dxa"/>
            <w:vAlign w:val="bottom"/>
            <w:tcBorders>
              <w:bottom w:val="single" w:sz="8" w:color="CCEEFF"/>
            </w:tcBorders>
            <w:shd w:val="clear" w:color="auto" w:fill="CCEEFF"/>
          </w:tcPr>
          <w:p>
            <w:pPr>
              <w:spacing w:after="0"/>
              <w:rPr>
                <w:sz w:val="20"/>
                <w:szCs w:val="20"/>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100" w:type="dxa"/>
            <w:vAlign w:val="bottom"/>
            <w:tcBorders>
              <w:bottom w:val="single" w:sz="8" w:color="CCEEFF"/>
            </w:tcBorders>
            <w:shd w:val="clear" w:color="auto" w:fill="CCEEFF"/>
          </w:tcPr>
          <w:p>
            <w:pPr>
              <w:spacing w:after="0"/>
              <w:rPr>
                <w:sz w:val="20"/>
                <w:szCs w:val="20"/>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5.4 %</w:t>
            </w:r>
          </w:p>
        </w:tc>
      </w:tr>
      <w:tr>
        <w:trPr>
          <w:trHeight w:val="324"/>
        </w:trPr>
        <w:tc>
          <w:tcPr>
            <w:tcW w:w="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International and Other segment</w:t>
            </w:r>
          </w:p>
        </w:tc>
        <w:tc>
          <w:tcPr>
            <w:tcW w:w="2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3760" w:type="dxa"/>
            <w:vAlign w:val="bottom"/>
          </w:tcPr>
          <w:p>
            <w:pPr>
              <w:ind w:left="140"/>
              <w:spacing w:after="0"/>
              <w:rPr>
                <w:sz w:val="20"/>
                <w:szCs w:val="20"/>
                <w:color w:val="auto"/>
              </w:rPr>
            </w:pPr>
            <w:r>
              <w:rPr>
                <w:rFonts w:ascii="Arial" w:cs="Arial" w:eastAsia="Arial" w:hAnsi="Arial"/>
                <w:sz w:val="16"/>
                <w:szCs w:val="16"/>
                <w:color w:val="auto"/>
              </w:rPr>
              <w:t>Mexico</w:t>
            </w:r>
          </w:p>
        </w:tc>
        <w:tc>
          <w:tcPr>
            <w:tcW w:w="2380" w:type="dxa"/>
            <w:vAlign w:val="bottom"/>
          </w:tcPr>
          <w:p>
            <w:pPr>
              <w:jc w:val="right"/>
              <w:spacing w:after="0"/>
              <w:rPr>
                <w:sz w:val="20"/>
                <w:szCs w:val="20"/>
                <w:color w:val="auto"/>
              </w:rPr>
            </w:pPr>
            <w:r>
              <w:rPr>
                <w:rFonts w:ascii="Arial" w:cs="Arial" w:eastAsia="Arial" w:hAnsi="Arial"/>
                <w:sz w:val="16"/>
                <w:szCs w:val="16"/>
                <w:color w:val="auto"/>
              </w:rPr>
              <w:t>3.2 %</w:t>
            </w:r>
          </w:p>
        </w:tc>
        <w:tc>
          <w:tcPr>
            <w:tcW w:w="100" w:type="dxa"/>
            <w:vAlign w:val="bottom"/>
          </w:tcPr>
          <w:p>
            <w:pPr>
              <w:spacing w:after="0"/>
              <w:rPr>
                <w:sz w:val="20"/>
                <w:szCs w:val="20"/>
                <w:color w:val="auto"/>
              </w:rPr>
            </w:pPr>
          </w:p>
        </w:tc>
        <w:tc>
          <w:tcPr>
            <w:tcW w:w="240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0"/>
                <w:szCs w:val="20"/>
                <w:color w:val="auto"/>
              </w:rPr>
            </w:pPr>
          </w:p>
        </w:tc>
        <w:tc>
          <w:tcPr>
            <w:tcW w:w="2400" w:type="dxa"/>
            <w:vAlign w:val="bottom"/>
          </w:tcPr>
          <w:p>
            <w:pPr>
              <w:jc w:val="right"/>
              <w:spacing w:after="0"/>
              <w:rPr>
                <w:sz w:val="20"/>
                <w:szCs w:val="20"/>
                <w:color w:val="auto"/>
              </w:rPr>
            </w:pPr>
            <w:r>
              <w:rPr>
                <w:rFonts w:ascii="Arial" w:cs="Arial" w:eastAsia="Arial" w:hAnsi="Arial"/>
                <w:sz w:val="16"/>
                <w:szCs w:val="16"/>
                <w:color w:val="auto"/>
              </w:rPr>
              <w:t>7.6 %</w:t>
            </w:r>
          </w:p>
        </w:tc>
      </w:tr>
      <w:tr>
        <w:trPr>
          <w:trHeight w:val="33"/>
        </w:trPr>
        <w:tc>
          <w:tcPr>
            <w:tcW w:w="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shd w:val="clear" w:color="auto" w:fill="CCEEFF"/>
              </w:rPr>
              <w:t>Brazil</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8.3 %</w:t>
            </w: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22.2 %</w:t>
            </w:r>
          </w:p>
        </w:tc>
      </w:tr>
      <w:tr>
        <w:trPr>
          <w:trHeight w:val="237"/>
        </w:trPr>
        <w:tc>
          <w:tcPr>
            <w:tcW w:w="40" w:type="dxa"/>
            <w:vAlign w:val="bottom"/>
          </w:tcPr>
          <w:p>
            <w:pPr>
              <w:spacing w:after="0"/>
              <w:rPr>
                <w:sz w:val="20"/>
                <w:szCs w:val="20"/>
                <w:color w:val="auto"/>
              </w:rPr>
            </w:pPr>
          </w:p>
        </w:tc>
        <w:tc>
          <w:tcPr>
            <w:tcW w:w="3760" w:type="dxa"/>
            <w:vAlign w:val="bottom"/>
          </w:tcPr>
          <w:p>
            <w:pPr>
              <w:ind w:left="140"/>
              <w:spacing w:after="0"/>
              <w:rPr>
                <w:sz w:val="20"/>
                <w:szCs w:val="20"/>
                <w:color w:val="auto"/>
              </w:rPr>
            </w:pPr>
            <w:r>
              <w:rPr>
                <w:rFonts w:ascii="Arial" w:cs="Arial" w:eastAsia="Arial" w:hAnsi="Arial"/>
                <w:sz w:val="16"/>
                <w:szCs w:val="16"/>
                <w:color w:val="auto"/>
              </w:rPr>
              <w:t>India</w:t>
            </w:r>
          </w:p>
        </w:tc>
        <w:tc>
          <w:tcPr>
            <w:tcW w:w="2380" w:type="dxa"/>
            <w:vAlign w:val="bottom"/>
          </w:tcPr>
          <w:p>
            <w:pPr>
              <w:jc w:val="right"/>
              <w:spacing w:after="0"/>
              <w:rPr>
                <w:sz w:val="20"/>
                <w:szCs w:val="20"/>
                <w:color w:val="auto"/>
              </w:rPr>
            </w:pPr>
            <w:r>
              <w:rPr>
                <w:rFonts w:ascii="Arial" w:cs="Arial" w:eastAsia="Arial" w:hAnsi="Arial"/>
                <w:sz w:val="16"/>
                <w:szCs w:val="16"/>
                <w:color w:val="auto"/>
              </w:rPr>
              <w:t>23.1 %</w:t>
            </w:r>
          </w:p>
        </w:tc>
        <w:tc>
          <w:tcPr>
            <w:tcW w:w="100" w:type="dxa"/>
            <w:vAlign w:val="bottom"/>
          </w:tcPr>
          <w:p>
            <w:pPr>
              <w:spacing w:after="0"/>
              <w:rPr>
                <w:sz w:val="20"/>
                <w:szCs w:val="20"/>
                <w:color w:val="auto"/>
              </w:rPr>
            </w:pPr>
          </w:p>
        </w:tc>
        <w:tc>
          <w:tcPr>
            <w:tcW w:w="240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0"/>
                <w:szCs w:val="20"/>
                <w:color w:val="auto"/>
              </w:rPr>
            </w:pPr>
          </w:p>
        </w:tc>
        <w:tc>
          <w:tcPr>
            <w:tcW w:w="2400" w:type="dxa"/>
            <w:vAlign w:val="bottom"/>
          </w:tcPr>
          <w:p>
            <w:pPr>
              <w:jc w:val="right"/>
              <w:spacing w:after="0"/>
              <w:rPr>
                <w:sz w:val="20"/>
                <w:szCs w:val="20"/>
                <w:color w:val="auto"/>
              </w:rPr>
            </w:pPr>
            <w:r>
              <w:rPr>
                <w:rFonts w:ascii="Arial" w:cs="Arial" w:eastAsia="Arial" w:hAnsi="Arial"/>
                <w:sz w:val="16"/>
                <w:szCs w:val="16"/>
                <w:color w:val="auto"/>
              </w:rPr>
              <w:t>28.2 %</w:t>
            </w:r>
          </w:p>
        </w:tc>
      </w:tr>
      <w:tr>
        <w:trPr>
          <w:trHeight w:val="33"/>
        </w:trPr>
        <w:tc>
          <w:tcPr>
            <w:tcW w:w="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shd w:val="clear" w:color="auto" w:fill="CCEEFF"/>
              </w:rPr>
              <w:t>Greater China</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6.7 %</w:t>
            </w:r>
          </w:p>
        </w:tc>
        <w:tc>
          <w:tcPr>
            <w:tcW w:w="100" w:type="dxa"/>
            <w:vAlign w:val="bottom"/>
            <w:tcBorders>
              <w:bottom w:val="single" w:sz="8" w:color="CCEEFF"/>
            </w:tcBorders>
            <w:shd w:val="clear" w:color="auto" w:fill="CCEEFF"/>
          </w:tcPr>
          <w:p>
            <w:pPr>
              <w:spacing w:after="0"/>
              <w:rPr>
                <w:sz w:val="23"/>
                <w:szCs w:val="23"/>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7.8 %</w:t>
            </w:r>
          </w:p>
        </w:tc>
        <w:tc>
          <w:tcPr>
            <w:tcW w:w="100" w:type="dxa"/>
            <w:vAlign w:val="bottom"/>
            <w:tcBorders>
              <w:bottom w:val="single" w:sz="8" w:color="CCEEFF"/>
            </w:tcBorders>
            <w:shd w:val="clear" w:color="auto" w:fill="CCEEFF"/>
          </w:tcPr>
          <w:p>
            <w:pPr>
              <w:spacing w:after="0"/>
              <w:rPr>
                <w:sz w:val="23"/>
                <w:szCs w:val="23"/>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7"/>
        </w:trPr>
        <w:tc>
          <w:tcPr>
            <w:tcW w:w="4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6"/>
                <w:szCs w:val="16"/>
                <w:color w:val="auto"/>
              </w:rPr>
              <w:t>Total International and Other segment</w:t>
            </w:r>
          </w:p>
        </w:tc>
        <w:tc>
          <w:tcPr>
            <w:tcW w:w="2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3.1 %</w:t>
            </w:r>
          </w:p>
        </w:tc>
        <w:tc>
          <w:tcPr>
            <w:tcW w:w="100" w:type="dxa"/>
            <w:vAlign w:val="bottom"/>
          </w:tcPr>
          <w:p>
            <w:pPr>
              <w:spacing w:after="0"/>
              <w:rPr>
                <w:sz w:val="18"/>
                <w:szCs w:val="18"/>
                <w:color w:val="auto"/>
              </w:rPr>
            </w:pPr>
          </w:p>
        </w:tc>
        <w:tc>
          <w:tcPr>
            <w:tcW w:w="2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2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4.8 %</w:t>
            </w:r>
          </w:p>
        </w:tc>
      </w:tr>
      <w:tr>
        <w:trPr>
          <w:trHeight w:val="33"/>
        </w:trPr>
        <w:tc>
          <w:tcPr>
            <w:tcW w:w="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3760" w:type="dxa"/>
            <w:vAlign w:val="bottom"/>
            <w:shd w:val="clear" w:color="auto" w:fill="CCEEFF"/>
          </w:tcPr>
          <w:p>
            <w:pPr>
              <w:spacing w:after="0"/>
              <w:rPr>
                <w:sz w:val="24"/>
                <w:szCs w:val="24"/>
                <w:color w:val="auto"/>
              </w:rPr>
            </w:pPr>
          </w:p>
        </w:tc>
        <w:tc>
          <w:tcPr>
            <w:tcW w:w="2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0" w:type="dxa"/>
            <w:vAlign w:val="bottom"/>
            <w:shd w:val="clear" w:color="auto" w:fill="CCEEFF"/>
          </w:tcPr>
          <w:p>
            <w:pPr>
              <w:spacing w:after="0"/>
              <w:rPr>
                <w:sz w:val="24"/>
                <w:szCs w:val="24"/>
                <w:color w:val="auto"/>
              </w:rPr>
            </w:pPr>
          </w:p>
        </w:tc>
      </w:tr>
      <w:tr>
        <w:trPr>
          <w:trHeight w:val="250"/>
        </w:trPr>
        <w:tc>
          <w:tcPr>
            <w:tcW w:w="40" w:type="dxa"/>
            <w:vAlign w:val="bottom"/>
          </w:tcPr>
          <w:p>
            <w:pPr>
              <w:spacing w:after="0"/>
              <w:rPr>
                <w:sz w:val="21"/>
                <w:szCs w:val="21"/>
                <w:color w:val="auto"/>
              </w:rPr>
            </w:pPr>
          </w:p>
        </w:tc>
        <w:tc>
          <w:tcPr>
            <w:tcW w:w="3760" w:type="dxa"/>
            <w:vAlign w:val="bottom"/>
          </w:tcPr>
          <w:p>
            <w:pPr>
              <w:spacing w:after="0"/>
              <w:rPr>
                <w:sz w:val="20"/>
                <w:szCs w:val="20"/>
                <w:color w:val="auto"/>
              </w:rPr>
            </w:pPr>
            <w:r>
              <w:rPr>
                <w:rFonts w:ascii="Arial" w:cs="Arial" w:eastAsia="Arial" w:hAnsi="Arial"/>
                <w:sz w:val="16"/>
                <w:szCs w:val="16"/>
                <w:color w:val="auto"/>
              </w:rPr>
              <w:t>Total Company</w:t>
            </w:r>
          </w:p>
        </w:tc>
        <w:tc>
          <w:tcPr>
            <w:tcW w:w="2380" w:type="dxa"/>
            <w:vAlign w:val="bottom"/>
          </w:tcPr>
          <w:p>
            <w:pPr>
              <w:jc w:val="right"/>
              <w:spacing w:after="0"/>
              <w:rPr>
                <w:sz w:val="20"/>
                <w:szCs w:val="20"/>
                <w:color w:val="auto"/>
              </w:rPr>
            </w:pPr>
            <w:r>
              <w:rPr>
                <w:rFonts w:ascii="Arial" w:cs="Arial" w:eastAsia="Arial" w:hAnsi="Arial"/>
                <w:sz w:val="16"/>
                <w:szCs w:val="16"/>
                <w:color w:val="auto"/>
              </w:rPr>
              <w:t>5.3 %</w:t>
            </w:r>
          </w:p>
        </w:tc>
        <w:tc>
          <w:tcPr>
            <w:tcW w:w="100" w:type="dxa"/>
            <w:vAlign w:val="bottom"/>
          </w:tcPr>
          <w:p>
            <w:pPr>
              <w:spacing w:after="0"/>
              <w:rPr>
                <w:sz w:val="21"/>
                <w:szCs w:val="21"/>
                <w:color w:val="auto"/>
              </w:rPr>
            </w:pPr>
          </w:p>
        </w:tc>
        <w:tc>
          <w:tcPr>
            <w:tcW w:w="2500" w:type="dxa"/>
            <w:vAlign w:val="bottom"/>
            <w:gridSpan w:val="2"/>
          </w:tcPr>
          <w:p>
            <w:pPr>
              <w:ind w:left="2020"/>
              <w:spacing w:after="0"/>
              <w:rPr>
                <w:sz w:val="20"/>
                <w:szCs w:val="20"/>
                <w:color w:val="auto"/>
              </w:rPr>
            </w:pPr>
            <w:r>
              <w:rPr>
                <w:rFonts w:ascii="Arial" w:cs="Arial" w:eastAsia="Arial" w:hAnsi="Arial"/>
                <w:sz w:val="16"/>
                <w:szCs w:val="16"/>
                <w:color w:val="auto"/>
              </w:rPr>
              <w:t>— %</w:t>
            </w:r>
          </w:p>
        </w:tc>
        <w:tc>
          <w:tcPr>
            <w:tcW w:w="2400" w:type="dxa"/>
            <w:vAlign w:val="bottom"/>
          </w:tcPr>
          <w:p>
            <w:pPr>
              <w:jc w:val="right"/>
              <w:spacing w:after="0"/>
              <w:rPr>
                <w:sz w:val="20"/>
                <w:szCs w:val="20"/>
                <w:color w:val="auto"/>
              </w:rPr>
            </w:pPr>
            <w:r>
              <w:rPr>
                <w:rFonts w:ascii="Arial" w:cs="Arial" w:eastAsia="Arial" w:hAnsi="Arial"/>
                <w:sz w:val="16"/>
                <w:szCs w:val="16"/>
                <w:color w:val="auto"/>
              </w:rPr>
              <w:t>5.3 %</w:t>
            </w:r>
          </w:p>
        </w:tc>
      </w:tr>
      <w:tr>
        <w:trPr>
          <w:trHeight w:val="20"/>
        </w:trPr>
        <w:tc>
          <w:tcPr>
            <w:tcW w:w="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Borders>
              <w:top w:val="single" w:sz="8" w:color="auto"/>
              <w:bottom w:val="single" w:sz="8" w:color="auto"/>
            </w:tcBorders>
          </w:tcPr>
          <w:p>
            <w:pPr>
              <w:spacing w:after="0" w:line="20" w:lineRule="exact"/>
              <w:rPr>
                <w:sz w:val="1"/>
                <w:szCs w:val="1"/>
                <w:color w:val="auto"/>
              </w:rPr>
            </w:pPr>
          </w:p>
        </w:tc>
      </w:tr>
    </w:tbl>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2"/>
          </w:tcPr>
          <w:p>
            <w:pPr>
              <w:ind w:left="200"/>
              <w:spacing w:after="0"/>
              <w:rPr>
                <w:sz w:val="20"/>
                <w:szCs w:val="20"/>
                <w:color w:val="auto"/>
              </w:rPr>
            </w:pPr>
            <w:r>
              <w:rPr>
                <w:rFonts w:ascii="Arial" w:cs="Arial" w:eastAsia="Arial" w:hAnsi="Arial"/>
                <w:sz w:val="16"/>
                <w:szCs w:val="16"/>
                <w:b w:val="1"/>
                <w:bCs w:val="1"/>
                <w:color w:val="auto"/>
              </w:rPr>
              <w:t>Six Months Ended July 1, 2018</w:t>
            </w:r>
          </w:p>
        </w:tc>
        <w:tc>
          <w:tcPr>
            <w:tcW w:w="2460" w:type="dxa"/>
            <w:vAlign w:val="bottom"/>
          </w:tcPr>
          <w:p>
            <w:pPr>
              <w:spacing w:after="0"/>
              <w:rPr>
                <w:sz w:val="18"/>
                <w:szCs w:val="18"/>
                <w:color w:val="auto"/>
              </w:rPr>
            </w:pPr>
          </w:p>
        </w:tc>
      </w:tr>
      <w:tr>
        <w:trPr>
          <w:trHeight w:val="33"/>
        </w:trPr>
        <w:tc>
          <w:tcPr>
            <w:tcW w:w="388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2"/>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r>
      <w:tr>
        <w:trPr>
          <w:trHeight w:val="209"/>
        </w:trPr>
        <w:tc>
          <w:tcPr>
            <w:tcW w:w="38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Impact of Foreign Currency</w:t>
            </w:r>
          </w:p>
        </w:tc>
        <w:tc>
          <w:tcPr>
            <w:tcW w:w="2460" w:type="dxa"/>
            <w:vAlign w:val="bottom"/>
          </w:tcPr>
          <w:p>
            <w:pPr>
              <w:jc w:val="right"/>
              <w:ind w:right="39"/>
              <w:spacing w:after="0"/>
              <w:rPr>
                <w:sz w:val="20"/>
                <w:szCs w:val="20"/>
                <w:color w:val="auto"/>
              </w:rPr>
            </w:pPr>
            <w:r>
              <w:rPr>
                <w:rFonts w:ascii="Arial" w:cs="Arial" w:eastAsia="Arial" w:hAnsi="Arial"/>
                <w:sz w:val="16"/>
                <w:szCs w:val="16"/>
                <w:b w:val="1"/>
                <w:bCs w:val="1"/>
                <w:color w:val="auto"/>
                <w:w w:val="93"/>
              </w:rPr>
              <w:t>Percentage Change on Constant</w:t>
            </w:r>
          </w:p>
        </w:tc>
      </w:tr>
      <w:tr>
        <w:trPr>
          <w:trHeight w:val="210"/>
        </w:trPr>
        <w:tc>
          <w:tcPr>
            <w:tcW w:w="3880" w:type="dxa"/>
            <w:vAlign w:val="bottom"/>
          </w:tcPr>
          <w:p>
            <w:pPr>
              <w:spacing w:after="0"/>
              <w:rPr>
                <w:sz w:val="18"/>
                <w:szCs w:val="18"/>
                <w:color w:val="auto"/>
              </w:rPr>
            </w:pPr>
          </w:p>
        </w:tc>
        <w:tc>
          <w:tcPr>
            <w:tcW w:w="2520" w:type="dxa"/>
            <w:vAlign w:val="bottom"/>
            <w:gridSpan w:val="2"/>
          </w:tcPr>
          <w:p>
            <w:pPr>
              <w:ind w:left="100"/>
              <w:spacing w:after="0"/>
              <w:rPr>
                <w:sz w:val="20"/>
                <w:szCs w:val="20"/>
                <w:color w:val="auto"/>
              </w:rPr>
            </w:pPr>
            <w:r>
              <w:rPr>
                <w:rFonts w:ascii="Arial" w:cs="Arial" w:eastAsia="Arial" w:hAnsi="Arial"/>
                <w:sz w:val="16"/>
                <w:szCs w:val="16"/>
                <w:b w:val="1"/>
                <w:bCs w:val="1"/>
                <w:color w:val="auto"/>
                <w:w w:val="97"/>
              </w:rPr>
              <w:t>Percentage Change as Reported</w:t>
            </w:r>
          </w:p>
        </w:tc>
        <w:tc>
          <w:tcPr>
            <w:tcW w:w="25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Exchange</w:t>
            </w:r>
          </w:p>
        </w:tc>
        <w:tc>
          <w:tcPr>
            <w:tcW w:w="2460" w:type="dxa"/>
            <w:vAlign w:val="bottom"/>
          </w:tcPr>
          <w:p>
            <w:pPr>
              <w:jc w:val="right"/>
              <w:ind w:right="619"/>
              <w:spacing w:after="0"/>
              <w:rPr>
                <w:sz w:val="20"/>
                <w:szCs w:val="20"/>
                <w:color w:val="auto"/>
              </w:rPr>
            </w:pPr>
            <w:r>
              <w:rPr>
                <w:rFonts w:ascii="Arial" w:cs="Arial" w:eastAsia="Arial" w:hAnsi="Arial"/>
                <w:sz w:val="16"/>
                <w:szCs w:val="16"/>
                <w:b w:val="1"/>
                <w:bCs w:val="1"/>
                <w:color w:val="auto"/>
              </w:rPr>
              <w:t>Currency Basis</w:t>
            </w:r>
          </w:p>
        </w:tc>
      </w:tr>
      <w:tr>
        <w:trPr>
          <w:trHeight w:val="33"/>
        </w:trPr>
        <w:tc>
          <w:tcPr>
            <w:tcW w:w="388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North America segment</w:t>
            </w:r>
          </w:p>
        </w:tc>
        <w:tc>
          <w:tcPr>
            <w:tcW w:w="2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spacing w:after="0"/>
              <w:rPr>
                <w:sz w:val="21"/>
                <w:szCs w:val="21"/>
                <w:color w:val="auto"/>
              </w:rPr>
            </w:pPr>
          </w:p>
        </w:tc>
      </w:tr>
      <w:tr>
        <w:trPr>
          <w:trHeight w:val="237"/>
        </w:trPr>
        <w:tc>
          <w:tcPr>
            <w:tcW w:w="3880" w:type="dxa"/>
            <w:vAlign w:val="bottom"/>
          </w:tcPr>
          <w:p>
            <w:pPr>
              <w:ind w:left="180"/>
              <w:spacing w:after="0"/>
              <w:rPr>
                <w:sz w:val="20"/>
                <w:szCs w:val="20"/>
                <w:color w:val="auto"/>
              </w:rPr>
            </w:pPr>
            <w:r>
              <w:rPr>
                <w:rFonts w:ascii="Arial" w:cs="Arial" w:eastAsia="Arial" w:hAnsi="Arial"/>
                <w:sz w:val="16"/>
                <w:szCs w:val="16"/>
                <w:color w:val="auto"/>
              </w:rPr>
              <w:t>Canada</w:t>
            </w:r>
          </w:p>
        </w:tc>
        <w:tc>
          <w:tcPr>
            <w:tcW w:w="240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2460" w:type="dxa"/>
            <w:vAlign w:val="bottom"/>
          </w:tcPr>
          <w:p>
            <w:pPr>
              <w:jc w:val="right"/>
              <w:spacing w:after="0"/>
              <w:rPr>
                <w:sz w:val="20"/>
                <w:szCs w:val="20"/>
                <w:color w:val="auto"/>
              </w:rPr>
            </w:pPr>
            <w:r>
              <w:rPr>
                <w:rFonts w:ascii="Arial" w:cs="Arial" w:eastAsia="Arial" w:hAnsi="Arial"/>
                <w:sz w:val="16"/>
                <w:szCs w:val="16"/>
                <w:color w:val="auto"/>
              </w:rPr>
              <w:t>4.4 %</w:t>
            </w:r>
          </w:p>
        </w:tc>
        <w:tc>
          <w:tcPr>
            <w:tcW w:w="100" w:type="dxa"/>
            <w:vAlign w:val="bottom"/>
          </w:tcPr>
          <w:p>
            <w:pPr>
              <w:spacing w:after="0"/>
              <w:rPr>
                <w:sz w:val="20"/>
                <w:szCs w:val="20"/>
                <w:color w:val="auto"/>
              </w:rPr>
            </w:pPr>
          </w:p>
        </w:tc>
        <w:tc>
          <w:tcPr>
            <w:tcW w:w="246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33"/>
        </w:trPr>
        <w:tc>
          <w:tcPr>
            <w:tcW w:w="388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r>
      <w:tr>
        <w:trPr>
          <w:trHeight w:val="23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Total North America segment</w:t>
            </w:r>
          </w:p>
        </w:tc>
        <w:tc>
          <w:tcPr>
            <w:tcW w:w="2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0"/>
                <w:szCs w:val="20"/>
                <w:color w:val="auto"/>
              </w:rPr>
            </w:pPr>
          </w:p>
        </w:tc>
        <w:tc>
          <w:tcPr>
            <w:tcW w:w="2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100" w:type="dxa"/>
            <w:vAlign w:val="bottom"/>
            <w:tcBorders>
              <w:bottom w:val="single" w:sz="8" w:color="CCEEFF"/>
            </w:tcBorders>
            <w:shd w:val="clear" w:color="auto" w:fill="CCEEFF"/>
          </w:tcPr>
          <w:p>
            <w:pPr>
              <w:spacing w:after="0"/>
              <w:rPr>
                <w:sz w:val="20"/>
                <w:szCs w:val="20"/>
                <w:color w:val="auto"/>
              </w:rPr>
            </w:pPr>
          </w:p>
        </w:tc>
        <w:tc>
          <w:tcPr>
            <w:tcW w:w="2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4.8 %</w:t>
            </w:r>
          </w:p>
        </w:tc>
      </w:tr>
      <w:tr>
        <w:trPr>
          <w:trHeight w:val="324"/>
        </w:trPr>
        <w:tc>
          <w:tcPr>
            <w:tcW w:w="38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International and Other segment</w:t>
            </w:r>
          </w:p>
        </w:tc>
        <w:tc>
          <w:tcPr>
            <w:tcW w:w="2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spacing w:after="0"/>
              <w:rPr>
                <w:sz w:val="21"/>
                <w:szCs w:val="21"/>
                <w:color w:val="auto"/>
              </w:rPr>
            </w:pPr>
          </w:p>
        </w:tc>
      </w:tr>
      <w:tr>
        <w:trPr>
          <w:trHeight w:val="237"/>
        </w:trPr>
        <w:tc>
          <w:tcPr>
            <w:tcW w:w="3880" w:type="dxa"/>
            <w:vAlign w:val="bottom"/>
          </w:tcPr>
          <w:p>
            <w:pPr>
              <w:ind w:left="180"/>
              <w:spacing w:after="0"/>
              <w:rPr>
                <w:sz w:val="20"/>
                <w:szCs w:val="20"/>
                <w:color w:val="auto"/>
              </w:rPr>
            </w:pPr>
            <w:r>
              <w:rPr>
                <w:rFonts w:ascii="Arial" w:cs="Arial" w:eastAsia="Arial" w:hAnsi="Arial"/>
                <w:sz w:val="16"/>
                <w:szCs w:val="16"/>
                <w:color w:val="auto"/>
              </w:rPr>
              <w:t>Mexico</w:t>
            </w:r>
          </w:p>
        </w:tc>
        <w:tc>
          <w:tcPr>
            <w:tcW w:w="2400" w:type="dxa"/>
            <w:vAlign w:val="bottom"/>
          </w:tcPr>
          <w:p>
            <w:pPr>
              <w:jc w:val="right"/>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20"/>
                <w:szCs w:val="20"/>
                <w:color w:val="auto"/>
              </w:rPr>
            </w:pPr>
          </w:p>
        </w:tc>
        <w:tc>
          <w:tcPr>
            <w:tcW w:w="2460" w:type="dxa"/>
            <w:vAlign w:val="bottom"/>
          </w:tcPr>
          <w:p>
            <w:pPr>
              <w:jc w:val="right"/>
              <w:spacing w:after="0"/>
              <w:rPr>
                <w:sz w:val="20"/>
                <w:szCs w:val="20"/>
                <w:color w:val="auto"/>
              </w:rPr>
            </w:pPr>
            <w:r>
              <w:rPr>
                <w:rFonts w:ascii="Arial" w:cs="Arial" w:eastAsia="Arial" w:hAnsi="Arial"/>
                <w:sz w:val="16"/>
                <w:szCs w:val="16"/>
                <w:color w:val="auto"/>
              </w:rPr>
              <w:t>2.6 %</w:t>
            </w:r>
          </w:p>
        </w:tc>
        <w:tc>
          <w:tcPr>
            <w:tcW w:w="100" w:type="dxa"/>
            <w:vAlign w:val="bottom"/>
          </w:tcPr>
          <w:p>
            <w:pPr>
              <w:spacing w:after="0"/>
              <w:rPr>
                <w:sz w:val="20"/>
                <w:szCs w:val="20"/>
                <w:color w:val="auto"/>
              </w:rPr>
            </w:pPr>
          </w:p>
        </w:tc>
        <w:tc>
          <w:tcPr>
            <w:tcW w:w="2460" w:type="dxa"/>
            <w:vAlign w:val="bottom"/>
          </w:tcPr>
          <w:p>
            <w:pPr>
              <w:jc w:val="right"/>
              <w:spacing w:after="0"/>
              <w:rPr>
                <w:sz w:val="20"/>
                <w:szCs w:val="20"/>
                <w:color w:val="auto"/>
              </w:rPr>
            </w:pPr>
            <w:r>
              <w:rPr>
                <w:rFonts w:ascii="Arial" w:cs="Arial" w:eastAsia="Arial" w:hAnsi="Arial"/>
                <w:sz w:val="16"/>
                <w:szCs w:val="16"/>
                <w:color w:val="auto"/>
              </w:rPr>
              <w:t>7.3 %</w:t>
            </w:r>
          </w:p>
        </w:tc>
      </w:tr>
      <w:tr>
        <w:trPr>
          <w:trHeight w:val="33"/>
        </w:trPr>
        <w:tc>
          <w:tcPr>
            <w:tcW w:w="38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Brazil</w:t>
            </w:r>
          </w:p>
        </w:tc>
        <w:tc>
          <w:tcPr>
            <w:tcW w:w="2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16.2 %</w:t>
            </w:r>
          </w:p>
        </w:tc>
      </w:tr>
      <w:tr>
        <w:trPr>
          <w:trHeight w:val="237"/>
        </w:trPr>
        <w:tc>
          <w:tcPr>
            <w:tcW w:w="3880" w:type="dxa"/>
            <w:vAlign w:val="bottom"/>
          </w:tcPr>
          <w:p>
            <w:pPr>
              <w:ind w:left="180"/>
              <w:spacing w:after="0"/>
              <w:rPr>
                <w:sz w:val="20"/>
                <w:szCs w:val="20"/>
                <w:color w:val="auto"/>
              </w:rPr>
            </w:pPr>
            <w:r>
              <w:rPr>
                <w:rFonts w:ascii="Arial" w:cs="Arial" w:eastAsia="Arial" w:hAnsi="Arial"/>
                <w:sz w:val="16"/>
                <w:szCs w:val="16"/>
                <w:color w:val="auto"/>
              </w:rPr>
              <w:t>India</w:t>
            </w:r>
          </w:p>
        </w:tc>
        <w:tc>
          <w:tcPr>
            <w:tcW w:w="2400" w:type="dxa"/>
            <w:vAlign w:val="bottom"/>
          </w:tcPr>
          <w:p>
            <w:pPr>
              <w:jc w:val="right"/>
              <w:spacing w:after="0"/>
              <w:rPr>
                <w:sz w:val="20"/>
                <w:szCs w:val="20"/>
                <w:color w:val="auto"/>
              </w:rPr>
            </w:pPr>
            <w:r>
              <w:rPr>
                <w:rFonts w:ascii="Arial" w:cs="Arial" w:eastAsia="Arial" w:hAnsi="Arial"/>
                <w:sz w:val="16"/>
                <w:szCs w:val="16"/>
                <w:color w:val="auto"/>
              </w:rPr>
              <w:t>27.3%</w:t>
            </w:r>
          </w:p>
        </w:tc>
        <w:tc>
          <w:tcPr>
            <w:tcW w:w="120" w:type="dxa"/>
            <w:vAlign w:val="bottom"/>
          </w:tcPr>
          <w:p>
            <w:pPr>
              <w:spacing w:after="0"/>
              <w:rPr>
                <w:sz w:val="20"/>
                <w:szCs w:val="20"/>
                <w:color w:val="auto"/>
              </w:rPr>
            </w:pPr>
          </w:p>
        </w:tc>
        <w:tc>
          <w:tcPr>
            <w:tcW w:w="2460" w:type="dxa"/>
            <w:vAlign w:val="bottom"/>
          </w:tcPr>
          <w:p>
            <w:pPr>
              <w:jc w:val="right"/>
              <w:spacing w:after="0"/>
              <w:rPr>
                <w:sz w:val="20"/>
                <w:szCs w:val="20"/>
                <w:color w:val="auto"/>
              </w:rPr>
            </w:pPr>
            <w:r>
              <w:rPr>
                <w:rFonts w:ascii="Arial" w:cs="Arial" w:eastAsia="Arial" w:hAnsi="Arial"/>
                <w:sz w:val="16"/>
                <w:szCs w:val="16"/>
                <w:color w:val="auto"/>
              </w:rPr>
              <w:t>0.2 %</w:t>
            </w:r>
          </w:p>
        </w:tc>
        <w:tc>
          <w:tcPr>
            <w:tcW w:w="100" w:type="dxa"/>
            <w:vAlign w:val="bottom"/>
          </w:tcPr>
          <w:p>
            <w:pPr>
              <w:spacing w:after="0"/>
              <w:rPr>
                <w:sz w:val="20"/>
                <w:szCs w:val="20"/>
                <w:color w:val="auto"/>
              </w:rPr>
            </w:pPr>
          </w:p>
        </w:tc>
        <w:tc>
          <w:tcPr>
            <w:tcW w:w="2460" w:type="dxa"/>
            <w:vAlign w:val="bottom"/>
          </w:tcPr>
          <w:p>
            <w:pPr>
              <w:jc w:val="right"/>
              <w:spacing w:after="0"/>
              <w:rPr>
                <w:sz w:val="20"/>
                <w:szCs w:val="20"/>
                <w:color w:val="auto"/>
              </w:rPr>
            </w:pPr>
            <w:r>
              <w:rPr>
                <w:rFonts w:ascii="Arial" w:cs="Arial" w:eastAsia="Arial" w:hAnsi="Arial"/>
                <w:sz w:val="16"/>
                <w:szCs w:val="16"/>
                <w:color w:val="auto"/>
              </w:rPr>
              <w:t>27.1 %</w:t>
            </w:r>
          </w:p>
        </w:tc>
      </w:tr>
      <w:tr>
        <w:trPr>
          <w:trHeight w:val="33"/>
        </w:trPr>
        <w:tc>
          <w:tcPr>
            <w:tcW w:w="38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Pr>
          <w:p>
            <w:pPr>
              <w:spacing w:after="0"/>
              <w:rPr>
                <w:sz w:val="2"/>
                <w:szCs w:val="2"/>
                <w:color w:val="auto"/>
              </w:rPr>
            </w:pPr>
          </w:p>
        </w:tc>
      </w:tr>
      <w:tr>
        <w:trPr>
          <w:trHeight w:val="270"/>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Greater China</w:t>
            </w:r>
          </w:p>
        </w:tc>
        <w:tc>
          <w:tcPr>
            <w:tcW w:w="2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shd w:val="clear" w:color="auto" w:fill="CCEEFF"/>
          </w:tcPr>
          <w:p>
            <w:pPr>
              <w:spacing w:after="0"/>
              <w:rPr>
                <w:sz w:val="23"/>
                <w:szCs w:val="23"/>
                <w:color w:val="auto"/>
              </w:rPr>
            </w:pPr>
          </w:p>
        </w:tc>
        <w:tc>
          <w:tcPr>
            <w:tcW w:w="2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6.8 %</w:t>
            </w:r>
          </w:p>
        </w:tc>
        <w:tc>
          <w:tcPr>
            <w:tcW w:w="100" w:type="dxa"/>
            <w:vAlign w:val="bottom"/>
            <w:tcBorders>
              <w:bottom w:val="single" w:sz="8" w:color="CCEEFF"/>
            </w:tcBorders>
            <w:shd w:val="clear" w:color="auto" w:fill="CCEEFF"/>
          </w:tcPr>
          <w:p>
            <w:pPr>
              <w:spacing w:after="0"/>
              <w:rPr>
                <w:sz w:val="23"/>
                <w:szCs w:val="23"/>
                <w:color w:val="auto"/>
              </w:rPr>
            </w:pPr>
          </w:p>
        </w:tc>
        <w:tc>
          <w:tcPr>
            <w:tcW w:w="2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0.2 %</w:t>
            </w:r>
          </w:p>
        </w:tc>
      </w:tr>
      <w:tr>
        <w:trPr>
          <w:trHeight w:val="217"/>
        </w:trPr>
        <w:tc>
          <w:tcPr>
            <w:tcW w:w="3880" w:type="dxa"/>
            <w:vAlign w:val="bottom"/>
          </w:tcPr>
          <w:p>
            <w:pPr>
              <w:ind w:left="40"/>
              <w:spacing w:after="0"/>
              <w:rPr>
                <w:sz w:val="20"/>
                <w:szCs w:val="20"/>
                <w:color w:val="auto"/>
              </w:rPr>
            </w:pPr>
            <w:r>
              <w:rPr>
                <w:rFonts w:ascii="Arial" w:cs="Arial" w:eastAsia="Arial" w:hAnsi="Arial"/>
                <w:sz w:val="16"/>
                <w:szCs w:val="16"/>
                <w:color w:val="auto"/>
              </w:rPr>
              <w:t>Total International and Other segment</w:t>
            </w:r>
          </w:p>
        </w:tc>
        <w:tc>
          <w:tcPr>
            <w:tcW w:w="2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8"/>
                <w:szCs w:val="18"/>
                <w:color w:val="auto"/>
              </w:rPr>
            </w:pPr>
          </w:p>
        </w:tc>
        <w:tc>
          <w:tcPr>
            <w:tcW w:w="2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0.4 %</w:t>
            </w:r>
          </w:p>
        </w:tc>
        <w:tc>
          <w:tcPr>
            <w:tcW w:w="100" w:type="dxa"/>
            <w:vAlign w:val="bottom"/>
          </w:tcPr>
          <w:p>
            <w:pPr>
              <w:spacing w:after="0"/>
              <w:rPr>
                <w:sz w:val="18"/>
                <w:szCs w:val="18"/>
                <w:color w:val="auto"/>
              </w:rPr>
            </w:pPr>
          </w:p>
        </w:tc>
        <w:tc>
          <w:tcPr>
            <w:tcW w:w="2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5.6 %</w:t>
            </w:r>
          </w:p>
        </w:tc>
      </w:tr>
      <w:tr>
        <w:trPr>
          <w:trHeight w:val="33"/>
        </w:trPr>
        <w:tc>
          <w:tcPr>
            <w:tcW w:w="38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Pr>
          <w:p>
            <w:pPr>
              <w:spacing w:after="0"/>
              <w:rPr>
                <w:sz w:val="2"/>
                <w:szCs w:val="2"/>
                <w:color w:val="auto"/>
              </w:rPr>
            </w:pPr>
          </w:p>
        </w:tc>
      </w:tr>
      <w:tr>
        <w:trPr>
          <w:trHeight w:val="324"/>
        </w:trPr>
        <w:tc>
          <w:tcPr>
            <w:tcW w:w="3880" w:type="dxa"/>
            <w:vAlign w:val="bottom"/>
            <w:shd w:val="clear" w:color="auto" w:fill="CCEEFF"/>
          </w:tcPr>
          <w:p>
            <w:pPr>
              <w:spacing w:after="0"/>
              <w:rPr>
                <w:sz w:val="24"/>
                <w:szCs w:val="24"/>
                <w:color w:val="auto"/>
              </w:rPr>
            </w:pPr>
          </w:p>
        </w:tc>
        <w:tc>
          <w:tcPr>
            <w:tcW w:w="2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60" w:type="dxa"/>
            <w:vAlign w:val="bottom"/>
            <w:shd w:val="clear" w:color="auto" w:fill="CCEEFF"/>
          </w:tcPr>
          <w:p>
            <w:pPr>
              <w:spacing w:after="0"/>
              <w:rPr>
                <w:sz w:val="24"/>
                <w:szCs w:val="24"/>
                <w:color w:val="auto"/>
              </w:rPr>
            </w:pPr>
          </w:p>
        </w:tc>
      </w:tr>
      <w:tr>
        <w:trPr>
          <w:trHeight w:val="250"/>
        </w:trPr>
        <w:tc>
          <w:tcPr>
            <w:tcW w:w="3880" w:type="dxa"/>
            <w:vAlign w:val="bottom"/>
          </w:tcPr>
          <w:p>
            <w:pPr>
              <w:ind w:left="40"/>
              <w:spacing w:after="0"/>
              <w:rPr>
                <w:sz w:val="20"/>
                <w:szCs w:val="20"/>
                <w:color w:val="auto"/>
              </w:rPr>
            </w:pPr>
            <w:r>
              <w:rPr>
                <w:rFonts w:ascii="Arial" w:cs="Arial" w:eastAsia="Arial" w:hAnsi="Arial"/>
                <w:sz w:val="16"/>
                <w:szCs w:val="16"/>
                <w:color w:val="auto"/>
              </w:rPr>
              <w:t>Total Company</w:t>
            </w: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1"/>
                <w:szCs w:val="21"/>
                <w:color w:val="auto"/>
              </w:rPr>
            </w:pP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0.2 %</w:t>
            </w:r>
          </w:p>
        </w:tc>
        <w:tc>
          <w:tcPr>
            <w:tcW w:w="100" w:type="dxa"/>
            <w:vAlign w:val="bottom"/>
          </w:tcPr>
          <w:p>
            <w:pPr>
              <w:spacing w:after="0"/>
              <w:rPr>
                <w:sz w:val="21"/>
                <w:szCs w:val="21"/>
                <w:color w:val="auto"/>
              </w:rPr>
            </w:pP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4.9 %</w:t>
            </w:r>
          </w:p>
        </w:tc>
      </w:tr>
      <w:tr>
        <w:trPr>
          <w:trHeight w:val="20"/>
        </w:trPr>
        <w:tc>
          <w:tcPr>
            <w:tcW w:w="388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180" w:type="dxa"/>
            <w:vAlign w:val="bottom"/>
            <w:gridSpan w:val="2"/>
          </w:tcPr>
          <w:p>
            <w:pPr>
              <w:ind w:left="260"/>
              <w:spacing w:after="0"/>
              <w:rPr>
                <w:sz w:val="20"/>
                <w:szCs w:val="20"/>
                <w:color w:val="auto"/>
              </w:rPr>
            </w:pPr>
            <w:r>
              <w:rPr>
                <w:rFonts w:ascii="Arial" w:cs="Arial" w:eastAsia="Arial" w:hAnsi="Arial"/>
                <w:sz w:val="14"/>
                <w:szCs w:val="14"/>
                <w:b w:val="1"/>
                <w:bCs w:val="1"/>
                <w:color w:val="auto"/>
              </w:rPr>
              <w:t>Percent</w:t>
            </w:r>
          </w:p>
        </w:tc>
        <w:tc>
          <w:tcPr>
            <w:tcW w:w="2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819"/>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6"/>
                <w:szCs w:val="16"/>
                <w:color w:val="auto"/>
              </w:rPr>
            </w:pPr>
          </w:p>
        </w:tc>
        <w:tc>
          <w:tcPr>
            <w:tcW w:w="980" w:type="dxa"/>
            <w:vAlign w:val="bottom"/>
          </w:tcPr>
          <w:p>
            <w:pPr>
              <w:jc w:val="right"/>
              <w:ind w:right="18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July 1, 2018</w:t>
            </w:r>
          </w:p>
        </w:tc>
        <w:tc>
          <w:tcPr>
            <w:tcW w:w="280" w:type="dxa"/>
            <w:vAlign w:val="bottom"/>
          </w:tcPr>
          <w:p>
            <w:pPr>
              <w:spacing w:after="0"/>
              <w:rPr>
                <w:sz w:val="22"/>
                <w:szCs w:val="22"/>
                <w:color w:val="auto"/>
              </w:rPr>
            </w:pPr>
          </w:p>
        </w:tc>
        <w:tc>
          <w:tcPr>
            <w:tcW w:w="1140" w:type="dxa"/>
            <w:vAlign w:val="bottom"/>
          </w:tcPr>
          <w:p>
            <w:pPr>
              <w:jc w:val="right"/>
              <w:ind w:right="259"/>
              <w:spacing w:after="0"/>
              <w:rPr>
                <w:sz w:val="20"/>
                <w:szCs w:val="20"/>
                <w:color w:val="auto"/>
              </w:rPr>
            </w:pPr>
            <w:r>
              <w:rPr>
                <w:rFonts w:ascii="Arial" w:cs="Arial" w:eastAsia="Arial" w:hAnsi="Arial"/>
                <w:sz w:val="14"/>
                <w:szCs w:val="14"/>
                <w:b w:val="1"/>
                <w:bCs w:val="1"/>
                <w:color w:val="auto"/>
                <w:w w:val="99"/>
              </w:rPr>
              <w:t>July 2, 2017</w:t>
            </w:r>
          </w:p>
        </w:tc>
        <w:tc>
          <w:tcPr>
            <w:tcW w:w="100" w:type="dxa"/>
            <w:vAlign w:val="bottom"/>
          </w:tcPr>
          <w:p>
            <w:pPr>
              <w:spacing w:after="0"/>
              <w:rPr>
                <w:sz w:val="22"/>
                <w:szCs w:val="22"/>
                <w:color w:val="auto"/>
              </w:rPr>
            </w:pPr>
          </w:p>
        </w:tc>
        <w:tc>
          <w:tcPr>
            <w:tcW w:w="1180" w:type="dxa"/>
            <w:vAlign w:val="bottom"/>
            <w:gridSpan w:val="2"/>
          </w:tcPr>
          <w:p>
            <w:pPr>
              <w:ind w:left="260"/>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22"/>
                <w:szCs w:val="22"/>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July 1, 2018</w:t>
            </w:r>
          </w:p>
        </w:tc>
        <w:tc>
          <w:tcPr>
            <w:tcW w:w="280" w:type="dxa"/>
            <w:vAlign w:val="bottom"/>
          </w:tcPr>
          <w:p>
            <w:pPr>
              <w:spacing w:after="0"/>
              <w:rPr>
                <w:sz w:val="22"/>
                <w:szCs w:val="22"/>
                <w:color w:val="auto"/>
              </w:rPr>
            </w:pPr>
          </w:p>
        </w:tc>
        <w:tc>
          <w:tcPr>
            <w:tcW w:w="1160" w:type="dxa"/>
            <w:vAlign w:val="bottom"/>
          </w:tcPr>
          <w:p>
            <w:pPr>
              <w:jc w:val="right"/>
              <w:ind w:right="279"/>
              <w:spacing w:after="0"/>
              <w:rPr>
                <w:sz w:val="20"/>
                <w:szCs w:val="20"/>
                <w:color w:val="auto"/>
              </w:rPr>
            </w:pPr>
            <w:r>
              <w:rPr>
                <w:rFonts w:ascii="Arial" w:cs="Arial" w:eastAsia="Arial" w:hAnsi="Arial"/>
                <w:sz w:val="14"/>
                <w:szCs w:val="14"/>
                <w:b w:val="1"/>
                <w:bCs w:val="1"/>
                <w:color w:val="auto"/>
                <w:w w:val="99"/>
              </w:rPr>
              <w:t>July 2, 2017</w:t>
            </w:r>
          </w:p>
        </w:tc>
        <w:tc>
          <w:tcPr>
            <w:tcW w:w="100" w:type="dxa"/>
            <w:vAlign w:val="bottom"/>
          </w:tcPr>
          <w:p>
            <w:pPr>
              <w:spacing w:after="0"/>
              <w:rPr>
                <w:sz w:val="22"/>
                <w:szCs w:val="22"/>
                <w:color w:val="auto"/>
              </w:rPr>
            </w:pPr>
          </w:p>
        </w:tc>
        <w:tc>
          <w:tcPr>
            <w:tcW w:w="980" w:type="dxa"/>
            <w:vAlign w:val="bottom"/>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64"/>
        </w:trPr>
        <w:tc>
          <w:tcPr>
            <w:tcW w:w="316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In millions of dollars except per share amounts</w:t>
            </w:r>
          </w:p>
        </w:tc>
        <w:tc>
          <w:tcPr>
            <w:tcW w:w="26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1,751.6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1,663.0</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5.3 %</w:t>
            </w:r>
          </w:p>
        </w:tc>
        <w:tc>
          <w:tcPr>
            <w:tcW w:w="2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3,723.6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3,542.7</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5.1 %</w:t>
            </w:r>
          </w:p>
        </w:tc>
        <w:tc>
          <w:tcPr>
            <w:tcW w:w="0" w:type="dxa"/>
            <w:vAlign w:val="bottom"/>
          </w:tcPr>
          <w:p>
            <w:pPr>
              <w:spacing w:after="0"/>
              <w:rPr>
                <w:sz w:val="1"/>
                <w:szCs w:val="1"/>
                <w:color w:val="auto"/>
              </w:rPr>
            </w:pPr>
          </w:p>
        </w:tc>
      </w:tr>
      <w:tr>
        <w:trPr>
          <w:trHeight w:val="237"/>
        </w:trPr>
        <w:tc>
          <w:tcPr>
            <w:tcW w:w="3160" w:type="dxa"/>
            <w:vAlign w:val="bottom"/>
            <w:gridSpan w:val="3"/>
          </w:tcPr>
          <w:p>
            <w:pPr>
              <w:ind w:left="40"/>
              <w:spacing w:after="0"/>
              <w:rPr>
                <w:sz w:val="20"/>
                <w:szCs w:val="20"/>
                <w:color w:val="auto"/>
              </w:rPr>
            </w:pPr>
            <w:r>
              <w:rPr>
                <w:rFonts w:ascii="Arial" w:cs="Arial" w:eastAsia="Arial" w:hAnsi="Arial"/>
                <w:sz w:val="16"/>
                <w:szCs w:val="16"/>
                <w:color w:val="auto"/>
              </w:rPr>
              <w:t>Cost of Sales</w:t>
            </w:r>
          </w:p>
        </w:tc>
        <w:tc>
          <w:tcPr>
            <w:tcW w:w="260" w:type="dxa"/>
            <w:vAlign w:val="bottom"/>
          </w:tcPr>
          <w:p>
            <w:pPr>
              <w:spacing w:after="0"/>
              <w:rPr>
                <w:sz w:val="20"/>
                <w:szCs w:val="20"/>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958.2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897.1</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6.8 %</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1,956.1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1,867.5</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4.7 %</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793.4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765.8</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3.6 %</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1,767.5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1,675.2</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5.5 %</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3120" w:type="dxa"/>
            <w:vAlign w:val="bottom"/>
            <w:gridSpan w:val="2"/>
          </w:tcPr>
          <w:p>
            <w:pPr>
              <w:ind w:left="160"/>
              <w:spacing w:after="0"/>
              <w:rPr>
                <w:sz w:val="20"/>
                <w:szCs w:val="20"/>
                <w:color w:val="auto"/>
              </w:rPr>
            </w:pPr>
            <w:r>
              <w:rPr>
                <w:rFonts w:ascii="Arial" w:cs="Arial" w:eastAsia="Arial" w:hAnsi="Arial"/>
                <w:sz w:val="16"/>
                <w:szCs w:val="16"/>
                <w:i w:val="1"/>
                <w:iCs w:val="1"/>
                <w:color w:val="auto"/>
              </w:rPr>
              <w:t>Gross Margin</w:t>
            </w: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45.3%</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46.1%</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47.5%</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47.3%</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SM&amp;A Expense</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449.5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443.4</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2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934.9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902.8</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3.6 %</w:t>
            </w: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3120" w:type="dxa"/>
            <w:vAlign w:val="bottom"/>
            <w:gridSpan w:val="2"/>
          </w:tcPr>
          <w:p>
            <w:pPr>
              <w:ind w:left="160"/>
              <w:spacing w:after="0"/>
              <w:rPr>
                <w:sz w:val="20"/>
                <w:szCs w:val="20"/>
                <w:color w:val="auto"/>
              </w:rPr>
            </w:pPr>
            <w:r>
              <w:rPr>
                <w:rFonts w:ascii="Arial" w:cs="Arial" w:eastAsia="Arial" w:hAnsi="Arial"/>
                <w:sz w:val="16"/>
                <w:szCs w:val="16"/>
                <w:i w:val="1"/>
                <w:iCs w:val="1"/>
                <w:color w:val="auto"/>
              </w:rPr>
              <w:t>SM&amp;A Expense as a percent of net sales</w:t>
            </w: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25.7%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26.7%</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25.1%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25.5%</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Long-Lived Asset Impairment Charges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NM</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208.7</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(87.0)%</w:t>
            </w:r>
          </w:p>
        </w:tc>
        <w:tc>
          <w:tcPr>
            <w:tcW w:w="0" w:type="dxa"/>
            <w:vAlign w:val="bottom"/>
          </w:tcPr>
          <w:p>
            <w:pPr>
              <w:spacing w:after="0"/>
              <w:rPr>
                <w:sz w:val="1"/>
                <w:szCs w:val="1"/>
                <w:color w:val="auto"/>
              </w:rPr>
            </w:pPr>
          </w:p>
        </w:tc>
      </w:tr>
      <w:tr>
        <w:trPr>
          <w:trHeight w:val="237"/>
        </w:trPr>
        <w:tc>
          <w:tcPr>
            <w:tcW w:w="3160" w:type="dxa"/>
            <w:vAlign w:val="bottom"/>
            <w:gridSpan w:val="3"/>
          </w:tcPr>
          <w:p>
            <w:pPr>
              <w:ind w:left="40"/>
              <w:spacing w:after="0"/>
              <w:rPr>
                <w:sz w:val="20"/>
                <w:szCs w:val="20"/>
                <w:color w:val="auto"/>
              </w:rPr>
            </w:pPr>
            <w:r>
              <w:rPr>
                <w:rFonts w:ascii="Arial" w:cs="Arial" w:eastAsia="Arial" w:hAnsi="Arial"/>
                <w:sz w:val="16"/>
                <w:szCs w:val="16"/>
                <w:color w:val="auto"/>
              </w:rPr>
              <w:t>Business Realignment Costs</w:t>
            </w:r>
          </w:p>
        </w:tc>
        <w:tc>
          <w:tcPr>
            <w:tcW w:w="260" w:type="dxa"/>
            <w:vAlign w:val="bottom"/>
          </w:tcPr>
          <w:p>
            <w:pPr>
              <w:spacing w:after="0"/>
              <w:rPr>
                <w:sz w:val="20"/>
                <w:szCs w:val="20"/>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2.0</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(50.5)%</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46.0</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(80.0)%</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Operating Profit</w:t>
            </w: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315.7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320.5</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796.2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517.7</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53.8 %</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120" w:type="dxa"/>
            <w:vAlign w:val="bottom"/>
            <w:gridSpan w:val="2"/>
          </w:tcPr>
          <w:p>
            <w:pPr>
              <w:ind w:left="140"/>
              <w:spacing w:after="0"/>
              <w:rPr>
                <w:sz w:val="20"/>
                <w:szCs w:val="20"/>
                <w:color w:val="auto"/>
              </w:rPr>
            </w:pPr>
            <w:r>
              <w:rPr>
                <w:rFonts w:ascii="Arial" w:cs="Arial" w:eastAsia="Arial" w:hAnsi="Arial"/>
                <w:sz w:val="16"/>
                <w:szCs w:val="16"/>
                <w:i w:val="1"/>
                <w:iCs w:val="1"/>
                <w:color w:val="auto"/>
              </w:rPr>
              <w:t>Operating Profit Margin</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i w:val="1"/>
                <w:iCs w:val="1"/>
                <w:color w:val="auto"/>
              </w:rPr>
              <w:t>18.0%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i w:val="1"/>
                <w:iCs w:val="1"/>
                <w:color w:val="auto"/>
              </w:rPr>
              <w:t>19.3%</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i w:val="1"/>
                <w:iCs w:val="1"/>
                <w:color w:val="auto"/>
              </w:rPr>
              <w:t>21.4%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i w:val="1"/>
                <w:iCs w:val="1"/>
                <w:color w:val="auto"/>
              </w:rPr>
              <w:t>14.6%</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24.1</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44.9 %</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47.9</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34.3 %</w:t>
            </w:r>
          </w:p>
        </w:tc>
        <w:tc>
          <w:tcPr>
            <w:tcW w:w="0" w:type="dxa"/>
            <w:vAlign w:val="bottom"/>
          </w:tcPr>
          <w:p>
            <w:pPr>
              <w:spacing w:after="0"/>
              <w:rPr>
                <w:sz w:val="1"/>
                <w:szCs w:val="1"/>
                <w:color w:val="auto"/>
              </w:rPr>
            </w:pPr>
          </w:p>
        </w:tc>
      </w:tr>
      <w:tr>
        <w:trPr>
          <w:trHeight w:val="237"/>
        </w:trPr>
        <w:tc>
          <w:tcPr>
            <w:tcW w:w="3160" w:type="dxa"/>
            <w:vAlign w:val="bottom"/>
            <w:gridSpan w:val="3"/>
          </w:tcPr>
          <w:p>
            <w:pPr>
              <w:ind w:left="40"/>
              <w:spacing w:after="0"/>
              <w:rPr>
                <w:sz w:val="20"/>
                <w:szCs w:val="20"/>
                <w:color w:val="auto"/>
              </w:rPr>
            </w:pPr>
            <w:r>
              <w:rPr>
                <w:rFonts w:ascii="Arial" w:cs="Arial" w:eastAsia="Arial" w:hAnsi="Arial"/>
                <w:sz w:val="16"/>
                <w:szCs w:val="16"/>
                <w:color w:val="auto"/>
              </w:rPr>
              <w:t>Other (Income) Expense, Net</w:t>
            </w:r>
          </w:p>
        </w:tc>
        <w:tc>
          <w:tcPr>
            <w:tcW w:w="260" w:type="dxa"/>
            <w:vAlign w:val="bottom"/>
          </w:tcPr>
          <w:p>
            <w:pPr>
              <w:spacing w:after="0"/>
              <w:rPr>
                <w:sz w:val="20"/>
                <w:szCs w:val="20"/>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15.2</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36.2 %</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22.7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20.4</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11.4 %</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36.7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78.4</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(53.2)%</w:t>
            </w:r>
          </w:p>
        </w:tc>
        <w:tc>
          <w:tcPr>
            <w:tcW w:w="2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135.2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148.5</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3120" w:type="dxa"/>
            <w:vAlign w:val="bottom"/>
            <w:gridSpan w:val="2"/>
          </w:tcPr>
          <w:p>
            <w:pPr>
              <w:ind w:left="140"/>
              <w:spacing w:after="0"/>
              <w:rPr>
                <w:sz w:val="20"/>
                <w:szCs w:val="20"/>
                <w:color w:val="auto"/>
              </w:rPr>
            </w:pPr>
            <w:r>
              <w:rPr>
                <w:rFonts w:ascii="Arial" w:cs="Arial" w:eastAsia="Arial" w:hAnsi="Arial"/>
                <w:sz w:val="16"/>
                <w:szCs w:val="16"/>
                <w:i w:val="1"/>
                <w:iCs w:val="1"/>
                <w:color w:val="auto"/>
              </w:rPr>
              <w:t>Effective Income Tax Rate</w:t>
            </w: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14.1%</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27.9%</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19.1%</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33.0%</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w w:val="98"/>
                <w:shd w:val="clear" w:color="auto" w:fill="CCEEFF"/>
              </w:rPr>
              <w:t>Net Income Including Noncontrolling Interest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223.3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202.7</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10.2 %</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574.0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301.0</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90.7 %</w:t>
            </w:r>
          </w:p>
        </w:tc>
        <w:tc>
          <w:tcPr>
            <w:tcW w:w="0" w:type="dxa"/>
            <w:vAlign w:val="bottom"/>
          </w:tcPr>
          <w:p>
            <w:pPr>
              <w:spacing w:after="0"/>
              <w:rPr>
                <w:sz w:val="1"/>
                <w:szCs w:val="1"/>
                <w:color w:val="auto"/>
              </w:rPr>
            </w:pPr>
          </w:p>
        </w:tc>
      </w:tr>
      <w:tr>
        <w:trPr>
          <w:trHeight w:val="220"/>
        </w:trPr>
        <w:tc>
          <w:tcPr>
            <w:tcW w:w="3160" w:type="dxa"/>
            <w:vAlign w:val="bottom"/>
            <w:gridSpan w:val="3"/>
          </w:tcPr>
          <w:p>
            <w:pPr>
              <w:ind w:left="40"/>
              <w:spacing w:after="0"/>
              <w:rPr>
                <w:sz w:val="20"/>
                <w:szCs w:val="20"/>
                <w:color w:val="auto"/>
              </w:rPr>
            </w:pPr>
            <w:r>
              <w:rPr>
                <w:rFonts w:ascii="Arial" w:cs="Arial" w:eastAsia="Arial" w:hAnsi="Arial"/>
                <w:sz w:val="16"/>
                <w:szCs w:val="16"/>
                <w:color w:val="auto"/>
                <w:w w:val="98"/>
              </w:rPr>
              <w:t>Less: Net Loss Attributable to Noncontrolling</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3120" w:type="dxa"/>
            <w:vAlign w:val="bottom"/>
            <w:gridSpan w:val="2"/>
          </w:tcPr>
          <w:p>
            <w:pPr>
              <w:ind w:left="220"/>
              <w:spacing w:after="0"/>
              <w:rPr>
                <w:sz w:val="20"/>
                <w:szCs w:val="20"/>
                <w:color w:val="auto"/>
              </w:rPr>
            </w:pPr>
            <w:r>
              <w:rPr>
                <w:rFonts w:ascii="Arial" w:cs="Arial" w:eastAsia="Arial" w:hAnsi="Arial"/>
                <w:sz w:val="16"/>
                <w:szCs w:val="16"/>
                <w:color w:val="auto"/>
              </w:rPr>
              <w:t>Interest</w:t>
            </w:r>
          </w:p>
        </w:tc>
        <w:tc>
          <w:tcPr>
            <w:tcW w:w="260" w:type="dxa"/>
            <w:vAlign w:val="bottom"/>
          </w:tcPr>
          <w:p>
            <w:pPr>
              <w:spacing w:after="0"/>
              <w:rPr>
                <w:sz w:val="17"/>
                <w:szCs w:val="17"/>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(0.8)</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356.8 %</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(27.6)</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(89.0)%</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6"/>
                <w:szCs w:val="16"/>
                <w:color w:val="auto"/>
                <w:w w:val="92"/>
                <w:shd w:val="clear" w:color="auto" w:fill="CCEEFF"/>
              </w:rPr>
              <w:t>Net Income Attributable to The Hershey</w:t>
            </w:r>
          </w:p>
        </w:tc>
        <w:tc>
          <w:tcPr>
            <w:tcW w:w="50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226.9</w:t>
            </w:r>
          </w:p>
        </w:tc>
        <w:tc>
          <w:tcPr>
            <w:tcW w:w="10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203.5</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577.1</w:t>
            </w:r>
          </w:p>
        </w:tc>
        <w:tc>
          <w:tcPr>
            <w:tcW w:w="10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328.5</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shd w:val="clear" w:color="auto" w:fill="CCEEFF"/>
          </w:tcPr>
          <w:p>
            <w:pPr>
              <w:spacing w:after="0"/>
              <w:rPr>
                <w:sz w:val="19"/>
                <w:szCs w:val="19"/>
                <w:color w:val="auto"/>
              </w:rPr>
            </w:pPr>
          </w:p>
        </w:tc>
        <w:tc>
          <w:tcPr>
            <w:tcW w:w="2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shd w:val="clear" w:color="auto" w:fill="CCEEFF"/>
              </w:rPr>
              <w:t>Company</w:t>
            </w:r>
          </w:p>
        </w:tc>
        <w:tc>
          <w:tcPr>
            <w:tcW w:w="5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vMerge w:val="continue"/>
            <w:shd w:val="clear" w:color="auto" w:fill="CCEEFF"/>
          </w:tcPr>
          <w:p>
            <w:pPr>
              <w:spacing w:after="0"/>
              <w:rPr>
                <w:sz w:val="19"/>
                <w:szCs w:val="19"/>
                <w:color w:val="auto"/>
              </w:rPr>
            </w:pPr>
          </w:p>
        </w:tc>
        <w:tc>
          <w:tcPr>
            <w:tcW w:w="116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vMerge w:val="continue"/>
            <w:shd w:val="clear" w:color="auto" w:fill="CCEEFF"/>
          </w:tcPr>
          <w:p>
            <w:pPr>
              <w:spacing w:after="0"/>
              <w:rPr>
                <w:sz w:val="19"/>
                <w:szCs w:val="19"/>
                <w:color w:val="auto"/>
              </w:rPr>
            </w:pPr>
          </w:p>
        </w:tc>
        <w:tc>
          <w:tcPr>
            <w:tcW w:w="1140" w:type="dxa"/>
            <w:vAlign w:val="bottom"/>
            <w:tcBorders>
              <w:bottom w:val="single" w:sz="8" w:color="CCEEFF"/>
            </w:tcBorders>
            <w:vMerge w:val="continue"/>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11.5 %</w:t>
            </w:r>
          </w:p>
        </w:tc>
        <w:tc>
          <w:tcPr>
            <w:tcW w:w="2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vMerge w:val="continue"/>
            <w:shd w:val="clear" w:color="auto" w:fill="CCEEFF"/>
          </w:tcPr>
          <w:p>
            <w:pPr>
              <w:spacing w:after="0"/>
              <w:rPr>
                <w:sz w:val="19"/>
                <w:szCs w:val="19"/>
                <w:color w:val="auto"/>
              </w:rPr>
            </w:pPr>
          </w:p>
        </w:tc>
        <w:tc>
          <w:tcPr>
            <w:tcW w:w="114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vMerge w:val="continue"/>
            <w:shd w:val="clear" w:color="auto" w:fill="CCEEFF"/>
          </w:tcPr>
          <w:p>
            <w:pPr>
              <w:spacing w:after="0"/>
              <w:rPr>
                <w:sz w:val="19"/>
                <w:szCs w:val="19"/>
                <w:color w:val="auto"/>
              </w:rPr>
            </w:pPr>
          </w:p>
        </w:tc>
        <w:tc>
          <w:tcPr>
            <w:tcW w:w="1160" w:type="dxa"/>
            <w:vAlign w:val="bottom"/>
            <w:tcBorders>
              <w:bottom w:val="single" w:sz="8" w:color="CCEEFF"/>
            </w:tcBorders>
            <w:vMerge w:val="continue"/>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75.6 %</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160" w:type="dxa"/>
            <w:vAlign w:val="bottom"/>
            <w:gridSpan w:val="3"/>
          </w:tcPr>
          <w:p>
            <w:pPr>
              <w:ind w:left="40"/>
              <w:spacing w:after="0"/>
              <w:rPr>
                <w:sz w:val="20"/>
                <w:szCs w:val="20"/>
                <w:color w:val="auto"/>
              </w:rPr>
            </w:pPr>
            <w:r>
              <w:rPr>
                <w:rFonts w:ascii="Arial" w:cs="Arial" w:eastAsia="Arial" w:hAnsi="Arial"/>
                <w:sz w:val="16"/>
                <w:szCs w:val="16"/>
                <w:color w:val="auto"/>
              </w:rPr>
              <w:t>Net Income Per Share—Diluted</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0.95</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13.7 %</w:t>
            </w:r>
          </w:p>
        </w:tc>
        <w:tc>
          <w:tcPr>
            <w:tcW w:w="200" w:type="dxa"/>
            <w:vAlign w:val="bottom"/>
          </w:tcPr>
          <w:p>
            <w:pPr>
              <w:spacing w:after="0"/>
              <w:rPr>
                <w:sz w:val="21"/>
                <w:szCs w:val="21"/>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2.73</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1.53</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78.4 %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Note: Percentage changes may not compute directly as shown due to rounding of amounts presented above.</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NM = not meaningful.</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 Second Quarter 2018 vs. Second Quarter 2017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9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Net sales increased 5.3% in the second quarter of 2018 compared to the same period of 2017, reflecting a benefit from the recent Amplify acquisition of 5.9% and a volume increase of 1.0%, partially offset by unfavorable price realization of 1.6%. There was no impact from foreign currency exchange rates during the period. The volume growth was driven by higher sales volume in the United States, primarily from core brands, as well as solid marketplace growth in Mexico, Brazil and India. The unfavorable net price realization was primarily a result of incremental trade promotional expense in the North America segment in support of 2018 programming.</w:t>
      </w:r>
    </w:p>
    <w:p>
      <w:pPr>
        <w:spacing w:after="0" w:line="13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Key U.S. Marketplace Metrics</w:t>
      </w:r>
    </w:p>
    <w:p>
      <w:pPr>
        <w:spacing w:after="0" w:line="17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For the twelve weeks ended July 15, 2018, our total U.S. retail takeaway, including Amplify, was in line with prior year in the expanded multi-outlet combined plus convenience store channels (IRI MULO + C-Stores), which includes candy, mint, gum, salty snacks, snack bars, meat snacks and grocery items. Our U.S. candy, mint and gum ("CMG") consumer takeaway declined by 0.4%, resulting in a CMG market share loss of approximately 30 basis points.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823" w:right="239" w:bottom="1440" w:gutter="0" w:footer="0" w:header="0"/>
        </w:sectPr>
      </w:pPr>
    </w:p>
    <w:bookmarkStart w:id="37" w:name="page38"/>
    <w:bookmarkEnd w:id="37"/>
    <w:p>
      <w:pPr>
        <w:ind w:right="20"/>
        <w:spacing w:after="0" w:line="257" w:lineRule="auto"/>
        <w:rPr>
          <w:sz w:val="20"/>
          <w:szCs w:val="20"/>
          <w:color w:val="auto"/>
        </w:rPr>
      </w:pPr>
      <w:r>
        <w:rPr>
          <w:rFonts w:ascii="Arial" w:cs="Arial" w:eastAsia="Arial" w:hAnsi="Arial"/>
          <w:sz w:val="18"/>
          <w:szCs w:val="18"/>
          <w:color w:val="auto"/>
        </w:rPr>
        <w:t>The CMG consumer takeaway and market share information reflect measured channels of distribution accounting for approximately 90% of our U.S. confectionery retail business. These channels of distribution primarily include food, drug, mass merchandisers, and convenience store channels, plus Wal-Mart Stores, Inc., partial dollar, club and military channels. These metrics are based on measured market scanned purchases as reported by Information Resources, Incorporated ("IRI"), the Company's market insights and analytics provider, and provide a means to assess our retail takeaway and market position relative to the overall category.</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Cost of Sales and Gross Margin</w:t>
      </w:r>
    </w:p>
    <w:p>
      <w:pPr>
        <w:spacing w:after="0" w:line="94"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Cost of sales increased 6.8% in the second quarter of 2018 compared to the same period of 2017. The increase was driven by higher sales volume, as well as higher freight and logistics costs and additional plant costs. This was partially offset by an incremental $32.4 million favorable impact from marking-to-market our commodity derivative instruments intended to economically hedge future years' commodity purchases and supply chain productivity.</w:t>
      </w:r>
    </w:p>
    <w:p>
      <w:pPr>
        <w:spacing w:after="0" w:line="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Gross margin decreased by 80 basis points in the second quarter of 2018 compared to the same period of 2017. This was primarily due to higher freight and logistics costs, unfavorable product mix, additional plant costs related to new production lines, and incremental trade promotional expense and packaging costs. However, the favorable year-over-year mark-to-market impact from commodity derivative instruments and supply chain productivity partially offset the decrease in gross margin.</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Selling, Marketing and Administrative</w:t>
      </w:r>
    </w:p>
    <w:p>
      <w:pPr>
        <w:spacing w:after="0" w:line="9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Selling, marketing and administrative (“SM&amp;A”) expenses increased $6.2 million or 1.4% in the second quarter of 2018. Total advertising and related consumer marketing expenses declined 7.2% due mainly to spend optimization and shifts relating to our emerging brands; however, advertising and related consumer marketing on our core U.S. confection brands increased. Selling, marketing and administrative expenses, excluding advertising and related consumer marketing, increased approximately 6.4% in the second quarter due to incremental expenses from the Amplify acquisition and higher expenses related to the multi-year implementation of our enterprise resource planning system, which more than offset reductions in our base spending from the Margin for Growth Program.</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Long-Lived Asset Impairment Charges</w:t>
      </w:r>
    </w:p>
    <w:p>
      <w:pPr>
        <w:spacing w:after="0" w:line="17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the second quarter of 2018, we recorded long-lived asset impairment charges of $27.2 million associated with the Shanghai Golden Monkey and Tyrrells disposal groups. These charges represent the excess of the disposal groups' carrying values, including the related currency translation adjustment amounts to be realized upon completion of the sales, over the estimated fair values less costs to sell for the respective businesses. There were no long-lived asset impairment charges in the second quarter of 2017.</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Business Realignment Activities</w:t>
      </w:r>
    </w:p>
    <w:p>
      <w:pPr>
        <w:spacing w:after="0" w:line="175"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 the second quarter of 2018 and 2017, we recorded business realignment costs of $1.0 million and $2.0 million, respectively. The costs related primarily to the Margin for Growth Program, which is discussed in more detail in Note 8 to the Unaudited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Profit and Operating Profit Margin</w:t>
      </w:r>
    </w:p>
    <w:p>
      <w:pPr>
        <w:spacing w:after="0" w:line="9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Operating profit decreased 1.5% in the second quarter of 2018 compared to the same period of 2017 primarily due to higher SM&amp;A and long-lived impairment charges, partly offset by higher gross profit and lower business realignment costs, as discussed previously. Operating profit margin decreased to 18.0% in 2018 from 19.3% in 2017 driven by these same factors.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9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Net interest expense was $10.8 million higher in the second quarter of 2018 compared to the same period of 2017. The increase was due to higher levels of commercial paper to fund the Amplify acquisition, as well as incremental interest on $1.2 billion of notes issued in May 2018.</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746"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Other (Income) Expense, Net</w:t>
      </w:r>
    </w:p>
    <w:p>
      <w:pPr>
        <w:spacing w:after="0" w:line="9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Other (income) expense, net totaled an expense of $20.8 million in the second quarter of 2018 compared to an expense of $15.2 million in the second quarter of 2017. The increase was primarily due to an incremental $9.1 million write-down on equity investments qualifying for federal historic and energy tax credits, partially offset by minimal income from non-service cost components of net periodic benefit cost relating to pension and other post-retirement benefit plans during 2018, compared to expense of $5.2 million during the 2017 period.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and Effective Tax Rate</w:t>
      </w:r>
    </w:p>
    <w:p>
      <w:pPr>
        <w:spacing w:after="0" w:line="94"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Our effective income tax rate was 14.1% for the second quarter of 2018 compared with 27.9% for the second quarter of 2017, with the lower 2018 rate reflecting the impact of the U.S. tax reform. Relative to the statutory rate, the 2018 effective tax rate was impacted by investment tax credits and favorable rate differential relating to foreign operations, partially offset by state and local taxes. The 2017 effective rate, relative to the previous U.S. statutory rate of 35%, was impacted by investment tax credits, favorable foreign rate differential relating to foreign operations, and the benefit of ASU 2016-09, which were partially offset by non-benefited costs resulting from the Margin for Growth Program.</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The Hershey Company and Earnings Per Share-diluted</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Net income increased $23.4 million, or 11.5%, while EPS-diluted increased $0.13, or 13.7%, in the second quarter of 2018 compared to the same period of 2017. The increase in both 2018 net income and EPS-diluted were driven primarily by higher gross profit and lower income taxes, which were partly offset by higher SM&amp;A, long-lived impairment charges and higher interest expense, as noted above. Our 2018 EPS-diluted also benefited from lower weighted-average shares outstanding as a result of share repurchases, including a prior year repurchase from the Milton Hershey School Trust, as well as current year repurchases pursuant to our Board-approved repurchase programs.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 First Six Months 2018 vs. First Six Months 2017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Net sales increased 5.1% in the first six months of 2018 compared to the same period of 2017, reflecting a benefit from the recent Amplify acquisition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4.6%, a volume increase of 1.8%, and a favorable impact from foreign currency exchange rates of 0.2%, partially offset by unfavorable price realization of</w:t>
      </w:r>
    </w:p>
    <w:p>
      <w:pPr>
        <w:spacing w:after="0" w:line="3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1.5%. Excluding foreign currency, our net sales increased 4.9%. Consolidated volumes increased as a result of higher sales volume in the United States, specifically from innovation and core brand growth in 2018, as well as solid marketplace growth in Mexico, Brazil and India. The benefits from Amplify and volume increases were partially offset by unfavorable net price realization, which was attributed to incremental trade promotional expense in the North America segment in support of 2018 programming.</w:t>
      </w:r>
    </w:p>
    <w:p>
      <w:pPr>
        <w:spacing w:after="0" w:line="21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Cost of Sales and Gross Margin</w:t>
      </w:r>
    </w:p>
    <w:p>
      <w:pPr>
        <w:spacing w:after="0" w:line="94"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Cost of sales increased 4.7% in the first six months of 2018 compared to the same period of 2017. The increase was driven by higher sales volume, as well as higher freight and logistics costs and additional plant costs. This was offset by an incremental $111.5 million favorable impact from marking-to-market our commodity derivative instruments intended to economically hedge future years' commodity purchases and supply chain productivity.</w:t>
      </w:r>
    </w:p>
    <w:p>
      <w:pPr>
        <w:spacing w:after="0" w:line="1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Gross margin increased by 20 basis points in the first six months of 2018 compared to the same period of 2017. This was primarily due to the favorable year-over-year mark-to-market impact from commodity derivative instruments and supply chain productivity. However, higher freight and logistics costs, unfavorable product mix, additional plant costs related to new production lines, and incremental trade promotional expense partially offset the increase in gross margin.</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742" w:right="239" w:bottom="1440" w:gutter="0" w:footer="0" w:header="0"/>
        </w:sectPr>
      </w:pPr>
    </w:p>
    <w:bookmarkStart w:id="39" w:name="page40"/>
    <w:bookmarkEnd w:id="39"/>
    <w:p>
      <w:pPr>
        <w:ind w:left="40"/>
        <w:spacing w:after="0"/>
        <w:rPr>
          <w:sz w:val="20"/>
          <w:szCs w:val="20"/>
          <w:color w:val="auto"/>
        </w:rPr>
      </w:pPr>
      <w:r>
        <w:rPr>
          <w:rFonts w:ascii="Arial" w:cs="Arial" w:eastAsia="Arial" w:hAnsi="Arial"/>
          <w:sz w:val="18"/>
          <w:szCs w:val="18"/>
          <w:b w:val="1"/>
          <w:bCs w:val="1"/>
          <w:color w:val="auto"/>
        </w:rPr>
        <w:t>Selling, Marketing and Administrative</w:t>
      </w:r>
    </w:p>
    <w:p>
      <w:pPr>
        <w:spacing w:after="0" w:line="9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Selling, marketing and administrative (“SM&amp;A”) expenses increased $32.1 million or 3.6% in the first six months of 2018. Total advertising and related consumer marketing expenses declined 6.2% due mainly to spend optimization and shifts relating to our emerging brands; however, advertising and related consumer marketing on our core U.S. confection brands increased. Selling, marketing and administrative expenses, excluding advertising and related consumer marketing, increased approximately 9.5% in 2018 due to incremental expenses from the Amplify acquisition and higher expenses related to the multi-year implementation of our enterprise resource planning system, which more than offset reductions in our base spending from the Margin for Growth Program.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 Impairment Charges</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2018, we recorded long-lived asset impairment charges of $27.2 million associated with the Shanghai Golden Monkey and Tyrrells disposal groups. These charges represent the excess of the disposal groups' carrying values, including the related currency translation adjustment amounts to be realized upon completion of the sales, over the estimated fair values less costs to sell for the respective businesses. In 2017, we recorded long-lived asset impairment charges totaling $106.0 million to write-down distributor relationship and trademark intangible assets that had been recognized in connection with the 2014 SGM acquisition and wrote-down property, plant and equipment by $102.7 million.</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Business Realignment Activities</w:t>
      </w:r>
    </w:p>
    <w:p>
      <w:pPr>
        <w:spacing w:after="0" w:line="175"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In the first six months of 2018 and 2017, we recorded business realignment costs of $9.2 million and $46.0 million, respectively. The costs related primarily to the Margin for Growth Program, which is discussed in more detail in Note 8 to the Unaudited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Profit and Operating Profit Margin</w:t>
      </w:r>
    </w:p>
    <w:p>
      <w:pPr>
        <w:spacing w:after="0" w:line="94"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Operating profit increased 53.8% in the first six months of 2018 compared to the same period of 2017 primarily due to higher gross profit and lower impairment charges and business realignment costs in the 2018 period, partly offset by higher SM&amp;A, as discussed previously. Operating profit margin increased to 21.4% in 2018 from 14.6% in 2017 driven by these same factors.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9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Net interest expense was $16.4 million higher in the first six months of 2018 compared to the same period of 2017. The increase was due to higher levels of commercial paper to fund Amplify acquisition, as well as incremental interest on $1.2 billion of notes issued in May 2018.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94"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Other (income) expense, net totaled an expense of $22.7 million in the first six months of 2018 compared to an expense of $20.4 million in the first six months of 2017. The increase in the net expense was primarily due to an incremental $9.5 million write-down on equity investments qualifying for federal historic and energy tax credits, as well as other non-operating losses during 2018 compared to minimal non-operating income in the 2017 period. These expenses were partially offset by a minimal gain on non-service cost components of net periodic benefit cost relating to pension and other post-retirement benefit plans during 2018, compared to a loss of $10.5 million during the 2017 period.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and Effective Tax Rate</w:t>
      </w:r>
    </w:p>
    <w:p>
      <w:pPr>
        <w:spacing w:after="0" w:line="94"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Our effective income tax rate was 19.1% for the first six months of 2018 compared with 33.0% for the same period of 2017, with the lower 2018 rate reflecting the impact of the U.S. tax reform. Relative to the statutory rate, the 2018 effective tax rate was impacted by investment tax credits and favorable rate differential relating to foreign operations, partially offset by state and local taxes. The 2017 effective rate, relative to the previous U.S. statutory rate of 35%, was impacted by investment tax credits, favorable foreign rate differential relating to foreign operations, and the benefit of ASU 2016-09, which were partially offset by non-benefited costs resulting from the Margin for Growth Program.</w:t>
      </w: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40"/>
          </w:cols>
          <w:pgMar w:left="240" w:top="823" w:right="31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Net Income attributable to The Hershey Company and Earnings Per Share-diluted</w:t>
      </w:r>
    </w:p>
    <w:p>
      <w:pPr>
        <w:spacing w:after="0" w:line="94"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Net income increased $248.5 million, or 75.6%, while EPS-diluted increased $1.20, or 78.4%, in the first six months of 2018 compared to the same period of 2017. The increase in both net income and EPS-diluted were driven primarily by 2018 higher gross profit, lower impairment charges and business realignment costs and lower income taxes, which were partly offset by higher SM&amp;A and higher interest expense, as noted above. Our 2018 EPS-diluted also benefited from lower weighted-average shares outstanding as a result of share repurchases, including a prior year repurchase from the Milton Hershey School Trust, as well as current year repurchases pursuant to our Board-approved repurchase programs.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7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summary that follows provides a discussion of the results of operations of our two reportable segments: North America and International and Other. The segments reflect our operations on a geographic basis. For segment reporting purposes, we use “segment income” to evaluate segment performance and allocate resources. Segment income excludes unallocated general corporate administrative expenses, unallocated mark-to-market gains and losses on commodity derivatives, business realignment and impairment charges, acquisition-related costs and other unusual gains or losses that are not part of our measurement of segment performance. These items of our operating income are largely managed centrally at the corporate level and are excluded from the measure of segment income reviewed by the CODM and used for resource allocation and internal management reporting and performance evaluation. Segment income and segment income margin, which are presented in the segment discussion that follows, are non-GAAP measures and do not purport to be alternatives to operating income as a measure of operating performance. We believe that these measures are useful to investors and other users of our financial information in evaluating ongoing operating profitability as well as in evaluating operating performance in relation to our competitors, as they exclude the activities that are not integral to our ongoing operations. For further information, see the Non-GAAP Information section of this MD&amp;A.</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742"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Our segment results, including a reconciliation to our consolidated results, were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60" w:type="dxa"/>
            <w:vAlign w:val="bottom"/>
            <w:gridSpan w:val="5"/>
          </w:tcPr>
          <w:p>
            <w:pPr>
              <w:ind w:left="68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8"/>
                <w:szCs w:val="18"/>
                <w:color w:val="auto"/>
              </w:rPr>
            </w:pPr>
          </w:p>
        </w:tc>
        <w:tc>
          <w:tcPr>
            <w:tcW w:w="3040" w:type="dxa"/>
            <w:vAlign w:val="bottom"/>
            <w:gridSpan w:val="4"/>
          </w:tcPr>
          <w:p>
            <w:pPr>
              <w:jc w:val="right"/>
              <w:ind w:right="911"/>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4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1"/>
        </w:trPr>
        <w:tc>
          <w:tcPr>
            <w:tcW w:w="4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gridSpan w:val="2"/>
          </w:tcPr>
          <w:p>
            <w:pPr>
              <w:ind w:left="140"/>
              <w:spacing w:after="0"/>
              <w:rPr>
                <w:sz w:val="20"/>
                <w:szCs w:val="20"/>
                <w:color w:val="auto"/>
              </w:rPr>
            </w:pPr>
            <w:r>
              <w:rPr>
                <w:rFonts w:ascii="Arial" w:cs="Arial" w:eastAsia="Arial" w:hAnsi="Arial"/>
                <w:sz w:val="16"/>
                <w:szCs w:val="16"/>
                <w:b w:val="1"/>
                <w:bCs w:val="1"/>
                <w:color w:val="auto"/>
              </w:rPr>
              <w:t>July 1, 2018</w:t>
            </w:r>
          </w:p>
        </w:tc>
        <w:tc>
          <w:tcPr>
            <w:tcW w:w="240" w:type="dxa"/>
            <w:vAlign w:val="bottom"/>
          </w:tcPr>
          <w:p>
            <w:pPr>
              <w:spacing w:after="0"/>
              <w:rPr>
                <w:sz w:val="20"/>
                <w:szCs w:val="20"/>
                <w:color w:val="auto"/>
              </w:rPr>
            </w:pPr>
          </w:p>
        </w:tc>
        <w:tc>
          <w:tcPr>
            <w:tcW w:w="1560" w:type="dxa"/>
            <w:vAlign w:val="bottom"/>
            <w:gridSpan w:val="2"/>
          </w:tcPr>
          <w:p>
            <w:pPr>
              <w:ind w:left="140"/>
              <w:spacing w:after="0"/>
              <w:rPr>
                <w:sz w:val="20"/>
                <w:szCs w:val="20"/>
                <w:color w:val="auto"/>
              </w:rPr>
            </w:pPr>
            <w:r>
              <w:rPr>
                <w:rFonts w:ascii="Arial" w:cs="Arial" w:eastAsia="Arial" w:hAnsi="Arial"/>
                <w:sz w:val="16"/>
                <w:szCs w:val="16"/>
                <w:b w:val="1"/>
                <w:bCs w:val="1"/>
                <w:color w:val="auto"/>
              </w:rPr>
              <w:t>July 2, 2017</w:t>
            </w:r>
          </w:p>
        </w:tc>
        <w:tc>
          <w:tcPr>
            <w:tcW w:w="260" w:type="dxa"/>
            <w:vAlign w:val="bottom"/>
          </w:tcPr>
          <w:p>
            <w:pPr>
              <w:spacing w:after="0"/>
              <w:rPr>
                <w:sz w:val="20"/>
                <w:szCs w:val="20"/>
                <w:color w:val="auto"/>
              </w:rPr>
            </w:pPr>
          </w:p>
        </w:tc>
        <w:tc>
          <w:tcPr>
            <w:tcW w:w="1440" w:type="dxa"/>
            <w:vAlign w:val="bottom"/>
            <w:gridSpan w:val="2"/>
          </w:tcPr>
          <w:p>
            <w:pPr>
              <w:ind w:left="120"/>
              <w:spacing w:after="0"/>
              <w:rPr>
                <w:sz w:val="20"/>
                <w:szCs w:val="20"/>
                <w:color w:val="auto"/>
              </w:rPr>
            </w:pPr>
            <w:r>
              <w:rPr>
                <w:rFonts w:ascii="Arial" w:cs="Arial" w:eastAsia="Arial" w:hAnsi="Arial"/>
                <w:sz w:val="16"/>
                <w:szCs w:val="16"/>
                <w:b w:val="1"/>
                <w:bCs w:val="1"/>
                <w:color w:val="auto"/>
              </w:rPr>
              <w:t>July 1, 2018</w:t>
            </w:r>
          </w:p>
        </w:tc>
        <w:tc>
          <w:tcPr>
            <w:tcW w:w="260" w:type="dxa"/>
            <w:vAlign w:val="bottom"/>
          </w:tcPr>
          <w:p>
            <w:pPr>
              <w:spacing w:after="0"/>
              <w:rPr>
                <w:sz w:val="20"/>
                <w:szCs w:val="20"/>
                <w:color w:val="auto"/>
              </w:rPr>
            </w:pPr>
          </w:p>
        </w:tc>
        <w:tc>
          <w:tcPr>
            <w:tcW w:w="1340" w:type="dxa"/>
            <w:vAlign w:val="bottom"/>
          </w:tcPr>
          <w:p>
            <w:pPr>
              <w:jc w:val="right"/>
              <w:ind w:right="291"/>
              <w:spacing w:after="0"/>
              <w:rPr>
                <w:sz w:val="20"/>
                <w:szCs w:val="20"/>
                <w:color w:val="auto"/>
              </w:rPr>
            </w:pPr>
            <w:r>
              <w:rPr>
                <w:rFonts w:ascii="Arial" w:cs="Arial" w:eastAsia="Arial" w:hAnsi="Arial"/>
                <w:sz w:val="16"/>
                <w:szCs w:val="16"/>
                <w:b w:val="1"/>
                <w:bCs w:val="1"/>
                <w:color w:val="auto"/>
              </w:rPr>
              <w:t>July 2, 2017</w:t>
            </w:r>
          </w:p>
        </w:tc>
      </w:tr>
      <w:tr>
        <w:trPr>
          <w:trHeight w:val="33"/>
        </w:trPr>
        <w:tc>
          <w:tcPr>
            <w:tcW w:w="4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600" w:type="dxa"/>
            <w:vAlign w:val="bottom"/>
          </w:tcPr>
          <w:p>
            <w:pPr>
              <w:ind w:left="280"/>
              <w:spacing w:after="0"/>
              <w:rPr>
                <w:sz w:val="20"/>
                <w:szCs w:val="20"/>
                <w:color w:val="auto"/>
              </w:rPr>
            </w:pPr>
            <w:r>
              <w:rPr>
                <w:rFonts w:ascii="Arial" w:cs="Arial" w:eastAsia="Arial" w:hAnsi="Arial"/>
                <w:sz w:val="18"/>
                <w:szCs w:val="18"/>
                <w:color w:val="auto"/>
              </w:rPr>
              <w:t>North America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1,559,952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1,477,014</w:t>
            </w:r>
          </w:p>
        </w:tc>
        <w:tc>
          <w:tcPr>
            <w:tcW w:w="2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3,311,640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3,154,160</w:t>
            </w:r>
          </w:p>
        </w:tc>
      </w:tr>
      <w:tr>
        <w:trPr>
          <w:trHeight w:val="27"/>
        </w:trPr>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International and Other</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191,663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185,977</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411,934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388,509</w:t>
            </w:r>
          </w:p>
        </w:tc>
      </w:tr>
      <w:tr>
        <w:trPr>
          <w:trHeight w:val="297"/>
        </w:trPr>
        <w:tc>
          <w:tcPr>
            <w:tcW w:w="46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1,751,615</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1,662,991</w:t>
            </w:r>
          </w:p>
        </w:tc>
        <w:tc>
          <w:tcPr>
            <w:tcW w:w="2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3,723,574</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3,542,669</w:t>
            </w:r>
          </w:p>
        </w:tc>
      </w:tr>
      <w:tr>
        <w:trPr>
          <w:trHeight w:val="311"/>
        </w:trPr>
        <w:tc>
          <w:tcPr>
            <w:tcW w:w="4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Segment Income:</w:t>
            </w: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North America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443,859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460,048</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978,285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1,012,807</w:t>
            </w:r>
          </w:p>
        </w:tc>
      </w:tr>
      <w:tr>
        <w:trPr>
          <w:trHeight w:val="243"/>
        </w:trPr>
        <w:tc>
          <w:tcPr>
            <w:tcW w:w="4600" w:type="dxa"/>
            <w:vAlign w:val="bottom"/>
          </w:tcPr>
          <w:p>
            <w:pPr>
              <w:ind w:left="280"/>
              <w:spacing w:after="0"/>
              <w:rPr>
                <w:sz w:val="20"/>
                <w:szCs w:val="20"/>
                <w:color w:val="auto"/>
              </w:rPr>
            </w:pPr>
            <w:r>
              <w:rPr>
                <w:rFonts w:ascii="Arial" w:cs="Arial" w:eastAsia="Arial" w:hAnsi="Arial"/>
                <w:sz w:val="18"/>
                <w:szCs w:val="18"/>
                <w:color w:val="auto"/>
              </w:rPr>
              <w:t>International and Other</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16,627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8,368</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34,307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10,091</w:t>
            </w:r>
          </w:p>
        </w:tc>
      </w:tr>
      <w:tr>
        <w:trPr>
          <w:trHeight w:val="27"/>
        </w:trPr>
        <w:tc>
          <w:tcPr>
            <w:tcW w:w="4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segment income (1)</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460,486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468,416</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1,012,592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1,022,898</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Unallocated corporate expense (2)</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121,006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121,903</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244,973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240,236</w:t>
            </w:r>
          </w:p>
        </w:tc>
      </w:tr>
      <w:tr>
        <w:trPr>
          <w:trHeight w:val="27"/>
        </w:trPr>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46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Unallocated mark-to-market (gains) losses on commodity</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(3)</w:t>
            </w: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(20,831)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11,556</w:t>
            </w: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(117,081)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(5,532)</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Long-lived asset impairment charges</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27,168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27,168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208,712</w:t>
            </w:r>
          </w:p>
        </w:tc>
      </w:tr>
      <w:tr>
        <w:trPr>
          <w:trHeight w:val="27"/>
        </w:trPr>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associated with business realignment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14,454</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61,442</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Acquisition-related costs</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4,781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32,707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311</w:t>
            </w:r>
          </w:p>
        </w:tc>
      </w:tr>
      <w:tr>
        <w:trPr>
          <w:trHeight w:val="27"/>
        </w:trPr>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licensing rights</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60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315,724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320,492</w:t>
            </w:r>
          </w:p>
        </w:tc>
        <w:tc>
          <w:tcPr>
            <w:tcW w:w="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796,236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517,729</w:t>
            </w:r>
          </w:p>
        </w:tc>
      </w:tr>
      <w:tr>
        <w:trPr>
          <w:trHeight w:val="27"/>
        </w:trPr>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24,126</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64,291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47,867</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20,766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15,249</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22,708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20,384</w:t>
            </w:r>
          </w:p>
        </w:tc>
      </w:tr>
      <w:tr>
        <w:trPr>
          <w:trHeight w:val="27"/>
        </w:trPr>
        <w:tc>
          <w:tcPr>
            <w:tcW w:w="4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260,006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281,117</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709,237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449,478</w:t>
            </w:r>
          </w:p>
        </w:tc>
      </w:tr>
      <w:tr>
        <w:trPr>
          <w:trHeight w:val="20"/>
        </w:trPr>
        <w:tc>
          <w:tcPr>
            <w:tcW w:w="4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left="340" w:right="220" w:hanging="332"/>
        <w:spacing w:after="0" w:line="275"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Segment income for the three and six months ended July 2, 2017 have been revised to conform to the current definition of segment income, which has been updated for the exclusion of certain pension-related costs.</w:t>
      </w:r>
    </w:p>
    <w:p>
      <w:pPr>
        <w:spacing w:after="0" w:line="37" w:lineRule="exact"/>
        <w:rPr>
          <w:rFonts w:ascii="Arial" w:cs="Arial" w:eastAsia="Arial" w:hAnsi="Arial"/>
          <w:sz w:val="16"/>
          <w:szCs w:val="16"/>
          <w:color w:val="auto"/>
        </w:rPr>
      </w:pPr>
    </w:p>
    <w:p>
      <w:pPr>
        <w:ind w:left="340" w:right="60" w:hanging="332"/>
        <w:spacing w:after="0" w:line="261"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and (d) other gains or losses that are not integral to segment performance.</w:t>
      </w:r>
    </w:p>
    <w:p>
      <w:pPr>
        <w:spacing w:after="0" w:line="47" w:lineRule="exact"/>
        <w:rPr>
          <w:rFonts w:ascii="Arial" w:cs="Arial" w:eastAsia="Arial" w:hAnsi="Arial"/>
          <w:sz w:val="16"/>
          <w:szCs w:val="16"/>
          <w:color w:val="auto"/>
        </w:rPr>
      </w:pPr>
    </w:p>
    <w:p>
      <w:pPr>
        <w:ind w:left="340" w:right="280" w:hanging="332"/>
        <w:spacing w:after="0" w:line="275"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Net (gains) losses on mark-to-market valuation of commodity derivative positions recognized in unallocated derivative (gains) losses. See Note 12 to the Consolidated Financial Statements.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746"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North America</w:t>
      </w:r>
    </w:p>
    <w:p>
      <w:pPr>
        <w:spacing w:after="0" w:line="94"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 North America segment is responsible for our chocolate and non-chocolate confectionery market position, as well as our grocery and growing snacks market positions, in the United States and Canada. This includes developing and growing our business in chocolate and non-chocolate confectionery, pantry, food service and other snacking product lines. North America accounted for 89.1% and 88.8% of our net sales for the three months ended July 1, 2018 and July 2, 2017, respectively. North America results for the three and six months ended July 1, 2018 and July 2, 2017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3"/>
          </w:tcPr>
          <w:p>
            <w:pPr>
              <w:jc w:val="right"/>
              <w:ind w:right="69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620" w:type="dxa"/>
            <w:vAlign w:val="bottom"/>
            <w:gridSpan w:val="2"/>
          </w:tcPr>
          <w:p>
            <w:pPr>
              <w:ind w:left="460"/>
              <w:spacing w:after="0"/>
              <w:rPr>
                <w:sz w:val="20"/>
                <w:szCs w:val="20"/>
                <w:color w:val="auto"/>
              </w:rPr>
            </w:pPr>
            <w:r>
              <w:rPr>
                <w:rFonts w:ascii="Arial" w:cs="Arial" w:eastAsia="Arial" w:hAnsi="Arial"/>
                <w:sz w:val="14"/>
                <w:szCs w:val="14"/>
                <w:b w:val="1"/>
                <w:bCs w:val="1"/>
                <w:color w:val="auto"/>
              </w:rPr>
              <w:t>Percent</w:t>
            </w:r>
          </w:p>
        </w:tc>
        <w:tc>
          <w:tcPr>
            <w:tcW w:w="2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3"/>
          </w:tcPr>
          <w:p>
            <w:pPr>
              <w:jc w:val="right"/>
              <w:ind w:right="794"/>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6"/>
                <w:szCs w:val="16"/>
                <w:color w:val="auto"/>
              </w:rPr>
            </w:pPr>
          </w:p>
        </w:tc>
        <w:tc>
          <w:tcPr>
            <w:tcW w:w="1420" w:type="dxa"/>
            <w:vAlign w:val="bottom"/>
          </w:tcPr>
          <w:p>
            <w:pPr>
              <w:jc w:val="right"/>
              <w:ind w:right="399"/>
              <w:spacing w:after="0"/>
              <w:rPr>
                <w:sz w:val="20"/>
                <w:szCs w:val="20"/>
                <w:color w:val="auto"/>
              </w:rPr>
            </w:pPr>
            <w:r>
              <w:rPr>
                <w:rFonts w:ascii="Arial" w:cs="Arial" w:eastAsia="Arial" w:hAnsi="Arial"/>
                <w:sz w:val="14"/>
                <w:szCs w:val="14"/>
                <w:b w:val="1"/>
                <w:bCs w:val="1"/>
                <w:color w:val="auto"/>
              </w:rPr>
              <w:t>Percent</w:t>
            </w:r>
          </w:p>
        </w:tc>
      </w:tr>
      <w:tr>
        <w:trPr>
          <w:trHeight w:val="264"/>
        </w:trPr>
        <w:tc>
          <w:tcPr>
            <w:tcW w:w="2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jc w:val="right"/>
              <w:ind w:right="297"/>
              <w:spacing w:after="0"/>
              <w:rPr>
                <w:sz w:val="20"/>
                <w:szCs w:val="20"/>
                <w:color w:val="auto"/>
              </w:rPr>
            </w:pPr>
            <w:r>
              <w:rPr>
                <w:rFonts w:ascii="Arial" w:cs="Arial" w:eastAsia="Arial" w:hAnsi="Arial"/>
                <w:sz w:val="14"/>
                <w:szCs w:val="14"/>
                <w:b w:val="1"/>
                <w:bCs w:val="1"/>
                <w:color w:val="auto"/>
              </w:rPr>
              <w:t>July 1, 2018</w:t>
            </w:r>
          </w:p>
        </w:tc>
        <w:tc>
          <w:tcPr>
            <w:tcW w:w="300" w:type="dxa"/>
            <w:vAlign w:val="bottom"/>
          </w:tcPr>
          <w:p>
            <w:pPr>
              <w:spacing w:after="0"/>
              <w:rPr>
                <w:sz w:val="22"/>
                <w:szCs w:val="22"/>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July 2, 2017</w:t>
            </w:r>
          </w:p>
        </w:tc>
        <w:tc>
          <w:tcPr>
            <w:tcW w:w="1620" w:type="dxa"/>
            <w:vAlign w:val="bottom"/>
            <w:gridSpan w:val="2"/>
          </w:tcPr>
          <w:p>
            <w:pPr>
              <w:ind w:left="460"/>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22"/>
                <w:szCs w:val="22"/>
                <w:color w:val="auto"/>
              </w:rPr>
            </w:pPr>
          </w:p>
        </w:tc>
        <w:tc>
          <w:tcPr>
            <w:tcW w:w="1220" w:type="dxa"/>
            <w:vAlign w:val="bottom"/>
          </w:tcPr>
          <w:p>
            <w:pPr>
              <w:jc w:val="right"/>
              <w:ind w:right="297"/>
              <w:spacing w:after="0"/>
              <w:rPr>
                <w:sz w:val="20"/>
                <w:szCs w:val="20"/>
                <w:color w:val="auto"/>
              </w:rPr>
            </w:pPr>
            <w:r>
              <w:rPr>
                <w:rFonts w:ascii="Arial" w:cs="Arial" w:eastAsia="Arial" w:hAnsi="Arial"/>
                <w:sz w:val="14"/>
                <w:szCs w:val="14"/>
                <w:b w:val="1"/>
                <w:bCs w:val="1"/>
                <w:color w:val="auto"/>
              </w:rPr>
              <w:t>July 1, 2018</w:t>
            </w:r>
          </w:p>
        </w:tc>
        <w:tc>
          <w:tcPr>
            <w:tcW w:w="300" w:type="dxa"/>
            <w:vAlign w:val="bottom"/>
          </w:tcPr>
          <w:p>
            <w:pPr>
              <w:spacing w:after="0"/>
              <w:rPr>
                <w:sz w:val="22"/>
                <w:szCs w:val="22"/>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July 2, 2017</w:t>
            </w:r>
          </w:p>
        </w:tc>
        <w:tc>
          <w:tcPr>
            <w:tcW w:w="1420" w:type="dxa"/>
            <w:vAlign w:val="bottom"/>
          </w:tcPr>
          <w:p>
            <w:pPr>
              <w:jc w:val="right"/>
              <w:ind w:right="399"/>
              <w:spacing w:after="0"/>
              <w:rPr>
                <w:sz w:val="20"/>
                <w:szCs w:val="20"/>
                <w:color w:val="auto"/>
              </w:rPr>
            </w:pPr>
            <w:r>
              <w:rPr>
                <w:rFonts w:ascii="Arial" w:cs="Arial" w:eastAsia="Arial" w:hAnsi="Arial"/>
                <w:sz w:val="14"/>
                <w:szCs w:val="14"/>
                <w:b w:val="1"/>
                <w:bCs w:val="1"/>
                <w:color w:val="auto"/>
              </w:rPr>
              <w:t>Change</w:t>
            </w:r>
          </w:p>
        </w:tc>
      </w:tr>
      <w:tr>
        <w:trPr>
          <w:trHeight w:val="264"/>
        </w:trPr>
        <w:tc>
          <w:tcPr>
            <w:tcW w:w="2340" w:type="dxa"/>
            <w:vAlign w:val="bottom"/>
            <w:tcBorders>
              <w:top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 of dollars</w:t>
            </w:r>
          </w:p>
        </w:tc>
        <w:tc>
          <w:tcPr>
            <w:tcW w:w="22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r>
      <w:tr>
        <w:trPr>
          <w:trHeight w:val="256"/>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1,560.0</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1,477.0</w:t>
            </w: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8"/>
                <w:szCs w:val="18"/>
                <w:color w:val="auto"/>
              </w:rPr>
              <w:t>3,311.6</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3,154.2</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5.0 %</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Segment income</w:t>
            </w:r>
          </w:p>
        </w:tc>
        <w:tc>
          <w:tcPr>
            <w:tcW w:w="220" w:type="dxa"/>
            <w:vAlign w:val="bottom"/>
          </w:tcPr>
          <w:p>
            <w:pPr>
              <w:spacing w:after="0"/>
              <w:rPr>
                <w:sz w:val="21"/>
                <w:szCs w:val="21"/>
                <w:color w:val="auto"/>
              </w:rPr>
            </w:pPr>
          </w:p>
        </w:tc>
        <w:tc>
          <w:tcPr>
            <w:tcW w:w="1220" w:type="dxa"/>
            <w:vAlign w:val="bottom"/>
          </w:tcPr>
          <w:p>
            <w:pPr>
              <w:jc w:val="right"/>
              <w:ind w:right="157"/>
              <w:spacing w:after="0"/>
              <w:rPr>
                <w:sz w:val="20"/>
                <w:szCs w:val="20"/>
                <w:color w:val="auto"/>
              </w:rPr>
            </w:pPr>
            <w:r>
              <w:rPr>
                <w:rFonts w:ascii="Arial" w:cs="Arial" w:eastAsia="Arial" w:hAnsi="Arial"/>
                <w:sz w:val="18"/>
                <w:szCs w:val="18"/>
                <w:color w:val="auto"/>
              </w:rPr>
              <w:t>443.9</w:t>
            </w:r>
          </w:p>
        </w:tc>
        <w:tc>
          <w:tcPr>
            <w:tcW w:w="300" w:type="dxa"/>
            <w:vAlign w:val="bottom"/>
          </w:tcPr>
          <w:p>
            <w:pPr>
              <w:spacing w:after="0"/>
              <w:rPr>
                <w:sz w:val="21"/>
                <w:szCs w:val="21"/>
                <w:color w:val="auto"/>
              </w:rPr>
            </w:pP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460.0</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137"/>
              <w:spacing w:after="0"/>
              <w:rPr>
                <w:sz w:val="20"/>
                <w:szCs w:val="20"/>
                <w:color w:val="auto"/>
              </w:rPr>
            </w:pPr>
            <w:r>
              <w:rPr>
                <w:rFonts w:ascii="Arial" w:cs="Arial" w:eastAsia="Arial" w:hAnsi="Arial"/>
                <w:sz w:val="18"/>
                <w:szCs w:val="18"/>
                <w:color w:val="auto"/>
              </w:rPr>
              <w:t>978.3</w:t>
            </w:r>
          </w:p>
        </w:tc>
        <w:tc>
          <w:tcPr>
            <w:tcW w:w="300" w:type="dxa"/>
            <w:vAlign w:val="bottom"/>
          </w:tcPr>
          <w:p>
            <w:pPr>
              <w:spacing w:after="0"/>
              <w:rPr>
                <w:sz w:val="21"/>
                <w:szCs w:val="21"/>
                <w:color w:val="auto"/>
              </w:rPr>
            </w:pPr>
          </w:p>
        </w:tc>
        <w:tc>
          <w:tcPr>
            <w:tcW w:w="1180" w:type="dxa"/>
            <w:vAlign w:val="bottom"/>
          </w:tcPr>
          <w:p>
            <w:pPr>
              <w:jc w:val="right"/>
              <w:ind w:right="114"/>
              <w:spacing w:after="0"/>
              <w:rPr>
                <w:sz w:val="20"/>
                <w:szCs w:val="20"/>
                <w:color w:val="auto"/>
              </w:rPr>
            </w:pPr>
            <w:r>
              <w:rPr>
                <w:rFonts w:ascii="Arial" w:cs="Arial" w:eastAsia="Arial" w:hAnsi="Arial"/>
                <w:sz w:val="18"/>
                <w:szCs w:val="18"/>
                <w:color w:val="auto"/>
              </w:rPr>
              <w:t>1,012.8</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2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2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margin</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28.5%</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31.1%</w:t>
            </w: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29.5%</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32.1%</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r>
      <w:tr>
        <w:trPr>
          <w:trHeight w:val="27"/>
        </w:trPr>
        <w:tc>
          <w:tcPr>
            <w:tcW w:w="23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 Second Quarter 2018 vs. Second Quarter 2017</w:t>
      </w:r>
    </w:p>
    <w:p>
      <w:pPr>
        <w:spacing w:after="0" w:line="94" w:lineRule="exact"/>
        <w:rPr>
          <w:sz w:val="20"/>
          <w:szCs w:val="20"/>
          <w:color w:val="auto"/>
        </w:rPr>
      </w:pPr>
    </w:p>
    <w:p>
      <w:pPr>
        <w:jc w:val="both"/>
        <w:ind w:right="520"/>
        <w:spacing w:after="0" w:line="302" w:lineRule="auto"/>
        <w:rPr>
          <w:sz w:val="20"/>
          <w:szCs w:val="20"/>
          <w:color w:val="auto"/>
        </w:rPr>
      </w:pPr>
      <w:r>
        <w:rPr>
          <w:rFonts w:ascii="Arial" w:cs="Arial" w:eastAsia="Arial" w:hAnsi="Arial"/>
          <w:sz w:val="16"/>
          <w:szCs w:val="16"/>
          <w:color w:val="auto"/>
        </w:rPr>
        <w:t xml:space="preserve">Net sales of our North America segment increased $83.0 million or 5.6% in 2018 compared to 2017, which includes a 6.6% benefit from the Amplify acquisition. Volume increased by 1.0% due to growth in core chocolate brands, as well as innovation, primarily driven by </w:t>
      </w:r>
      <w:r>
        <w:rPr>
          <w:rFonts w:ascii="Arial" w:cs="Arial" w:eastAsia="Arial" w:hAnsi="Arial"/>
          <w:sz w:val="16"/>
          <w:szCs w:val="16"/>
          <w:i w:val="1"/>
          <w:iCs w:val="1"/>
          <w:color w:val="auto"/>
        </w:rPr>
        <w:t>Reese's Outrageous</w:t>
      </w:r>
      <w:r>
        <w:rPr>
          <w:rFonts w:ascii="Arial" w:cs="Arial" w:eastAsia="Arial" w:hAnsi="Arial"/>
          <w:sz w:val="16"/>
          <w:szCs w:val="16"/>
          <w:color w:val="auto"/>
        </w:rPr>
        <w:t xml:space="preserve"> bars and </w:t>
      </w:r>
      <w:r>
        <w:rPr>
          <w:rFonts w:ascii="Arial" w:cs="Arial" w:eastAsia="Arial" w:hAnsi="Arial"/>
          <w:sz w:val="16"/>
          <w:szCs w:val="16"/>
          <w:i w:val="1"/>
          <w:iCs w:val="1"/>
          <w:color w:val="auto"/>
        </w:rPr>
        <w:t>Hershey's Gold</w:t>
      </w:r>
      <w:r>
        <w:rPr>
          <w:rFonts w:ascii="Arial" w:cs="Arial" w:eastAsia="Arial" w:hAnsi="Arial"/>
          <w:sz w:val="16"/>
          <w:szCs w:val="16"/>
          <w:color w:val="auto"/>
        </w:rPr>
        <w:t>. Net price realization decreased by 2.2% due to incremental trade promotional expense in support of 2018 programming. Excluding the</w:t>
      </w:r>
      <w:r>
        <w:rPr>
          <w:rFonts w:ascii="Arial" w:cs="Arial" w:eastAsia="Arial" w:hAnsi="Arial"/>
          <w:sz w:val="16"/>
          <w:szCs w:val="16"/>
          <w:i w:val="1"/>
          <w:iCs w:val="1"/>
          <w:color w:val="auto"/>
        </w:rPr>
        <w:t xml:space="preserve"> </w:t>
      </w:r>
      <w:r>
        <w:rPr>
          <w:rFonts w:ascii="Arial" w:cs="Arial" w:eastAsia="Arial" w:hAnsi="Arial"/>
          <w:sz w:val="16"/>
          <w:szCs w:val="16"/>
          <w:color w:val="auto"/>
        </w:rPr>
        <w:t>favorable impact of foreign currency exchange rates of 0.2%, the net sales of our North America segment increased by approximately 5.4%.</w:t>
      </w:r>
    </w:p>
    <w:p>
      <w:pPr>
        <w:spacing w:after="0" w:line="7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Our North America segment income decreased $16.1 million or 3.5% in 2018 compared to 2017, primarily due to the higher trade promotional expense, higher logistics costs, unfavorable sales mix and additional plant costs, as well as incremental amortization expense from the Amplify acquisition. These higher expenses more than offset reductions in advertising and related consumer marketing expense, which declined by 6.1% versus the second quarter of 2017, with the reduction driven by spend optimization and shifts relating to our emerging brands, as advertising and related consumer marketing on our core U.S. brands increased during the quarter.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 First Six Months 2018 vs. First Six Months 2017</w:t>
      </w:r>
    </w:p>
    <w:p>
      <w:pPr>
        <w:spacing w:after="0" w:line="94"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color w:val="auto"/>
        </w:rPr>
        <w:t xml:space="preserve">Net sales of our North America segment increased $157.4 million or 5.0% in 2018 compared to 2017, which includes a 5.2% benefit from the Amplify acquisition. Volume increased by 1.4% due to growth in core chocolate brands, as well as innovation, primarily driven by </w:t>
      </w:r>
      <w:r>
        <w:rPr>
          <w:rFonts w:ascii="Arial" w:cs="Arial" w:eastAsia="Arial" w:hAnsi="Arial"/>
          <w:sz w:val="17"/>
          <w:szCs w:val="17"/>
          <w:i w:val="1"/>
          <w:iCs w:val="1"/>
          <w:color w:val="auto"/>
        </w:rPr>
        <w:t>Hershey's Gold</w:t>
      </w:r>
      <w:r>
        <w:rPr>
          <w:rFonts w:ascii="Arial" w:cs="Arial" w:eastAsia="Arial" w:hAnsi="Arial"/>
          <w:sz w:val="17"/>
          <w:szCs w:val="17"/>
          <w:color w:val="auto"/>
        </w:rPr>
        <w:t>. Net price realization decreased by 1.8% due to incremental trade promotional expense in support of 2018 programming. Excluding the favorable impact of foreign currency exchange rates of 0.2%, the net sales of our North America segment increased by approximately 4.8%.</w:t>
      </w:r>
    </w:p>
    <w:p>
      <w:pPr>
        <w:spacing w:after="0" w:line="9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North America segment income decreased $34.5 million or 3.4% in 2018 compared to 2017, primarily due to the higher trade promotional expense, higher logistics costs, unfavorable sales mix and additional plant costs, as well as incremental amortization expense from the Amplify acquisition. These higher expenses more than offset reductions in advertising and related consumer marketing expense, which declined by 5.9% versus the 2017 period, with the reduction driven by spend optimization and shifts relating to our emerging brands, as advertising and related consumer marketing on our core U.S. brands increased during the year.</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742"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International and Other</w:t>
      </w:r>
    </w:p>
    <w:p>
      <w:pPr>
        <w:spacing w:after="0" w:line="9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International and Other segment includes all other countries where we currently manufacture, import, market, sell or distribute chocolate and non-chocolate confectionery and other products. Currently, this includes our operations in Mexico, Brazil, India, Greater China and other regional markets, along with exports to these regions. While a less significant component, this segment also includes our global retail operations, including Hershey’s Chocolate World stores in Hershey, Pennsylvania, New York City, Las Vegas, Niagara Falls (Ontario), Dubai and Singapore, as well as operations associated with licensing the use of certain trademarks and products to third parties around the world. International and Other accounted for 10.9% and 11.2% of our net sales for the three months ended July 1, 2018 and July 2, 2017, respectively. International and Other results for the three and six months ended July 1, 2018 and July 2, 2017 were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3"/>
          </w:tcPr>
          <w:p>
            <w:pPr>
              <w:jc w:val="right"/>
              <w:ind w:right="69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580" w:type="dxa"/>
            <w:vAlign w:val="bottom"/>
            <w:gridSpan w:val="2"/>
          </w:tcPr>
          <w:p>
            <w:pPr>
              <w:ind w:left="440"/>
              <w:spacing w:after="0"/>
              <w:rPr>
                <w:sz w:val="20"/>
                <w:szCs w:val="20"/>
                <w:color w:val="auto"/>
              </w:rPr>
            </w:pPr>
            <w:r>
              <w:rPr>
                <w:rFonts w:ascii="Arial" w:cs="Arial" w:eastAsia="Arial" w:hAnsi="Arial"/>
                <w:sz w:val="14"/>
                <w:szCs w:val="14"/>
                <w:b w:val="1"/>
                <w:bCs w:val="1"/>
                <w:color w:val="auto"/>
              </w:rPr>
              <w:t>Percent</w:t>
            </w:r>
          </w:p>
        </w:tc>
        <w:tc>
          <w:tcPr>
            <w:tcW w:w="2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3"/>
          </w:tcPr>
          <w:p>
            <w:pPr>
              <w:jc w:val="right"/>
              <w:ind w:right="794"/>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6"/>
                <w:szCs w:val="16"/>
                <w:color w:val="auto"/>
              </w:rPr>
            </w:pPr>
          </w:p>
        </w:tc>
        <w:tc>
          <w:tcPr>
            <w:tcW w:w="1400" w:type="dxa"/>
            <w:vAlign w:val="bottom"/>
          </w:tcPr>
          <w:p>
            <w:pPr>
              <w:jc w:val="right"/>
              <w:ind w:right="379"/>
              <w:spacing w:after="0"/>
              <w:rPr>
                <w:sz w:val="20"/>
                <w:szCs w:val="20"/>
                <w:color w:val="auto"/>
              </w:rPr>
            </w:pPr>
            <w:r>
              <w:rPr>
                <w:rFonts w:ascii="Arial" w:cs="Arial" w:eastAsia="Arial" w:hAnsi="Arial"/>
                <w:sz w:val="14"/>
                <w:szCs w:val="14"/>
                <w:b w:val="1"/>
                <w:bCs w:val="1"/>
                <w:color w:val="auto"/>
              </w:rPr>
              <w:t>Percent</w:t>
            </w:r>
          </w:p>
        </w:tc>
      </w:tr>
      <w:tr>
        <w:trPr>
          <w:trHeight w:val="264"/>
        </w:trPr>
        <w:tc>
          <w:tcPr>
            <w:tcW w:w="2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297"/>
              <w:spacing w:after="0"/>
              <w:rPr>
                <w:sz w:val="20"/>
                <w:szCs w:val="20"/>
                <w:color w:val="auto"/>
              </w:rPr>
            </w:pPr>
            <w:r>
              <w:rPr>
                <w:rFonts w:ascii="Arial" w:cs="Arial" w:eastAsia="Arial" w:hAnsi="Arial"/>
                <w:sz w:val="14"/>
                <w:szCs w:val="14"/>
                <w:b w:val="1"/>
                <w:bCs w:val="1"/>
                <w:color w:val="auto"/>
              </w:rPr>
              <w:t>July 1, 2018</w:t>
            </w:r>
          </w:p>
        </w:tc>
        <w:tc>
          <w:tcPr>
            <w:tcW w:w="280" w:type="dxa"/>
            <w:vAlign w:val="bottom"/>
          </w:tcPr>
          <w:p>
            <w:pPr>
              <w:spacing w:after="0"/>
              <w:rPr>
                <w:sz w:val="22"/>
                <w:szCs w:val="22"/>
                <w:color w:val="auto"/>
              </w:rPr>
            </w:pPr>
          </w:p>
        </w:tc>
        <w:tc>
          <w:tcPr>
            <w:tcW w:w="13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July 2, 2017</w:t>
            </w:r>
          </w:p>
        </w:tc>
        <w:tc>
          <w:tcPr>
            <w:tcW w:w="1580" w:type="dxa"/>
            <w:vAlign w:val="bottom"/>
            <w:gridSpan w:val="2"/>
          </w:tcPr>
          <w:p>
            <w:pPr>
              <w:ind w:left="440"/>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22"/>
                <w:szCs w:val="22"/>
                <w:color w:val="auto"/>
              </w:rPr>
            </w:pPr>
          </w:p>
        </w:tc>
        <w:tc>
          <w:tcPr>
            <w:tcW w:w="1220" w:type="dxa"/>
            <w:vAlign w:val="bottom"/>
          </w:tcPr>
          <w:p>
            <w:pPr>
              <w:jc w:val="right"/>
              <w:ind w:right="297"/>
              <w:spacing w:after="0"/>
              <w:rPr>
                <w:sz w:val="20"/>
                <w:szCs w:val="20"/>
                <w:color w:val="auto"/>
              </w:rPr>
            </w:pPr>
            <w:r>
              <w:rPr>
                <w:rFonts w:ascii="Arial" w:cs="Arial" w:eastAsia="Arial" w:hAnsi="Arial"/>
                <w:sz w:val="14"/>
                <w:szCs w:val="14"/>
                <w:b w:val="1"/>
                <w:bCs w:val="1"/>
                <w:color w:val="auto"/>
              </w:rPr>
              <w:t>July 1, 2018</w:t>
            </w:r>
          </w:p>
        </w:tc>
        <w:tc>
          <w:tcPr>
            <w:tcW w:w="280" w:type="dxa"/>
            <w:vAlign w:val="bottom"/>
          </w:tcPr>
          <w:p>
            <w:pPr>
              <w:spacing w:after="0"/>
              <w:rPr>
                <w:sz w:val="22"/>
                <w:szCs w:val="22"/>
                <w:color w:val="auto"/>
              </w:rPr>
            </w:pPr>
          </w:p>
        </w:tc>
        <w:tc>
          <w:tcPr>
            <w:tcW w:w="1280" w:type="dxa"/>
            <w:vAlign w:val="bottom"/>
            <w:gridSpan w:val="2"/>
          </w:tcPr>
          <w:p>
            <w:pPr>
              <w:ind w:left="120"/>
              <w:spacing w:after="0"/>
              <w:rPr>
                <w:sz w:val="20"/>
                <w:szCs w:val="20"/>
                <w:color w:val="auto"/>
              </w:rPr>
            </w:pPr>
            <w:r>
              <w:rPr>
                <w:rFonts w:ascii="Arial" w:cs="Arial" w:eastAsia="Arial" w:hAnsi="Arial"/>
                <w:sz w:val="14"/>
                <w:szCs w:val="14"/>
                <w:b w:val="1"/>
                <w:bCs w:val="1"/>
                <w:color w:val="auto"/>
              </w:rPr>
              <w:t>July 2, 2017</w:t>
            </w:r>
          </w:p>
        </w:tc>
        <w:tc>
          <w:tcPr>
            <w:tcW w:w="1400" w:type="dxa"/>
            <w:vAlign w:val="bottom"/>
          </w:tcPr>
          <w:p>
            <w:pPr>
              <w:jc w:val="right"/>
              <w:ind w:right="379"/>
              <w:spacing w:after="0"/>
              <w:rPr>
                <w:sz w:val="20"/>
                <w:szCs w:val="20"/>
                <w:color w:val="auto"/>
              </w:rPr>
            </w:pPr>
            <w:r>
              <w:rPr>
                <w:rFonts w:ascii="Arial" w:cs="Arial" w:eastAsia="Arial" w:hAnsi="Arial"/>
                <w:sz w:val="14"/>
                <w:szCs w:val="14"/>
                <w:b w:val="1"/>
                <w:bCs w:val="1"/>
                <w:color w:val="auto"/>
              </w:rPr>
              <w:t>Change</w:t>
            </w:r>
          </w:p>
        </w:tc>
      </w:tr>
      <w:tr>
        <w:trPr>
          <w:trHeight w:val="264"/>
        </w:trPr>
        <w:tc>
          <w:tcPr>
            <w:tcW w:w="2380" w:type="dxa"/>
            <w:vAlign w:val="bottom"/>
            <w:tcBorders>
              <w:top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 of dollars</w:t>
            </w:r>
          </w:p>
        </w:tc>
        <w:tc>
          <w:tcPr>
            <w:tcW w:w="24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Borders>
              <w:top w:val="single" w:sz="8" w:color="auto"/>
            </w:tcBorders>
          </w:tcPr>
          <w:p>
            <w:pPr>
              <w:spacing w:after="0"/>
              <w:rPr>
                <w:sz w:val="22"/>
                <w:szCs w:val="22"/>
                <w:color w:val="auto"/>
              </w:rPr>
            </w:pPr>
          </w:p>
        </w:tc>
      </w:tr>
      <w:tr>
        <w:trPr>
          <w:trHeight w:val="256"/>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191.7</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186.0</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411.9</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388.5</w:t>
            </w: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43"/>
        </w:trPr>
        <w:tc>
          <w:tcPr>
            <w:tcW w:w="2380" w:type="dxa"/>
            <w:vAlign w:val="bottom"/>
          </w:tcPr>
          <w:p>
            <w:pPr>
              <w:ind w:left="40"/>
              <w:spacing w:after="0"/>
              <w:rPr>
                <w:sz w:val="20"/>
                <w:szCs w:val="20"/>
                <w:color w:val="auto"/>
              </w:rPr>
            </w:pPr>
            <w:r>
              <w:rPr>
                <w:rFonts w:ascii="Arial" w:cs="Arial" w:eastAsia="Arial" w:hAnsi="Arial"/>
                <w:sz w:val="18"/>
                <w:szCs w:val="18"/>
                <w:color w:val="auto"/>
              </w:rPr>
              <w:t>Segment income</w:t>
            </w:r>
          </w:p>
        </w:tc>
        <w:tc>
          <w:tcPr>
            <w:tcW w:w="240" w:type="dxa"/>
            <w:vAlign w:val="bottom"/>
          </w:tcPr>
          <w:p>
            <w:pPr>
              <w:spacing w:after="0"/>
              <w:rPr>
                <w:sz w:val="21"/>
                <w:szCs w:val="21"/>
                <w:color w:val="auto"/>
              </w:rPr>
            </w:pPr>
          </w:p>
        </w:tc>
        <w:tc>
          <w:tcPr>
            <w:tcW w:w="1220" w:type="dxa"/>
            <w:vAlign w:val="bottom"/>
          </w:tcPr>
          <w:p>
            <w:pPr>
              <w:jc w:val="right"/>
              <w:ind w:right="157"/>
              <w:spacing w:after="0"/>
              <w:rPr>
                <w:sz w:val="20"/>
                <w:szCs w:val="20"/>
                <w:color w:val="auto"/>
              </w:rPr>
            </w:pPr>
            <w:r>
              <w:rPr>
                <w:rFonts w:ascii="Arial" w:cs="Arial" w:eastAsia="Arial" w:hAnsi="Arial"/>
                <w:sz w:val="18"/>
                <w:szCs w:val="18"/>
                <w:color w:val="auto"/>
              </w:rPr>
              <w:t>16.6</w:t>
            </w:r>
          </w:p>
        </w:tc>
        <w:tc>
          <w:tcPr>
            <w:tcW w:w="280" w:type="dxa"/>
            <w:vAlign w:val="bottom"/>
          </w:tcPr>
          <w:p>
            <w:pPr>
              <w:spacing w:after="0"/>
              <w:rPr>
                <w:sz w:val="21"/>
                <w:szCs w:val="21"/>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98.7%</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57"/>
              <w:spacing w:after="0"/>
              <w:rPr>
                <w:sz w:val="20"/>
                <w:szCs w:val="20"/>
                <w:color w:val="auto"/>
              </w:rPr>
            </w:pPr>
            <w:r>
              <w:rPr>
                <w:rFonts w:ascii="Arial" w:cs="Arial" w:eastAsia="Arial" w:hAnsi="Arial"/>
                <w:sz w:val="18"/>
                <w:szCs w:val="18"/>
                <w:color w:val="auto"/>
              </w:rPr>
              <w:t>34.3</w:t>
            </w:r>
          </w:p>
        </w:tc>
        <w:tc>
          <w:tcPr>
            <w:tcW w:w="280" w:type="dxa"/>
            <w:vAlign w:val="bottom"/>
          </w:tcPr>
          <w:p>
            <w:pPr>
              <w:spacing w:after="0"/>
              <w:rPr>
                <w:sz w:val="21"/>
                <w:szCs w:val="21"/>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240.0%</w:t>
            </w:r>
          </w:p>
        </w:tc>
      </w:tr>
      <w:tr>
        <w:trPr>
          <w:trHeight w:val="27"/>
        </w:trPr>
        <w:tc>
          <w:tcPr>
            <w:tcW w:w="2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2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margin</w:t>
            </w: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8.7%</w:t>
            </w: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4.5%</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7"/>
              <w:spacing w:after="0"/>
              <w:rPr>
                <w:sz w:val="20"/>
                <w:szCs w:val="20"/>
                <w:color w:val="auto"/>
              </w:rPr>
            </w:pPr>
            <w:r>
              <w:rPr>
                <w:rFonts w:ascii="Arial" w:cs="Arial" w:eastAsia="Arial" w:hAnsi="Arial"/>
                <w:sz w:val="18"/>
                <w:szCs w:val="18"/>
                <w:i w:val="1"/>
                <w:iCs w:val="1"/>
                <w:color w:val="auto"/>
              </w:rPr>
              <w:t>8.3%</w:t>
            </w: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2.6%</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7"/>
        </w:trPr>
        <w:tc>
          <w:tcPr>
            <w:tcW w:w="23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 Second Quarter 2018 vs. Second Quarter 2017</w:t>
      </w:r>
    </w:p>
    <w:p>
      <w:pPr>
        <w:spacing w:after="0" w:line="94"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Net sales of our International and Other segment increased $5.7 million or 3.1% in 2018 compared to 2017, reflecting favorable price realization of 3.8% and volume increases of 1.0%, partially offset by an unfavorable impact from foreign currency exchange rates of 1.7%. Excluding the unfavorable impact of foreign currency exchange rates, the net sales of our International and Other segment increased by approximately 4.8%.</w:t>
      </w:r>
    </w:p>
    <w:p>
      <w:pPr>
        <w:spacing w:after="0" w:line="166"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volume increase is primarily attributed to solid marketplace growth in Mexico, Brazil and India, where constant currency net sales increased by 7.6%, 22.2% and 28.2%, respectively. Additionally, our China business improved as we continue to execute on our Margin for Growth Program and focus on optimizing our product offerings. The favorable net price realization was driven by decreased levels of trade promotional spending compared to the prior year.</w:t>
      </w:r>
    </w:p>
    <w:p>
      <w:pPr>
        <w:spacing w:after="0" w:line="66"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Our International and Other segment generated income of $16.6 million in 2018 compared to $8.4 million in 2017, with the improvement primarily resulting from execution of our Margin for Growth program in China, as we optimize the product portfolio and focus on advertising and marketing investments to support profitable growth. Additionally, segment income benefited from an out of period adjustment related to local taxes in Brazil.</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 First Six Months 2018 vs. First Six Months 2017</w:t>
      </w:r>
    </w:p>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Net sales of our International and Other segment increased $23.4 million or 6.0% in 2018 compared to 2017, reflecting volume increases of 4.6%, favorable price realization of 1.0% and a favorable impact from foreign currency exchange rates of 0.4%. Excluding the favorable impact of foreign currency exchange rates, the net sales of our International and Other segment increased by approximately 5.6%.</w:t>
      </w:r>
    </w:p>
    <w:p>
      <w:pPr>
        <w:spacing w:after="0" w:line="18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volume increase is primarily attributed to solid marketplace growth in Mexico, Brazil and India, where constant currency net sales increased by 7.3%, 16.2% and 27.1%, respectively. Additionally, our China business improved as we continue to execute on our Margin for Growth Program and focus on optimizing our product offerings. The favorable net price realization was driven by decreased levels of trade promotional spending compared to the prior year.</w:t>
      </w:r>
    </w:p>
    <w:p>
      <w:pPr>
        <w:spacing w:after="0" w:line="6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International and Other segment generated income of $34.3 million in 2018 compared to $10.1 million in 2017, with the improvement primarily resulting from execution of our Margin for Growth program in China, as we optimize the product portfolio and focus on advertising and marketing investments to support profitable growth. Additionally, segment income benefited from continued growth in India, as well as an out of period adjustment related to local taxes in Brazil.</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824"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Unallocated Corporate Expense</w:t>
      </w:r>
    </w:p>
    <w:p>
      <w:pPr>
        <w:spacing w:after="0" w:line="22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Unallocated corporate expense 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and (d) other gains or losses that are not integral to segment performance.</w:t>
      </w:r>
    </w:p>
    <w:p>
      <w:pPr>
        <w:spacing w:after="0" w:line="66"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In the second quarter of 2018, unallocated corporate expense totaled $121.0 million, as compared to $121.9 million in the same period of 2017, primarily driven by savings from our productivity and cost savings initiatives, partially offset by the Amplify acquisition and spending on the multi-year implementation of our enterprise resource planning system. In the first six months of 2018, unallocated corporate expense totaled $245.0 million, as compared to $240.2 million in the same period of 2017, primarily driven by the Amplify acquisition and spending on the multi-year implementation of our enterprise resource planning system, which more than offset savings in other areas of corporate expense.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Historically, our primary source of liquidity has been cash generated from operations. Domestic seasonal working capital needs, which typically peak during the summer months, are generally met by utilizing cash on hand, bank borrowings or the issuance of commercial paper. Commercial paper may also be issued, from time to time, to finance ongoing business transactions, such as the repayment of long-term debt, business acquisitions and for other general corporate purposes.</w:t>
      </w:r>
    </w:p>
    <w:p>
      <w:pPr>
        <w:spacing w:after="0" w:line="5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At July 1, 2018, our cash and cash equivalents totaled $467.4 million. At December 31, 2017, our cash and cash equivalents totaled $380.2 million. Our cash and cash equivalents during the first six months of 2018 increased $87.2 million compared to the 2017 year-end balance as a result of the net cash provided by certain activities outlined in the following discussion.</w:t>
      </w:r>
    </w:p>
    <w:p>
      <w:pPr>
        <w:spacing w:after="0" w:line="12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Approximately 90% of the balance of our cash and cash equivalents at July 1, 2018 was held by subsidiaries domiciled outside of the United States. The Company recognized the one-time U.S. repatriation tax due under U.S. tax reform during the fourth quarter of 2017 and, as a result, repatriation of these amounts would not be subject to additional U.S. federal income tax but would be subject to applicable withholding taxes in the relevant jurisdiction. Our intent is to reinvest these funds outside of the U.S. to finance foreign operations and investments, and our current plans do not demonstrate a need to repatriate them to fund our U.S. operations. We believe we have sufficient liquidity to satisfy our cash needs, including our cash needs in the U.S.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Summary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derived from our Consolidated Statement of Cash Flows:</w:t>
      </w:r>
    </w:p>
    <w:p>
      <w:pPr>
        <w:spacing w:after="0" w:line="230" w:lineRule="exact"/>
        <w:rPr>
          <w:sz w:val="20"/>
          <w:szCs w:val="20"/>
          <w:color w:val="auto"/>
        </w:rPr>
      </w:pPr>
    </w:p>
    <w:p>
      <w:pPr>
        <w:ind w:left="8620"/>
        <w:spacing w:after="0"/>
        <w:rPr>
          <w:sz w:val="20"/>
          <w:szCs w:val="20"/>
          <w:color w:val="auto"/>
        </w:rPr>
      </w:pPr>
      <w:r>
        <w:rPr>
          <w:rFonts w:ascii="Arial" w:cs="Arial" w:eastAsia="Arial" w:hAnsi="Arial"/>
          <w:sz w:val="14"/>
          <w:szCs w:val="14"/>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23495</wp:posOffset>
            </wp:positionV>
            <wp:extent cx="29070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p>
      <w:pPr>
        <w:spacing w:after="0" w:line="12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In millions of dollars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cash provided by (used in):</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Operating activities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Investing activities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Financing activities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5"/>
          <w:szCs w:val="15"/>
          <w:color w:val="auto"/>
        </w:rPr>
        <w:t>Effect of exchange rate changes on cash and cash equivalents</w:t>
      </w:r>
    </w:p>
    <w:p>
      <w:pPr>
        <w:spacing w:after="0" w:line="138"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Increase (decrease) in cash and cash equivalents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500" w:type="dxa"/>
            <w:vAlign w:val="bottom"/>
          </w:tcPr>
          <w:p>
            <w:pPr>
              <w:spacing w:after="0"/>
              <w:rPr>
                <w:sz w:val="16"/>
                <w:szCs w:val="16"/>
                <w:color w:val="auto"/>
              </w:rPr>
            </w:pPr>
          </w:p>
        </w:tc>
        <w:tc>
          <w:tcPr>
            <w:tcW w:w="1860" w:type="dxa"/>
            <w:vAlign w:val="bottom"/>
            <w:gridSpan w:val="2"/>
          </w:tcPr>
          <w:p>
            <w:pPr>
              <w:ind w:left="300"/>
              <w:spacing w:after="0"/>
              <w:rPr>
                <w:sz w:val="20"/>
                <w:szCs w:val="20"/>
                <w:color w:val="auto"/>
              </w:rPr>
            </w:pPr>
            <w:r>
              <w:rPr>
                <w:rFonts w:ascii="Arial" w:cs="Arial" w:eastAsia="Arial" w:hAnsi="Arial"/>
                <w:sz w:val="14"/>
                <w:szCs w:val="14"/>
                <w:b w:val="1"/>
                <w:bCs w:val="1"/>
                <w:color w:val="auto"/>
              </w:rPr>
              <w:t>July 1, 2018</w:t>
            </w:r>
          </w:p>
        </w:tc>
        <w:tc>
          <w:tcPr>
            <w:tcW w:w="500" w:type="dxa"/>
            <w:vAlign w:val="bottom"/>
          </w:tcPr>
          <w:p>
            <w:pPr>
              <w:spacing w:after="0"/>
              <w:rPr>
                <w:sz w:val="16"/>
                <w:szCs w:val="16"/>
                <w:color w:val="auto"/>
              </w:rPr>
            </w:pPr>
          </w:p>
        </w:tc>
        <w:tc>
          <w:tcPr>
            <w:tcW w:w="1720" w:type="dxa"/>
            <w:vAlign w:val="bottom"/>
          </w:tcPr>
          <w:p>
            <w:pPr>
              <w:jc w:val="right"/>
              <w:ind w:right="613"/>
              <w:spacing w:after="0"/>
              <w:rPr>
                <w:sz w:val="20"/>
                <w:szCs w:val="20"/>
                <w:color w:val="auto"/>
              </w:rPr>
            </w:pPr>
            <w:r>
              <w:rPr>
                <w:rFonts w:ascii="Arial" w:cs="Arial" w:eastAsia="Arial" w:hAnsi="Arial"/>
                <w:sz w:val="14"/>
                <w:szCs w:val="14"/>
                <w:b w:val="1"/>
                <w:bCs w:val="1"/>
                <w:color w:val="auto"/>
              </w:rPr>
              <w:t>July 2, 2017</w:t>
            </w:r>
          </w:p>
        </w:tc>
      </w:tr>
      <w:tr>
        <w:trPr>
          <w:trHeight w:val="513"/>
        </w:trPr>
        <w:tc>
          <w:tcPr>
            <w:tcW w:w="5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7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602.9</w:t>
            </w:r>
          </w:p>
        </w:tc>
        <w:tc>
          <w:tcPr>
            <w:tcW w:w="120" w:type="dxa"/>
            <w:vAlign w:val="bottom"/>
          </w:tcPr>
          <w:p>
            <w:pPr>
              <w:spacing w:after="0"/>
              <w:rPr>
                <w:sz w:val="24"/>
                <w:szCs w:val="24"/>
                <w:color w:val="auto"/>
              </w:rPr>
            </w:pPr>
          </w:p>
        </w:tc>
        <w:tc>
          <w:tcPr>
            <w:tcW w:w="5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335.7</w:t>
            </w:r>
          </w:p>
        </w:tc>
      </w:tr>
      <w:tr>
        <w:trPr>
          <w:trHeight w:val="284"/>
        </w:trPr>
        <w:tc>
          <w:tcPr>
            <w:tcW w:w="50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(1,064.3)</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(106.2)</w:t>
            </w:r>
          </w:p>
        </w:tc>
      </w:tr>
      <w:tr>
        <w:trPr>
          <w:trHeight w:val="270"/>
        </w:trPr>
        <w:tc>
          <w:tcPr>
            <w:tcW w:w="500" w:type="dxa"/>
            <w:vAlign w:val="bottom"/>
          </w:tcPr>
          <w:p>
            <w:pPr>
              <w:spacing w:after="0"/>
              <w:rPr>
                <w:sz w:val="23"/>
                <w:szCs w:val="23"/>
                <w:color w:val="auto"/>
              </w:rPr>
            </w:pPr>
          </w:p>
        </w:tc>
        <w:tc>
          <w:tcPr>
            <w:tcW w:w="1740" w:type="dxa"/>
            <w:vAlign w:val="bottom"/>
          </w:tcPr>
          <w:p>
            <w:pPr>
              <w:jc w:val="right"/>
              <w:ind w:right="13"/>
              <w:spacing w:after="0"/>
              <w:rPr>
                <w:sz w:val="20"/>
                <w:szCs w:val="20"/>
                <w:color w:val="auto"/>
              </w:rPr>
            </w:pPr>
            <w:r>
              <w:rPr>
                <w:rFonts w:ascii="Arial" w:cs="Arial" w:eastAsia="Arial" w:hAnsi="Arial"/>
                <w:sz w:val="18"/>
                <w:szCs w:val="18"/>
                <w:color w:val="auto"/>
              </w:rPr>
              <w:t>553.2</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(315.1)</w:t>
            </w:r>
          </w:p>
        </w:tc>
      </w:tr>
      <w:tr>
        <w:trPr>
          <w:trHeight w:val="284"/>
        </w:trPr>
        <w:tc>
          <w:tcPr>
            <w:tcW w:w="50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20" w:type="dxa"/>
            <w:vAlign w:val="bottom"/>
          </w:tcPr>
          <w:p>
            <w:pPr>
              <w:jc w:val="right"/>
              <w:ind w:right="13"/>
              <w:spacing w:after="0"/>
              <w:rPr>
                <w:sz w:val="20"/>
                <w:szCs w:val="20"/>
                <w:color w:val="auto"/>
              </w:rPr>
            </w:pPr>
            <w:r>
              <w:rPr>
                <w:rFonts w:ascii="Arial" w:cs="Arial" w:eastAsia="Arial" w:hAnsi="Arial"/>
                <w:sz w:val="18"/>
                <w:szCs w:val="18"/>
                <w:color w:val="auto"/>
              </w:rPr>
              <w:t>2.7</w:t>
            </w:r>
          </w:p>
        </w:tc>
      </w:tr>
      <w:tr>
        <w:trPr>
          <w:trHeight w:val="27"/>
        </w:trPr>
        <w:tc>
          <w:tcPr>
            <w:tcW w:w="5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7"/>
        </w:trPr>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3"/>
              <w:spacing w:after="0"/>
              <w:rPr>
                <w:sz w:val="20"/>
                <w:szCs w:val="20"/>
                <w:color w:val="auto"/>
              </w:rPr>
            </w:pPr>
            <w:r>
              <w:rPr>
                <w:rFonts w:ascii="Arial" w:cs="Arial" w:eastAsia="Arial" w:hAnsi="Arial"/>
                <w:sz w:val="18"/>
                <w:szCs w:val="18"/>
                <w:color w:val="auto"/>
              </w:rPr>
              <w:t>87.2</w:t>
            </w:r>
          </w:p>
        </w:tc>
        <w:tc>
          <w:tcPr>
            <w:tcW w:w="12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(82.9)</w:t>
            </w:r>
          </w:p>
        </w:tc>
      </w:tr>
      <w:tr>
        <w:trPr>
          <w:trHeight w:val="41"/>
        </w:trPr>
        <w:tc>
          <w:tcPr>
            <w:tcW w:w="50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-4337685</wp:posOffset>
            </wp:positionH>
            <wp:positionV relativeFrom="paragraph">
              <wp:posOffset>-736600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-4337685</wp:posOffset>
            </wp:positionH>
            <wp:positionV relativeFrom="paragraph">
              <wp:posOffset>-385445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-4337685</wp:posOffset>
            </wp:positionH>
            <wp:positionV relativeFrom="paragraph">
              <wp:posOffset>-1097280</wp:posOffset>
            </wp:positionV>
            <wp:extent cx="7246620" cy="180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52" w:lineRule="exact"/>
        <w:rPr>
          <w:sz w:val="20"/>
          <w:szCs w:val="20"/>
          <w:color w:val="auto"/>
        </w:rPr>
      </w:pPr>
    </w:p>
    <w:p>
      <w:pPr>
        <w:sectPr>
          <w:pgSz w:w="11900" w:h="16838" w:orient="portrait"/>
          <w:cols w:equalWidth="0" w:num="2">
            <w:col w:w="6120" w:space="720"/>
            <w:col w:w="4580"/>
          </w:cols>
          <w:pgMar w:left="240" w:top="823" w:right="239" w:bottom="1440" w:gutter="0" w:footer="0" w:header="0"/>
          <w:type w:val="continuous"/>
        </w:sectPr>
      </w:pPr>
    </w:p>
    <w:p>
      <w:pPr>
        <w:ind w:right="180"/>
        <w:spacing w:after="0" w:line="277" w:lineRule="auto"/>
        <w:rPr>
          <w:sz w:val="20"/>
          <w:szCs w:val="20"/>
          <w:color w:val="auto"/>
        </w:rPr>
      </w:pPr>
      <w:r>
        <w:rPr>
          <w:rFonts w:ascii="Arial" w:cs="Arial" w:eastAsia="Arial" w:hAnsi="Arial"/>
          <w:sz w:val="18"/>
          <w:szCs w:val="18"/>
          <w:color w:val="auto"/>
        </w:rPr>
        <w:t>We generated cash of $602.9 million for operating activities in the first six months of 2018, an increase of $267.2 million compared to $335.7 million in the same period of 2017. This increase in net cash from operating activities was mainly driven by the following factors:</w:t>
      </w:r>
    </w:p>
    <w:p>
      <w:pPr>
        <w:spacing w:after="0" w:line="116" w:lineRule="exact"/>
        <w:rPr>
          <w:sz w:val="20"/>
          <w:szCs w:val="20"/>
          <w:color w:val="auto"/>
        </w:rPr>
      </w:pPr>
    </w:p>
    <w:p>
      <w:pPr>
        <w:ind w:left="340" w:right="240" w:hanging="332"/>
        <w:spacing w:after="0" w:line="342"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Net income adjusted for non-cash charges to operations (including depreciation, amortization, stock-based compensation, deferred income taxes, long-lived asset charges, write-down of equity investments and other charges) contributed $152 million of additional cash flow in 2018 relative to 2017.</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823" w:right="239" w:bottom="1440" w:gutter="0" w:footer="0" w:header="0"/>
          <w:type w:val="continuous"/>
        </w:sectPr>
      </w:pPr>
    </w:p>
    <w:bookmarkStart w:id="45" w:name="page46"/>
    <w:bookmarkEnd w:id="45"/>
    <w:p>
      <w:pPr>
        <w:ind w:left="340" w:right="48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Cash provided by income taxes increased $129 million, mainly due to the variance in actual tax expense for 2018 relative to the timing of quarterly estimated tax payments, which resulted in a lower prepaid tax position in 2018 compared to the 2017 period.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used cash of $1,064.3 million for investing activities in the first six months of 2018, an increase of $958.1 million compared to $106.2 million in the same period of 2017. This increase in net cash used in investing activities was mainly driven by the following factors:</w:t>
      </w:r>
    </w:p>
    <w:p>
      <w:pPr>
        <w:spacing w:after="0" w:line="116"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7"/>
          <w:szCs w:val="17"/>
          <w:i w:val="1"/>
          <w:iCs w:val="1"/>
          <w:color w:val="auto"/>
        </w:rPr>
      </w:pPr>
      <w:r>
        <w:rPr>
          <w:rFonts w:ascii="Arial" w:cs="Arial" w:eastAsia="Arial" w:hAnsi="Arial"/>
          <w:sz w:val="17"/>
          <w:szCs w:val="17"/>
          <w:i w:val="1"/>
          <w:iCs w:val="1"/>
          <w:color w:val="auto"/>
        </w:rPr>
        <w:t>Capital spending</w:t>
      </w:r>
      <w:r>
        <w:rPr>
          <w:rFonts w:ascii="Arial" w:cs="Arial" w:eastAsia="Arial" w:hAnsi="Arial"/>
          <w:sz w:val="17"/>
          <w:szCs w:val="17"/>
          <w:color w:val="auto"/>
        </w:rPr>
        <w:t>. Capital expenditures, including capitalized software, primarily to support capacity expansion, innovation and cost savings, totaled</w:t>
      </w:r>
    </w:p>
    <w:p>
      <w:pPr>
        <w:spacing w:after="0" w:line="34" w:lineRule="exact"/>
        <w:rPr>
          <w:rFonts w:ascii="Arial" w:cs="Arial" w:eastAsia="Arial" w:hAnsi="Arial"/>
          <w:sz w:val="17"/>
          <w:szCs w:val="17"/>
          <w:i w:val="1"/>
          <w:iCs w:val="1"/>
          <w:color w:val="auto"/>
        </w:rPr>
      </w:pPr>
    </w:p>
    <w:p>
      <w:pPr>
        <w:ind w:left="340" w:right="140"/>
        <w:spacing w:after="0" w:line="261" w:lineRule="auto"/>
        <w:rPr>
          <w:rFonts w:ascii="Arial" w:cs="Arial" w:eastAsia="Arial" w:hAnsi="Arial"/>
          <w:sz w:val="17"/>
          <w:szCs w:val="17"/>
          <w:i w:val="1"/>
          <w:iCs w:val="1"/>
          <w:color w:val="auto"/>
        </w:rPr>
      </w:pPr>
      <w:r>
        <w:rPr>
          <w:rFonts w:ascii="Arial" w:cs="Arial" w:eastAsia="Arial" w:hAnsi="Arial"/>
          <w:sz w:val="18"/>
          <w:szCs w:val="18"/>
          <w:color w:val="auto"/>
        </w:rPr>
        <w:t>$135.9 million in the first six months of 2018 compared to $84.7 million in the same period of 2017. For full year 2018, we expect capital expenditures, including capitalized software, to approximate $355 million to $375 million.</w:t>
      </w:r>
    </w:p>
    <w:p>
      <w:pPr>
        <w:spacing w:after="0" w:line="129" w:lineRule="exact"/>
        <w:rPr>
          <w:rFonts w:ascii="Arial" w:cs="Arial" w:eastAsia="Arial" w:hAnsi="Arial"/>
          <w:sz w:val="17"/>
          <w:szCs w:val="17"/>
          <w:i w:val="1"/>
          <w:iCs w:val="1"/>
          <w:color w:val="auto"/>
        </w:rPr>
      </w:pPr>
    </w:p>
    <w:p>
      <w:pPr>
        <w:ind w:left="340" w:right="40" w:hanging="332"/>
        <w:spacing w:after="0" w:line="264" w:lineRule="auto"/>
        <w:tabs>
          <w:tab w:leader="none" w:pos="34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Proceeds from sales of property, plant and equipment and other long-lived assets</w:t>
      </w:r>
      <w:r>
        <w:rPr>
          <w:rFonts w:ascii="Arial" w:cs="Arial" w:eastAsia="Arial" w:hAnsi="Arial"/>
          <w:sz w:val="18"/>
          <w:szCs w:val="18"/>
          <w:color w:val="auto"/>
        </w:rPr>
        <w:t>. During the first six months of 2018, we generated $16 million of</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from the sale of property, plant and equipment and other long-lived assets, the majority of which related to the sale of licensing rights for a non-core trademark relating to a brand marketed outside of the U.S. The sale resulted in a gain of $2.7 million.</w:t>
      </w:r>
    </w:p>
    <w:p>
      <w:pPr>
        <w:spacing w:after="0" w:line="127" w:lineRule="exact"/>
        <w:rPr>
          <w:rFonts w:ascii="Arial" w:cs="Arial" w:eastAsia="Arial" w:hAnsi="Arial"/>
          <w:sz w:val="18"/>
          <w:szCs w:val="18"/>
          <w:i w:val="1"/>
          <w:iCs w:val="1"/>
          <w:color w:val="auto"/>
        </w:rPr>
      </w:pPr>
    </w:p>
    <w:p>
      <w:pPr>
        <w:ind w:left="340" w:right="240" w:hanging="332"/>
        <w:spacing w:after="0" w:line="264" w:lineRule="auto"/>
        <w:tabs>
          <w:tab w:leader="none" w:pos="34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Business Acquisition</w:t>
      </w:r>
      <w:r>
        <w:rPr>
          <w:rFonts w:ascii="Arial" w:cs="Arial" w:eastAsia="Arial" w:hAnsi="Arial"/>
          <w:sz w:val="18"/>
          <w:szCs w:val="18"/>
          <w:color w:val="auto"/>
        </w:rPr>
        <w:t>. In January 2018, we acquired Amplify for $915 million, net of cash acquired. We had no acquisition or divestiture activity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comparable 2017 period. Further details regarding business acquisition activity are provided in Note 2 to the Unaudited Consolidated Financial Statements.</w:t>
      </w:r>
    </w:p>
    <w:p>
      <w:pPr>
        <w:spacing w:after="0" w:line="127" w:lineRule="exact"/>
        <w:rPr>
          <w:rFonts w:ascii="Arial" w:cs="Arial" w:eastAsia="Arial" w:hAnsi="Arial"/>
          <w:sz w:val="18"/>
          <w:szCs w:val="18"/>
          <w:i w:val="1"/>
          <w:iCs w:val="1"/>
          <w:color w:val="auto"/>
        </w:rPr>
      </w:pPr>
    </w:p>
    <w:p>
      <w:pPr>
        <w:ind w:left="340" w:right="320" w:hanging="332"/>
        <w:spacing w:after="0" w:line="264"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Investments in partnerships qualifying for tax credits</w:t>
      </w:r>
      <w:r>
        <w:rPr>
          <w:rFonts w:ascii="Arial" w:cs="Arial" w:eastAsia="Arial" w:hAnsi="Arial"/>
          <w:sz w:val="18"/>
          <w:szCs w:val="18"/>
          <w:color w:val="auto"/>
        </w:rPr>
        <w:t>. We make investments in partnership entities that in turn make equity investments in projects</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to receive federal historic and energy tax credits. We invested approximately $29.0 million in the first six months of 2018, compared to $22.4 million in the same period of 2017.</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We generated cash of $553.2 million for financing activities in the first six months of 2018, an increase of $868.3 million compared to cash used of $315.1 million in the same period of 2017. This increase in net cash from financing activities was mainly driven by the following factors:</w:t>
      </w:r>
    </w:p>
    <w:p>
      <w:pPr>
        <w:spacing w:after="0" w:line="93" w:lineRule="exact"/>
        <w:rPr>
          <w:sz w:val="20"/>
          <w:szCs w:val="20"/>
          <w:color w:val="auto"/>
        </w:rPr>
      </w:pPr>
    </w:p>
    <w:p>
      <w:pPr>
        <w:ind w:left="340" w:hanging="332"/>
        <w:spacing w:after="0" w:line="255" w:lineRule="auto"/>
        <w:tabs>
          <w:tab w:leader="none" w:pos="34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Short-term borrowings, net. </w:t>
      </w:r>
      <w:r>
        <w:rPr>
          <w:rFonts w:ascii="Arial" w:cs="Arial" w:eastAsia="Arial" w:hAnsi="Arial"/>
          <w:sz w:val="18"/>
          <w:szCs w:val="18"/>
          <w:color w:val="auto"/>
        </w:rPr>
        <w:t>In addition to utilizing cash on hand, we use short-term borrowings (commercial paper and bank borrowings) to fund</w:t>
      </w:r>
      <w:r>
        <w:rPr>
          <w:rFonts w:ascii="Arial" w:cs="Arial" w:eastAsia="Arial" w:hAnsi="Arial"/>
          <w:sz w:val="18"/>
          <w:szCs w:val="18"/>
          <w:i w:val="1"/>
          <w:iCs w:val="1"/>
          <w:color w:val="auto"/>
        </w:rPr>
        <w:t xml:space="preserve"> </w:t>
      </w:r>
      <w:r>
        <w:rPr>
          <w:rFonts w:ascii="Arial" w:cs="Arial" w:eastAsia="Arial" w:hAnsi="Arial"/>
          <w:sz w:val="18"/>
          <w:szCs w:val="18"/>
          <w:color w:val="auto"/>
        </w:rPr>
        <w:t>seasonal working capital requirements and ongoing business needs. During the first six months of 2018, we generated cash flow of $491 million through the issuance of short-term commercial paper and increase in short-term foreign borrowings. We utilized the proceeds from the issuance of commercial paper to fund the Amplify acquisition and repayment of Amplify's outstanding debt owed under its existing credit agreement. A portion of the commercial paper borrowings used to fund the Amplify acquisition were subsequently refinanced with the proceeds of new notes issued during the second quarter of 2018, as discussed below. During the first six months of 2017, we had a net reduction in short-term borrowings of $14 million primarily due to repayments on short-term foreign bank borrowings.</w:t>
      </w:r>
    </w:p>
    <w:p>
      <w:pPr>
        <w:spacing w:after="0" w:line="135" w:lineRule="exact"/>
        <w:rPr>
          <w:rFonts w:ascii="Arial" w:cs="Arial" w:eastAsia="Arial" w:hAnsi="Arial"/>
          <w:sz w:val="18"/>
          <w:szCs w:val="18"/>
          <w:i w:val="1"/>
          <w:iCs w:val="1"/>
          <w:color w:val="auto"/>
        </w:rPr>
      </w:pPr>
    </w:p>
    <w:p>
      <w:pPr>
        <w:ind w:left="340" w:right="80" w:hanging="332"/>
        <w:spacing w:after="0" w:line="279" w:lineRule="auto"/>
        <w:tabs>
          <w:tab w:leader="none" w:pos="340" w:val="left"/>
        </w:tabs>
        <w:numPr>
          <w:ilvl w:val="0"/>
          <w:numId w:val="21"/>
        </w:numPr>
        <w:rPr>
          <w:rFonts w:ascii="Arial" w:cs="Arial" w:eastAsia="Arial" w:hAnsi="Arial"/>
          <w:sz w:val="17"/>
          <w:szCs w:val="17"/>
          <w:i w:val="1"/>
          <w:iCs w:val="1"/>
          <w:color w:val="auto"/>
        </w:rPr>
      </w:pPr>
      <w:r>
        <w:rPr>
          <w:rFonts w:ascii="Arial" w:cs="Arial" w:eastAsia="Arial" w:hAnsi="Arial"/>
          <w:sz w:val="17"/>
          <w:szCs w:val="17"/>
          <w:i w:val="1"/>
          <w:iCs w:val="1"/>
          <w:color w:val="auto"/>
        </w:rPr>
        <w:t>Long-term debt borrowings and repayments</w:t>
      </w:r>
      <w:r>
        <w:rPr>
          <w:rFonts w:ascii="Arial" w:cs="Arial" w:eastAsia="Arial" w:hAnsi="Arial"/>
          <w:sz w:val="17"/>
          <w:szCs w:val="17"/>
          <w:color w:val="auto"/>
        </w:rPr>
        <w:t>. In May 2018, we issued $350,000 of 2.90% Notes due in 2020, $350,000 of 3.10% Notes due in 2021 and</w:t>
      </w:r>
      <w:r>
        <w:rPr>
          <w:rFonts w:ascii="Arial" w:cs="Arial" w:eastAsia="Arial" w:hAnsi="Arial"/>
          <w:sz w:val="17"/>
          <w:szCs w:val="17"/>
          <w:i w:val="1"/>
          <w:iCs w:val="1"/>
          <w:color w:val="auto"/>
        </w:rPr>
        <w:t xml:space="preserve"> </w:t>
      </w:r>
      <w:r>
        <w:rPr>
          <w:rFonts w:ascii="Arial" w:cs="Arial" w:eastAsia="Arial" w:hAnsi="Arial"/>
          <w:sz w:val="17"/>
          <w:szCs w:val="17"/>
          <w:color w:val="auto"/>
        </w:rPr>
        <w:t>$500,000 of 3.375% Notes due in 2023. Proceeds from the issuance of the Notes, net of discounts and issuance costs, totaled $1,193.8 million. Additionally, in 2018, we repaid $607 million of debt assumed in connection with the Amplify acquisition, including all of the outstanding debt owed by Amplify under its existing credit agreement. We had minimal long-term repayment activity during the first six months of 2017.</w:t>
      </w:r>
    </w:p>
    <w:p>
      <w:pPr>
        <w:spacing w:after="0" w:line="117" w:lineRule="exact"/>
        <w:rPr>
          <w:rFonts w:ascii="Arial" w:cs="Arial" w:eastAsia="Arial" w:hAnsi="Arial"/>
          <w:sz w:val="17"/>
          <w:szCs w:val="17"/>
          <w:i w:val="1"/>
          <w:iCs w:val="1"/>
          <w:color w:val="auto"/>
        </w:rPr>
      </w:pPr>
    </w:p>
    <w:p>
      <w:pPr>
        <w:ind w:left="340" w:right="360" w:hanging="332"/>
        <w:spacing w:after="0" w:line="277" w:lineRule="auto"/>
        <w:tabs>
          <w:tab w:leader="none" w:pos="34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Tax receivable obligation. </w:t>
      </w:r>
      <w:r>
        <w:rPr>
          <w:rFonts w:ascii="Arial" w:cs="Arial" w:eastAsia="Arial" w:hAnsi="Arial"/>
          <w:sz w:val="18"/>
          <w:szCs w:val="18"/>
          <w:color w:val="auto"/>
        </w:rPr>
        <w:t>In connection with the Amplify acquisition, the Company agreed to make payments to the counterparty of a tax receivable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During the first six months of 2018, we paid $72.0 million to settle the tax receivable obligation.</w:t>
      </w:r>
    </w:p>
    <w:p>
      <w:pPr>
        <w:spacing w:after="0" w:line="116" w:lineRule="exact"/>
        <w:rPr>
          <w:rFonts w:ascii="Arial" w:cs="Arial" w:eastAsia="Arial" w:hAnsi="Arial"/>
          <w:sz w:val="18"/>
          <w:szCs w:val="18"/>
          <w:i w:val="1"/>
          <w:iCs w:val="1"/>
          <w:color w:val="auto"/>
        </w:rPr>
      </w:pPr>
    </w:p>
    <w:p>
      <w:pPr>
        <w:ind w:left="340" w:right="180" w:hanging="332"/>
        <w:spacing w:after="0" w:line="264" w:lineRule="auto"/>
        <w:tabs>
          <w:tab w:leader="none" w:pos="34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Share repurchases</w:t>
      </w:r>
      <w:r>
        <w:rPr>
          <w:rFonts w:ascii="Arial" w:cs="Arial" w:eastAsia="Arial" w:hAnsi="Arial"/>
          <w:sz w:val="18"/>
          <w:szCs w:val="18"/>
          <w:color w:val="auto"/>
        </w:rPr>
        <w:t>. We used cash for total share repurchases of $200 million during the first six months of 2018 pursuant to our practice of replenishing</w:t>
      </w:r>
      <w:r>
        <w:rPr>
          <w:rFonts w:ascii="Arial" w:cs="Arial" w:eastAsia="Arial" w:hAnsi="Arial"/>
          <w:sz w:val="18"/>
          <w:szCs w:val="18"/>
          <w:i w:val="1"/>
          <w:iCs w:val="1"/>
          <w:color w:val="auto"/>
        </w:rPr>
        <w:t xml:space="preserve"> </w:t>
      </w:r>
      <w:r>
        <w:rPr>
          <w:rFonts w:ascii="Arial" w:cs="Arial" w:eastAsia="Arial" w:hAnsi="Arial"/>
          <w:sz w:val="18"/>
          <w:szCs w:val="18"/>
          <w:color w:val="auto"/>
        </w:rPr>
        <w:t>shares issued for stock options and incentive compensation, as well as shares repurchased in the open market under pre-approved share repurchase programs. We used cash for total</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746" w:right="239" w:bottom="1440" w:gutter="0" w:footer="0" w:header="0"/>
        </w:sectPr>
      </w:pPr>
    </w:p>
    <w:bookmarkStart w:id="46" w:name="page47"/>
    <w:bookmarkEnd w:id="46"/>
    <w:p>
      <w:pPr>
        <w:ind w:left="340" w:right="380"/>
        <w:spacing w:after="0" w:line="324" w:lineRule="auto"/>
        <w:rPr>
          <w:sz w:val="20"/>
          <w:szCs w:val="20"/>
          <w:color w:val="auto"/>
        </w:rPr>
      </w:pPr>
      <w:r>
        <w:rPr>
          <w:rFonts w:ascii="Arial" w:cs="Arial" w:eastAsia="Arial" w:hAnsi="Arial"/>
          <w:sz w:val="18"/>
          <w:szCs w:val="18"/>
          <w:color w:val="auto"/>
        </w:rPr>
        <w:t>share repurchases of $100 million during the first six months of 2017 pursuant to our practice of replenishing shares issued for stock options and incentive compensation.</w:t>
      </w:r>
    </w:p>
    <w:p>
      <w:pPr>
        <w:spacing w:after="0" w:line="89" w:lineRule="exact"/>
        <w:rPr>
          <w:sz w:val="20"/>
          <w:szCs w:val="20"/>
          <w:color w:val="auto"/>
        </w:rPr>
      </w:pPr>
    </w:p>
    <w:p>
      <w:pPr>
        <w:ind w:left="340" w:right="180" w:hanging="332"/>
        <w:spacing w:after="0" w:line="277" w:lineRule="auto"/>
        <w:tabs>
          <w:tab w:leader="none" w:pos="34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Dividend payments</w:t>
      </w:r>
      <w:r>
        <w:rPr>
          <w:rFonts w:ascii="Arial" w:cs="Arial" w:eastAsia="Arial" w:hAnsi="Arial"/>
          <w:sz w:val="18"/>
          <w:szCs w:val="18"/>
          <w:color w:val="auto"/>
        </w:rPr>
        <w:t>. Total dividend payments to holders of our Common Stock and Class B Common Stock were $267.9 million during the first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of 2018, an increase of $11.8 million compared to $256.1 million in the same period of 2017.</w:t>
      </w:r>
    </w:p>
    <w:p>
      <w:pPr>
        <w:spacing w:after="0" w:line="116" w:lineRule="exact"/>
        <w:rPr>
          <w:rFonts w:ascii="Arial" w:cs="Arial" w:eastAsia="Arial" w:hAnsi="Arial"/>
          <w:sz w:val="18"/>
          <w:szCs w:val="18"/>
          <w:i w:val="1"/>
          <w:iCs w:val="1"/>
          <w:color w:val="auto"/>
        </w:rPr>
      </w:pPr>
    </w:p>
    <w:p>
      <w:pPr>
        <w:ind w:left="340" w:hanging="332"/>
        <w:spacing w:after="0" w:line="342" w:lineRule="auto"/>
        <w:tabs>
          <w:tab w:leader="none" w:pos="340" w:val="left"/>
        </w:tabs>
        <w:numPr>
          <w:ilvl w:val="0"/>
          <w:numId w:val="22"/>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Proceeds from the exercise of stock options. </w:t>
      </w:r>
      <w:r>
        <w:rPr>
          <w:rFonts w:ascii="Arial" w:cs="Arial" w:eastAsia="Arial" w:hAnsi="Arial"/>
          <w:sz w:val="16"/>
          <w:szCs w:val="16"/>
          <w:color w:val="auto"/>
        </w:rPr>
        <w:t>We received $8.2 million from employee exercises of stock options, net of employee taxes withheld from</w:t>
      </w:r>
      <w:r>
        <w:rPr>
          <w:rFonts w:ascii="Arial" w:cs="Arial" w:eastAsia="Arial" w:hAnsi="Arial"/>
          <w:sz w:val="16"/>
          <w:szCs w:val="16"/>
          <w:i w:val="1"/>
          <w:iCs w:val="1"/>
          <w:color w:val="auto"/>
        </w:rPr>
        <w:t xml:space="preserve"> </w:t>
      </w:r>
      <w:r>
        <w:rPr>
          <w:rFonts w:ascii="Arial" w:cs="Arial" w:eastAsia="Arial" w:hAnsi="Arial"/>
          <w:sz w:val="16"/>
          <w:szCs w:val="16"/>
          <w:color w:val="auto"/>
        </w:rPr>
        <w:t>share-based awards, during the first six months of 2018, a decrease of $46.6 million compared to $54.8 million in the same period of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Information on recently adopted and recently issued accounting standards is included in Note 1 to the Unaudited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240" w:top="773" w:right="5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auto"/>
        </w:rPr>
        <w:t>Safe Harbor Statement</w:t>
      </w:r>
    </w:p>
    <w:p>
      <w:pPr>
        <w:spacing w:after="0" w:line="17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We are subject to changing economic, competitive, regulatory and technological risks and uncertainties that could have a material impact on our business, financial condition or results of operations. In connection with the “safe harbor” provisions of the Private Securities Litigation Reform Act of 1995, we note the following factors that, among others, could cause future results to differ materially from the forward-looking statements, expectations and assumptions that we have discussed directly or implied in this report. Many of the forward-looking statements contained in this report may be identified by the use of words such as “intend,” “believe,” “expect,” “anticipate,” “should,” “planned,” “projected,” “estimated,” and “potential,” among others.</w:t>
      </w:r>
    </w:p>
    <w:p>
      <w:pPr>
        <w:spacing w:after="0" w:line="10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factors that could cause our actual results to differ materially from the results projected in our forward-looking statements include, but are not limited to the following:</w:t>
      </w:r>
    </w:p>
    <w:p>
      <w:pPr>
        <w:spacing w:after="0" w:line="170" w:lineRule="exact"/>
        <w:rPr>
          <w:sz w:val="20"/>
          <w:szCs w:val="20"/>
          <w:color w:val="auto"/>
        </w:rPr>
      </w:pPr>
    </w:p>
    <w:p>
      <w:pPr>
        <w:ind w:left="260" w:right="440" w:hanging="252"/>
        <w:spacing w:after="0" w:line="277" w:lineRule="auto"/>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Issues or concerns related to the quality and safety of our products, ingredients or packaging could cause a product recall and/or result in harm to the Company’s reputation, negatively impacting our operating results;</w:t>
      </w:r>
    </w:p>
    <w:p>
      <w:pPr>
        <w:spacing w:after="0" w:line="116" w:lineRule="exact"/>
        <w:rPr>
          <w:rFonts w:ascii="Arial" w:cs="Arial" w:eastAsia="Arial" w:hAnsi="Arial"/>
          <w:sz w:val="18"/>
          <w:szCs w:val="18"/>
          <w:color w:val="auto"/>
        </w:rPr>
      </w:pPr>
    </w:p>
    <w:p>
      <w:pPr>
        <w:ind w:left="260" w:hanging="252"/>
        <w:spacing w:after="0"/>
        <w:tabs>
          <w:tab w:leader="none" w:pos="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Increases in raw material and energy costs along with the availability of adequate supplies of raw materials could affect future financial results;</w:t>
      </w:r>
    </w:p>
    <w:p>
      <w:pPr>
        <w:spacing w:after="0" w:line="182" w:lineRule="exact"/>
        <w:rPr>
          <w:rFonts w:ascii="Arial" w:cs="Arial" w:eastAsia="Arial" w:hAnsi="Arial"/>
          <w:sz w:val="17"/>
          <w:szCs w:val="17"/>
          <w:color w:val="auto"/>
        </w:rPr>
      </w:pPr>
    </w:p>
    <w:p>
      <w:pPr>
        <w:ind w:left="260" w:right="420" w:hanging="252"/>
        <w:spacing w:after="0" w:line="277" w:lineRule="auto"/>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Price increases may not be sufficient to offset cost increases and maintain profitability or may result in sales volume declines associated with pricing elasticity;</w:t>
      </w:r>
    </w:p>
    <w:p>
      <w:pPr>
        <w:spacing w:after="0" w:line="116" w:lineRule="exact"/>
        <w:rPr>
          <w:rFonts w:ascii="Arial" w:cs="Arial" w:eastAsia="Arial" w:hAnsi="Arial"/>
          <w:sz w:val="18"/>
          <w:szCs w:val="18"/>
          <w:color w:val="auto"/>
        </w:rPr>
      </w:pP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Market demand for new and existing products could decline;</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marketplace competition could hurt our business;</w:t>
      </w:r>
    </w:p>
    <w:p>
      <w:pPr>
        <w:spacing w:after="0" w:line="171" w:lineRule="exact"/>
        <w:rPr>
          <w:rFonts w:ascii="Arial" w:cs="Arial" w:eastAsia="Arial" w:hAnsi="Arial"/>
          <w:sz w:val="18"/>
          <w:szCs w:val="18"/>
          <w:color w:val="auto"/>
        </w:rPr>
      </w:pPr>
    </w:p>
    <w:p>
      <w:pPr>
        <w:ind w:left="260" w:right="40" w:hanging="252"/>
        <w:spacing w:after="0" w:line="277" w:lineRule="auto"/>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Disruption to our manufacturing operations or supply chain could impair our ability to produce or deliver finished products, resulting in a negative impact on our operating results;</w:t>
      </w:r>
    </w:p>
    <w:p>
      <w:pPr>
        <w:spacing w:after="0" w:line="116" w:lineRule="exact"/>
        <w:rPr>
          <w:rFonts w:ascii="Arial" w:cs="Arial" w:eastAsia="Arial" w:hAnsi="Arial"/>
          <w:sz w:val="18"/>
          <w:szCs w:val="18"/>
          <w:color w:val="auto"/>
        </w:rPr>
      </w:pPr>
    </w:p>
    <w:p>
      <w:pPr>
        <w:ind w:left="260" w:hanging="252"/>
        <w:spacing w:after="0"/>
        <w:tabs>
          <w:tab w:leader="none" w:pos="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financial results may be adversely impacted by the failure to successfully execute or integrate acquisitions, divestitures and joint ventures;</w:t>
      </w:r>
    </w:p>
    <w:p>
      <w:pPr>
        <w:spacing w:after="0" w:line="182" w:lineRule="exact"/>
        <w:rPr>
          <w:rFonts w:ascii="Arial" w:cs="Arial" w:eastAsia="Arial" w:hAnsi="Arial"/>
          <w:sz w:val="17"/>
          <w:szCs w:val="17"/>
          <w:color w:val="auto"/>
        </w:rPr>
      </w:pP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governmental laws and regulations could increase our costs and liabilities or impact demand for our products;</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Political, economic and/or financial market conditions could negatively impact our financial results;</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international operations may not achieve projected growth objectives, which could adversely impact our overall business and results of operations;</w:t>
      </w:r>
    </w:p>
    <w:p>
      <w:pPr>
        <w:spacing w:after="0" w:line="194" w:lineRule="exact"/>
        <w:rPr>
          <w:rFonts w:ascii="Arial" w:cs="Arial" w:eastAsia="Arial" w:hAnsi="Arial"/>
          <w:sz w:val="16"/>
          <w:szCs w:val="16"/>
          <w:color w:val="auto"/>
        </w:rPr>
      </w:pP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Disruptions, failures or security breaches of our information technology infrastructure could have a negative impact on our operations;</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might not be able to hire, engage and retain the talented global workforce we need to drive our growth strategies;</w:t>
      </w:r>
    </w:p>
    <w:p>
      <w:pPr>
        <w:spacing w:after="0" w:line="171" w:lineRule="exact"/>
        <w:rPr>
          <w:rFonts w:ascii="Arial" w:cs="Arial" w:eastAsia="Arial" w:hAnsi="Arial"/>
          <w:sz w:val="18"/>
          <w:szCs w:val="18"/>
          <w:color w:val="auto"/>
        </w:rPr>
      </w:pPr>
    </w:p>
    <w:p>
      <w:pPr>
        <w:ind w:left="260" w:right="60" w:hanging="252"/>
        <w:spacing w:after="0" w:line="277" w:lineRule="auto"/>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not fully realize the expected costs savings and/or operating efficiencies associated with our strategic initiatives or restructuring programs, which may have an adverse impact on our business;</w:t>
      </w:r>
    </w:p>
    <w:p>
      <w:pPr>
        <w:spacing w:after="0" w:line="116" w:lineRule="exact"/>
        <w:rPr>
          <w:rFonts w:ascii="Arial" w:cs="Arial" w:eastAsia="Arial" w:hAnsi="Arial"/>
          <w:sz w:val="18"/>
          <w:szCs w:val="18"/>
          <w:color w:val="auto"/>
        </w:rPr>
      </w:pPr>
    </w:p>
    <w:p>
      <w:pPr>
        <w:ind w:left="260" w:hanging="252"/>
        <w:spacing w:after="0"/>
        <w:tabs>
          <w:tab w:leader="none" w:pos="2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Complications with the design or implementation of our new enterprise resource planning system could adversely impact our business and operations; and</w:t>
      </w:r>
    </w:p>
    <w:p>
      <w:pPr>
        <w:spacing w:after="0" w:line="194" w:lineRule="exact"/>
        <w:rPr>
          <w:rFonts w:ascii="Arial" w:cs="Arial" w:eastAsia="Arial" w:hAnsi="Arial"/>
          <w:sz w:val="16"/>
          <w:szCs w:val="16"/>
          <w:color w:val="auto"/>
        </w:rPr>
      </w:pP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Such other matters as discussed in our 2017 Annual Report on Form 10-K.</w:t>
      </w:r>
    </w:p>
    <w:p>
      <w:pPr>
        <w:spacing w:after="0" w:line="33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undertake no obligation to publicly update or revise any forward-looking statements to reflect actual results, changes in expectations or events or circumstances after the date this Quarterly Report on Form 10-Q is filed.</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824" w:right="27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total notional amount of interest rate swaps outstanding was $350 million at July 1, 2018 and December 31, 2017. The notional amount relates to fixed-to-floating interest rate swaps which convert a comparable amount of fixed-rate debt to variable rate debt at July 1, 2018 and December 31, 2017. A hypothetical 100 basis point increase in interest rates applied to this now variable rate debt as of July 1, 2018 would have increased interest expense by approximately $1.8 million for the first six months of 2018 and $3.5 million for the full year 2017.</w:t>
      </w:r>
    </w:p>
    <w:p>
      <w:pPr>
        <w:spacing w:after="0" w:line="133"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We consider our current risk related to market fluctuations in interest rates on our remaining debt portfolio, excluding fixed-rate debt converted to variable with fixed-to-floating instruments, to be minimal since this debt is largely long-term and fixed-rate in nature. Generally, the fair market value of fixed-rate debt will increase as interest rates fall and decrease as interest rates rise. A 100 basis point increase in market interest rates would decrease the fair value of our fixed-rate long-term debt at July 1, 2018 and December 31, 2017 by approximately $158 million and $134 million, respectively. However, since we currently have no plans to repurchase our outstanding fixed-rate instruments before their maturities, the impact of market interest rate fluctuations on our long-term debt does not affect our results of operations or financial position.</w:t>
      </w:r>
    </w:p>
    <w:p>
      <w:pPr>
        <w:spacing w:after="0" w:line="12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potential decline in fair value of foreign currency forward exchange contracts resulting from a hypothetical near-term adverse change in market rates of 10% was $16.9 million as of July 1, 2018 and $19.7 million as of December 31, 2017. Our open commodity contracts had a notional value of $524.1 million as of July 1, 2018 and $405.3 million as of December 31, 2017. At the end of the second quarter of 2018, the potential change in fair value of commodity derivative instruments, assuming a 10% decrease in the underlying commodity price, would have increased net unrealized losses by $54.0 million, generally offset by a reduction in the cost of the underlying commodity purchases.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Other than as described above, market risks have not changed significantly from those described in our 2017 Annual Report on Form 10-K.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have established disclosure controls and procedures (as defined in Rules 13a-15(e) and 15d-15(e) of the Securities Exchange Act of 1934 (the “Exchange Act”)) designed to ensure that information required to be disclosed in our reports filed or submitted under the Exchange Act is recorded, processed, summarized and reported within the time periods specified in the Securities and Exchange Commission’s rules and forms, and such information is accumulated and communicated to management, including our Chief Executive Officer and Chief Financial Officer, as appropriate, to allow timely decisions regarding required disclosure. Management, with the participation of the Chief Executive Officer and Chief Financial Officer, evaluated the effectiveness of the Company’s disclosure controls and procedures as of July 1, 2018. Based on this evaluation, our Chief Executive Officer and Chief Financial Officer concluded that our disclosure controls and procedures were effective as of July 1, 2018.</w:t>
      </w:r>
    </w:p>
    <w:p>
      <w:pPr>
        <w:spacing w:after="0" w:line="12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rely extensively on information systems and technology to manage our business and summarize operating results. We are in the process of a multi-year implementation of a new global enterprise resource planning (“ERP”) system, which will replace our existing operating and financial systems. The ERP system is designed to accurately maintain the Company’s financial records, enhance operational functionality and provide timely information to the Company’s management team related to the operation of the business. The implementation is expected to occur in phases over the next several years. The initial changes to our consolidated financial reporting took place in the second quarter of 2018. The transition to the new financial reporting platform did not result in significant changes in our internal control over financial reporting. However, as the next phases of the updated processes are rolled out in connection with the ERP implementation, we will give appropriate consideration to whether these process changes necessitate changes in the design of and testing for effectiveness of internal controls over financial reporting.</w:t>
      </w:r>
    </w:p>
    <w:p>
      <w:pPr>
        <w:spacing w:after="0" w:line="1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July 1, 2018 that have materially affected, or are reasonably likely to materially affect, our internal control over financial reporting.</w:t>
      </w:r>
    </w:p>
    <w:p>
      <w:pPr>
        <w:spacing w:after="0" w:line="200" w:lineRule="exact"/>
        <w:rPr>
          <w:sz w:val="20"/>
          <w:szCs w:val="20"/>
          <w:color w:val="auto"/>
        </w:rPr>
      </w:pPr>
    </w:p>
    <w:p>
      <w:pPr>
        <w:spacing w:after="0" w:line="3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40"/>
          </w:cols>
          <w:pgMar w:left="240" w:top="823" w:right="31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legal proceedings is included in Note 15 to the Unaudited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When evaluating an investment in our Common Stock, investors should consider carefully, among other things, the risk factors previously disclosed in</w:t>
      </w:r>
    </w:p>
    <w:p>
      <w:pPr>
        <w:spacing w:after="0" w:line="35"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Part I, Item 1A, “Risk Factors,” of our 2017 Annual Report on Form 10-K and the information contained in this Quarterly Report on Form 10-Q and our other reports and registration statements filed with the SEC. There have been no material changes in our risk factors since the filing of our 2017 Annual Report on Form 10-K.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4"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following table shows the purchases of shares of Common Stock made by or on behalf of Hershey, or any “affiliated purchaser” (as defined in Rule 10b-18(a)(3) under the Securities Exchange Act of 1934, as amended) of Hershey, for each fiscal month in the three months ended July 1, 2018:</w:t>
      </w:r>
    </w:p>
    <w:p>
      <w:pPr>
        <w:spacing w:after="0" w:line="93" w:lineRule="exact"/>
        <w:rPr>
          <w:sz w:val="20"/>
          <w:szCs w:val="20"/>
          <w:color w:val="auto"/>
        </w:rPr>
      </w:pPr>
    </w:p>
    <w:tbl>
      <w:tblPr>
        <w:tblLayout w:type="fixed"/>
        <w:tblInd w:w="80" w:type="dxa"/>
        <w:tblCellMar>
          <w:top w:w="0" w:type="dxa"/>
          <w:left w:w="0" w:type="dxa"/>
          <w:bottom w:w="0" w:type="dxa"/>
          <w:right w:w="0" w:type="dxa"/>
        </w:tblCellMar>
      </w:tblP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40" w:type="dxa"/>
            <w:vAlign w:val="bottom"/>
          </w:tcPr>
          <w:p>
            <w:pPr>
              <w:jc w:val="center"/>
              <w:ind w:right="117"/>
              <w:spacing w:after="0"/>
              <w:rPr>
                <w:sz w:val="20"/>
                <w:szCs w:val="20"/>
                <w:color w:val="auto"/>
              </w:rPr>
            </w:pPr>
            <w:r>
              <w:rPr>
                <w:rFonts w:ascii="Arial" w:cs="Arial" w:eastAsia="Arial" w:hAnsi="Arial"/>
                <w:sz w:val="16"/>
                <w:szCs w:val="16"/>
                <w:b w:val="1"/>
                <w:bCs w:val="1"/>
                <w:color w:val="auto"/>
                <w:w w:val="91"/>
              </w:rPr>
              <w:t>Approximate</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center"/>
              <w:ind w:left="299"/>
              <w:spacing w:after="0"/>
              <w:rPr>
                <w:sz w:val="20"/>
                <w:szCs w:val="20"/>
                <w:color w:val="auto"/>
              </w:rPr>
            </w:pPr>
            <w:r>
              <w:rPr>
                <w:rFonts w:ascii="Arial" w:cs="Arial" w:eastAsia="Arial" w:hAnsi="Arial"/>
                <w:sz w:val="16"/>
                <w:szCs w:val="16"/>
                <w:b w:val="1"/>
                <w:bCs w:val="1"/>
                <w:color w:val="auto"/>
                <w:w w:val="92"/>
              </w:rPr>
              <w:t>Total Number of</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40" w:type="dxa"/>
            <w:vAlign w:val="bottom"/>
          </w:tcPr>
          <w:p>
            <w:pPr>
              <w:jc w:val="center"/>
              <w:ind w:right="117"/>
              <w:spacing w:after="0"/>
              <w:rPr>
                <w:sz w:val="20"/>
                <w:szCs w:val="20"/>
                <w:color w:val="auto"/>
              </w:rPr>
            </w:pPr>
            <w:r>
              <w:rPr>
                <w:rFonts w:ascii="Arial" w:cs="Arial" w:eastAsia="Arial" w:hAnsi="Arial"/>
                <w:sz w:val="16"/>
                <w:szCs w:val="16"/>
                <w:b w:val="1"/>
                <w:bCs w:val="1"/>
                <w:color w:val="auto"/>
                <w:w w:val="94"/>
              </w:rPr>
              <w:t>Dollar Value of</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center"/>
              <w:ind w:left="319"/>
              <w:spacing w:after="0"/>
              <w:rPr>
                <w:sz w:val="20"/>
                <w:szCs w:val="20"/>
                <w:color w:val="auto"/>
              </w:rPr>
            </w:pPr>
            <w:r>
              <w:rPr>
                <w:rFonts w:ascii="Arial" w:cs="Arial" w:eastAsia="Arial" w:hAnsi="Arial"/>
                <w:sz w:val="16"/>
                <w:szCs w:val="16"/>
                <w:b w:val="1"/>
                <w:bCs w:val="1"/>
                <w:color w:val="auto"/>
                <w:w w:val="88"/>
              </w:rPr>
              <w:t>Shares Purchased</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40" w:type="dxa"/>
            <w:vAlign w:val="bottom"/>
          </w:tcPr>
          <w:p>
            <w:pPr>
              <w:jc w:val="center"/>
              <w:ind w:right="117"/>
              <w:spacing w:after="0"/>
              <w:rPr>
                <w:sz w:val="20"/>
                <w:szCs w:val="20"/>
                <w:color w:val="auto"/>
              </w:rPr>
            </w:pPr>
            <w:r>
              <w:rPr>
                <w:rFonts w:ascii="Arial" w:cs="Arial" w:eastAsia="Arial" w:hAnsi="Arial"/>
                <w:sz w:val="16"/>
                <w:szCs w:val="16"/>
                <w:b w:val="1"/>
                <w:bCs w:val="1"/>
                <w:color w:val="auto"/>
                <w:w w:val="92"/>
              </w:rPr>
              <w:t>Shares that May</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jc w:val="center"/>
              <w:ind w:left="14"/>
              <w:spacing w:after="0"/>
              <w:rPr>
                <w:sz w:val="20"/>
                <w:szCs w:val="20"/>
                <w:color w:val="auto"/>
              </w:rPr>
            </w:pPr>
            <w:r>
              <w:rPr>
                <w:rFonts w:ascii="Arial" w:cs="Arial" w:eastAsia="Arial" w:hAnsi="Arial"/>
                <w:sz w:val="16"/>
                <w:szCs w:val="16"/>
                <w:b w:val="1"/>
                <w:bCs w:val="1"/>
                <w:color w:val="auto"/>
                <w:w w:val="94"/>
              </w:rPr>
              <w:t>Total Number</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9"/>
              </w:rPr>
              <w:t>Average Price</w:t>
            </w:r>
          </w:p>
        </w:tc>
        <w:tc>
          <w:tcPr>
            <w:tcW w:w="1680" w:type="dxa"/>
            <w:vAlign w:val="bottom"/>
          </w:tcPr>
          <w:p>
            <w:pPr>
              <w:jc w:val="center"/>
              <w:ind w:left="279"/>
              <w:spacing w:after="0"/>
              <w:rPr>
                <w:sz w:val="20"/>
                <w:szCs w:val="20"/>
                <w:color w:val="auto"/>
              </w:rPr>
            </w:pPr>
            <w:r>
              <w:rPr>
                <w:rFonts w:ascii="Arial" w:cs="Arial" w:eastAsia="Arial" w:hAnsi="Arial"/>
                <w:sz w:val="16"/>
                <w:szCs w:val="16"/>
                <w:b w:val="1"/>
                <w:bCs w:val="1"/>
                <w:color w:val="auto"/>
                <w:w w:val="92"/>
              </w:rPr>
              <w:t>as Part of Publicly</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40" w:type="dxa"/>
            <w:vAlign w:val="bottom"/>
          </w:tcPr>
          <w:p>
            <w:pPr>
              <w:jc w:val="center"/>
              <w:ind w:right="117"/>
              <w:spacing w:after="0"/>
              <w:rPr>
                <w:sz w:val="20"/>
                <w:szCs w:val="20"/>
                <w:color w:val="auto"/>
              </w:rPr>
            </w:pPr>
            <w:r>
              <w:rPr>
                <w:rFonts w:ascii="Arial" w:cs="Arial" w:eastAsia="Arial" w:hAnsi="Arial"/>
                <w:sz w:val="16"/>
                <w:szCs w:val="16"/>
                <w:b w:val="1"/>
                <w:bCs w:val="1"/>
                <w:color w:val="auto"/>
                <w:w w:val="89"/>
              </w:rPr>
              <w:t>Yet Be Purchased</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jc w:val="center"/>
              <w:ind w:left="34"/>
              <w:spacing w:after="0"/>
              <w:rPr>
                <w:sz w:val="20"/>
                <w:szCs w:val="20"/>
                <w:color w:val="auto"/>
              </w:rPr>
            </w:pPr>
            <w:r>
              <w:rPr>
                <w:rFonts w:ascii="Arial" w:cs="Arial" w:eastAsia="Arial" w:hAnsi="Arial"/>
                <w:sz w:val="16"/>
                <w:szCs w:val="16"/>
                <w:b w:val="1"/>
                <w:bCs w:val="1"/>
                <w:color w:val="auto"/>
                <w:w w:val="87"/>
              </w:rPr>
              <w:t>of Shares</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4"/>
              </w:rPr>
              <w:t>Paid</w:t>
            </w:r>
          </w:p>
        </w:tc>
        <w:tc>
          <w:tcPr>
            <w:tcW w:w="1680" w:type="dxa"/>
            <w:vAlign w:val="bottom"/>
          </w:tcPr>
          <w:p>
            <w:pPr>
              <w:jc w:val="center"/>
              <w:ind w:left="279"/>
              <w:spacing w:after="0"/>
              <w:rPr>
                <w:sz w:val="20"/>
                <w:szCs w:val="20"/>
                <w:color w:val="auto"/>
              </w:rPr>
            </w:pPr>
            <w:r>
              <w:rPr>
                <w:rFonts w:ascii="Arial" w:cs="Arial" w:eastAsia="Arial" w:hAnsi="Arial"/>
                <w:sz w:val="16"/>
                <w:szCs w:val="16"/>
                <w:b w:val="1"/>
                <w:bCs w:val="1"/>
                <w:color w:val="auto"/>
                <w:w w:val="88"/>
              </w:rPr>
              <w:t>Announced Plans</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40" w:type="dxa"/>
            <w:vAlign w:val="bottom"/>
          </w:tcPr>
          <w:p>
            <w:pPr>
              <w:jc w:val="center"/>
              <w:ind w:right="117"/>
              <w:spacing w:after="0"/>
              <w:rPr>
                <w:sz w:val="20"/>
                <w:szCs w:val="20"/>
                <w:color w:val="auto"/>
              </w:rPr>
            </w:pPr>
            <w:r>
              <w:rPr>
                <w:rFonts w:ascii="Arial" w:cs="Arial" w:eastAsia="Arial" w:hAnsi="Arial"/>
                <w:sz w:val="16"/>
                <w:szCs w:val="16"/>
                <w:b w:val="1"/>
                <w:bCs w:val="1"/>
                <w:color w:val="auto"/>
                <w:w w:val="91"/>
              </w:rPr>
              <w:t>Under the Plans or</w:t>
            </w:r>
          </w:p>
        </w:tc>
      </w:tr>
      <w:tr>
        <w:trPr>
          <w:trHeight w:val="210"/>
        </w:trPr>
        <w:tc>
          <w:tcPr>
            <w:tcW w:w="3120" w:type="dxa"/>
            <w:vAlign w:val="bottom"/>
            <w:gridSpan w:val="2"/>
          </w:tcPr>
          <w:p>
            <w:pPr>
              <w:ind w:left="1260"/>
              <w:spacing w:after="0"/>
              <w:rPr>
                <w:sz w:val="20"/>
                <w:szCs w:val="20"/>
                <w:color w:val="auto"/>
              </w:rPr>
            </w:pPr>
            <w:r>
              <w:rPr>
                <w:rFonts w:ascii="Arial" w:cs="Arial" w:eastAsia="Arial" w:hAnsi="Arial"/>
                <w:sz w:val="16"/>
                <w:szCs w:val="16"/>
                <w:b w:val="1"/>
                <w:bCs w:val="1"/>
                <w:color w:val="auto"/>
              </w:rPr>
              <w:t>Period</w:t>
            </w:r>
          </w:p>
        </w:tc>
        <w:tc>
          <w:tcPr>
            <w:tcW w:w="1760" w:type="dxa"/>
            <w:vAlign w:val="bottom"/>
          </w:tcPr>
          <w:p>
            <w:pPr>
              <w:jc w:val="center"/>
              <w:ind w:left="34"/>
              <w:spacing w:after="0"/>
              <w:rPr>
                <w:sz w:val="20"/>
                <w:szCs w:val="20"/>
                <w:color w:val="auto"/>
              </w:rPr>
            </w:pPr>
            <w:r>
              <w:rPr>
                <w:rFonts w:ascii="Arial" w:cs="Arial" w:eastAsia="Arial" w:hAnsi="Arial"/>
                <w:sz w:val="16"/>
                <w:szCs w:val="16"/>
                <w:b w:val="1"/>
                <w:bCs w:val="1"/>
                <w:color w:val="auto"/>
                <w:w w:val="90"/>
              </w:rPr>
              <w:t>Purchased (1)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per Share</w:t>
            </w:r>
          </w:p>
        </w:tc>
        <w:tc>
          <w:tcPr>
            <w:tcW w:w="1680" w:type="dxa"/>
            <w:vAlign w:val="bottom"/>
          </w:tcPr>
          <w:p>
            <w:pPr>
              <w:jc w:val="center"/>
              <w:ind w:left="299"/>
              <w:spacing w:after="0"/>
              <w:rPr>
                <w:sz w:val="20"/>
                <w:szCs w:val="20"/>
                <w:color w:val="auto"/>
              </w:rPr>
            </w:pPr>
            <w:r>
              <w:rPr>
                <w:rFonts w:ascii="Arial" w:cs="Arial" w:eastAsia="Arial" w:hAnsi="Arial"/>
                <w:sz w:val="16"/>
                <w:szCs w:val="16"/>
                <w:b w:val="1"/>
                <w:bCs w:val="1"/>
                <w:color w:val="auto"/>
                <w:w w:val="92"/>
              </w:rPr>
              <w:t>or Programs (2)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jc w:val="center"/>
              <w:ind w:right="117"/>
              <w:spacing w:after="0"/>
              <w:rPr>
                <w:sz w:val="20"/>
                <w:szCs w:val="20"/>
                <w:color w:val="auto"/>
              </w:rPr>
            </w:pPr>
            <w:r>
              <w:rPr>
                <w:rFonts w:ascii="Arial" w:cs="Arial" w:eastAsia="Arial" w:hAnsi="Arial"/>
                <w:sz w:val="16"/>
                <w:szCs w:val="16"/>
                <w:b w:val="1"/>
                <w:bCs w:val="1"/>
                <w:color w:val="auto"/>
                <w:w w:val="91"/>
              </w:rPr>
              <w:t>Programs (2)</w:t>
            </w:r>
          </w:p>
        </w:tc>
      </w:tr>
      <w:tr>
        <w:trPr>
          <w:trHeight w:val="33"/>
        </w:trPr>
        <w:tc>
          <w:tcPr>
            <w:tcW w:w="3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58"/>
        </w:trPr>
        <w:tc>
          <w:tcPr>
            <w:tcW w:w="3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940" w:type="dxa"/>
            <w:vAlign w:val="bottom"/>
          </w:tcPr>
          <w:p>
            <w:pPr>
              <w:jc w:val="right"/>
              <w:ind w:right="277"/>
              <w:spacing w:after="0"/>
              <w:rPr>
                <w:sz w:val="20"/>
                <w:szCs w:val="20"/>
                <w:color w:val="auto"/>
              </w:rPr>
            </w:pPr>
            <w:r>
              <w:rPr>
                <w:rFonts w:ascii="Arial" w:cs="Arial" w:eastAsia="Arial" w:hAnsi="Arial"/>
                <w:sz w:val="14"/>
                <w:szCs w:val="14"/>
                <w:b w:val="1"/>
                <w:bCs w:val="1"/>
                <w:color w:val="auto"/>
                <w:w w:val="95"/>
              </w:rPr>
              <w:t>(in thousands of dollars)</w:t>
            </w:r>
          </w:p>
        </w:tc>
      </w:tr>
      <w:tr>
        <w:trPr>
          <w:trHeight w:val="27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April 2 through April 29</w:t>
            </w:r>
          </w:p>
        </w:tc>
        <w:tc>
          <w:tcPr>
            <w:tcW w:w="1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98,758</w:t>
            </w:r>
          </w:p>
        </w:tc>
        <w:tc>
          <w:tcPr>
            <w:tcW w:w="4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98.87</w:t>
            </w: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60,000</w:t>
            </w:r>
          </w:p>
        </w:tc>
      </w:tr>
      <w:tr>
        <w:trPr>
          <w:trHeight w:val="257"/>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April 30 through May 27</w:t>
            </w:r>
          </w:p>
        </w:tc>
        <w:tc>
          <w:tcPr>
            <w:tcW w:w="1760" w:type="dxa"/>
            <w:vAlign w:val="bottom"/>
          </w:tcPr>
          <w:p>
            <w:pPr>
              <w:jc w:val="right"/>
              <w:ind w:right="14"/>
              <w:spacing w:after="0"/>
              <w:rPr>
                <w:sz w:val="20"/>
                <w:szCs w:val="20"/>
                <w:color w:val="auto"/>
              </w:rPr>
            </w:pPr>
            <w:r>
              <w:rPr>
                <w:rFonts w:ascii="Arial" w:cs="Arial" w:eastAsia="Arial" w:hAnsi="Arial"/>
                <w:sz w:val="18"/>
                <w:szCs w:val="18"/>
                <w:color w:val="auto"/>
              </w:rPr>
              <w:t>131,500</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89.95</w:t>
            </w:r>
          </w:p>
        </w:tc>
        <w:tc>
          <w:tcPr>
            <w:tcW w:w="1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37"/>
              <w:spacing w:after="0"/>
              <w:rPr>
                <w:sz w:val="20"/>
                <w:szCs w:val="20"/>
                <w:color w:val="auto"/>
              </w:rPr>
            </w:pPr>
            <w:r>
              <w:rPr>
                <w:rFonts w:ascii="Arial" w:cs="Arial" w:eastAsia="Arial" w:hAnsi="Arial"/>
                <w:sz w:val="18"/>
                <w:szCs w:val="18"/>
                <w:color w:val="auto"/>
              </w:rPr>
              <w:t>60,000</w:t>
            </w: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84"/>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May 28 through July 1</w:t>
            </w:r>
          </w:p>
        </w:tc>
        <w:tc>
          <w:tcPr>
            <w:tcW w:w="1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60,000</w:t>
            </w:r>
          </w:p>
        </w:tc>
      </w:tr>
      <w:tr>
        <w:trPr>
          <w:trHeight w:val="271"/>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7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230,258</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93.78</w:t>
            </w:r>
          </w:p>
        </w:tc>
        <w:tc>
          <w:tcPr>
            <w:tcW w:w="120" w:type="dxa"/>
            <w:vAlign w:val="bottom"/>
          </w:tcPr>
          <w:p>
            <w:pPr>
              <w:spacing w:after="0"/>
              <w:rPr>
                <w:sz w:val="23"/>
                <w:szCs w:val="23"/>
                <w:color w:val="auto"/>
              </w:rPr>
            </w:pPr>
          </w:p>
        </w:tc>
        <w:tc>
          <w:tcPr>
            <w:tcW w:w="1680" w:type="dxa"/>
            <w:vAlign w:val="bottom"/>
            <w:tcBorders>
              <w:top w:val="single" w:sz="8" w:color="auto"/>
              <w:bottom w:val="single" w:sz="8" w:color="auto"/>
            </w:tcBorders>
          </w:tcPr>
          <w:p>
            <w:pPr>
              <w:spacing w:after="0"/>
              <w:rPr>
                <w:sz w:val="23"/>
                <w:szCs w:val="23"/>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67" w:lineRule="exact"/>
        <w:rPr>
          <w:sz w:val="20"/>
          <w:szCs w:val="20"/>
          <w:color w:val="auto"/>
        </w:rPr>
      </w:pPr>
    </w:p>
    <w:p>
      <w:pPr>
        <w:ind w:right="600" w:firstLine="8"/>
        <w:spacing w:after="0" w:line="277" w:lineRule="auto"/>
        <w:tabs>
          <w:tab w:leader="none" w:pos="2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During the three months ended July 1, 2018, 230,258 shares of Common Stock were purchased in open market transactions in connection with our practice of buying back shares sufficient to offset those issued under incentive compensation plans.</w:t>
      </w:r>
    </w:p>
    <w:p>
      <w:pPr>
        <w:spacing w:after="0" w:line="8" w:lineRule="exact"/>
        <w:rPr>
          <w:rFonts w:ascii="Arial" w:cs="Arial" w:eastAsia="Arial" w:hAnsi="Arial"/>
          <w:sz w:val="18"/>
          <w:szCs w:val="18"/>
          <w:color w:val="auto"/>
        </w:rPr>
      </w:pPr>
    </w:p>
    <w:p>
      <w:pPr>
        <w:ind w:firstLine="8"/>
        <w:spacing w:after="0" w:line="276" w:lineRule="auto"/>
        <w:tabs>
          <w:tab w:leader="none" w:pos="255"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 January 2016, our Board of Directors approved a $500 million share repurchase authorization. This program was completed in the first quarter of 2018. In October 2017, our Board of Directors approved an additional $100 million share repurchase authorization. As of July 1, 2018, approximately $60 million remained available for repurchases of our Common Stock under this program. The share repurchase program does not have an expiration date. In July 2018, our Board of Directors approved an additional $500 million share repurchase authorization (excluded from the table above). This program is to commence after the existing 2017 authorization is completed and is to be utilized at management's discretion.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80"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Item 6. Exhibits.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this Quarterly Report on Form 10-Q:</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gridSpan w:val="6"/>
          </w:tcPr>
          <w:p>
            <w:pPr>
              <w:jc w:val="center"/>
              <w:ind w:right="440"/>
              <w:spacing w:after="0"/>
              <w:rPr>
                <w:sz w:val="20"/>
                <w:szCs w:val="20"/>
                <w:color w:val="auto"/>
              </w:rPr>
            </w:pPr>
            <w:r>
              <w:rPr>
                <w:rFonts w:ascii="Arial" w:cs="Arial" w:eastAsia="Arial" w:hAnsi="Arial"/>
                <w:sz w:val="16"/>
                <w:szCs w:val="16"/>
                <w:b w:val="1"/>
                <w:bCs w:val="1"/>
                <w:color w:val="auto"/>
                <w:w w:val="97"/>
              </w:rPr>
              <w:t>Exhibit</w:t>
            </w:r>
          </w:p>
        </w:tc>
        <w:tc>
          <w:tcPr>
            <w:tcW w:w="8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6"/>
          </w:tcPr>
          <w:p>
            <w:pPr>
              <w:jc w:val="center"/>
              <w:ind w:right="420"/>
              <w:spacing w:after="0"/>
              <w:rPr>
                <w:sz w:val="20"/>
                <w:szCs w:val="20"/>
                <w:color w:val="auto"/>
              </w:rPr>
            </w:pPr>
            <w:r>
              <w:rPr>
                <w:rFonts w:ascii="Arial" w:cs="Arial" w:eastAsia="Arial" w:hAnsi="Arial"/>
                <w:sz w:val="16"/>
                <w:szCs w:val="16"/>
                <w:b w:val="1"/>
                <w:bCs w:val="1"/>
                <w:color w:val="auto"/>
                <w:w w:val="95"/>
              </w:rPr>
              <w:t>Number</w:t>
            </w: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160" w:type="dxa"/>
            <w:vAlign w:val="bottom"/>
            <w:gridSpan w:val="10"/>
          </w:tcPr>
          <w:p>
            <w:pPr>
              <w:ind w:left="680"/>
              <w:spacing w:after="0"/>
              <w:rPr>
                <w:sz w:val="20"/>
                <w:szCs w:val="20"/>
                <w:color w:val="auto"/>
              </w:rPr>
            </w:pPr>
            <w:r>
              <w:rPr>
                <w:rFonts w:ascii="Arial" w:cs="Arial" w:eastAsia="Arial" w:hAnsi="Arial"/>
                <w:sz w:val="16"/>
                <w:szCs w:val="16"/>
                <w:b w:val="1"/>
                <w:bCs w:val="1"/>
                <w:color w:val="auto"/>
              </w:rPr>
              <w:t>Description</w:t>
            </w:r>
          </w:p>
        </w:tc>
      </w:tr>
      <w:tr>
        <w:trPr>
          <w:trHeight w:val="33"/>
        </w:trPr>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183"/>
        </w:trPr>
        <w:tc>
          <w:tcPr>
            <w:tcW w:w="440" w:type="dxa"/>
            <w:vAlign w:val="bottom"/>
            <w:gridSpan w:val="3"/>
            <w:shd w:val="clear" w:color="auto" w:fill="CCEEFF"/>
          </w:tcPr>
          <w:p>
            <w:pPr>
              <w:spacing w:after="0"/>
              <w:rPr>
                <w:sz w:val="15"/>
                <w:szCs w:val="15"/>
                <w:color w:val="auto"/>
              </w:rPr>
            </w:pPr>
          </w:p>
        </w:tc>
        <w:tc>
          <w:tcPr>
            <w:tcW w:w="280" w:type="dxa"/>
            <w:vAlign w:val="bottom"/>
            <w:shd w:val="clear" w:color="auto" w:fill="CCEEFF"/>
          </w:tcPr>
          <w:p>
            <w:pPr>
              <w:jc w:val="center"/>
              <w:spacing w:after="0" w:line="183" w:lineRule="exact"/>
              <w:rPr>
                <w:rFonts w:ascii="Arial" w:cs="Arial" w:eastAsia="Arial" w:hAnsi="Arial"/>
                <w:sz w:val="16"/>
                <w:szCs w:val="16"/>
                <w:color w:val="0000FF"/>
                <w:w w:val="89"/>
              </w:rPr>
            </w:pPr>
            <w:hyperlink w:anchor="page53">
              <w:r>
                <w:rPr>
                  <w:rFonts w:ascii="Arial" w:cs="Arial" w:eastAsia="Arial" w:hAnsi="Arial"/>
                  <w:sz w:val="16"/>
                  <w:szCs w:val="16"/>
                  <w:color w:val="0000FF"/>
                  <w:w w:val="89"/>
                </w:rPr>
                <w:t>12.</w:t>
              </w:r>
              <w:r>
                <w:rPr>
                  <w:rFonts w:ascii="Arial" w:cs="Arial" w:eastAsia="Arial" w:hAnsi="Arial"/>
                  <w:sz w:val="16"/>
                  <w:szCs w:val="16"/>
                  <w:u w:val="single" w:color="auto"/>
                  <w:color w:val="0000FF"/>
                  <w:w w:val="89"/>
                </w:rPr>
                <w:t>1</w:t>
              </w:r>
            </w:hyperlink>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0120" w:type="dxa"/>
            <w:vAlign w:val="bottom"/>
            <w:gridSpan w:val="20"/>
            <w:shd w:val="clear" w:color="auto" w:fill="CCEEFF"/>
          </w:tcPr>
          <w:p>
            <w:pPr>
              <w:spacing w:after="0" w:line="183" w:lineRule="exact"/>
              <w:rPr>
                <w:rFonts w:ascii="Arial" w:cs="Arial" w:eastAsia="Arial" w:hAnsi="Arial"/>
                <w:sz w:val="16"/>
                <w:szCs w:val="16"/>
                <w:color w:val="0000FF"/>
              </w:rPr>
            </w:pPr>
            <w:hyperlink w:anchor="page53">
              <w:r>
                <w:rPr>
                  <w:rFonts w:ascii="Arial" w:cs="Arial" w:eastAsia="Arial" w:hAnsi="Arial"/>
                  <w:sz w:val="16"/>
                  <w:szCs w:val="16"/>
                  <w:color w:val="0000FF"/>
                </w:rPr>
                <w:t>Computation of Ratio of Earnings to Fixed Charges.</w:t>
              </w:r>
            </w:hyperlink>
            <w:r>
              <w:rPr>
                <w:rFonts w:ascii="Arial" w:cs="Arial" w:eastAsia="Arial" w:hAnsi="Arial"/>
                <w:sz w:val="16"/>
                <w:szCs w:val="16"/>
                <w:color w:val="000000"/>
              </w:rPr>
              <w:t>*</w:t>
            </w:r>
          </w:p>
        </w:tc>
      </w:tr>
      <w:tr>
        <w:trPr>
          <w:trHeight w:val="48"/>
        </w:trPr>
        <w:tc>
          <w:tcPr>
            <w:tcW w:w="2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right w:val="single" w:sz="8" w:color="CCEEFF"/>
            </w:tcBorders>
            <w:shd w:val="clear" w:color="auto" w:fill="CCEEFF"/>
          </w:tcPr>
          <w:p>
            <w:pPr>
              <w:spacing w:after="0"/>
              <w:rPr>
                <w:sz w:val="4"/>
                <w:szCs w:val="4"/>
                <w:color w:val="auto"/>
              </w:rPr>
            </w:pPr>
          </w:p>
        </w:tc>
        <w:tc>
          <w:tcPr>
            <w:tcW w:w="800" w:type="dxa"/>
            <w:vAlign w:val="bottom"/>
            <w:tcBorders>
              <w:top w:val="single" w:sz="8" w:color="0000FF"/>
            </w:tcBorders>
            <w:shd w:val="clear" w:color="auto" w:fill="CCEEFF"/>
          </w:tcPr>
          <w:p>
            <w:pPr>
              <w:spacing w:after="0"/>
              <w:rPr>
                <w:sz w:val="4"/>
                <w:szCs w:val="4"/>
                <w:color w:val="auto"/>
              </w:rPr>
            </w:pPr>
          </w:p>
        </w:tc>
        <w:tc>
          <w:tcPr>
            <w:tcW w:w="92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37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189"/>
        </w:trPr>
        <w:tc>
          <w:tcPr>
            <w:tcW w:w="440" w:type="dxa"/>
            <w:vAlign w:val="bottom"/>
            <w:gridSpan w:val="3"/>
          </w:tcPr>
          <w:p>
            <w:pPr>
              <w:spacing w:after="0"/>
              <w:rPr>
                <w:sz w:val="16"/>
                <w:szCs w:val="16"/>
                <w:color w:val="auto"/>
              </w:rPr>
            </w:pPr>
          </w:p>
        </w:tc>
        <w:tc>
          <w:tcPr>
            <w:tcW w:w="280" w:type="dxa"/>
            <w:vAlign w:val="bottom"/>
          </w:tcPr>
          <w:p>
            <w:pPr>
              <w:jc w:val="center"/>
              <w:spacing w:after="0"/>
              <w:rPr>
                <w:rFonts w:ascii="Arial" w:cs="Arial" w:eastAsia="Arial" w:hAnsi="Arial"/>
                <w:sz w:val="16"/>
                <w:szCs w:val="16"/>
                <w:color w:val="0000FF"/>
                <w:w w:val="89"/>
              </w:rPr>
            </w:pPr>
            <w:hyperlink w:anchor="page54">
              <w:r>
                <w:rPr>
                  <w:rFonts w:ascii="Arial" w:cs="Arial" w:eastAsia="Arial" w:hAnsi="Arial"/>
                  <w:sz w:val="16"/>
                  <w:szCs w:val="16"/>
                  <w:color w:val="0000FF"/>
                  <w:w w:val="89"/>
                </w:rPr>
                <w:t>31.</w:t>
              </w:r>
              <w:r>
                <w:rPr>
                  <w:rFonts w:ascii="Arial" w:cs="Arial" w:eastAsia="Arial" w:hAnsi="Arial"/>
                  <w:sz w:val="16"/>
                  <w:szCs w:val="16"/>
                  <w:u w:val="single" w:color="auto"/>
                  <w:color w:val="0000FF"/>
                  <w:w w:val="89"/>
                </w:rPr>
                <w:t>1</w:t>
              </w:r>
            </w:hyperlink>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120" w:type="dxa"/>
            <w:vAlign w:val="bottom"/>
            <w:gridSpan w:val="20"/>
          </w:tcPr>
          <w:p>
            <w:pPr>
              <w:spacing w:after="0"/>
              <w:rPr>
                <w:rFonts w:ascii="Arial" w:cs="Arial" w:eastAsia="Arial" w:hAnsi="Arial"/>
                <w:sz w:val="16"/>
                <w:szCs w:val="16"/>
                <w:color w:val="0000FF"/>
              </w:rPr>
            </w:pPr>
            <w:hyperlink w:anchor="page54">
              <w:r>
                <w:rPr>
                  <w:rFonts w:ascii="Arial" w:cs="Arial" w:eastAsia="Arial" w:hAnsi="Arial"/>
                  <w:sz w:val="16"/>
                  <w:szCs w:val="16"/>
                  <w:color w:val="0000FF"/>
                </w:rPr>
                <w:t>Certification of Michele G. Buck, Chief Executive Officer, pursuant to Section 302 of the Sarbanes-Oxley Act of 2002.</w:t>
              </w:r>
            </w:hyperlink>
            <w:r>
              <w:rPr>
                <w:rFonts w:ascii="Arial" w:cs="Arial" w:eastAsia="Arial" w:hAnsi="Arial"/>
                <w:sz w:val="16"/>
                <w:szCs w:val="16"/>
                <w:color w:val="000000"/>
              </w:rPr>
              <w:t>*</w:t>
            </w:r>
          </w:p>
        </w:tc>
      </w:tr>
      <w:tr>
        <w:trPr>
          <w:trHeight w:val="61"/>
        </w:trPr>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Borders>
              <w:top w:val="single" w:sz="8" w:color="0000FF"/>
            </w:tcBorders>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Borders>
              <w:top w:val="single" w:sz="8" w:color="0000FF"/>
            </w:tcBorders>
          </w:tcPr>
          <w:p>
            <w:pPr>
              <w:spacing w:after="0"/>
              <w:rPr>
                <w:sz w:val="5"/>
                <w:szCs w:val="5"/>
                <w:color w:val="auto"/>
              </w:rPr>
            </w:pPr>
          </w:p>
        </w:tc>
        <w:tc>
          <w:tcPr>
            <w:tcW w:w="920" w:type="dxa"/>
            <w:vAlign w:val="bottom"/>
            <w:tcBorders>
              <w:top w:val="single" w:sz="8" w:color="0000FF"/>
            </w:tcBorders>
          </w:tcPr>
          <w:p>
            <w:pPr>
              <w:spacing w:after="0"/>
              <w:rPr>
                <w:sz w:val="5"/>
                <w:szCs w:val="5"/>
                <w:color w:val="auto"/>
              </w:rPr>
            </w:pPr>
          </w:p>
        </w:tc>
        <w:tc>
          <w:tcPr>
            <w:tcW w:w="240" w:type="dxa"/>
            <w:vAlign w:val="bottom"/>
            <w:tcBorders>
              <w:top w:val="single" w:sz="8" w:color="0000FF"/>
            </w:tcBorders>
          </w:tcPr>
          <w:p>
            <w:pPr>
              <w:spacing w:after="0"/>
              <w:rPr>
                <w:sz w:val="5"/>
                <w:szCs w:val="5"/>
                <w:color w:val="auto"/>
              </w:rPr>
            </w:pPr>
          </w:p>
        </w:tc>
        <w:tc>
          <w:tcPr>
            <w:tcW w:w="440" w:type="dxa"/>
            <w:vAlign w:val="bottom"/>
            <w:tcBorders>
              <w:top w:val="single" w:sz="8" w:color="0000FF"/>
            </w:tcBorders>
          </w:tcPr>
          <w:p>
            <w:pPr>
              <w:spacing w:after="0"/>
              <w:rPr>
                <w:sz w:val="5"/>
                <w:szCs w:val="5"/>
                <w:color w:val="auto"/>
              </w:rPr>
            </w:pPr>
          </w:p>
        </w:tc>
        <w:tc>
          <w:tcPr>
            <w:tcW w:w="48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580" w:type="dxa"/>
            <w:vAlign w:val="bottom"/>
            <w:tcBorders>
              <w:top w:val="single" w:sz="8" w:color="0000FF"/>
            </w:tcBorders>
          </w:tcPr>
          <w:p>
            <w:pPr>
              <w:spacing w:after="0"/>
              <w:rPr>
                <w:sz w:val="5"/>
                <w:szCs w:val="5"/>
                <w:color w:val="auto"/>
              </w:rPr>
            </w:pPr>
          </w:p>
        </w:tc>
        <w:tc>
          <w:tcPr>
            <w:tcW w:w="370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60" w:type="dxa"/>
            <w:vAlign w:val="bottom"/>
          </w:tcPr>
          <w:p>
            <w:pPr>
              <w:spacing w:after="0"/>
              <w:rPr>
                <w:sz w:val="5"/>
                <w:szCs w:val="5"/>
                <w:color w:val="auto"/>
              </w:rPr>
            </w:pPr>
          </w:p>
        </w:tc>
        <w:tc>
          <w:tcPr>
            <w:tcW w:w="18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189"/>
        </w:trPr>
        <w:tc>
          <w:tcPr>
            <w:tcW w:w="720" w:type="dxa"/>
            <w:vAlign w:val="bottom"/>
            <w:gridSpan w:val="4"/>
            <w:shd w:val="clear" w:color="auto" w:fill="CCEEFF"/>
          </w:tcPr>
          <w:p>
            <w:pPr>
              <w:jc w:val="center"/>
              <w:ind w:left="359"/>
              <w:spacing w:after="0"/>
              <w:rPr>
                <w:rFonts w:ascii="Arial" w:cs="Arial" w:eastAsia="Arial" w:hAnsi="Arial"/>
                <w:sz w:val="16"/>
                <w:szCs w:val="16"/>
                <w:color w:val="0000FF"/>
                <w:w w:val="89"/>
              </w:rPr>
            </w:pPr>
            <w:hyperlink w:anchor="page55">
              <w:r>
                <w:rPr>
                  <w:rFonts w:ascii="Arial" w:cs="Arial" w:eastAsia="Arial" w:hAnsi="Arial"/>
                  <w:sz w:val="16"/>
                  <w:szCs w:val="16"/>
                  <w:color w:val="0000FF"/>
                  <w:w w:val="89"/>
                </w:rPr>
                <w:t>31.</w:t>
              </w:r>
              <w:r>
                <w:rPr>
                  <w:rFonts w:ascii="Arial" w:cs="Arial" w:eastAsia="Arial" w:hAnsi="Arial"/>
                  <w:sz w:val="16"/>
                  <w:szCs w:val="16"/>
                  <w:u w:val="single" w:color="auto"/>
                  <w:color w:val="0000FF"/>
                  <w:w w:val="89"/>
                </w:rPr>
                <w:t>2</w:t>
              </w:r>
            </w:hyperlink>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120" w:type="dxa"/>
            <w:vAlign w:val="bottom"/>
            <w:gridSpan w:val="20"/>
            <w:shd w:val="clear" w:color="auto" w:fill="CCEEFF"/>
          </w:tcPr>
          <w:p>
            <w:pPr>
              <w:spacing w:after="0"/>
              <w:rPr>
                <w:rFonts w:ascii="Arial" w:cs="Arial" w:eastAsia="Arial" w:hAnsi="Arial"/>
                <w:sz w:val="16"/>
                <w:szCs w:val="16"/>
                <w:color w:val="0000FF"/>
              </w:rPr>
            </w:pPr>
            <w:hyperlink w:anchor="page55">
              <w:r>
                <w:rPr>
                  <w:rFonts w:ascii="Arial" w:cs="Arial" w:eastAsia="Arial" w:hAnsi="Arial"/>
                  <w:sz w:val="16"/>
                  <w:szCs w:val="16"/>
                  <w:color w:val="0000FF"/>
                </w:rPr>
                <w:t>Certification of Patricia A. Little, Chief Financial Officer, pursuant to Section 302 of the Sarbanes-Oxley Act of 2002.</w:t>
              </w:r>
            </w:hyperlink>
            <w:r>
              <w:rPr>
                <w:rFonts w:ascii="Arial" w:cs="Arial" w:eastAsia="Arial" w:hAnsi="Arial"/>
                <w:sz w:val="16"/>
                <w:szCs w:val="16"/>
                <w:color w:val="000000"/>
              </w:rPr>
              <w:t>*</w:t>
            </w:r>
          </w:p>
        </w:tc>
      </w:tr>
      <w:tr>
        <w:trPr>
          <w:trHeight w:val="61"/>
        </w:trPr>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0000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right w:val="single" w:sz="8" w:color="CCEEFF"/>
            </w:tcBorders>
            <w:shd w:val="clear" w:color="auto" w:fill="CCEEFF"/>
          </w:tcPr>
          <w:p>
            <w:pPr>
              <w:spacing w:after="0"/>
              <w:rPr>
                <w:sz w:val="5"/>
                <w:szCs w:val="5"/>
                <w:color w:val="auto"/>
              </w:rPr>
            </w:pPr>
          </w:p>
        </w:tc>
        <w:tc>
          <w:tcPr>
            <w:tcW w:w="800" w:type="dxa"/>
            <w:vAlign w:val="bottom"/>
            <w:tcBorders>
              <w:top w:val="single" w:sz="8" w:color="0000FF"/>
            </w:tcBorders>
            <w:shd w:val="clear" w:color="auto" w:fill="CCEEFF"/>
          </w:tcPr>
          <w:p>
            <w:pPr>
              <w:spacing w:after="0"/>
              <w:rPr>
                <w:sz w:val="5"/>
                <w:szCs w:val="5"/>
                <w:color w:val="auto"/>
              </w:rPr>
            </w:pPr>
          </w:p>
        </w:tc>
        <w:tc>
          <w:tcPr>
            <w:tcW w:w="920" w:type="dxa"/>
            <w:vAlign w:val="bottom"/>
            <w:tcBorders>
              <w:top w:val="single" w:sz="8" w:color="0000FF"/>
            </w:tcBorders>
            <w:shd w:val="clear" w:color="auto" w:fill="CCEEFF"/>
          </w:tcPr>
          <w:p>
            <w:pPr>
              <w:spacing w:after="0"/>
              <w:rPr>
                <w:sz w:val="5"/>
                <w:szCs w:val="5"/>
                <w:color w:val="auto"/>
              </w:rPr>
            </w:pPr>
          </w:p>
        </w:tc>
        <w:tc>
          <w:tcPr>
            <w:tcW w:w="240" w:type="dxa"/>
            <w:vAlign w:val="bottom"/>
            <w:tcBorders>
              <w:top w:val="single" w:sz="8" w:color="0000FF"/>
            </w:tcBorders>
            <w:shd w:val="clear" w:color="auto" w:fill="CCEEFF"/>
          </w:tcPr>
          <w:p>
            <w:pPr>
              <w:spacing w:after="0"/>
              <w:rPr>
                <w:sz w:val="5"/>
                <w:szCs w:val="5"/>
                <w:color w:val="auto"/>
              </w:rPr>
            </w:pPr>
          </w:p>
        </w:tc>
        <w:tc>
          <w:tcPr>
            <w:tcW w:w="440" w:type="dxa"/>
            <w:vAlign w:val="bottom"/>
            <w:tcBorders>
              <w:top w:val="single" w:sz="8" w:color="0000FF"/>
            </w:tcBorders>
            <w:shd w:val="clear" w:color="auto" w:fill="CCEEFF"/>
          </w:tcPr>
          <w:p>
            <w:pPr>
              <w:spacing w:after="0"/>
              <w:rPr>
                <w:sz w:val="5"/>
                <w:szCs w:val="5"/>
                <w:color w:val="auto"/>
              </w:rPr>
            </w:pPr>
          </w:p>
        </w:tc>
        <w:tc>
          <w:tcPr>
            <w:tcW w:w="480" w:type="dxa"/>
            <w:vAlign w:val="bottom"/>
            <w:tcBorders>
              <w:top w:val="single" w:sz="8" w:color="0000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580" w:type="dxa"/>
            <w:vAlign w:val="bottom"/>
            <w:tcBorders>
              <w:top w:val="single" w:sz="8" w:color="0000FF"/>
            </w:tcBorders>
            <w:shd w:val="clear" w:color="auto" w:fill="CCEEFF"/>
          </w:tcPr>
          <w:p>
            <w:pPr>
              <w:spacing w:after="0"/>
              <w:rPr>
                <w:sz w:val="5"/>
                <w:szCs w:val="5"/>
                <w:color w:val="auto"/>
              </w:rPr>
            </w:pPr>
          </w:p>
        </w:tc>
        <w:tc>
          <w:tcPr>
            <w:tcW w:w="370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8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r>
      <w:tr>
        <w:trPr>
          <w:trHeight w:val="189"/>
        </w:trPr>
        <w:tc>
          <w:tcPr>
            <w:tcW w:w="440" w:type="dxa"/>
            <w:vAlign w:val="bottom"/>
            <w:gridSpan w:val="3"/>
          </w:tcPr>
          <w:p>
            <w:pPr>
              <w:spacing w:after="0"/>
              <w:rPr>
                <w:sz w:val="16"/>
                <w:szCs w:val="16"/>
                <w:color w:val="auto"/>
              </w:rPr>
            </w:pPr>
          </w:p>
        </w:tc>
        <w:tc>
          <w:tcPr>
            <w:tcW w:w="280" w:type="dxa"/>
            <w:vAlign w:val="bottom"/>
            <w:tcBorders>
              <w:bottom w:val="single" w:sz="8" w:color="0000FF"/>
            </w:tcBorders>
          </w:tcPr>
          <w:p>
            <w:pPr>
              <w:jc w:val="center"/>
              <w:spacing w:after="0"/>
              <w:rPr>
                <w:rFonts w:ascii="Arial" w:cs="Arial" w:eastAsia="Arial" w:hAnsi="Arial"/>
                <w:sz w:val="16"/>
                <w:szCs w:val="16"/>
                <w:color w:val="0000FF"/>
                <w:w w:val="89"/>
              </w:rPr>
            </w:pPr>
            <w:hyperlink w:anchor="page56">
              <w:r>
                <w:rPr>
                  <w:rFonts w:ascii="Arial" w:cs="Arial" w:eastAsia="Arial" w:hAnsi="Arial"/>
                  <w:sz w:val="16"/>
                  <w:szCs w:val="16"/>
                  <w:color w:val="0000FF"/>
                  <w:w w:val="89"/>
                </w:rPr>
                <w:t>32.</w:t>
              </w:r>
              <w:r>
                <w:rPr>
                  <w:rFonts w:ascii="Arial" w:cs="Arial" w:eastAsia="Arial" w:hAnsi="Arial"/>
                  <w:sz w:val="16"/>
                  <w:szCs w:val="16"/>
                  <w:u w:val="single" w:color="auto"/>
                  <w:color w:val="0000FF"/>
                  <w:w w:val="89"/>
                </w:rPr>
                <w:t>1</w:t>
              </w:r>
            </w:hyperlink>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900" w:type="dxa"/>
            <w:vAlign w:val="bottom"/>
            <w:tcBorders>
              <w:bottom w:val="single" w:sz="8" w:color="0000FF"/>
            </w:tcBorders>
            <w:gridSpan w:val="17"/>
          </w:tcPr>
          <w:p>
            <w:pPr>
              <w:spacing w:after="0"/>
              <w:rPr>
                <w:rFonts w:ascii="Arial" w:cs="Arial" w:eastAsia="Arial" w:hAnsi="Arial"/>
                <w:sz w:val="16"/>
                <w:szCs w:val="16"/>
                <w:color w:val="0000FF"/>
                <w:w w:val="93"/>
              </w:rPr>
            </w:pPr>
            <w:hyperlink w:anchor="page56">
              <w:r>
                <w:rPr>
                  <w:rFonts w:ascii="Arial" w:cs="Arial" w:eastAsia="Arial" w:hAnsi="Arial"/>
                  <w:sz w:val="16"/>
                  <w:szCs w:val="16"/>
                  <w:color w:val="0000FF"/>
                  <w:w w:val="93"/>
                </w:rPr>
                <w:t>Certification of Michele G. Buck, Chief Executive Officer, and Patricia A. Little, Chief Financial Officer, pursuant to Section 906 of the Sarbanes-Oxley</w:t>
              </w:r>
            </w:hyperlink>
          </w:p>
        </w:tc>
        <w:tc>
          <w:tcPr>
            <w:tcW w:w="220" w:type="dxa"/>
            <w:vAlign w:val="bottom"/>
            <w:gridSpan w:val="3"/>
          </w:tcPr>
          <w:p>
            <w:pPr>
              <w:spacing w:after="0"/>
              <w:rPr>
                <w:sz w:val="16"/>
                <w:szCs w:val="16"/>
                <w:color w:val="auto"/>
              </w:rPr>
            </w:pPr>
          </w:p>
        </w:tc>
      </w:tr>
      <w:tr>
        <w:trPr>
          <w:trHeight w:val="183"/>
        </w:trPr>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120" w:type="dxa"/>
            <w:vAlign w:val="bottom"/>
            <w:gridSpan w:val="20"/>
          </w:tcPr>
          <w:p>
            <w:pPr>
              <w:spacing w:after="0" w:line="183" w:lineRule="exact"/>
              <w:rPr>
                <w:rFonts w:ascii="Arial" w:cs="Arial" w:eastAsia="Arial" w:hAnsi="Arial"/>
                <w:sz w:val="16"/>
                <w:szCs w:val="16"/>
                <w:color w:val="0000FF"/>
              </w:rPr>
            </w:pPr>
            <w:hyperlink w:anchor="page56">
              <w:r>
                <w:rPr>
                  <w:rFonts w:ascii="Arial" w:cs="Arial" w:eastAsia="Arial" w:hAnsi="Arial"/>
                  <w:sz w:val="16"/>
                  <w:szCs w:val="16"/>
                  <w:color w:val="0000FF"/>
                </w:rPr>
                <w:t>Act of 2002.</w:t>
              </w:r>
              <w:r>
                <w:rPr>
                  <w:rFonts w:ascii="Arial" w:cs="Arial" w:eastAsia="Arial" w:hAnsi="Arial"/>
                  <w:sz w:val="16"/>
                  <w:szCs w:val="16"/>
                  <w:color w:val="000000"/>
                </w:rPr>
                <w:t>**</w:t>
              </w:r>
            </w:hyperlink>
          </w:p>
        </w:tc>
      </w:tr>
      <w:tr>
        <w:trPr>
          <w:trHeight w:val="48"/>
        </w:trPr>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440" w:type="dxa"/>
            <w:vAlign w:val="bottom"/>
            <w:tcBorders>
              <w:bottom w:val="single" w:sz="8" w:color="CCEEFF"/>
            </w:tcBorders>
            <w:gridSpan w:val="3"/>
            <w:shd w:val="clear" w:color="auto" w:fill="CCEEFF"/>
          </w:tcPr>
          <w:p>
            <w:pPr>
              <w:spacing w:after="0"/>
              <w:rPr>
                <w:sz w:val="16"/>
                <w:szCs w:val="16"/>
                <w:color w:val="auto"/>
              </w:rPr>
            </w:pPr>
          </w:p>
        </w:tc>
        <w:tc>
          <w:tcPr>
            <w:tcW w:w="280" w:type="dxa"/>
            <w:vAlign w:val="bottom"/>
            <w:tcBorders>
              <w:bottom w:val="single" w:sz="8" w:color="0000FF"/>
            </w:tcBorders>
            <w:shd w:val="clear" w:color="auto" w:fill="CCEEFF"/>
          </w:tcPr>
          <w:p>
            <w:pPr>
              <w:jc w:val="center"/>
              <w:spacing w:after="0"/>
              <w:rPr>
                <w:rFonts w:ascii="Arial" w:cs="Arial" w:eastAsia="Arial" w:hAnsi="Arial"/>
                <w:sz w:val="16"/>
                <w:szCs w:val="16"/>
                <w:color w:val="0000FF"/>
                <w:w w:val="89"/>
              </w:rPr>
            </w:pPr>
            <w:hyperlink r:id="rId34">
              <w:r>
                <w:rPr>
                  <w:rFonts w:ascii="Arial" w:cs="Arial" w:eastAsia="Arial" w:hAnsi="Arial"/>
                  <w:sz w:val="16"/>
                  <w:szCs w:val="16"/>
                  <w:color w:val="0000FF"/>
                  <w:w w:val="89"/>
                </w:rPr>
                <w:t>99.</w:t>
              </w:r>
              <w:r>
                <w:rPr>
                  <w:rFonts w:ascii="Arial" w:cs="Arial" w:eastAsia="Arial" w:hAnsi="Arial"/>
                  <w:sz w:val="16"/>
                  <w:szCs w:val="16"/>
                  <w:u w:val="single" w:color="auto"/>
                  <w:color w:val="0000FF"/>
                  <w:w w:val="89"/>
                </w:rPr>
                <w:t>1</w:t>
              </w:r>
            </w:hyperlink>
          </w:p>
        </w:tc>
        <w:tc>
          <w:tcPr>
            <w:tcW w:w="1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right w:val="single" w:sz="8" w:color="CCEEFF"/>
            </w:tcBorders>
            <w:shd w:val="clear" w:color="auto" w:fill="CCEEFF"/>
          </w:tcPr>
          <w:p>
            <w:pPr>
              <w:spacing w:after="0"/>
              <w:rPr>
                <w:sz w:val="16"/>
                <w:szCs w:val="16"/>
                <w:color w:val="auto"/>
              </w:rPr>
            </w:pPr>
          </w:p>
        </w:tc>
        <w:tc>
          <w:tcPr>
            <w:tcW w:w="9700" w:type="dxa"/>
            <w:vAlign w:val="bottom"/>
            <w:tcBorders>
              <w:bottom w:val="single" w:sz="8" w:color="0000FF"/>
            </w:tcBorders>
            <w:gridSpan w:val="15"/>
            <w:shd w:val="clear" w:color="auto" w:fill="CCEEFF"/>
          </w:tcPr>
          <w:p>
            <w:pPr>
              <w:spacing w:after="0"/>
              <w:rPr>
                <w:rFonts w:ascii="Arial" w:cs="Arial" w:eastAsia="Arial" w:hAnsi="Arial"/>
                <w:sz w:val="16"/>
                <w:szCs w:val="16"/>
                <w:color w:val="0000FF"/>
                <w:w w:val="91"/>
              </w:rPr>
            </w:pPr>
            <w:hyperlink r:id="rId34">
              <w:r>
                <w:rPr>
                  <w:rFonts w:ascii="Arial" w:cs="Arial" w:eastAsia="Arial" w:hAnsi="Arial"/>
                  <w:sz w:val="16"/>
                  <w:szCs w:val="16"/>
                  <w:color w:val="0000FF"/>
                  <w:w w:val="91"/>
                </w:rPr>
                <w:t>Updates, where applicable, to Part II, Item 6. Selected Financial Data, from The Hershey Company's Annual Report on Form 10-K for the year ended</w:t>
              </w:r>
            </w:hyperlink>
          </w:p>
        </w:tc>
        <w:tc>
          <w:tcPr>
            <w:tcW w:w="420" w:type="dxa"/>
            <w:vAlign w:val="bottom"/>
            <w:tcBorders>
              <w:bottom w:val="single" w:sz="8" w:color="CCEEFF"/>
            </w:tcBorders>
            <w:gridSpan w:val="5"/>
            <w:shd w:val="clear" w:color="auto" w:fill="CCEEFF"/>
          </w:tcPr>
          <w:p>
            <w:pPr>
              <w:spacing w:after="0"/>
              <w:rPr>
                <w:sz w:val="16"/>
                <w:szCs w:val="16"/>
                <w:color w:val="auto"/>
              </w:rPr>
            </w:pPr>
          </w:p>
        </w:tc>
      </w:tr>
      <w:tr>
        <w:trPr>
          <w:trHeight w:val="183"/>
        </w:trPr>
        <w:tc>
          <w:tcPr>
            <w:tcW w:w="2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right w:val="single" w:sz="8" w:color="CCEEFF"/>
            </w:tcBorders>
            <w:shd w:val="clear" w:color="auto" w:fill="CCEEFF"/>
          </w:tcPr>
          <w:p>
            <w:pPr>
              <w:spacing w:after="0"/>
              <w:rPr>
                <w:sz w:val="15"/>
                <w:szCs w:val="15"/>
                <w:color w:val="auto"/>
              </w:rPr>
            </w:pPr>
          </w:p>
        </w:tc>
        <w:tc>
          <w:tcPr>
            <w:tcW w:w="9780" w:type="dxa"/>
            <w:vAlign w:val="bottom"/>
            <w:tcBorders>
              <w:bottom w:val="single" w:sz="8" w:color="0000FF"/>
            </w:tcBorders>
            <w:gridSpan w:val="16"/>
            <w:shd w:val="clear" w:color="auto" w:fill="CCEEFF"/>
          </w:tcPr>
          <w:p>
            <w:pPr>
              <w:spacing w:after="0" w:line="183" w:lineRule="exact"/>
              <w:rPr>
                <w:rFonts w:ascii="Arial" w:cs="Arial" w:eastAsia="Arial" w:hAnsi="Arial"/>
                <w:sz w:val="16"/>
                <w:szCs w:val="16"/>
                <w:color w:val="0000FF"/>
                <w:w w:val="91"/>
              </w:rPr>
            </w:pPr>
            <w:hyperlink r:id="rId34">
              <w:r>
                <w:rPr>
                  <w:rFonts w:ascii="Arial" w:cs="Arial" w:eastAsia="Arial" w:hAnsi="Arial"/>
                  <w:sz w:val="16"/>
                  <w:szCs w:val="16"/>
                  <w:color w:val="0000FF"/>
                  <w:w w:val="91"/>
                </w:rPr>
                <w:t>December 31, 2017, as filed with the Securities and Exchange Commission on February 27, 2018 is incorporated by reference from Exhibit 99.1 to the</w:t>
              </w:r>
            </w:hyperlink>
          </w:p>
        </w:tc>
        <w:tc>
          <w:tcPr>
            <w:tcW w:w="340" w:type="dxa"/>
            <w:vAlign w:val="bottom"/>
            <w:tcBorders>
              <w:bottom w:val="single" w:sz="8" w:color="CCEEFF"/>
            </w:tcBorders>
            <w:gridSpan w:val="4"/>
            <w:shd w:val="clear" w:color="auto" w:fill="CCEEFF"/>
          </w:tcPr>
          <w:p>
            <w:pPr>
              <w:spacing w:after="0"/>
              <w:rPr>
                <w:sz w:val="15"/>
                <w:szCs w:val="15"/>
                <w:color w:val="auto"/>
              </w:rPr>
            </w:pPr>
          </w:p>
        </w:tc>
      </w:tr>
      <w:tr>
        <w:trPr>
          <w:trHeight w:val="230"/>
        </w:trPr>
        <w:tc>
          <w:tcPr>
            <w:tcW w:w="2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right w:val="single" w:sz="8" w:color="CCEEFF"/>
            </w:tcBorders>
            <w:shd w:val="clear" w:color="auto" w:fill="CCEEFF"/>
          </w:tcPr>
          <w:p>
            <w:pPr>
              <w:spacing w:after="0"/>
              <w:rPr>
                <w:sz w:val="20"/>
                <w:szCs w:val="20"/>
                <w:color w:val="auto"/>
              </w:rPr>
            </w:pPr>
          </w:p>
        </w:tc>
        <w:tc>
          <w:tcPr>
            <w:tcW w:w="3960" w:type="dxa"/>
            <w:vAlign w:val="bottom"/>
            <w:tcBorders>
              <w:bottom w:val="single" w:sz="8" w:color="0000FF"/>
            </w:tcBorders>
            <w:gridSpan w:val="10"/>
            <w:shd w:val="clear" w:color="auto" w:fill="CCEEFF"/>
          </w:tcPr>
          <w:p>
            <w:pPr>
              <w:spacing w:after="0" w:line="183" w:lineRule="exact"/>
              <w:rPr>
                <w:rFonts w:ascii="Arial" w:cs="Arial" w:eastAsia="Arial" w:hAnsi="Arial"/>
                <w:sz w:val="16"/>
                <w:szCs w:val="16"/>
                <w:color w:val="0000FF"/>
                <w:w w:val="93"/>
              </w:rPr>
            </w:pPr>
            <w:hyperlink r:id="rId34">
              <w:r>
                <w:rPr>
                  <w:rFonts w:ascii="Arial" w:cs="Arial" w:eastAsia="Arial" w:hAnsi="Arial"/>
                  <w:sz w:val="16"/>
                  <w:szCs w:val="16"/>
                  <w:color w:val="0000FF"/>
                  <w:w w:val="93"/>
                </w:rPr>
                <w:t>Company’s Current Report on Form 8-K filed May 25, 2018.</w:t>
              </w:r>
            </w:hyperlink>
          </w:p>
        </w:tc>
        <w:tc>
          <w:tcPr>
            <w:tcW w:w="6160" w:type="dxa"/>
            <w:vAlign w:val="bottom"/>
            <w:tcBorders>
              <w:bottom w:val="single" w:sz="8" w:color="CCEEFF"/>
            </w:tcBorders>
            <w:gridSpan w:val="10"/>
            <w:shd w:val="clear" w:color="auto" w:fill="CCEEFF"/>
          </w:tcPr>
          <w:p>
            <w:pPr>
              <w:spacing w:after="0"/>
              <w:rPr>
                <w:sz w:val="20"/>
                <w:szCs w:val="20"/>
                <w:color w:val="auto"/>
              </w:rPr>
            </w:pPr>
          </w:p>
        </w:tc>
      </w:tr>
      <w:tr>
        <w:trPr>
          <w:trHeight w:val="189"/>
        </w:trPr>
        <w:tc>
          <w:tcPr>
            <w:tcW w:w="440" w:type="dxa"/>
            <w:vAlign w:val="bottom"/>
            <w:gridSpan w:val="3"/>
          </w:tcPr>
          <w:p>
            <w:pPr>
              <w:spacing w:after="0"/>
              <w:rPr>
                <w:sz w:val="16"/>
                <w:szCs w:val="16"/>
                <w:color w:val="auto"/>
              </w:rPr>
            </w:pPr>
          </w:p>
        </w:tc>
        <w:tc>
          <w:tcPr>
            <w:tcW w:w="280" w:type="dxa"/>
            <w:vAlign w:val="bottom"/>
          </w:tcPr>
          <w:p>
            <w:pPr>
              <w:jc w:val="center"/>
              <w:spacing w:after="0"/>
              <w:rPr>
                <w:rFonts w:ascii="Arial" w:cs="Arial" w:eastAsia="Arial" w:hAnsi="Arial"/>
                <w:sz w:val="16"/>
                <w:szCs w:val="16"/>
                <w:color w:val="0000FF"/>
                <w:w w:val="89"/>
              </w:rPr>
            </w:pPr>
            <w:hyperlink r:id="rId35">
              <w:r>
                <w:rPr>
                  <w:rFonts w:ascii="Arial" w:cs="Arial" w:eastAsia="Arial" w:hAnsi="Arial"/>
                  <w:sz w:val="16"/>
                  <w:szCs w:val="16"/>
                  <w:color w:val="0000FF"/>
                  <w:w w:val="89"/>
                </w:rPr>
                <w:t>99.</w:t>
              </w:r>
              <w:r>
                <w:rPr>
                  <w:rFonts w:ascii="Arial" w:cs="Arial" w:eastAsia="Arial" w:hAnsi="Arial"/>
                  <w:sz w:val="16"/>
                  <w:szCs w:val="16"/>
                  <w:u w:val="single" w:color="auto"/>
                  <w:color w:val="0000FF"/>
                  <w:w w:val="89"/>
                </w:rPr>
                <w:t>2</w:t>
              </w:r>
            </w:hyperlink>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120" w:type="dxa"/>
            <w:vAlign w:val="bottom"/>
            <w:gridSpan w:val="20"/>
          </w:tcPr>
          <w:p>
            <w:pPr>
              <w:spacing w:after="0"/>
              <w:rPr>
                <w:rFonts w:ascii="Arial" w:cs="Arial" w:eastAsia="Arial" w:hAnsi="Arial"/>
                <w:sz w:val="16"/>
                <w:szCs w:val="16"/>
                <w:color w:val="0000FF"/>
                <w:w w:val="92"/>
              </w:rPr>
            </w:pPr>
            <w:hyperlink r:id="rId35">
              <w:r>
                <w:rPr>
                  <w:rFonts w:ascii="Arial" w:cs="Arial" w:eastAsia="Arial" w:hAnsi="Arial"/>
                  <w:sz w:val="16"/>
                  <w:szCs w:val="16"/>
                  <w:color w:val="0000FF"/>
                  <w:w w:val="92"/>
                </w:rPr>
                <w:t>Updates, where applicable, to Part II, Item 7. Management’s Discussion and Analysis of Financial Condition and Results of Operations, from The Hershey</w:t>
              </w:r>
            </w:hyperlink>
          </w:p>
        </w:tc>
      </w:tr>
      <w:tr>
        <w:trPr>
          <w:trHeight w:val="183"/>
        </w:trPr>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900" w:type="dxa"/>
            <w:vAlign w:val="bottom"/>
            <w:tcBorders>
              <w:top w:val="single" w:sz="8" w:color="0000FF"/>
              <w:bottom w:val="single" w:sz="8" w:color="0000FF"/>
            </w:tcBorders>
            <w:gridSpan w:val="17"/>
          </w:tcPr>
          <w:p>
            <w:pPr>
              <w:spacing w:after="0" w:line="183" w:lineRule="exact"/>
              <w:rPr>
                <w:rFonts w:ascii="Arial" w:cs="Arial" w:eastAsia="Arial" w:hAnsi="Arial"/>
                <w:sz w:val="16"/>
                <w:szCs w:val="16"/>
                <w:color w:val="0000FF"/>
                <w:w w:val="91"/>
              </w:rPr>
            </w:pPr>
            <w:hyperlink r:id="rId35">
              <w:r>
                <w:rPr>
                  <w:rFonts w:ascii="Arial" w:cs="Arial" w:eastAsia="Arial" w:hAnsi="Arial"/>
                  <w:sz w:val="16"/>
                  <w:szCs w:val="16"/>
                  <w:color w:val="0000FF"/>
                  <w:w w:val="91"/>
                </w:rPr>
                <w:t>Company's Annual Report on Form 10-K for the year ended December 31, 2017, as filed with the Securities and Exchange Commission on February 27,</w:t>
              </w:r>
            </w:hyperlink>
          </w:p>
        </w:tc>
        <w:tc>
          <w:tcPr>
            <w:tcW w:w="120" w:type="dxa"/>
            <w:vAlign w:val="bottom"/>
            <w:tcBorders>
              <w:top w:val="single" w:sz="8" w:color="0000FF"/>
            </w:tcBorders>
            <w:gridSpan w:val="2"/>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120" w:type="dxa"/>
            <w:vAlign w:val="bottom"/>
            <w:gridSpan w:val="20"/>
          </w:tcPr>
          <w:p>
            <w:pPr>
              <w:spacing w:after="0" w:line="183" w:lineRule="exact"/>
              <w:rPr>
                <w:rFonts w:ascii="Arial" w:cs="Arial" w:eastAsia="Arial" w:hAnsi="Arial"/>
                <w:sz w:val="16"/>
                <w:szCs w:val="16"/>
                <w:color w:val="0000FF"/>
              </w:rPr>
            </w:pPr>
            <w:hyperlink r:id="rId35">
              <w:r>
                <w:rPr>
                  <w:rFonts w:ascii="Arial" w:cs="Arial" w:eastAsia="Arial" w:hAnsi="Arial"/>
                  <w:sz w:val="16"/>
                  <w:szCs w:val="16"/>
                  <w:color w:val="0000FF"/>
                </w:rPr>
                <w:t>2018 is incorporated by reference from Exhibit 99.2 to the Company’s Current Report on Form 8-K filed May 25, 2018.</w:t>
              </w:r>
            </w:hyperlink>
          </w:p>
        </w:tc>
      </w:tr>
      <w:tr>
        <w:trPr>
          <w:trHeight w:val="48"/>
        </w:trPr>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37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8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440" w:type="dxa"/>
            <w:vAlign w:val="bottom"/>
            <w:gridSpan w:val="3"/>
            <w:shd w:val="clear" w:color="auto" w:fill="CCEEFF"/>
          </w:tcPr>
          <w:p>
            <w:pPr>
              <w:spacing w:after="0"/>
              <w:rPr>
                <w:sz w:val="16"/>
                <w:szCs w:val="16"/>
                <w:color w:val="auto"/>
              </w:rPr>
            </w:pPr>
          </w:p>
        </w:tc>
        <w:tc>
          <w:tcPr>
            <w:tcW w:w="280" w:type="dxa"/>
            <w:vAlign w:val="bottom"/>
            <w:shd w:val="clear" w:color="auto" w:fill="CCEEFF"/>
          </w:tcPr>
          <w:p>
            <w:pPr>
              <w:jc w:val="center"/>
              <w:spacing w:after="0"/>
              <w:rPr>
                <w:rFonts w:ascii="Arial" w:cs="Arial" w:eastAsia="Arial" w:hAnsi="Arial"/>
                <w:sz w:val="16"/>
                <w:szCs w:val="16"/>
                <w:color w:val="0000FF"/>
                <w:w w:val="89"/>
              </w:rPr>
            </w:pPr>
            <w:hyperlink r:id="rId36">
              <w:r>
                <w:rPr>
                  <w:rFonts w:ascii="Arial" w:cs="Arial" w:eastAsia="Arial" w:hAnsi="Arial"/>
                  <w:sz w:val="16"/>
                  <w:szCs w:val="16"/>
                  <w:color w:val="0000FF"/>
                  <w:w w:val="89"/>
                </w:rPr>
                <w:t>99.</w:t>
              </w:r>
              <w:r>
                <w:rPr>
                  <w:rFonts w:ascii="Arial" w:cs="Arial" w:eastAsia="Arial" w:hAnsi="Arial"/>
                  <w:sz w:val="16"/>
                  <w:szCs w:val="16"/>
                  <w:u w:val="single" w:color="auto"/>
                  <w:color w:val="0000FF"/>
                  <w:w w:val="89"/>
                </w:rPr>
                <w:t>3</w:t>
              </w:r>
            </w:hyperlink>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120" w:type="dxa"/>
            <w:vAlign w:val="bottom"/>
            <w:gridSpan w:val="20"/>
            <w:shd w:val="clear" w:color="auto" w:fill="CCEEFF"/>
          </w:tcPr>
          <w:p>
            <w:pPr>
              <w:spacing w:after="0"/>
              <w:rPr>
                <w:rFonts w:ascii="Arial" w:cs="Arial" w:eastAsia="Arial" w:hAnsi="Arial"/>
                <w:sz w:val="16"/>
                <w:szCs w:val="16"/>
                <w:color w:val="0000FF"/>
                <w:w w:val="95"/>
              </w:rPr>
            </w:pPr>
            <w:hyperlink r:id="rId36">
              <w:r>
                <w:rPr>
                  <w:rFonts w:ascii="Arial" w:cs="Arial" w:eastAsia="Arial" w:hAnsi="Arial"/>
                  <w:sz w:val="16"/>
                  <w:szCs w:val="16"/>
                  <w:color w:val="0000FF"/>
                  <w:w w:val="95"/>
                </w:rPr>
                <w:t>Updates, where applicable, to Part II, Item 8. Financial Statements and Supplementary Data, as detailed in Items 15 (a)1 and (a)2 of Part IV, Item 15.</w:t>
              </w:r>
            </w:hyperlink>
          </w:p>
        </w:tc>
      </w:tr>
      <w:tr>
        <w:trPr>
          <w:trHeight w:val="20"/>
        </w:trPr>
        <w:tc>
          <w:tcPr>
            <w:tcW w:w="2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320" w:type="dxa"/>
            <w:vAlign w:val="bottom"/>
            <w:gridSpan w:val="6"/>
            <w:shd w:val="clear" w:color="auto" w:fill="0000FF"/>
          </w:tcPr>
          <w:p>
            <w:pPr>
              <w:spacing w:after="0" w:line="20" w:lineRule="exact"/>
              <w:rPr>
                <w:sz w:val="1"/>
                <w:szCs w:val="1"/>
                <w:color w:val="auto"/>
              </w:rPr>
            </w:pPr>
          </w:p>
        </w:tc>
        <w:tc>
          <w:tcPr>
            <w:tcW w:w="260" w:type="dxa"/>
            <w:vAlign w:val="bottom"/>
            <w:gridSpan w:val="3"/>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r>
      <w:tr>
        <w:trPr>
          <w:trHeight w:val="183"/>
        </w:trPr>
        <w:tc>
          <w:tcPr>
            <w:tcW w:w="2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right w:val="single" w:sz="8" w:color="CCEEFF"/>
            </w:tcBorders>
            <w:shd w:val="clear" w:color="auto" w:fill="CCEEFF"/>
          </w:tcPr>
          <w:p>
            <w:pPr>
              <w:spacing w:after="0"/>
              <w:rPr>
                <w:sz w:val="15"/>
                <w:szCs w:val="15"/>
                <w:color w:val="auto"/>
              </w:rPr>
            </w:pPr>
          </w:p>
        </w:tc>
        <w:tc>
          <w:tcPr>
            <w:tcW w:w="9920" w:type="dxa"/>
            <w:vAlign w:val="bottom"/>
            <w:tcBorders>
              <w:bottom w:val="single" w:sz="8" w:color="0000FF"/>
            </w:tcBorders>
            <w:gridSpan w:val="18"/>
            <w:shd w:val="clear" w:color="auto" w:fill="CCEEFF"/>
          </w:tcPr>
          <w:p>
            <w:pPr>
              <w:spacing w:after="0" w:line="183" w:lineRule="exact"/>
              <w:rPr>
                <w:rFonts w:ascii="Arial" w:cs="Arial" w:eastAsia="Arial" w:hAnsi="Arial"/>
                <w:sz w:val="16"/>
                <w:szCs w:val="16"/>
                <w:color w:val="0000FF"/>
                <w:w w:val="91"/>
              </w:rPr>
            </w:pPr>
            <w:hyperlink r:id="rId36">
              <w:r>
                <w:rPr>
                  <w:rFonts w:ascii="Arial" w:cs="Arial" w:eastAsia="Arial" w:hAnsi="Arial"/>
                  <w:sz w:val="16"/>
                  <w:szCs w:val="16"/>
                  <w:color w:val="0000FF"/>
                  <w:w w:val="91"/>
                </w:rPr>
                <w:t>Exhibits and Financial Statement Schedules, from The Hershey Company's Annual Report on Form 10-K for the year ended December 31, 2017, as filed</w:t>
              </w:r>
            </w:hyperlink>
          </w:p>
        </w:tc>
        <w:tc>
          <w:tcPr>
            <w:tcW w:w="200" w:type="dxa"/>
            <w:vAlign w:val="bottom"/>
            <w:tcBorders>
              <w:bottom w:val="single" w:sz="8" w:color="CCEEFF"/>
            </w:tcBorders>
            <w:gridSpan w:val="2"/>
            <w:shd w:val="clear" w:color="auto" w:fill="CCEEFF"/>
          </w:tcPr>
          <w:p>
            <w:pPr>
              <w:spacing w:after="0"/>
              <w:rPr>
                <w:sz w:val="15"/>
                <w:szCs w:val="15"/>
                <w:color w:val="auto"/>
              </w:rPr>
            </w:pPr>
          </w:p>
        </w:tc>
      </w:tr>
      <w:tr>
        <w:trPr>
          <w:trHeight w:val="183"/>
        </w:trPr>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0120" w:type="dxa"/>
            <w:vAlign w:val="bottom"/>
            <w:gridSpan w:val="20"/>
            <w:shd w:val="clear" w:color="auto" w:fill="CCEEFF"/>
          </w:tcPr>
          <w:p>
            <w:pPr>
              <w:spacing w:after="0" w:line="183" w:lineRule="exact"/>
              <w:rPr>
                <w:rFonts w:ascii="Arial" w:cs="Arial" w:eastAsia="Arial" w:hAnsi="Arial"/>
                <w:sz w:val="16"/>
                <w:szCs w:val="16"/>
                <w:color w:val="0000FF"/>
                <w:w w:val="93"/>
              </w:rPr>
            </w:pPr>
            <w:hyperlink r:id="rId36">
              <w:r>
                <w:rPr>
                  <w:rFonts w:ascii="Arial" w:cs="Arial" w:eastAsia="Arial" w:hAnsi="Arial"/>
                  <w:sz w:val="16"/>
                  <w:szCs w:val="16"/>
                  <w:color w:val="0000FF"/>
                  <w:w w:val="93"/>
                </w:rPr>
                <w:t>with the Securities and Exchange Commission on February 27, 2018 is incorporated by reference from Exhibit 99.3 to the Company’s Current Report on</w:t>
              </w:r>
            </w:hyperlink>
          </w:p>
        </w:tc>
      </w:tr>
      <w:tr>
        <w:trPr>
          <w:trHeight w:val="230"/>
        </w:trPr>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1960" w:type="dxa"/>
            <w:vAlign w:val="bottom"/>
            <w:tcBorders>
              <w:top w:val="single" w:sz="8" w:color="0000FF"/>
              <w:bottom w:val="single" w:sz="8" w:color="0000FF"/>
            </w:tcBorders>
            <w:gridSpan w:val="3"/>
            <w:shd w:val="clear" w:color="auto" w:fill="CCEEFF"/>
          </w:tcPr>
          <w:p>
            <w:pPr>
              <w:spacing w:after="0" w:line="183" w:lineRule="exact"/>
              <w:rPr>
                <w:rFonts w:ascii="Arial" w:cs="Arial" w:eastAsia="Arial" w:hAnsi="Arial"/>
                <w:sz w:val="16"/>
                <w:szCs w:val="16"/>
                <w:color w:val="0000FF"/>
                <w:w w:val="94"/>
              </w:rPr>
            </w:pPr>
            <w:hyperlink r:id="rId36">
              <w:r>
                <w:rPr>
                  <w:rFonts w:ascii="Arial" w:cs="Arial" w:eastAsia="Arial" w:hAnsi="Arial"/>
                  <w:sz w:val="16"/>
                  <w:szCs w:val="16"/>
                  <w:color w:val="0000FF"/>
                  <w:w w:val="94"/>
                </w:rPr>
                <w:t>Form 8-K filed May 25, 2018.</w:t>
              </w:r>
            </w:hyperlink>
          </w:p>
        </w:tc>
        <w:tc>
          <w:tcPr>
            <w:tcW w:w="7940" w:type="dxa"/>
            <w:vAlign w:val="bottom"/>
            <w:tcBorders>
              <w:top w:val="single" w:sz="8" w:color="0000FF"/>
              <w:bottom w:val="single" w:sz="8" w:color="CCEEFF"/>
            </w:tcBorders>
            <w:gridSpan w:val="14"/>
            <w:shd w:val="clear" w:color="auto" w:fill="CCEEFF"/>
          </w:tcPr>
          <w:p>
            <w:pPr>
              <w:spacing w:after="0"/>
              <w:rPr>
                <w:sz w:val="20"/>
                <w:szCs w:val="20"/>
                <w:color w:val="auto"/>
              </w:rPr>
            </w:pPr>
          </w:p>
        </w:tc>
        <w:tc>
          <w:tcPr>
            <w:tcW w:w="220" w:type="dxa"/>
            <w:vAlign w:val="bottom"/>
            <w:tcBorders>
              <w:top w:val="single" w:sz="8" w:color="CCEEFF"/>
              <w:bottom w:val="single" w:sz="8" w:color="CCEEFF"/>
            </w:tcBorders>
            <w:gridSpan w:val="3"/>
            <w:shd w:val="clear" w:color="auto" w:fill="CCEEFF"/>
          </w:tcPr>
          <w:p>
            <w:pPr>
              <w:spacing w:after="0"/>
              <w:rPr>
                <w:sz w:val="20"/>
                <w:szCs w:val="20"/>
                <w:color w:val="auto"/>
              </w:rPr>
            </w:pPr>
          </w:p>
        </w:tc>
      </w:tr>
      <w:tr>
        <w:trPr>
          <w:trHeight w:val="189"/>
        </w:trPr>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gridSpan w:val="6"/>
          </w:tcPr>
          <w:p>
            <w:pPr>
              <w:jc w:val="center"/>
              <w:ind w:right="440"/>
              <w:spacing w:after="0"/>
              <w:rPr>
                <w:sz w:val="20"/>
                <w:szCs w:val="20"/>
                <w:color w:val="auto"/>
              </w:rPr>
            </w:pPr>
            <w:r>
              <w:rPr>
                <w:rFonts w:ascii="Arial" w:cs="Arial" w:eastAsia="Arial" w:hAnsi="Arial"/>
                <w:sz w:val="16"/>
                <w:szCs w:val="16"/>
                <w:color w:val="0000FF"/>
                <w:w w:val="96"/>
              </w:rPr>
              <w:t>101.</w:t>
            </w:r>
            <w:r>
              <w:rPr>
                <w:rFonts w:ascii="Arial" w:cs="Arial" w:eastAsia="Arial" w:hAnsi="Arial"/>
                <w:sz w:val="16"/>
                <w:szCs w:val="16"/>
                <w:u w:val="single" w:color="auto"/>
                <w:color w:val="0000FF"/>
                <w:w w:val="96"/>
              </w:rPr>
              <w:t>INS</w:t>
            </w:r>
          </w:p>
        </w:tc>
        <w:tc>
          <w:tcPr>
            <w:tcW w:w="10120" w:type="dxa"/>
            <w:vAlign w:val="bottom"/>
            <w:gridSpan w:val="20"/>
          </w:tcPr>
          <w:p>
            <w:pPr>
              <w:spacing w:after="0"/>
              <w:rPr>
                <w:sz w:val="20"/>
                <w:szCs w:val="20"/>
                <w:color w:val="auto"/>
              </w:rPr>
            </w:pPr>
            <w:r>
              <w:rPr>
                <w:rFonts w:ascii="Arial" w:cs="Arial" w:eastAsia="Arial" w:hAnsi="Arial"/>
                <w:sz w:val="16"/>
                <w:szCs w:val="16"/>
                <w:color w:val="0000FF"/>
              </w:rPr>
              <w:t>XBRL Instance Document</w:t>
            </w:r>
          </w:p>
        </w:tc>
      </w:tr>
      <w:tr>
        <w:trPr>
          <w:trHeight w:val="61"/>
        </w:trPr>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280" w:type="dxa"/>
            <w:vAlign w:val="bottom"/>
            <w:tcBorders>
              <w:top w:val="single" w:sz="8" w:color="0000FF"/>
            </w:tcBorders>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Borders>
              <w:top w:val="single" w:sz="8" w:color="0000FF"/>
            </w:tcBorders>
          </w:tcPr>
          <w:p>
            <w:pPr>
              <w:spacing w:after="0"/>
              <w:rPr>
                <w:sz w:val="5"/>
                <w:szCs w:val="5"/>
                <w:color w:val="auto"/>
              </w:rPr>
            </w:pPr>
          </w:p>
        </w:tc>
        <w:tc>
          <w:tcPr>
            <w:tcW w:w="920" w:type="dxa"/>
            <w:vAlign w:val="bottom"/>
            <w:tcBorders>
              <w:top w:val="single" w:sz="8" w:color="0000FF"/>
            </w:tcBorders>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7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189"/>
        </w:trPr>
        <w:tc>
          <w:tcPr>
            <w:tcW w:w="280" w:type="dxa"/>
            <w:vAlign w:val="bottom"/>
            <w:shd w:val="clear" w:color="auto" w:fill="CCEEFF"/>
          </w:tcPr>
          <w:p>
            <w:pPr>
              <w:spacing w:after="0"/>
              <w:rPr>
                <w:sz w:val="16"/>
                <w:szCs w:val="16"/>
                <w:color w:val="auto"/>
              </w:rPr>
            </w:pPr>
          </w:p>
        </w:tc>
        <w:tc>
          <w:tcPr>
            <w:tcW w:w="1020" w:type="dxa"/>
            <w:vAlign w:val="bottom"/>
            <w:tcBorders>
              <w:right w:val="single" w:sz="8" w:color="CCEEFF"/>
            </w:tcBorders>
            <w:gridSpan w:val="7"/>
            <w:shd w:val="clear" w:color="auto" w:fill="CCEEFF"/>
          </w:tcPr>
          <w:p>
            <w:pPr>
              <w:jc w:val="center"/>
              <w:ind w:right="420"/>
              <w:spacing w:after="0"/>
              <w:rPr>
                <w:sz w:val="20"/>
                <w:szCs w:val="20"/>
                <w:color w:val="auto"/>
              </w:rPr>
            </w:pPr>
            <w:r>
              <w:rPr>
                <w:rFonts w:ascii="Arial" w:cs="Arial" w:eastAsia="Arial" w:hAnsi="Arial"/>
                <w:sz w:val="16"/>
                <w:szCs w:val="16"/>
                <w:color w:val="0000FF"/>
                <w:w w:val="92"/>
              </w:rPr>
              <w:t>101.</w:t>
            </w:r>
            <w:r>
              <w:rPr>
                <w:rFonts w:ascii="Arial" w:cs="Arial" w:eastAsia="Arial" w:hAnsi="Arial"/>
                <w:sz w:val="16"/>
                <w:szCs w:val="16"/>
                <w:u w:val="single" w:color="auto"/>
                <w:color w:val="0000FF"/>
                <w:w w:val="92"/>
              </w:rPr>
              <w:t>SCH</w:t>
            </w:r>
          </w:p>
        </w:tc>
        <w:tc>
          <w:tcPr>
            <w:tcW w:w="10120" w:type="dxa"/>
            <w:vAlign w:val="bottom"/>
            <w:gridSpan w:val="20"/>
            <w:shd w:val="clear" w:color="auto" w:fill="CCEEFF"/>
          </w:tcPr>
          <w:p>
            <w:pPr>
              <w:spacing w:after="0"/>
              <w:rPr>
                <w:sz w:val="20"/>
                <w:szCs w:val="20"/>
                <w:color w:val="auto"/>
              </w:rPr>
            </w:pPr>
            <w:r>
              <w:rPr>
                <w:rFonts w:ascii="Arial" w:cs="Arial" w:eastAsia="Arial" w:hAnsi="Arial"/>
                <w:sz w:val="16"/>
                <w:szCs w:val="16"/>
                <w:color w:val="0000FF"/>
              </w:rPr>
              <w:t>XBRL Taxonomy Extension Schema</w:t>
            </w:r>
          </w:p>
        </w:tc>
      </w:tr>
      <w:tr>
        <w:trPr>
          <w:trHeight w:val="61"/>
        </w:trPr>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140" w:type="dxa"/>
            <w:vAlign w:val="bottom"/>
            <w:tcBorders>
              <w:top w:val="single" w:sz="8" w:color="0000FF"/>
            </w:tcBorders>
            <w:shd w:val="clear" w:color="auto" w:fill="CCEEFF"/>
          </w:tcPr>
          <w:p>
            <w:pPr>
              <w:spacing w:after="0"/>
              <w:rPr>
                <w:sz w:val="5"/>
                <w:szCs w:val="5"/>
                <w:color w:val="auto"/>
              </w:rPr>
            </w:pPr>
          </w:p>
        </w:tc>
        <w:tc>
          <w:tcPr>
            <w:tcW w:w="280" w:type="dxa"/>
            <w:vAlign w:val="bottom"/>
            <w:tcBorders>
              <w:top w:val="single" w:sz="8" w:color="0000FF"/>
            </w:tcBorders>
            <w:shd w:val="clear" w:color="auto" w:fill="CCEEFF"/>
          </w:tcPr>
          <w:p>
            <w:pPr>
              <w:spacing w:after="0"/>
              <w:rPr>
                <w:sz w:val="5"/>
                <w:szCs w:val="5"/>
                <w:color w:val="auto"/>
              </w:rPr>
            </w:pPr>
          </w:p>
        </w:tc>
        <w:tc>
          <w:tcPr>
            <w:tcW w:w="14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right w:val="single" w:sz="8" w:color="CCEEFF"/>
            </w:tcBorders>
            <w:shd w:val="clear" w:color="auto" w:fill="CCEEFF"/>
          </w:tcPr>
          <w:p>
            <w:pPr>
              <w:spacing w:after="0"/>
              <w:rPr>
                <w:sz w:val="5"/>
                <w:szCs w:val="5"/>
                <w:color w:val="auto"/>
              </w:rPr>
            </w:pPr>
          </w:p>
        </w:tc>
        <w:tc>
          <w:tcPr>
            <w:tcW w:w="800" w:type="dxa"/>
            <w:vAlign w:val="bottom"/>
            <w:tcBorders>
              <w:top w:val="single" w:sz="8" w:color="0000FF"/>
            </w:tcBorders>
            <w:shd w:val="clear" w:color="auto" w:fill="CCEEFF"/>
          </w:tcPr>
          <w:p>
            <w:pPr>
              <w:spacing w:after="0"/>
              <w:rPr>
                <w:sz w:val="5"/>
                <w:szCs w:val="5"/>
                <w:color w:val="auto"/>
              </w:rPr>
            </w:pPr>
          </w:p>
        </w:tc>
        <w:tc>
          <w:tcPr>
            <w:tcW w:w="920" w:type="dxa"/>
            <w:vAlign w:val="bottom"/>
            <w:tcBorders>
              <w:top w:val="single" w:sz="8" w:color="0000FF"/>
            </w:tcBorders>
            <w:shd w:val="clear" w:color="auto" w:fill="CCEEFF"/>
          </w:tcPr>
          <w:p>
            <w:pPr>
              <w:spacing w:after="0"/>
              <w:rPr>
                <w:sz w:val="5"/>
                <w:szCs w:val="5"/>
                <w:color w:val="auto"/>
              </w:rPr>
            </w:pPr>
          </w:p>
        </w:tc>
        <w:tc>
          <w:tcPr>
            <w:tcW w:w="240" w:type="dxa"/>
            <w:vAlign w:val="bottom"/>
            <w:tcBorders>
              <w:top w:val="single" w:sz="8" w:color="0000FF"/>
            </w:tcBorders>
            <w:shd w:val="clear" w:color="auto" w:fill="CCEEFF"/>
          </w:tcPr>
          <w:p>
            <w:pPr>
              <w:spacing w:after="0"/>
              <w:rPr>
                <w:sz w:val="5"/>
                <w:szCs w:val="5"/>
                <w:color w:val="auto"/>
              </w:rPr>
            </w:pPr>
          </w:p>
        </w:tc>
        <w:tc>
          <w:tcPr>
            <w:tcW w:w="440" w:type="dxa"/>
            <w:vAlign w:val="bottom"/>
            <w:tcBorders>
              <w:top w:val="single" w:sz="8" w:color="0000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37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8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r>
      <w:tr>
        <w:trPr>
          <w:trHeight w:val="189"/>
        </w:trPr>
        <w:tc>
          <w:tcPr>
            <w:tcW w:w="280" w:type="dxa"/>
            <w:vAlign w:val="bottom"/>
          </w:tcPr>
          <w:p>
            <w:pPr>
              <w:spacing w:after="0"/>
              <w:rPr>
                <w:sz w:val="16"/>
                <w:szCs w:val="16"/>
                <w:color w:val="auto"/>
              </w:rPr>
            </w:pPr>
          </w:p>
        </w:tc>
        <w:tc>
          <w:tcPr>
            <w:tcW w:w="1020" w:type="dxa"/>
            <w:vAlign w:val="bottom"/>
            <w:gridSpan w:val="7"/>
          </w:tcPr>
          <w:p>
            <w:pPr>
              <w:jc w:val="center"/>
              <w:ind w:right="420"/>
              <w:spacing w:after="0"/>
              <w:rPr>
                <w:sz w:val="20"/>
                <w:szCs w:val="20"/>
                <w:color w:val="auto"/>
              </w:rPr>
            </w:pPr>
            <w:r>
              <w:rPr>
                <w:rFonts w:ascii="Arial" w:cs="Arial" w:eastAsia="Arial" w:hAnsi="Arial"/>
                <w:sz w:val="16"/>
                <w:szCs w:val="16"/>
                <w:color w:val="0000FF"/>
                <w:w w:val="96"/>
              </w:rPr>
              <w:t>101.</w:t>
            </w:r>
            <w:r>
              <w:rPr>
                <w:rFonts w:ascii="Arial" w:cs="Arial" w:eastAsia="Arial" w:hAnsi="Arial"/>
                <w:sz w:val="16"/>
                <w:szCs w:val="16"/>
                <w:u w:val="single" w:color="auto"/>
                <w:color w:val="0000FF"/>
                <w:w w:val="96"/>
              </w:rPr>
              <w:t>CAL</w:t>
            </w:r>
          </w:p>
        </w:tc>
        <w:tc>
          <w:tcPr>
            <w:tcW w:w="10120" w:type="dxa"/>
            <w:vAlign w:val="bottom"/>
            <w:gridSpan w:val="20"/>
          </w:tcPr>
          <w:p>
            <w:pPr>
              <w:spacing w:after="0"/>
              <w:rPr>
                <w:sz w:val="20"/>
                <w:szCs w:val="20"/>
                <w:color w:val="auto"/>
              </w:rPr>
            </w:pPr>
            <w:r>
              <w:rPr>
                <w:rFonts w:ascii="Arial" w:cs="Arial" w:eastAsia="Arial" w:hAnsi="Arial"/>
                <w:sz w:val="16"/>
                <w:szCs w:val="16"/>
                <w:color w:val="0000FF"/>
              </w:rPr>
              <w:t>XBRL Taxonomy Extension Calculation Linkbase</w:t>
            </w:r>
          </w:p>
        </w:tc>
      </w:tr>
      <w:tr>
        <w:trPr>
          <w:trHeight w:val="61"/>
        </w:trPr>
        <w:tc>
          <w:tcPr>
            <w:tcW w:w="280" w:type="dxa"/>
            <w:vAlign w:val="bottom"/>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280" w:type="dxa"/>
            <w:vAlign w:val="bottom"/>
            <w:tcBorders>
              <w:top w:val="single" w:sz="8" w:color="0000FF"/>
            </w:tcBorders>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Borders>
              <w:top w:val="single" w:sz="8" w:color="0000FF"/>
            </w:tcBorders>
          </w:tcPr>
          <w:p>
            <w:pPr>
              <w:spacing w:after="0"/>
              <w:rPr>
                <w:sz w:val="5"/>
                <w:szCs w:val="5"/>
                <w:color w:val="auto"/>
              </w:rPr>
            </w:pPr>
          </w:p>
        </w:tc>
        <w:tc>
          <w:tcPr>
            <w:tcW w:w="920" w:type="dxa"/>
            <w:vAlign w:val="bottom"/>
            <w:tcBorders>
              <w:top w:val="single" w:sz="8" w:color="0000FF"/>
            </w:tcBorders>
          </w:tcPr>
          <w:p>
            <w:pPr>
              <w:spacing w:after="0"/>
              <w:rPr>
                <w:sz w:val="5"/>
                <w:szCs w:val="5"/>
                <w:color w:val="auto"/>
              </w:rPr>
            </w:pPr>
          </w:p>
        </w:tc>
        <w:tc>
          <w:tcPr>
            <w:tcW w:w="240" w:type="dxa"/>
            <w:vAlign w:val="bottom"/>
            <w:tcBorders>
              <w:top w:val="single" w:sz="8" w:color="0000FF"/>
            </w:tcBorders>
          </w:tcPr>
          <w:p>
            <w:pPr>
              <w:spacing w:after="0"/>
              <w:rPr>
                <w:sz w:val="5"/>
                <w:szCs w:val="5"/>
                <w:color w:val="auto"/>
              </w:rPr>
            </w:pPr>
          </w:p>
        </w:tc>
        <w:tc>
          <w:tcPr>
            <w:tcW w:w="440" w:type="dxa"/>
            <w:vAlign w:val="bottom"/>
            <w:tcBorders>
              <w:top w:val="single" w:sz="8" w:color="0000FF"/>
            </w:tcBorders>
          </w:tcPr>
          <w:p>
            <w:pPr>
              <w:spacing w:after="0"/>
              <w:rPr>
                <w:sz w:val="5"/>
                <w:szCs w:val="5"/>
                <w:color w:val="auto"/>
              </w:rPr>
            </w:pPr>
          </w:p>
        </w:tc>
        <w:tc>
          <w:tcPr>
            <w:tcW w:w="48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7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189"/>
        </w:trPr>
        <w:tc>
          <w:tcPr>
            <w:tcW w:w="280" w:type="dxa"/>
            <w:vAlign w:val="bottom"/>
            <w:shd w:val="clear" w:color="auto" w:fill="CCEEFF"/>
          </w:tcPr>
          <w:p>
            <w:pPr>
              <w:spacing w:after="0"/>
              <w:rPr>
                <w:sz w:val="16"/>
                <w:szCs w:val="16"/>
                <w:color w:val="auto"/>
              </w:rPr>
            </w:pPr>
          </w:p>
        </w:tc>
        <w:tc>
          <w:tcPr>
            <w:tcW w:w="1020" w:type="dxa"/>
            <w:vAlign w:val="bottom"/>
            <w:tcBorders>
              <w:right w:val="single" w:sz="8" w:color="CCEEFF"/>
            </w:tcBorders>
            <w:gridSpan w:val="7"/>
            <w:shd w:val="clear" w:color="auto" w:fill="CCEEFF"/>
          </w:tcPr>
          <w:p>
            <w:pPr>
              <w:jc w:val="center"/>
              <w:ind w:right="420"/>
              <w:spacing w:after="0"/>
              <w:rPr>
                <w:sz w:val="20"/>
                <w:szCs w:val="20"/>
                <w:color w:val="auto"/>
              </w:rPr>
            </w:pPr>
            <w:r>
              <w:rPr>
                <w:rFonts w:ascii="Arial" w:cs="Arial" w:eastAsia="Arial" w:hAnsi="Arial"/>
                <w:sz w:val="16"/>
                <w:szCs w:val="16"/>
                <w:color w:val="0000FF"/>
                <w:w w:val="97"/>
              </w:rPr>
              <w:t>101.</w:t>
            </w:r>
            <w:r>
              <w:rPr>
                <w:rFonts w:ascii="Arial" w:cs="Arial" w:eastAsia="Arial" w:hAnsi="Arial"/>
                <w:sz w:val="16"/>
                <w:szCs w:val="16"/>
                <w:u w:val="single" w:color="auto"/>
                <w:color w:val="0000FF"/>
                <w:w w:val="97"/>
              </w:rPr>
              <w:t>LAB</w:t>
            </w:r>
          </w:p>
        </w:tc>
        <w:tc>
          <w:tcPr>
            <w:tcW w:w="10120" w:type="dxa"/>
            <w:vAlign w:val="bottom"/>
            <w:gridSpan w:val="20"/>
            <w:shd w:val="clear" w:color="auto" w:fill="CCEEFF"/>
          </w:tcPr>
          <w:p>
            <w:pPr>
              <w:spacing w:after="0"/>
              <w:rPr>
                <w:sz w:val="20"/>
                <w:szCs w:val="20"/>
                <w:color w:val="auto"/>
              </w:rPr>
            </w:pPr>
            <w:r>
              <w:rPr>
                <w:rFonts w:ascii="Arial" w:cs="Arial" w:eastAsia="Arial" w:hAnsi="Arial"/>
                <w:sz w:val="16"/>
                <w:szCs w:val="16"/>
                <w:color w:val="0000FF"/>
              </w:rPr>
              <w:t>XBRL Taxonomy Extension Label Linkbase</w:t>
            </w:r>
          </w:p>
        </w:tc>
      </w:tr>
      <w:tr>
        <w:trPr>
          <w:trHeight w:val="61"/>
        </w:trPr>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140" w:type="dxa"/>
            <w:vAlign w:val="bottom"/>
            <w:tcBorders>
              <w:top w:val="single" w:sz="8" w:color="0000FF"/>
            </w:tcBorders>
            <w:shd w:val="clear" w:color="auto" w:fill="CCEEFF"/>
          </w:tcPr>
          <w:p>
            <w:pPr>
              <w:spacing w:after="0"/>
              <w:rPr>
                <w:sz w:val="5"/>
                <w:szCs w:val="5"/>
                <w:color w:val="auto"/>
              </w:rPr>
            </w:pPr>
          </w:p>
        </w:tc>
        <w:tc>
          <w:tcPr>
            <w:tcW w:w="280" w:type="dxa"/>
            <w:vAlign w:val="bottom"/>
            <w:tcBorders>
              <w:top w:val="single" w:sz="8" w:color="0000FF"/>
            </w:tcBorders>
            <w:shd w:val="clear" w:color="auto" w:fill="CCEEFF"/>
          </w:tcPr>
          <w:p>
            <w:pPr>
              <w:spacing w:after="0"/>
              <w:rPr>
                <w:sz w:val="5"/>
                <w:szCs w:val="5"/>
                <w:color w:val="auto"/>
              </w:rPr>
            </w:pPr>
          </w:p>
        </w:tc>
        <w:tc>
          <w:tcPr>
            <w:tcW w:w="14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right w:val="single" w:sz="8" w:color="CCEEFF"/>
            </w:tcBorders>
            <w:shd w:val="clear" w:color="auto" w:fill="CCEEFF"/>
          </w:tcPr>
          <w:p>
            <w:pPr>
              <w:spacing w:after="0"/>
              <w:rPr>
                <w:sz w:val="5"/>
                <w:szCs w:val="5"/>
                <w:color w:val="auto"/>
              </w:rPr>
            </w:pPr>
          </w:p>
        </w:tc>
        <w:tc>
          <w:tcPr>
            <w:tcW w:w="800" w:type="dxa"/>
            <w:vAlign w:val="bottom"/>
            <w:tcBorders>
              <w:top w:val="single" w:sz="8" w:color="0000FF"/>
            </w:tcBorders>
            <w:shd w:val="clear" w:color="auto" w:fill="CCEEFF"/>
          </w:tcPr>
          <w:p>
            <w:pPr>
              <w:spacing w:after="0"/>
              <w:rPr>
                <w:sz w:val="5"/>
                <w:szCs w:val="5"/>
                <w:color w:val="auto"/>
              </w:rPr>
            </w:pPr>
          </w:p>
        </w:tc>
        <w:tc>
          <w:tcPr>
            <w:tcW w:w="920" w:type="dxa"/>
            <w:vAlign w:val="bottom"/>
            <w:tcBorders>
              <w:top w:val="single" w:sz="8" w:color="0000FF"/>
            </w:tcBorders>
            <w:shd w:val="clear" w:color="auto" w:fill="CCEEFF"/>
          </w:tcPr>
          <w:p>
            <w:pPr>
              <w:spacing w:after="0"/>
              <w:rPr>
                <w:sz w:val="5"/>
                <w:szCs w:val="5"/>
                <w:color w:val="auto"/>
              </w:rPr>
            </w:pPr>
          </w:p>
        </w:tc>
        <w:tc>
          <w:tcPr>
            <w:tcW w:w="240" w:type="dxa"/>
            <w:vAlign w:val="bottom"/>
            <w:tcBorders>
              <w:top w:val="single" w:sz="8" w:color="0000FF"/>
            </w:tcBorders>
            <w:shd w:val="clear" w:color="auto" w:fill="CCEEFF"/>
          </w:tcPr>
          <w:p>
            <w:pPr>
              <w:spacing w:after="0"/>
              <w:rPr>
                <w:sz w:val="5"/>
                <w:szCs w:val="5"/>
                <w:color w:val="auto"/>
              </w:rPr>
            </w:pPr>
          </w:p>
        </w:tc>
        <w:tc>
          <w:tcPr>
            <w:tcW w:w="440" w:type="dxa"/>
            <w:vAlign w:val="bottom"/>
            <w:tcBorders>
              <w:top w:val="single" w:sz="8" w:color="0000FF"/>
            </w:tcBorders>
            <w:shd w:val="clear" w:color="auto" w:fill="CCEEFF"/>
          </w:tcPr>
          <w:p>
            <w:pPr>
              <w:spacing w:after="0"/>
              <w:rPr>
                <w:sz w:val="5"/>
                <w:szCs w:val="5"/>
                <w:color w:val="auto"/>
              </w:rPr>
            </w:pPr>
          </w:p>
        </w:tc>
        <w:tc>
          <w:tcPr>
            <w:tcW w:w="480" w:type="dxa"/>
            <w:vAlign w:val="bottom"/>
            <w:tcBorders>
              <w:top w:val="single" w:sz="8" w:color="0000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37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8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r>
      <w:tr>
        <w:trPr>
          <w:trHeight w:val="189"/>
        </w:trPr>
        <w:tc>
          <w:tcPr>
            <w:tcW w:w="280" w:type="dxa"/>
            <w:vAlign w:val="bottom"/>
          </w:tcPr>
          <w:p>
            <w:pPr>
              <w:spacing w:after="0"/>
              <w:rPr>
                <w:sz w:val="16"/>
                <w:szCs w:val="16"/>
                <w:color w:val="auto"/>
              </w:rPr>
            </w:pPr>
          </w:p>
        </w:tc>
        <w:tc>
          <w:tcPr>
            <w:tcW w:w="1020" w:type="dxa"/>
            <w:vAlign w:val="bottom"/>
            <w:gridSpan w:val="7"/>
          </w:tcPr>
          <w:p>
            <w:pPr>
              <w:jc w:val="center"/>
              <w:ind w:right="400"/>
              <w:spacing w:after="0"/>
              <w:rPr>
                <w:sz w:val="20"/>
                <w:szCs w:val="20"/>
                <w:color w:val="auto"/>
              </w:rPr>
            </w:pPr>
            <w:r>
              <w:rPr>
                <w:rFonts w:ascii="Arial" w:cs="Arial" w:eastAsia="Arial" w:hAnsi="Arial"/>
                <w:sz w:val="16"/>
                <w:szCs w:val="16"/>
                <w:color w:val="0000FF"/>
                <w:w w:val="90"/>
              </w:rPr>
              <w:t>101.</w:t>
            </w:r>
            <w:r>
              <w:rPr>
                <w:rFonts w:ascii="Arial" w:cs="Arial" w:eastAsia="Arial" w:hAnsi="Arial"/>
                <w:sz w:val="16"/>
                <w:szCs w:val="16"/>
                <w:u w:val="single" w:color="auto"/>
                <w:color w:val="0000FF"/>
                <w:w w:val="90"/>
              </w:rPr>
              <w:t>PRE</w:t>
            </w:r>
          </w:p>
        </w:tc>
        <w:tc>
          <w:tcPr>
            <w:tcW w:w="10120" w:type="dxa"/>
            <w:vAlign w:val="bottom"/>
            <w:gridSpan w:val="20"/>
          </w:tcPr>
          <w:p>
            <w:pPr>
              <w:spacing w:after="0"/>
              <w:rPr>
                <w:sz w:val="20"/>
                <w:szCs w:val="20"/>
                <w:color w:val="auto"/>
              </w:rPr>
            </w:pPr>
            <w:r>
              <w:rPr>
                <w:rFonts w:ascii="Arial" w:cs="Arial" w:eastAsia="Arial" w:hAnsi="Arial"/>
                <w:sz w:val="16"/>
                <w:szCs w:val="16"/>
                <w:color w:val="0000FF"/>
              </w:rPr>
              <w:t>XBRL Taxonomy Extension Presentation Linkbase</w:t>
            </w:r>
          </w:p>
        </w:tc>
      </w:tr>
      <w:tr>
        <w:trPr>
          <w:trHeight w:val="61"/>
        </w:trPr>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280" w:type="dxa"/>
            <w:vAlign w:val="bottom"/>
            <w:tcBorders>
              <w:top w:val="single" w:sz="8" w:color="0000FF"/>
            </w:tcBorders>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Borders>
              <w:top w:val="single" w:sz="8" w:color="0000FF"/>
            </w:tcBorders>
          </w:tcPr>
          <w:p>
            <w:pPr>
              <w:spacing w:after="0"/>
              <w:rPr>
                <w:sz w:val="5"/>
                <w:szCs w:val="5"/>
                <w:color w:val="auto"/>
              </w:rPr>
            </w:pPr>
          </w:p>
        </w:tc>
        <w:tc>
          <w:tcPr>
            <w:tcW w:w="920" w:type="dxa"/>
            <w:vAlign w:val="bottom"/>
            <w:tcBorders>
              <w:top w:val="single" w:sz="8" w:color="0000FF"/>
            </w:tcBorders>
          </w:tcPr>
          <w:p>
            <w:pPr>
              <w:spacing w:after="0"/>
              <w:rPr>
                <w:sz w:val="5"/>
                <w:szCs w:val="5"/>
                <w:color w:val="auto"/>
              </w:rPr>
            </w:pPr>
          </w:p>
        </w:tc>
        <w:tc>
          <w:tcPr>
            <w:tcW w:w="240" w:type="dxa"/>
            <w:vAlign w:val="bottom"/>
            <w:tcBorders>
              <w:top w:val="single" w:sz="8" w:color="0000FF"/>
            </w:tcBorders>
          </w:tcPr>
          <w:p>
            <w:pPr>
              <w:spacing w:after="0"/>
              <w:rPr>
                <w:sz w:val="5"/>
                <w:szCs w:val="5"/>
                <w:color w:val="auto"/>
              </w:rPr>
            </w:pPr>
          </w:p>
        </w:tc>
        <w:tc>
          <w:tcPr>
            <w:tcW w:w="440" w:type="dxa"/>
            <w:vAlign w:val="bottom"/>
            <w:tcBorders>
              <w:top w:val="single" w:sz="8" w:color="0000FF"/>
            </w:tcBorders>
          </w:tcPr>
          <w:p>
            <w:pPr>
              <w:spacing w:after="0"/>
              <w:rPr>
                <w:sz w:val="5"/>
                <w:szCs w:val="5"/>
                <w:color w:val="auto"/>
              </w:rPr>
            </w:pPr>
          </w:p>
        </w:tc>
        <w:tc>
          <w:tcPr>
            <w:tcW w:w="48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7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189"/>
        </w:trPr>
        <w:tc>
          <w:tcPr>
            <w:tcW w:w="280" w:type="dxa"/>
            <w:vAlign w:val="bottom"/>
            <w:shd w:val="clear" w:color="auto" w:fill="CCEEFF"/>
          </w:tcPr>
          <w:p>
            <w:pPr>
              <w:spacing w:after="0"/>
              <w:rPr>
                <w:sz w:val="16"/>
                <w:szCs w:val="16"/>
                <w:color w:val="auto"/>
              </w:rPr>
            </w:pPr>
          </w:p>
        </w:tc>
        <w:tc>
          <w:tcPr>
            <w:tcW w:w="1020" w:type="dxa"/>
            <w:vAlign w:val="bottom"/>
            <w:tcBorders>
              <w:right w:val="single" w:sz="8" w:color="CCEEFF"/>
            </w:tcBorders>
            <w:gridSpan w:val="7"/>
            <w:shd w:val="clear" w:color="auto" w:fill="CCEEFF"/>
          </w:tcPr>
          <w:p>
            <w:pPr>
              <w:jc w:val="center"/>
              <w:ind w:right="420"/>
              <w:spacing w:after="0"/>
              <w:rPr>
                <w:sz w:val="20"/>
                <w:szCs w:val="20"/>
                <w:color w:val="auto"/>
              </w:rPr>
            </w:pPr>
            <w:r>
              <w:rPr>
                <w:rFonts w:ascii="Arial" w:cs="Arial" w:eastAsia="Arial" w:hAnsi="Arial"/>
                <w:sz w:val="16"/>
                <w:szCs w:val="16"/>
                <w:color w:val="0000FF"/>
                <w:w w:val="94"/>
              </w:rPr>
              <w:t>101.</w:t>
            </w:r>
            <w:r>
              <w:rPr>
                <w:rFonts w:ascii="Arial" w:cs="Arial" w:eastAsia="Arial" w:hAnsi="Arial"/>
                <w:sz w:val="16"/>
                <w:szCs w:val="16"/>
                <w:u w:val="single" w:color="auto"/>
                <w:color w:val="0000FF"/>
                <w:w w:val="94"/>
              </w:rPr>
              <w:t>DEF</w:t>
            </w:r>
          </w:p>
        </w:tc>
        <w:tc>
          <w:tcPr>
            <w:tcW w:w="10120" w:type="dxa"/>
            <w:vAlign w:val="bottom"/>
            <w:gridSpan w:val="20"/>
            <w:shd w:val="clear" w:color="auto" w:fill="CCEEFF"/>
          </w:tcPr>
          <w:p>
            <w:pPr>
              <w:spacing w:after="0"/>
              <w:rPr>
                <w:sz w:val="20"/>
                <w:szCs w:val="20"/>
                <w:color w:val="auto"/>
              </w:rPr>
            </w:pPr>
            <w:r>
              <w:rPr>
                <w:rFonts w:ascii="Arial" w:cs="Arial" w:eastAsia="Arial" w:hAnsi="Arial"/>
                <w:sz w:val="16"/>
                <w:szCs w:val="16"/>
                <w:color w:val="0000FF"/>
              </w:rPr>
              <w:t>XBRL Taxonomy Extension Definition Linkbase</w:t>
            </w:r>
          </w:p>
        </w:tc>
      </w:tr>
      <w:tr>
        <w:trPr>
          <w:trHeight w:val="61"/>
        </w:trPr>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140" w:type="dxa"/>
            <w:vAlign w:val="bottom"/>
            <w:tcBorders>
              <w:top w:val="single" w:sz="8" w:color="0000FF"/>
            </w:tcBorders>
            <w:shd w:val="clear" w:color="auto" w:fill="CCEEFF"/>
          </w:tcPr>
          <w:p>
            <w:pPr>
              <w:spacing w:after="0"/>
              <w:rPr>
                <w:sz w:val="5"/>
                <w:szCs w:val="5"/>
                <w:color w:val="auto"/>
              </w:rPr>
            </w:pPr>
          </w:p>
        </w:tc>
        <w:tc>
          <w:tcPr>
            <w:tcW w:w="280" w:type="dxa"/>
            <w:vAlign w:val="bottom"/>
            <w:tcBorders>
              <w:top w:val="single" w:sz="8" w:color="0000FF"/>
            </w:tcBorders>
            <w:shd w:val="clear" w:color="auto" w:fill="CCEEFF"/>
          </w:tcPr>
          <w:p>
            <w:pPr>
              <w:spacing w:after="0"/>
              <w:rPr>
                <w:sz w:val="5"/>
                <w:szCs w:val="5"/>
                <w:color w:val="auto"/>
              </w:rPr>
            </w:pPr>
          </w:p>
        </w:tc>
        <w:tc>
          <w:tcPr>
            <w:tcW w:w="14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right w:val="single" w:sz="8" w:color="CCEEFF"/>
            </w:tcBorders>
            <w:shd w:val="clear" w:color="auto" w:fill="CCEEFF"/>
          </w:tcPr>
          <w:p>
            <w:pPr>
              <w:spacing w:after="0"/>
              <w:rPr>
                <w:sz w:val="5"/>
                <w:szCs w:val="5"/>
                <w:color w:val="auto"/>
              </w:rPr>
            </w:pPr>
          </w:p>
        </w:tc>
        <w:tc>
          <w:tcPr>
            <w:tcW w:w="800" w:type="dxa"/>
            <w:vAlign w:val="bottom"/>
            <w:tcBorders>
              <w:top w:val="single" w:sz="8" w:color="0000FF"/>
            </w:tcBorders>
            <w:shd w:val="clear" w:color="auto" w:fill="CCEEFF"/>
          </w:tcPr>
          <w:p>
            <w:pPr>
              <w:spacing w:after="0"/>
              <w:rPr>
                <w:sz w:val="5"/>
                <w:szCs w:val="5"/>
                <w:color w:val="auto"/>
              </w:rPr>
            </w:pPr>
          </w:p>
        </w:tc>
        <w:tc>
          <w:tcPr>
            <w:tcW w:w="920" w:type="dxa"/>
            <w:vAlign w:val="bottom"/>
            <w:tcBorders>
              <w:top w:val="single" w:sz="8" w:color="0000FF"/>
            </w:tcBorders>
            <w:shd w:val="clear" w:color="auto" w:fill="CCEEFF"/>
          </w:tcPr>
          <w:p>
            <w:pPr>
              <w:spacing w:after="0"/>
              <w:rPr>
                <w:sz w:val="5"/>
                <w:szCs w:val="5"/>
                <w:color w:val="auto"/>
              </w:rPr>
            </w:pPr>
          </w:p>
        </w:tc>
        <w:tc>
          <w:tcPr>
            <w:tcW w:w="240" w:type="dxa"/>
            <w:vAlign w:val="bottom"/>
            <w:tcBorders>
              <w:top w:val="single" w:sz="8" w:color="0000FF"/>
            </w:tcBorders>
            <w:shd w:val="clear" w:color="auto" w:fill="CCEEFF"/>
          </w:tcPr>
          <w:p>
            <w:pPr>
              <w:spacing w:after="0"/>
              <w:rPr>
                <w:sz w:val="5"/>
                <w:szCs w:val="5"/>
                <w:color w:val="auto"/>
              </w:rPr>
            </w:pPr>
          </w:p>
        </w:tc>
        <w:tc>
          <w:tcPr>
            <w:tcW w:w="440" w:type="dxa"/>
            <w:vAlign w:val="bottom"/>
            <w:tcBorders>
              <w:top w:val="single" w:sz="8" w:color="0000FF"/>
            </w:tcBorders>
            <w:shd w:val="clear" w:color="auto" w:fill="CCEEFF"/>
          </w:tcPr>
          <w:p>
            <w:pPr>
              <w:spacing w:after="0"/>
              <w:rPr>
                <w:sz w:val="5"/>
                <w:szCs w:val="5"/>
                <w:color w:val="auto"/>
              </w:rPr>
            </w:pPr>
          </w:p>
        </w:tc>
        <w:tc>
          <w:tcPr>
            <w:tcW w:w="480" w:type="dxa"/>
            <w:vAlign w:val="bottom"/>
            <w:tcBorders>
              <w:top w:val="single" w:sz="8" w:color="0000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37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8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r>
    </w:tbl>
    <w:p>
      <w:pPr>
        <w:spacing w:after="0" w:line="341" w:lineRule="exact"/>
        <w:rPr>
          <w:sz w:val="20"/>
          <w:szCs w:val="20"/>
          <w:color w:val="auto"/>
        </w:rPr>
      </w:pPr>
    </w:p>
    <w:p>
      <w:pPr>
        <w:ind w:left="1300" w:hanging="759"/>
        <w:spacing w:after="0"/>
        <w:tabs>
          <w:tab w:leader="none" w:pos="13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86" w:lineRule="exact"/>
        <w:rPr>
          <w:sz w:val="20"/>
          <w:szCs w:val="20"/>
          <w:color w:val="auto"/>
        </w:rPr>
      </w:pPr>
    </w:p>
    <w:p>
      <w:pPr>
        <w:ind w:left="1300" w:hanging="799"/>
        <w:spacing w:after="0"/>
        <w:tabs>
          <w:tab w:leader="none" w:pos="13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823" w:right="239" w:bottom="1440" w:gutter="0" w:footer="0" w:header="0"/>
        </w:sectPr>
      </w:pPr>
    </w:p>
    <w:bookmarkStart w:id="51" w:name="page52"/>
    <w:bookmarkEnd w:id="51"/>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thereunto duly authorized.</w:t>
      </w:r>
    </w:p>
    <w:p>
      <w:pPr>
        <w:spacing w:after="0" w:line="329"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2680" w:type="dxa"/>
            <w:vAlign w:val="bottom"/>
          </w:tcPr>
          <w:p>
            <w:pPr>
              <w:spacing w:after="0"/>
              <w:rPr>
                <w:sz w:val="20"/>
                <w:szCs w:val="20"/>
                <w:color w:val="auto"/>
              </w:rPr>
            </w:pPr>
          </w:p>
        </w:tc>
        <w:tc>
          <w:tcPr>
            <w:tcW w:w="5740" w:type="dxa"/>
            <w:vAlign w:val="bottom"/>
          </w:tcPr>
          <w:p>
            <w:pPr>
              <w:ind w:left="100"/>
              <w:spacing w:after="0"/>
              <w:rPr>
                <w:sz w:val="20"/>
                <w:szCs w:val="20"/>
                <w:color w:val="auto"/>
              </w:rPr>
            </w:pPr>
            <w:r>
              <w:rPr>
                <w:rFonts w:ascii="Arial" w:cs="Arial" w:eastAsia="Arial" w:hAnsi="Arial"/>
                <w:sz w:val="18"/>
                <w:szCs w:val="18"/>
                <w:b w:val="1"/>
                <w:bCs w:val="1"/>
                <w:color w:val="auto"/>
              </w:rPr>
              <w:t>THE HERSHEY COMPANY</w:t>
            </w:r>
          </w:p>
        </w:tc>
      </w:tr>
      <w:tr>
        <w:trPr>
          <w:trHeight w:val="270"/>
        </w:trPr>
        <w:tc>
          <w:tcPr>
            <w:tcW w:w="2680" w:type="dxa"/>
            <w:vAlign w:val="bottom"/>
          </w:tcPr>
          <w:p>
            <w:pPr>
              <w:spacing w:after="0"/>
              <w:rPr>
                <w:sz w:val="23"/>
                <w:szCs w:val="23"/>
                <w:color w:val="auto"/>
              </w:rPr>
            </w:pPr>
          </w:p>
        </w:tc>
        <w:tc>
          <w:tcPr>
            <w:tcW w:w="5740" w:type="dxa"/>
            <w:vAlign w:val="bottom"/>
          </w:tcPr>
          <w:p>
            <w:pPr>
              <w:ind w:left="140"/>
              <w:spacing w:after="0"/>
              <w:rPr>
                <w:sz w:val="20"/>
                <w:szCs w:val="20"/>
                <w:color w:val="auto"/>
              </w:rPr>
            </w:pPr>
            <w:r>
              <w:rPr>
                <w:rFonts w:ascii="Arial" w:cs="Arial" w:eastAsia="Arial" w:hAnsi="Arial"/>
                <w:sz w:val="18"/>
                <w:szCs w:val="18"/>
                <w:b w:val="1"/>
                <w:bCs w:val="1"/>
                <w:color w:val="auto"/>
              </w:rPr>
              <w:t>(Registrant)</w:t>
            </w:r>
          </w:p>
        </w:tc>
      </w:tr>
      <w:tr>
        <w:trPr>
          <w:trHeight w:val="594"/>
        </w:trPr>
        <w:tc>
          <w:tcPr>
            <w:tcW w:w="2680" w:type="dxa"/>
            <w:vAlign w:val="bottom"/>
          </w:tcPr>
          <w:p>
            <w:pPr>
              <w:spacing w:after="0"/>
              <w:rPr>
                <w:sz w:val="20"/>
                <w:szCs w:val="20"/>
                <w:color w:val="auto"/>
              </w:rPr>
            </w:pPr>
            <w:r>
              <w:rPr>
                <w:rFonts w:ascii="Arial" w:cs="Arial" w:eastAsia="Arial" w:hAnsi="Arial"/>
                <w:sz w:val="18"/>
                <w:szCs w:val="18"/>
                <w:color w:val="auto"/>
              </w:rPr>
              <w:t>Date: July 27, 2018</w:t>
            </w:r>
          </w:p>
        </w:tc>
        <w:tc>
          <w:tcPr>
            <w:tcW w:w="5740" w:type="dxa"/>
            <w:vAlign w:val="bottom"/>
          </w:tcPr>
          <w:p>
            <w:pPr>
              <w:ind w:left="100"/>
              <w:spacing w:after="0"/>
              <w:rPr>
                <w:sz w:val="20"/>
                <w:szCs w:val="20"/>
                <w:color w:val="auto"/>
              </w:rPr>
            </w:pPr>
            <w:r>
              <w:rPr>
                <w:rFonts w:ascii="Arial" w:cs="Arial" w:eastAsia="Arial" w:hAnsi="Arial"/>
                <w:sz w:val="18"/>
                <w:szCs w:val="18"/>
                <w:color w:val="auto"/>
              </w:rPr>
              <w:t>/s/ Patricia A. Little</w:t>
            </w:r>
          </w:p>
        </w:tc>
      </w:tr>
      <w:tr>
        <w:trPr>
          <w:trHeight w:val="27"/>
        </w:trPr>
        <w:tc>
          <w:tcPr>
            <w:tcW w:w="2680" w:type="dxa"/>
            <w:vAlign w:val="bottom"/>
          </w:tcPr>
          <w:p>
            <w:pPr>
              <w:spacing w:after="0"/>
              <w:rPr>
                <w:sz w:val="2"/>
                <w:szCs w:val="2"/>
                <w:color w:val="auto"/>
              </w:rPr>
            </w:pPr>
          </w:p>
        </w:tc>
        <w:tc>
          <w:tcPr>
            <w:tcW w:w="5740" w:type="dxa"/>
            <w:vAlign w:val="bottom"/>
            <w:tcBorders>
              <w:bottom w:val="single" w:sz="8" w:color="auto"/>
            </w:tcBorders>
          </w:tcPr>
          <w:p>
            <w:pPr>
              <w:spacing w:after="0"/>
              <w:rPr>
                <w:sz w:val="2"/>
                <w:szCs w:val="2"/>
                <w:color w:val="auto"/>
              </w:rPr>
            </w:pPr>
          </w:p>
        </w:tc>
      </w:tr>
      <w:tr>
        <w:trPr>
          <w:trHeight w:val="237"/>
        </w:trPr>
        <w:tc>
          <w:tcPr>
            <w:tcW w:w="2680" w:type="dxa"/>
            <w:vAlign w:val="bottom"/>
          </w:tcPr>
          <w:p>
            <w:pPr>
              <w:spacing w:after="0"/>
              <w:rPr>
                <w:sz w:val="20"/>
                <w:szCs w:val="20"/>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Patricia A. Little</w:t>
            </w:r>
          </w:p>
        </w:tc>
      </w:tr>
      <w:tr>
        <w:trPr>
          <w:trHeight w:val="270"/>
        </w:trPr>
        <w:tc>
          <w:tcPr>
            <w:tcW w:w="2680" w:type="dxa"/>
            <w:vAlign w:val="bottom"/>
          </w:tcPr>
          <w:p>
            <w:pPr>
              <w:spacing w:after="0"/>
              <w:rPr>
                <w:sz w:val="23"/>
                <w:szCs w:val="23"/>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Senior Vice President, Chief Financial Officer</w:t>
            </w:r>
          </w:p>
        </w:tc>
      </w:tr>
      <w:tr>
        <w:trPr>
          <w:trHeight w:val="270"/>
        </w:trPr>
        <w:tc>
          <w:tcPr>
            <w:tcW w:w="2680" w:type="dxa"/>
            <w:vAlign w:val="bottom"/>
          </w:tcPr>
          <w:p>
            <w:pPr>
              <w:spacing w:after="0"/>
              <w:rPr>
                <w:sz w:val="23"/>
                <w:szCs w:val="23"/>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(Principal Financial Officer)</w:t>
            </w:r>
          </w:p>
        </w:tc>
      </w:tr>
      <w:tr>
        <w:trPr>
          <w:trHeight w:val="594"/>
        </w:trPr>
        <w:tc>
          <w:tcPr>
            <w:tcW w:w="2680" w:type="dxa"/>
            <w:vAlign w:val="bottom"/>
          </w:tcPr>
          <w:p>
            <w:pPr>
              <w:spacing w:after="0"/>
              <w:rPr>
                <w:sz w:val="20"/>
                <w:szCs w:val="20"/>
                <w:color w:val="auto"/>
              </w:rPr>
            </w:pPr>
            <w:r>
              <w:rPr>
                <w:rFonts w:ascii="Arial" w:cs="Arial" w:eastAsia="Arial" w:hAnsi="Arial"/>
                <w:sz w:val="18"/>
                <w:szCs w:val="18"/>
                <w:color w:val="auto"/>
              </w:rPr>
              <w:t>Date: July 27, 2018</w:t>
            </w:r>
          </w:p>
        </w:tc>
        <w:tc>
          <w:tcPr>
            <w:tcW w:w="5740" w:type="dxa"/>
            <w:vAlign w:val="bottom"/>
          </w:tcPr>
          <w:p>
            <w:pPr>
              <w:ind w:left="100"/>
              <w:spacing w:after="0"/>
              <w:rPr>
                <w:sz w:val="20"/>
                <w:szCs w:val="20"/>
                <w:color w:val="auto"/>
              </w:rPr>
            </w:pPr>
            <w:r>
              <w:rPr>
                <w:rFonts w:ascii="Arial" w:cs="Arial" w:eastAsia="Arial" w:hAnsi="Arial"/>
                <w:sz w:val="18"/>
                <w:szCs w:val="18"/>
                <w:color w:val="auto"/>
              </w:rPr>
              <w:t>/s/ Javier H. Idrovo</w:t>
            </w:r>
          </w:p>
        </w:tc>
      </w:tr>
      <w:tr>
        <w:trPr>
          <w:trHeight w:val="27"/>
        </w:trPr>
        <w:tc>
          <w:tcPr>
            <w:tcW w:w="2680" w:type="dxa"/>
            <w:vAlign w:val="bottom"/>
          </w:tcPr>
          <w:p>
            <w:pPr>
              <w:spacing w:after="0"/>
              <w:rPr>
                <w:sz w:val="2"/>
                <w:szCs w:val="2"/>
                <w:color w:val="auto"/>
              </w:rPr>
            </w:pPr>
          </w:p>
        </w:tc>
        <w:tc>
          <w:tcPr>
            <w:tcW w:w="5740" w:type="dxa"/>
            <w:vAlign w:val="bottom"/>
            <w:tcBorders>
              <w:bottom w:val="single" w:sz="8" w:color="auto"/>
            </w:tcBorders>
          </w:tcPr>
          <w:p>
            <w:pPr>
              <w:spacing w:after="0"/>
              <w:rPr>
                <w:sz w:val="2"/>
                <w:szCs w:val="2"/>
                <w:color w:val="auto"/>
              </w:rPr>
            </w:pPr>
          </w:p>
        </w:tc>
      </w:tr>
      <w:tr>
        <w:trPr>
          <w:trHeight w:val="237"/>
        </w:trPr>
        <w:tc>
          <w:tcPr>
            <w:tcW w:w="2680" w:type="dxa"/>
            <w:vAlign w:val="bottom"/>
          </w:tcPr>
          <w:p>
            <w:pPr>
              <w:spacing w:after="0"/>
              <w:rPr>
                <w:sz w:val="20"/>
                <w:szCs w:val="20"/>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Javier H. Idrovo</w:t>
            </w:r>
          </w:p>
        </w:tc>
      </w:tr>
      <w:tr>
        <w:trPr>
          <w:trHeight w:val="270"/>
        </w:trPr>
        <w:tc>
          <w:tcPr>
            <w:tcW w:w="2680" w:type="dxa"/>
            <w:vAlign w:val="bottom"/>
          </w:tcPr>
          <w:p>
            <w:pPr>
              <w:spacing w:after="0"/>
              <w:rPr>
                <w:sz w:val="23"/>
                <w:szCs w:val="23"/>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Chief Accounting Officer</w:t>
            </w:r>
          </w:p>
        </w:tc>
      </w:tr>
      <w:tr>
        <w:trPr>
          <w:trHeight w:val="270"/>
        </w:trPr>
        <w:tc>
          <w:tcPr>
            <w:tcW w:w="2680" w:type="dxa"/>
            <w:vAlign w:val="bottom"/>
          </w:tcPr>
          <w:p>
            <w:pPr>
              <w:spacing w:after="0"/>
              <w:rPr>
                <w:sz w:val="23"/>
                <w:szCs w:val="23"/>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(Principal Accounting Officer)</w:t>
            </w:r>
          </w:p>
        </w:tc>
      </w:tr>
      <w:tr>
        <w:trPr>
          <w:trHeight w:val="918"/>
        </w:trPr>
        <w:tc>
          <w:tcPr>
            <w:tcW w:w="2680" w:type="dxa"/>
            <w:vAlign w:val="bottom"/>
          </w:tcPr>
          <w:p>
            <w:pPr>
              <w:spacing w:after="0"/>
              <w:rPr>
                <w:sz w:val="24"/>
                <w:szCs w:val="24"/>
                <w:color w:val="auto"/>
              </w:rPr>
            </w:pPr>
          </w:p>
        </w:tc>
        <w:tc>
          <w:tcPr>
            <w:tcW w:w="5740" w:type="dxa"/>
            <w:vAlign w:val="bottom"/>
          </w:tcPr>
          <w:p>
            <w:pPr>
              <w:ind w:left="1960"/>
              <w:spacing w:after="0"/>
              <w:rPr>
                <w:sz w:val="20"/>
                <w:szCs w:val="20"/>
                <w:color w:val="auto"/>
              </w:rPr>
            </w:pPr>
            <w:r>
              <w:rPr>
                <w:rFonts w:ascii="Arial" w:cs="Arial" w:eastAsia="Arial" w:hAnsi="Arial"/>
                <w:sz w:val="18"/>
                <w:szCs w:val="18"/>
                <w:color w:val="auto"/>
              </w:rPr>
              <w:t>50</w:t>
            </w:r>
          </w:p>
        </w:tc>
      </w:tr>
    </w:tbl>
    <w:p>
      <w:pPr>
        <w:sectPr>
          <w:pgSz w:w="11900" w:h="16838" w:orient="portrait"/>
          <w:cols w:equalWidth="0" w:num="1">
            <w:col w:w="11240"/>
          </w:cols>
          <w:pgMar w:left="240" w:top="580" w:right="41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12.1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for ratios)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0" w:type="dxa"/>
            <w:vAlign w:val="bottom"/>
            <w:gridSpan w:val="3"/>
          </w:tcPr>
          <w:p>
            <w:pPr>
              <w:jc w:val="right"/>
              <w:spacing w:after="0"/>
              <w:rPr>
                <w:sz w:val="20"/>
                <w:szCs w:val="20"/>
                <w:color w:val="auto"/>
              </w:rPr>
            </w:pPr>
            <w:r>
              <w:rPr>
                <w:rFonts w:ascii="Arial" w:cs="Arial" w:eastAsia="Arial" w:hAnsi="Arial"/>
                <w:sz w:val="16"/>
                <w:szCs w:val="16"/>
                <w:b w:val="1"/>
                <w:bCs w:val="1"/>
                <w:color w:val="auto"/>
              </w:rPr>
              <w:t>Six Months Ended</w:t>
            </w:r>
          </w:p>
        </w:tc>
        <w:tc>
          <w:tcPr>
            <w:tcW w:w="1560" w:type="dxa"/>
            <w:vAlign w:val="bottom"/>
          </w:tcPr>
          <w:p>
            <w:pPr>
              <w:spacing w:after="0"/>
              <w:rPr>
                <w:sz w:val="18"/>
                <w:szCs w:val="18"/>
                <w:color w:val="auto"/>
              </w:rPr>
            </w:pPr>
          </w:p>
        </w:tc>
      </w:tr>
      <w:tr>
        <w:trPr>
          <w:trHeight w:val="33"/>
        </w:trPr>
        <w:tc>
          <w:tcPr>
            <w:tcW w:w="68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1"/>
        </w:trPr>
        <w:tc>
          <w:tcPr>
            <w:tcW w:w="6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gridSpan w:val="2"/>
          </w:tcPr>
          <w:p>
            <w:pPr>
              <w:ind w:left="280"/>
              <w:spacing w:after="0"/>
              <w:rPr>
                <w:sz w:val="20"/>
                <w:szCs w:val="20"/>
                <w:color w:val="auto"/>
              </w:rPr>
            </w:pPr>
            <w:r>
              <w:rPr>
                <w:rFonts w:ascii="Arial" w:cs="Arial" w:eastAsia="Arial" w:hAnsi="Arial"/>
                <w:sz w:val="16"/>
                <w:szCs w:val="16"/>
                <w:b w:val="1"/>
                <w:bCs w:val="1"/>
                <w:color w:val="auto"/>
              </w:rPr>
              <w:t>July 1, 2018</w:t>
            </w:r>
          </w:p>
        </w:tc>
        <w:tc>
          <w:tcPr>
            <w:tcW w:w="600" w:type="dxa"/>
            <w:vAlign w:val="bottom"/>
          </w:tcPr>
          <w:p>
            <w:pPr>
              <w:spacing w:after="0"/>
              <w:rPr>
                <w:sz w:val="20"/>
                <w:szCs w:val="20"/>
                <w:color w:val="auto"/>
              </w:rPr>
            </w:pPr>
          </w:p>
        </w:tc>
        <w:tc>
          <w:tcPr>
            <w:tcW w:w="1560" w:type="dxa"/>
            <w:vAlign w:val="bottom"/>
          </w:tcPr>
          <w:p>
            <w:pPr>
              <w:jc w:val="right"/>
              <w:ind w:right="571"/>
              <w:spacing w:after="0"/>
              <w:rPr>
                <w:sz w:val="20"/>
                <w:szCs w:val="20"/>
                <w:color w:val="auto"/>
              </w:rPr>
            </w:pPr>
            <w:r>
              <w:rPr>
                <w:rFonts w:ascii="Arial" w:cs="Arial" w:eastAsia="Arial" w:hAnsi="Arial"/>
                <w:sz w:val="16"/>
                <w:szCs w:val="16"/>
                <w:b w:val="1"/>
                <w:bCs w:val="1"/>
                <w:color w:val="auto"/>
                <w:w w:val="97"/>
              </w:rPr>
              <w:t>July 2, 2017</w:t>
            </w:r>
          </w:p>
        </w:tc>
      </w:tr>
      <w:tr>
        <w:trPr>
          <w:trHeight w:val="33"/>
        </w:trPr>
        <w:tc>
          <w:tcPr>
            <w:tcW w:w="68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w:t>
            </w:r>
          </w:p>
        </w:tc>
        <w:tc>
          <w:tcPr>
            <w:tcW w:w="4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324"/>
        </w:trPr>
        <w:tc>
          <w:tcPr>
            <w:tcW w:w="6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709,237</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449,478</w:t>
            </w:r>
          </w:p>
        </w:tc>
      </w:tr>
      <w:tr>
        <w:trPr>
          <w:trHeight w:val="189"/>
        </w:trPr>
        <w:tc>
          <w:tcPr>
            <w:tcW w:w="6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(deduct):</w:t>
            </w:r>
          </w:p>
        </w:tc>
        <w:tc>
          <w:tcPr>
            <w:tcW w:w="4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189"/>
        </w:trPr>
        <w:tc>
          <w:tcPr>
            <w:tcW w:w="6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 charges</w:t>
            </w:r>
          </w:p>
        </w:tc>
        <w:tc>
          <w:tcPr>
            <w:tcW w:w="4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78,696</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56,475</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Amortization of capitalized interest</w:t>
            </w:r>
          </w:p>
        </w:tc>
        <w:tc>
          <w:tcPr>
            <w:tcW w:w="400" w:type="dxa"/>
            <w:vAlign w:val="bottom"/>
          </w:tcPr>
          <w:p>
            <w:pPr>
              <w:spacing w:after="0"/>
              <w:rPr>
                <w:sz w:val="21"/>
                <w:szCs w:val="21"/>
                <w:color w:val="auto"/>
              </w:rPr>
            </w:pPr>
          </w:p>
        </w:tc>
        <w:tc>
          <w:tcPr>
            <w:tcW w:w="1780" w:type="dxa"/>
            <w:vAlign w:val="bottom"/>
          </w:tcPr>
          <w:p>
            <w:pPr>
              <w:jc w:val="right"/>
              <w:ind w:right="11"/>
              <w:spacing w:after="0"/>
              <w:rPr>
                <w:sz w:val="20"/>
                <w:szCs w:val="20"/>
                <w:color w:val="auto"/>
              </w:rPr>
            </w:pPr>
            <w:r>
              <w:rPr>
                <w:rFonts w:ascii="Arial" w:cs="Arial" w:eastAsia="Arial" w:hAnsi="Arial"/>
                <w:sz w:val="18"/>
                <w:szCs w:val="18"/>
                <w:color w:val="auto"/>
              </w:rPr>
              <w:t>540</w:t>
            </w: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473</w:t>
            </w:r>
          </w:p>
        </w:tc>
      </w:tr>
      <w:tr>
        <w:trPr>
          <w:trHeight w:val="27"/>
        </w:trPr>
        <w:tc>
          <w:tcPr>
            <w:tcW w:w="6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Capitalized interest</w:t>
            </w:r>
          </w:p>
        </w:tc>
        <w:tc>
          <w:tcPr>
            <w:tcW w:w="4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(2,633)</w:t>
            </w:r>
          </w:p>
        </w:tc>
        <w:tc>
          <w:tcPr>
            <w:tcW w:w="2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(1,859)</w:t>
            </w:r>
          </w:p>
        </w:tc>
      </w:tr>
      <w:tr>
        <w:trPr>
          <w:trHeight w:val="183"/>
        </w:trPr>
        <w:tc>
          <w:tcPr>
            <w:tcW w:w="686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7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r>
      <w:tr>
        <w:trPr>
          <w:trHeight w:val="264"/>
        </w:trPr>
        <w:tc>
          <w:tcPr>
            <w:tcW w:w="6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Earnings as adjusted</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785,840</w:t>
            </w:r>
          </w:p>
        </w:tc>
        <w:tc>
          <w:tcPr>
            <w:tcW w:w="2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504,567</w:t>
            </w:r>
          </w:p>
        </w:tc>
      </w:tr>
      <w:tr>
        <w:trPr>
          <w:trHeight w:val="20"/>
        </w:trPr>
        <w:tc>
          <w:tcPr>
            <w:tcW w:w="68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76"/>
        </w:trPr>
        <w:tc>
          <w:tcPr>
            <w:tcW w:w="6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Fixed Charges:</w:t>
            </w:r>
          </w:p>
        </w:tc>
        <w:tc>
          <w:tcPr>
            <w:tcW w:w="4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189"/>
        </w:trPr>
        <w:tc>
          <w:tcPr>
            <w:tcW w:w="6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expensed and capitalized</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69,927</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50,253</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Amortization of deferred debt issuance costs</w:t>
            </w:r>
          </w:p>
        </w:tc>
        <w:tc>
          <w:tcPr>
            <w:tcW w:w="400" w:type="dxa"/>
            <w:vAlign w:val="bottom"/>
          </w:tcPr>
          <w:p>
            <w:pPr>
              <w:spacing w:after="0"/>
              <w:rPr>
                <w:sz w:val="21"/>
                <w:szCs w:val="21"/>
                <w:color w:val="auto"/>
              </w:rPr>
            </w:pPr>
          </w:p>
        </w:tc>
        <w:tc>
          <w:tcPr>
            <w:tcW w:w="1780" w:type="dxa"/>
            <w:vAlign w:val="bottom"/>
          </w:tcPr>
          <w:p>
            <w:pPr>
              <w:jc w:val="right"/>
              <w:ind w:right="11"/>
              <w:spacing w:after="0"/>
              <w:rPr>
                <w:sz w:val="20"/>
                <w:szCs w:val="20"/>
                <w:color w:val="auto"/>
              </w:rPr>
            </w:pPr>
            <w:r>
              <w:rPr>
                <w:rFonts w:ascii="Arial" w:cs="Arial" w:eastAsia="Arial" w:hAnsi="Arial"/>
                <w:sz w:val="18"/>
                <w:szCs w:val="18"/>
                <w:color w:val="auto"/>
              </w:rPr>
              <w:t>1,024</w:t>
            </w: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792</w:t>
            </w:r>
          </w:p>
        </w:tc>
      </w:tr>
      <w:tr>
        <w:trPr>
          <w:trHeight w:val="27"/>
        </w:trPr>
        <w:tc>
          <w:tcPr>
            <w:tcW w:w="6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Portion of rents representative of the interest factor (a)</w:t>
            </w:r>
          </w:p>
        </w:tc>
        <w:tc>
          <w:tcPr>
            <w:tcW w:w="4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7,745</w:t>
            </w:r>
          </w:p>
        </w:tc>
        <w:tc>
          <w:tcPr>
            <w:tcW w:w="2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5,430</w:t>
            </w:r>
          </w:p>
        </w:tc>
      </w:tr>
      <w:tr>
        <w:trPr>
          <w:trHeight w:val="183"/>
        </w:trPr>
        <w:tc>
          <w:tcPr>
            <w:tcW w:w="686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7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r>
      <w:tr>
        <w:trPr>
          <w:trHeight w:val="264"/>
        </w:trPr>
        <w:tc>
          <w:tcPr>
            <w:tcW w:w="6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fixed charges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78,696</w:t>
            </w:r>
          </w:p>
        </w:tc>
        <w:tc>
          <w:tcPr>
            <w:tcW w:w="2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56,475</w:t>
            </w:r>
          </w:p>
        </w:tc>
      </w:tr>
      <w:tr>
        <w:trPr>
          <w:trHeight w:val="20"/>
        </w:trPr>
        <w:tc>
          <w:tcPr>
            <w:tcW w:w="68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76"/>
        </w:trPr>
        <w:tc>
          <w:tcPr>
            <w:tcW w:w="6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275"/>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Ratio of earnings to fixed charges</w:t>
            </w:r>
          </w:p>
        </w:tc>
        <w:tc>
          <w:tcPr>
            <w:tcW w:w="4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9.99</w:t>
            </w:r>
          </w:p>
        </w:tc>
        <w:tc>
          <w:tcPr>
            <w:tcW w:w="2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8.93</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  Portion of rents representative of the interest factor consists of one-third of rental expense for operating leases.</w:t>
      </w:r>
    </w:p>
    <w:p>
      <w:pPr>
        <w:sectPr>
          <w:pgSz w:w="11900" w:h="16838" w:orient="portrait"/>
          <w:cols w:equalWidth="0" w:num="1">
            <w:col w:w="11420"/>
          </w:cols>
          <w:pgMar w:left="240" w:top="580"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Michele G. Buck, certify that:</w:t>
      </w:r>
    </w:p>
    <w:p>
      <w:pPr>
        <w:spacing w:after="0" w:line="90" w:lineRule="exact"/>
        <w:rPr>
          <w:sz w:val="20"/>
          <w:szCs w:val="20"/>
          <w:color w:val="auto"/>
        </w:rPr>
      </w:pPr>
    </w:p>
    <w:p>
      <w:pPr>
        <w:ind w:left="460" w:hanging="438"/>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Hershey Company;</w:t>
      </w:r>
    </w:p>
    <w:p>
      <w:pPr>
        <w:spacing w:after="0" w:line="90" w:lineRule="exact"/>
        <w:rPr>
          <w:rFonts w:ascii="Arial" w:cs="Arial" w:eastAsia="Arial" w:hAnsi="Arial"/>
          <w:sz w:val="18"/>
          <w:szCs w:val="18"/>
          <w:color w:val="auto"/>
        </w:rPr>
      </w:pPr>
    </w:p>
    <w:p>
      <w:pPr>
        <w:jc w:val="both"/>
        <w:ind w:left="460" w:right="500" w:hanging="438"/>
        <w:spacing w:after="0" w:line="264"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460" w:right="460" w:hanging="438"/>
        <w:spacing w:after="0" w:line="308" w:lineRule="auto"/>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460" w:right="80" w:hanging="438"/>
        <w:spacing w:after="0" w:line="264"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880" w:right="320" w:hanging="440"/>
        <w:spacing w:after="0" w:line="264" w:lineRule="auto"/>
        <w:tabs>
          <w:tab w:leader="none" w:pos="8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880" w:right="20" w:hanging="440"/>
        <w:spacing w:after="0" w:line="264" w:lineRule="auto"/>
        <w:tabs>
          <w:tab w:leader="none" w:pos="8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880" w:right="800" w:hanging="440"/>
        <w:spacing w:after="0" w:line="334" w:lineRule="auto"/>
        <w:tabs>
          <w:tab w:leader="none" w:pos="88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880" w:right="40" w:hanging="440"/>
        <w:spacing w:after="0" w:line="264" w:lineRule="auto"/>
        <w:tabs>
          <w:tab w:leader="none" w:pos="8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460" w:right="200" w:hanging="438"/>
        <w:spacing w:after="0" w:line="308" w:lineRule="auto"/>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880" w:right="220" w:hanging="440"/>
        <w:spacing w:after="0" w:line="277" w:lineRule="auto"/>
        <w:tabs>
          <w:tab w:leader="none" w:pos="8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880" w:right="180" w:hanging="440"/>
        <w:spacing w:after="0" w:line="277" w:lineRule="auto"/>
        <w:tabs>
          <w:tab w:leader="none" w:pos="8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120"/>
        <w:spacing w:after="0"/>
        <w:rPr>
          <w:sz w:val="20"/>
          <w:szCs w:val="20"/>
          <w:color w:val="auto"/>
        </w:rPr>
      </w:pPr>
      <w:r>
        <w:rPr>
          <w:rFonts w:ascii="Arial" w:cs="Arial" w:eastAsia="Arial" w:hAnsi="Arial"/>
          <w:sz w:val="14"/>
          <w:szCs w:val="14"/>
          <w:color w:val="auto"/>
        </w:rPr>
        <w:t>/s/ MICHELE G. BUCK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35934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pacing w:after="0" w:line="112" w:lineRule="exact"/>
        <w:rPr>
          <w:sz w:val="20"/>
          <w:szCs w:val="20"/>
          <w:color w:val="auto"/>
        </w:rPr>
      </w:pPr>
    </w:p>
    <w:p>
      <w:pPr>
        <w:ind w:left="2320"/>
        <w:spacing w:after="0"/>
        <w:rPr>
          <w:sz w:val="20"/>
          <w:szCs w:val="20"/>
          <w:color w:val="auto"/>
        </w:rPr>
      </w:pPr>
      <w:r>
        <w:rPr>
          <w:rFonts w:ascii="Arial" w:cs="Arial" w:eastAsia="Arial" w:hAnsi="Arial"/>
          <w:sz w:val="14"/>
          <w:szCs w:val="14"/>
          <w:b w:val="1"/>
          <w:bCs w:val="1"/>
          <w:color w:val="auto"/>
        </w:rPr>
        <w:t>Michele G. Buck</w:t>
      </w:r>
    </w:p>
    <w:p>
      <w:pPr>
        <w:spacing w:after="0" w:line="4" w:lineRule="exact"/>
        <w:rPr>
          <w:sz w:val="20"/>
          <w:szCs w:val="20"/>
          <w:color w:val="auto"/>
        </w:rPr>
      </w:pPr>
    </w:p>
    <w:p>
      <w:pPr>
        <w:jc w:val="center"/>
        <w:ind w:right="5760"/>
        <w:spacing w:after="0"/>
        <w:rPr>
          <w:sz w:val="20"/>
          <w:szCs w:val="20"/>
          <w:color w:val="auto"/>
        </w:rPr>
      </w:pPr>
      <w:r>
        <w:rPr>
          <w:rFonts w:ascii="Arial" w:cs="Arial" w:eastAsia="Arial" w:hAnsi="Arial"/>
          <w:sz w:val="14"/>
          <w:szCs w:val="14"/>
          <w:b w:val="1"/>
          <w:bCs w:val="1"/>
          <w:color w:val="auto"/>
        </w:rPr>
        <w:t>Chief Executive Officer</w:t>
      </w:r>
    </w:p>
    <w:p>
      <w:pPr>
        <w:spacing w:after="0" w:line="26" w:lineRule="exact"/>
        <w:rPr>
          <w:sz w:val="20"/>
          <w:szCs w:val="20"/>
          <w:color w:val="auto"/>
        </w:rPr>
      </w:pPr>
    </w:p>
    <w:p>
      <w:pPr>
        <w:jc w:val="center"/>
        <w:ind w:right="5760"/>
        <w:spacing w:after="0"/>
        <w:rPr>
          <w:sz w:val="20"/>
          <w:szCs w:val="20"/>
          <w:color w:val="auto"/>
        </w:rPr>
      </w:pPr>
      <w:r>
        <w:rPr>
          <w:rFonts w:ascii="Arial" w:cs="Arial" w:eastAsia="Arial" w:hAnsi="Arial"/>
          <w:sz w:val="14"/>
          <w:szCs w:val="14"/>
          <w:b w:val="1"/>
          <w:bCs w:val="1"/>
          <w:color w:val="auto"/>
        </w:rPr>
        <w:t>July 27, 2018</w:t>
      </w:r>
    </w:p>
    <w:p>
      <w:pPr>
        <w:sectPr>
          <w:pgSz w:w="11900" w:h="16838" w:orient="portrait"/>
          <w:cols w:equalWidth="0" w:num="1">
            <w:col w:w="11420"/>
          </w:cols>
          <w:pgMar w:left="240" w:top="364"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Patricia A. Little, certify that:</w:t>
      </w:r>
    </w:p>
    <w:p>
      <w:pPr>
        <w:spacing w:after="0" w:line="90" w:lineRule="exact"/>
        <w:rPr>
          <w:sz w:val="20"/>
          <w:szCs w:val="20"/>
          <w:color w:val="auto"/>
        </w:rPr>
      </w:pPr>
    </w:p>
    <w:p>
      <w:pPr>
        <w:ind w:left="460" w:hanging="438"/>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Hershey Company;</w:t>
      </w:r>
    </w:p>
    <w:p>
      <w:pPr>
        <w:spacing w:after="0" w:line="90" w:lineRule="exact"/>
        <w:rPr>
          <w:rFonts w:ascii="Arial" w:cs="Arial" w:eastAsia="Arial" w:hAnsi="Arial"/>
          <w:sz w:val="18"/>
          <w:szCs w:val="18"/>
          <w:color w:val="auto"/>
        </w:rPr>
      </w:pPr>
    </w:p>
    <w:p>
      <w:pPr>
        <w:jc w:val="both"/>
        <w:ind w:left="460" w:right="500" w:hanging="438"/>
        <w:spacing w:after="0" w:line="264"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460" w:right="460" w:hanging="438"/>
        <w:spacing w:after="0" w:line="308" w:lineRule="auto"/>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460" w:right="80" w:hanging="438"/>
        <w:spacing w:after="0" w:line="264"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880" w:right="320" w:hanging="440"/>
        <w:spacing w:after="0" w:line="264" w:lineRule="auto"/>
        <w:tabs>
          <w:tab w:leader="none" w:pos="8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880" w:right="20" w:hanging="440"/>
        <w:spacing w:after="0" w:line="264" w:lineRule="auto"/>
        <w:tabs>
          <w:tab w:leader="none" w:pos="8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880" w:right="800" w:hanging="440"/>
        <w:spacing w:after="0" w:line="334" w:lineRule="auto"/>
        <w:tabs>
          <w:tab w:leader="none" w:pos="88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880" w:right="40" w:hanging="440"/>
        <w:spacing w:after="0" w:line="264" w:lineRule="auto"/>
        <w:tabs>
          <w:tab w:leader="none" w:pos="8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460" w:right="200" w:hanging="438"/>
        <w:spacing w:after="0" w:line="308" w:lineRule="auto"/>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880" w:right="220" w:hanging="440"/>
        <w:spacing w:after="0" w:line="277" w:lineRule="auto"/>
        <w:tabs>
          <w:tab w:leader="none" w:pos="8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880" w:right="180" w:hanging="440"/>
        <w:spacing w:after="0" w:line="277" w:lineRule="auto"/>
        <w:tabs>
          <w:tab w:leader="none" w:pos="8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2" w:lineRule="exact"/>
        <w:rPr>
          <w:sz w:val="20"/>
          <w:szCs w:val="20"/>
          <w:color w:val="auto"/>
        </w:rPr>
      </w:pPr>
    </w:p>
    <w:p>
      <w:pPr>
        <w:ind w:left="2080"/>
        <w:spacing w:after="0"/>
        <w:rPr>
          <w:sz w:val="20"/>
          <w:szCs w:val="20"/>
          <w:color w:val="auto"/>
        </w:rPr>
      </w:pPr>
      <w:r>
        <w:rPr>
          <w:rFonts w:ascii="Arial" w:cs="Arial" w:eastAsia="Arial" w:hAnsi="Arial"/>
          <w:sz w:val="14"/>
          <w:szCs w:val="14"/>
          <w:color w:val="auto"/>
        </w:rPr>
        <w:t>/S/ PATRICIA A. LITTLE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35934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pacing w:after="0" w:line="112" w:lineRule="exact"/>
        <w:rPr>
          <w:sz w:val="20"/>
          <w:szCs w:val="20"/>
          <w:color w:val="auto"/>
        </w:rPr>
      </w:pPr>
    </w:p>
    <w:p>
      <w:pPr>
        <w:ind w:left="2320"/>
        <w:spacing w:after="0"/>
        <w:rPr>
          <w:sz w:val="20"/>
          <w:szCs w:val="20"/>
          <w:color w:val="auto"/>
        </w:rPr>
      </w:pPr>
      <w:r>
        <w:rPr>
          <w:rFonts w:ascii="Arial" w:cs="Arial" w:eastAsia="Arial" w:hAnsi="Arial"/>
          <w:sz w:val="14"/>
          <w:szCs w:val="14"/>
          <w:b w:val="1"/>
          <w:bCs w:val="1"/>
          <w:color w:val="auto"/>
        </w:rPr>
        <w:t>Patricia A. Little</w:t>
      </w:r>
    </w:p>
    <w:p>
      <w:pPr>
        <w:spacing w:after="0" w:line="4" w:lineRule="exact"/>
        <w:rPr>
          <w:sz w:val="20"/>
          <w:szCs w:val="20"/>
          <w:color w:val="auto"/>
        </w:rPr>
      </w:pPr>
    </w:p>
    <w:p>
      <w:pPr>
        <w:jc w:val="center"/>
        <w:ind w:right="5760"/>
        <w:spacing w:after="0"/>
        <w:rPr>
          <w:sz w:val="20"/>
          <w:szCs w:val="20"/>
          <w:color w:val="auto"/>
        </w:rPr>
      </w:pPr>
      <w:r>
        <w:rPr>
          <w:rFonts w:ascii="Arial" w:cs="Arial" w:eastAsia="Arial" w:hAnsi="Arial"/>
          <w:sz w:val="14"/>
          <w:szCs w:val="14"/>
          <w:b w:val="1"/>
          <w:bCs w:val="1"/>
          <w:color w:val="auto"/>
        </w:rPr>
        <w:t>Chief Financial Officer</w:t>
      </w:r>
    </w:p>
    <w:p>
      <w:pPr>
        <w:spacing w:after="0" w:line="26" w:lineRule="exact"/>
        <w:rPr>
          <w:sz w:val="20"/>
          <w:szCs w:val="20"/>
          <w:color w:val="auto"/>
        </w:rPr>
      </w:pPr>
    </w:p>
    <w:p>
      <w:pPr>
        <w:jc w:val="center"/>
        <w:ind w:right="5760"/>
        <w:spacing w:after="0"/>
        <w:rPr>
          <w:sz w:val="20"/>
          <w:szCs w:val="20"/>
          <w:color w:val="auto"/>
        </w:rPr>
      </w:pPr>
      <w:r>
        <w:rPr>
          <w:rFonts w:ascii="Arial" w:cs="Arial" w:eastAsia="Arial" w:hAnsi="Arial"/>
          <w:sz w:val="14"/>
          <w:szCs w:val="14"/>
          <w:b w:val="1"/>
          <w:bCs w:val="1"/>
          <w:color w:val="auto"/>
        </w:rPr>
        <w:t>July 27, 2018</w:t>
      </w:r>
    </w:p>
    <w:p>
      <w:pPr>
        <w:sectPr>
          <w:pgSz w:w="11900" w:h="16838" w:orient="portrait"/>
          <w:cols w:equalWidth="0" w:num="1">
            <w:col w:w="11420"/>
          </w:cols>
          <w:pgMar w:left="240" w:top="364"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Pursuant to Section 906 of the Sarbanes-Oxley Act of 2002, the undersigned officers of The Hershey Company (the “Company”) hereby certify, to the best of their knowledge, that the Company’s Quarterly Report on Form 10-Q for the quarterly period ended July 1, 2018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322"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Date: July 27, 2018</w:t>
            </w:r>
          </w:p>
        </w:tc>
        <w:tc>
          <w:tcPr>
            <w:tcW w:w="3740" w:type="dxa"/>
            <w:vAlign w:val="bottom"/>
          </w:tcPr>
          <w:p>
            <w:pPr>
              <w:jc w:val="center"/>
              <w:ind w:left="76"/>
              <w:spacing w:after="0"/>
              <w:rPr>
                <w:sz w:val="20"/>
                <w:szCs w:val="20"/>
                <w:color w:val="auto"/>
              </w:rPr>
            </w:pPr>
            <w:r>
              <w:rPr>
                <w:rFonts w:ascii="Arial" w:cs="Arial" w:eastAsia="Arial" w:hAnsi="Arial"/>
                <w:sz w:val="18"/>
                <w:szCs w:val="18"/>
                <w:color w:val="auto"/>
                <w:w w:val="97"/>
              </w:rPr>
              <w:t>/s/ MICHELE G. BUCK</w:t>
            </w:r>
          </w:p>
        </w:tc>
      </w:tr>
      <w:tr>
        <w:trPr>
          <w:trHeight w:val="27"/>
        </w:trPr>
        <w:tc>
          <w:tcPr>
            <w:tcW w:w="3040" w:type="dxa"/>
            <w:vAlign w:val="bottom"/>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331"/>
        </w:trPr>
        <w:tc>
          <w:tcPr>
            <w:tcW w:w="304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Arial" w:cs="Arial" w:eastAsia="Arial" w:hAnsi="Arial"/>
                <w:sz w:val="16"/>
                <w:szCs w:val="16"/>
                <w:b w:val="1"/>
                <w:bCs w:val="1"/>
                <w:color w:val="auto"/>
                <w:w w:val="93"/>
              </w:rPr>
              <w:t>Michele G. Buck</w:t>
            </w:r>
          </w:p>
        </w:tc>
      </w:tr>
      <w:tr>
        <w:trPr>
          <w:trHeight w:val="210"/>
        </w:trPr>
        <w:tc>
          <w:tcPr>
            <w:tcW w:w="3040" w:type="dxa"/>
            <w:vAlign w:val="bottom"/>
          </w:tcPr>
          <w:p>
            <w:pPr>
              <w:spacing w:after="0"/>
              <w:rPr>
                <w:sz w:val="18"/>
                <w:szCs w:val="18"/>
                <w:color w:val="auto"/>
              </w:rPr>
            </w:pPr>
          </w:p>
        </w:tc>
        <w:tc>
          <w:tcPr>
            <w:tcW w:w="3740" w:type="dxa"/>
            <w:vAlign w:val="bottom"/>
          </w:tcPr>
          <w:p>
            <w:pPr>
              <w:jc w:val="center"/>
              <w:spacing w:after="0"/>
              <w:rPr>
                <w:sz w:val="20"/>
                <w:szCs w:val="20"/>
                <w:color w:val="auto"/>
              </w:rPr>
            </w:pPr>
            <w:r>
              <w:rPr>
                <w:rFonts w:ascii="Arial" w:cs="Arial" w:eastAsia="Arial" w:hAnsi="Arial"/>
                <w:sz w:val="16"/>
                <w:szCs w:val="16"/>
                <w:b w:val="1"/>
                <w:bCs w:val="1"/>
                <w:color w:val="auto"/>
                <w:w w:val="93"/>
              </w:rPr>
              <w:t>Chief Executive Officer</w:t>
            </w:r>
          </w:p>
        </w:tc>
      </w:tr>
      <w:tr>
        <w:trPr>
          <w:trHeight w:val="546"/>
        </w:trPr>
        <w:tc>
          <w:tcPr>
            <w:tcW w:w="3040" w:type="dxa"/>
            <w:vAlign w:val="bottom"/>
          </w:tcPr>
          <w:p>
            <w:pPr>
              <w:spacing w:after="0"/>
              <w:rPr>
                <w:sz w:val="20"/>
                <w:szCs w:val="20"/>
                <w:color w:val="auto"/>
              </w:rPr>
            </w:pPr>
            <w:r>
              <w:rPr>
                <w:rFonts w:ascii="Arial" w:cs="Arial" w:eastAsia="Arial" w:hAnsi="Arial"/>
                <w:sz w:val="18"/>
                <w:szCs w:val="18"/>
                <w:color w:val="auto"/>
              </w:rPr>
              <w:t>Date: July 27, 2018</w:t>
            </w:r>
          </w:p>
        </w:tc>
        <w:tc>
          <w:tcPr>
            <w:tcW w:w="3740" w:type="dxa"/>
            <w:vAlign w:val="bottom"/>
          </w:tcPr>
          <w:p>
            <w:pPr>
              <w:jc w:val="center"/>
              <w:ind w:left="96"/>
              <w:spacing w:after="0"/>
              <w:rPr>
                <w:sz w:val="20"/>
                <w:szCs w:val="20"/>
                <w:color w:val="auto"/>
              </w:rPr>
            </w:pPr>
            <w:r>
              <w:rPr>
                <w:rFonts w:ascii="Arial" w:cs="Arial" w:eastAsia="Arial" w:hAnsi="Arial"/>
                <w:sz w:val="18"/>
                <w:szCs w:val="18"/>
                <w:color w:val="auto"/>
                <w:w w:val="97"/>
              </w:rPr>
              <w:t>/s/ PATRICIA A. LITTLE</w:t>
            </w:r>
          </w:p>
        </w:tc>
      </w:tr>
      <w:tr>
        <w:trPr>
          <w:trHeight w:val="27"/>
        </w:trPr>
        <w:tc>
          <w:tcPr>
            <w:tcW w:w="3040" w:type="dxa"/>
            <w:vAlign w:val="bottom"/>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331"/>
        </w:trPr>
        <w:tc>
          <w:tcPr>
            <w:tcW w:w="304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Arial" w:cs="Arial" w:eastAsia="Arial" w:hAnsi="Arial"/>
                <w:sz w:val="16"/>
                <w:szCs w:val="16"/>
                <w:b w:val="1"/>
                <w:bCs w:val="1"/>
                <w:color w:val="auto"/>
                <w:w w:val="95"/>
              </w:rPr>
              <w:t>Patricia A. Little</w:t>
            </w:r>
          </w:p>
        </w:tc>
      </w:tr>
      <w:tr>
        <w:trPr>
          <w:trHeight w:val="210"/>
        </w:trPr>
        <w:tc>
          <w:tcPr>
            <w:tcW w:w="3040" w:type="dxa"/>
            <w:vAlign w:val="bottom"/>
          </w:tcPr>
          <w:p>
            <w:pPr>
              <w:spacing w:after="0"/>
              <w:rPr>
                <w:sz w:val="18"/>
                <w:szCs w:val="18"/>
                <w:color w:val="auto"/>
              </w:rPr>
            </w:pPr>
          </w:p>
        </w:tc>
        <w:tc>
          <w:tcPr>
            <w:tcW w:w="3740" w:type="dxa"/>
            <w:vAlign w:val="bottom"/>
          </w:tcPr>
          <w:p>
            <w:pPr>
              <w:jc w:val="center"/>
              <w:spacing w:after="0"/>
              <w:rPr>
                <w:sz w:val="20"/>
                <w:szCs w:val="20"/>
                <w:color w:val="auto"/>
              </w:rPr>
            </w:pPr>
            <w:r>
              <w:rPr>
                <w:rFonts w:ascii="Arial" w:cs="Arial" w:eastAsia="Arial" w:hAnsi="Arial"/>
                <w:sz w:val="16"/>
                <w:szCs w:val="16"/>
                <w:b w:val="1"/>
                <w:bCs w:val="1"/>
                <w:color w:val="auto"/>
                <w:w w:val="94"/>
              </w:rPr>
              <w:t>Chief Financial Officer</w:t>
            </w:r>
          </w:p>
        </w:tc>
      </w:tr>
    </w:tbl>
    <w:p>
      <w:pPr>
        <w:spacing w:after="0" w:line="18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x"/>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1)"/>
      <w:numFmt w:val="lowerLetter"/>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2"/>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1"/>
      <w:numFmt w:val="decimal"/>
      <w:start w:val="1"/>
    </w:lvl>
    <w:lvl w:ilvl="1">
      <w:lvlJc w:val="left"/>
      <w:lvlText w:val="(%2)"/>
      <w:numFmt w:val="decimal"/>
      <w:start w:val="1"/>
    </w:lvl>
  </w:abstractNum>
  <w:abstractNum w:abstractNumId="9">
    <w:nsid w:val="7C83E458"/>
    <w:multiLevelType w:val="hybridMultilevel"/>
    <w:lvl w:ilvl="0">
      <w:lvlJc w:val="left"/>
      <w:lvlText w:val="%1."/>
      <w:numFmt w:val="decimal"/>
      <w:start w:val="9"/>
    </w:lvl>
    <w:lvl w:ilvl="1">
      <w:lvlJc w:val="left"/>
      <w:lvlText w:val="%2"/>
      <w:numFmt w:val="decimal"/>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1)"/>
      <w:numFmt w:val="decimal"/>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4" Type="http://schemas.openxmlformats.org/officeDocument/2006/relationships/hyperlink" Target="http://www.sec.gov/Archives/edgar/data/47111/000004711118000029/exhibit991-partiiitem6x201.htm?_sm_byp=iVVRnWvNJQ7NfV4F" TargetMode="External"/><Relationship Id="rId35" Type="http://schemas.openxmlformats.org/officeDocument/2006/relationships/hyperlink" Target="http://www.sec.gov/Archives/edgar/data/47111/000004711118000029/exhibit992-partiiitem7x201.htm?_sm_byp=iVVRnWvNJQ7NfV4F" TargetMode="External"/><Relationship Id="rId36" Type="http://schemas.openxmlformats.org/officeDocument/2006/relationships/hyperlink" Target="http://www.sec.gov/Archives/edgar/data/47111/000004711118000029/exhibit993-partiiitem8x201.htm?_sm_byp=iVVRnWvNJQ7NfV4F"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2019-12-28T20:32:35Z</dcterms:created>
  <dcterms:modified xsi:type="dcterms:W3CDTF">2019-12-28T20:32:35Z</dcterms:modified>
</cp:coreProperties>
</file>