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400" w:right="1280" w:hanging="298"/>
        <w:spacing w:after="0" w:line="235" w:lineRule="auto"/>
        <w:tabs>
          <w:tab w:leader="none" w:pos="140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right="1260" w:hanging="339"/>
        <w:spacing w:after="0"/>
        <w:tabs>
          <w:tab w:leader="none" w:pos="14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304"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23-0691590</w:t>
      </w:r>
    </w:p>
    <w:p>
      <w:pPr>
        <w:spacing w:after="0" w:line="86" w:lineRule="exact"/>
        <w:rPr>
          <w:sz w:val="24"/>
          <w:szCs w:val="24"/>
          <w:color w:val="auto"/>
        </w:rPr>
      </w:pPr>
    </w:p>
    <w:p>
      <w:pPr>
        <w:sectPr>
          <w:pgSz w:w="11900" w:h="16838" w:orient="portrait"/>
          <w:cols w:equalWidth="0" w:num="2">
            <w:col w:w="7440" w:space="720"/>
            <w:col w:w="3260"/>
          </w:cols>
          <w:pgMar w:left="240" w:top="887" w:right="239" w:bottom="1440" w:gutter="0" w:footer="0" w:header="0"/>
          <w:type w:val="continuous"/>
        </w:sectPr>
      </w:pPr>
    </w:p>
    <w:p>
      <w:pPr>
        <w:jc w:val="center"/>
        <w:ind w:right="8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90" w:lineRule="exact"/>
        <w:rPr>
          <w:sz w:val="24"/>
          <w:szCs w:val="24"/>
          <w:color w:val="auto"/>
        </w:rPr>
      </w:pPr>
    </w:p>
    <w:p>
      <w:pPr>
        <w:sectPr>
          <w:pgSz w:w="11900" w:h="16838" w:orient="portrait"/>
          <w:cols w:equalWidth="0" w:num="2">
            <w:col w:w="6580" w:space="720"/>
            <w:col w:w="4120"/>
          </w:cols>
          <w:pgMar w:left="240" w:top="887"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100 Crystal A Drive, Hershey, PA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17033</w:t>
      </w:r>
    </w:p>
    <w:p>
      <w:pPr>
        <w:sectPr>
          <w:pgSz w:w="11900" w:h="16838" w:orient="portrait"/>
          <w:cols w:equalWidth="0" w:num="1">
            <w:col w:w="11420"/>
          </w:cols>
          <w:pgMar w:left="240" w:top="887" w:right="239" w:bottom="1440" w:gutter="0" w:footer="0" w:header="0"/>
          <w:type w:val="continuous"/>
        </w:sectPr>
      </w:pP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2280" w:space="720"/>
            <w:col w:w="220" w:space="720"/>
            <w:col w:w="2080" w:space="720"/>
            <w:col w:w="240" w:space="720"/>
            <w:col w:w="2060" w:space="720"/>
            <w:col w:w="940"/>
          </w:cols>
          <w:pgMar w:left="240" w:top="887"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2240" w:space="720"/>
            <w:col w:w="160" w:space="240"/>
            <w:col w:w="3620" w:space="720"/>
            <w:col w:w="2060" w:space="720"/>
            <w:col w:w="94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Common Stock, one dollar par value—149,188,011 shares, as of October 19, 2018.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Class B Common Stock, one dollar par value—60,619,777 shares, as of October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September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8300" w:type="dxa"/>
            <w:vAlign w:val="bottom"/>
            <w:tcBorders>
              <w:bottom w:val="single" w:sz="8" w:color="CCEEFF"/>
            </w:tcBorders>
            <w:gridSpan w:val="10"/>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360" w:type="dxa"/>
            <w:vAlign w:val="bottom"/>
            <w:tcBorders>
              <w:bottom w:val="single" w:sz="8" w:color="0000EE"/>
            </w:tcBorders>
            <w:gridSpan w:val="17"/>
            <w:shd w:val="clear" w:color="auto" w:fill="CCEEFF"/>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for the Three and Nine Months Ended September 30, 2018 and October 1, 2017</w:t>
              </w:r>
            </w:hyperlink>
          </w:p>
        </w:tc>
        <w:tc>
          <w:tcPr>
            <w:tcW w:w="258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for the Three and Nine Months Ended September 30, 2018 and October 1, 2017</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September, 2018 and December 31, 2017</w:t>
              </w:r>
            </w:hyperlink>
          </w:p>
        </w:tc>
        <w:tc>
          <w:tcPr>
            <w:tcW w:w="544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30, 2018 and October 1, 2017</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 of Stockholders' Equity for the Nine Months Ended September 30, 2018</w:t>
              </w:r>
            </w:hyperlink>
          </w:p>
        </w:tc>
        <w:tc>
          <w:tcPr>
            <w:tcW w:w="398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940" w:type="dxa"/>
            <w:vAlign w:val="bottom"/>
            <w:gridSpan w:val="1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98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3. Quantitative and Qualitative Disclosures About Market Risk</w:t>
              </w:r>
            </w:hyperlink>
          </w:p>
        </w:tc>
        <w:tc>
          <w:tcPr>
            <w:tcW w:w="4060" w:type="dxa"/>
            <w:vAlign w:val="bottom"/>
            <w:tcBorders>
              <w:top w:val="single" w:sz="8" w:color="CCEE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4. 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11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PART II. 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Item1. Legal Proceedings</w:t>
              </w:r>
            </w:hyperlink>
          </w:p>
        </w:tc>
        <w:tc>
          <w:tcPr>
            <w:tcW w:w="8620" w:type="dxa"/>
            <w:vAlign w:val="bottom"/>
            <w:tcBorders>
              <w:top w:val="single" w:sz="8" w:color="CCEEFF"/>
            </w:tcBorders>
            <w:gridSpan w:val="1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1A. Risk Factors</w:t>
              </w:r>
            </w:hyperlink>
          </w:p>
        </w:tc>
        <w:tc>
          <w:tcPr>
            <w:tcW w:w="9460" w:type="dxa"/>
            <w:vAlign w:val="bottom"/>
            <w:tcBorders>
              <w:bottom w:val="single" w:sz="8" w:color="CCEEFF"/>
            </w:tcBorders>
            <w:gridSpan w:val="1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 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40" w:type="dxa"/>
            <w:vAlign w:val="bottom"/>
            <w:gridSpan w:val="20"/>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 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203"/>
        </w:trPr>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60" w:type="dxa"/>
            <w:vAlign w:val="bottom"/>
            <w:tcBorders>
              <w:top w:val="single" w:sz="8" w:color="0000EE"/>
            </w:tcBorders>
            <w:gridSpan w:val="1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 Mine Safety Disclosures</w:t>
              </w:r>
            </w:hyperlink>
          </w:p>
        </w:tc>
        <w:tc>
          <w:tcPr>
            <w:tcW w:w="818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Item 5. Other Information</w:t>
              </w:r>
            </w:hyperlink>
          </w:p>
        </w:tc>
        <w:tc>
          <w:tcPr>
            <w:tcW w:w="91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40" w:type="dxa"/>
            <w:vAlign w:val="bottom"/>
            <w:gridSpan w:val="20"/>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6. 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Signatures</w:t>
              </w:r>
            </w:hyperlink>
          </w:p>
        </w:tc>
        <w:tc>
          <w:tcPr>
            <w:tcW w:w="1042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2017</w:t>
            </w:r>
          </w:p>
        </w:tc>
        <w:tc>
          <w:tcPr>
            <w:tcW w:w="14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4"/>
                <w:szCs w:val="14"/>
                <w:b w:val="1"/>
                <w:bCs w:val="1"/>
                <w:color w:val="auto"/>
                <w:w w:val="99"/>
              </w:rPr>
              <w:t>October 1, 2017</w:t>
            </w:r>
          </w:p>
        </w:tc>
      </w:tr>
      <w:tr>
        <w:trPr>
          <w:trHeight w:val="236"/>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2,079,593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2,033,121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5,803,167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5,575,790</w:t>
            </w:r>
          </w:p>
        </w:tc>
      </w:tr>
      <w:tr>
        <w:trPr>
          <w:trHeight w:val="237"/>
        </w:trPr>
        <w:tc>
          <w:tcPr>
            <w:tcW w:w="514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1,216,100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1,090,185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3,172,194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2,957,655</w:t>
            </w:r>
          </w:p>
        </w:tc>
      </w:tr>
      <w:tr>
        <w:trPr>
          <w:trHeight w:val="33"/>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863,493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942,936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2,630,973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2,618,135</w:t>
            </w:r>
          </w:p>
        </w:tc>
      </w:tr>
      <w:tr>
        <w:trPr>
          <w:trHeight w:val="237"/>
        </w:trPr>
        <w:tc>
          <w:tcPr>
            <w:tcW w:w="5140" w:type="dxa"/>
            <w:vAlign w:val="bottom"/>
          </w:tcPr>
          <w:p>
            <w:pPr>
              <w:ind w:left="200"/>
              <w:spacing w:after="0"/>
              <w:rPr>
                <w:sz w:val="20"/>
                <w:szCs w:val="20"/>
                <w:color w:val="auto"/>
              </w:rPr>
            </w:pPr>
            <w:r>
              <w:rPr>
                <w:rFonts w:ascii="Arial" w:cs="Arial" w:eastAsia="Arial" w:hAnsi="Arial"/>
                <w:sz w:val="16"/>
                <w:szCs w:val="16"/>
                <w:color w:val="auto"/>
              </w:rPr>
              <w:t>Selling, marketing and administrative expense</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453,921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477,452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1,388,793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1,380,212</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Long-lived asset 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208,712</w:t>
            </w:r>
          </w:p>
        </w:tc>
      </w:tr>
      <w:tr>
        <w:trPr>
          <w:trHeight w:val="237"/>
        </w:trPr>
        <w:tc>
          <w:tcPr>
            <w:tcW w:w="5140" w:type="dxa"/>
            <w:vAlign w:val="bottom"/>
          </w:tcPr>
          <w:p>
            <w:pPr>
              <w:ind w:left="200"/>
              <w:spacing w:after="0"/>
              <w:rPr>
                <w:sz w:val="20"/>
                <w:szCs w:val="20"/>
                <w:color w:val="auto"/>
              </w:rPr>
            </w:pPr>
            <w:r>
              <w:rPr>
                <w:rFonts w:ascii="Arial" w:cs="Arial" w:eastAsia="Arial" w:hAnsi="Arial"/>
                <w:sz w:val="16"/>
                <w:szCs w:val="16"/>
                <w:color w:val="auto"/>
              </w:rPr>
              <w:t>Business realignment costs</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10,864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50,018</w:t>
            </w:r>
          </w:p>
        </w:tc>
      </w:tr>
      <w:tr>
        <w:trPr>
          <w:trHeight w:val="33"/>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406,263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461,464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1,202,499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979,193</w:t>
            </w:r>
          </w:p>
        </w:tc>
      </w:tr>
      <w:tr>
        <w:trPr>
          <w:trHeight w:val="237"/>
        </w:trPr>
        <w:tc>
          <w:tcPr>
            <w:tcW w:w="514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36,916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24,589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101,207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72,456</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56,458</w:t>
            </w:r>
          </w:p>
        </w:tc>
      </w:tr>
      <w:tr>
        <w:trPr>
          <w:trHeight w:val="217"/>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356,854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400,801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1,066,091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850,279</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91,441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226,640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275,291</w:t>
            </w:r>
          </w:p>
        </w:tc>
      </w:tr>
      <w:tr>
        <w:trPr>
          <w:trHeight w:val="217"/>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Net income including noncontrolling interest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265,413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274,013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839,451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574,988</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Less: Net income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r>
      <w:tr>
        <w:trPr>
          <w:trHeight w:val="284"/>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attributable to The Hershey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263,713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273,303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840,771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601,848</w:t>
            </w:r>
          </w:p>
        </w:tc>
      </w:tr>
      <w:tr>
        <w:trPr>
          <w:trHeight w:val="311"/>
        </w:trPr>
        <w:tc>
          <w:tcPr>
            <w:tcW w:w="5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share—basic:</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37"/>
        </w:trPr>
        <w:tc>
          <w:tcPr>
            <w:tcW w:w="514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share—diluted:</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514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Dividends paid per share:</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1.892</w:t>
            </w:r>
          </w:p>
        </w:tc>
      </w:tr>
      <w:tr>
        <w:trPr>
          <w:trHeight w:val="237"/>
        </w:trPr>
        <w:tc>
          <w:tcPr>
            <w:tcW w:w="514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0.656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0.596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1.720</w:t>
            </w: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jc w:val="right"/>
              <w:ind w:right="108"/>
              <w:spacing w:after="0"/>
              <w:rPr>
                <w:sz w:val="20"/>
                <w:szCs w:val="20"/>
                <w:color w:val="auto"/>
              </w:rPr>
            </w:pPr>
            <w:r>
              <w:rPr>
                <w:rFonts w:ascii="Arial" w:cs="Arial" w:eastAsia="Arial" w:hAnsi="Arial"/>
                <w:sz w:val="14"/>
                <w:szCs w:val="14"/>
                <w:b w:val="1"/>
                <w:bCs w:val="1"/>
                <w:color w:val="auto"/>
                <w:w w:val="91"/>
              </w:rPr>
              <w:t>For the 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5"/>
              </w:rPr>
              <w:t>For the nine months ended</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6"/>
          </w:tcPr>
          <w:p>
            <w:pPr>
              <w:jc w:val="center"/>
              <w:ind w:right="548"/>
              <w:spacing w:after="0"/>
              <w:rPr>
                <w:sz w:val="20"/>
                <w:szCs w:val="20"/>
                <w:color w:val="auto"/>
              </w:rPr>
            </w:pPr>
            <w:r>
              <w:rPr>
                <w:rFonts w:ascii="Arial" w:cs="Arial" w:eastAsia="Arial" w:hAnsi="Arial"/>
                <w:sz w:val="14"/>
                <w:szCs w:val="14"/>
                <w:b w:val="1"/>
                <w:bCs w:val="1"/>
                <w:color w:val="auto"/>
                <w:w w:val="92"/>
              </w:rPr>
              <w:t>October 1, 2017</w:t>
            </w:r>
          </w:p>
        </w:tc>
        <w:tc>
          <w:tcPr>
            <w:tcW w:w="120" w:type="dxa"/>
            <w:vAlign w:val="bottom"/>
          </w:tcPr>
          <w:p>
            <w:pPr>
              <w:spacing w:after="0"/>
              <w:rPr>
                <w:sz w:val="22"/>
                <w:szCs w:val="22"/>
                <w:color w:val="auto"/>
              </w:rPr>
            </w:pPr>
          </w:p>
        </w:tc>
        <w:tc>
          <w:tcPr>
            <w:tcW w:w="222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b w:val="1"/>
                <w:bCs w:val="1"/>
                <w:color w:val="auto"/>
                <w:w w:val="92"/>
              </w:rPr>
              <w:t>October 1, 2017</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0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Pre-Tax</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5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Pre-Tax</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Net income including</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$ 265,413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$274,013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$839,451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$574,988</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Other comprehensive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translation gains (losses)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during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5,365</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5,365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9,605</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9,605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$(18,314)</w:t>
            </w:r>
          </w:p>
        </w:tc>
        <w:tc>
          <w:tcPr>
            <w:tcW w:w="10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(18,314)</w:t>
            </w: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$ 27,878</w:t>
            </w:r>
          </w:p>
        </w:tc>
        <w:tc>
          <w:tcPr>
            <w:tcW w:w="240" w:type="dxa"/>
            <w:vAlign w:val="bottom"/>
            <w:gridSpan w:val="3"/>
          </w:tcPr>
          <w:p>
            <w:pPr>
              <w:ind w:left="16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27,878</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earnings due to the sale of</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25,131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25,131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25,131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25,131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960" w:type="dxa"/>
            <w:vAlign w:val="bottom"/>
          </w:tcPr>
          <w:p>
            <w:pPr>
              <w:ind w:left="180"/>
              <w:spacing w:after="0" w:line="157" w:lineRule="exact"/>
              <w:rPr>
                <w:sz w:val="20"/>
                <w:szCs w:val="20"/>
                <w:color w:val="auto"/>
              </w:rPr>
            </w:pPr>
            <w:r>
              <w:rPr>
                <w:rFonts w:ascii="Arial" w:cs="Arial" w:eastAsia="Arial" w:hAnsi="Arial"/>
                <w:sz w:val="14"/>
                <w:szCs w:val="14"/>
                <w:color w:val="auto"/>
              </w:rPr>
              <w:t>Pension and post-retirement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color w:val="auto"/>
              </w:rPr>
              <w:t>benefit plans: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gain (loss)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prior service cost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1,871</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(5,703)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effects relating to U.S. tax</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reform</w:t>
            </w: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(36,535)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(36,535)</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8,912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24,300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15,359</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22,273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16,971</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38,544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(22,636)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15,908</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cash</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flow hedging derivatives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1,207</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6,320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6,064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(3,545)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of tax</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effects relating to U.S. tax</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reform</w:t>
            </w: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(11,121)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(11,121)</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1,962</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7,374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3,547</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Total other comprehensive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31,259</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25,328</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(6,073)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$ 30,298</w:t>
            </w:r>
          </w:p>
        </w:tc>
        <w:tc>
          <w:tcPr>
            <w:tcW w:w="100" w:type="dxa"/>
            <w:vAlign w:val="bottom"/>
          </w:tcPr>
          <w:p>
            <w:pPr>
              <w:spacing w:after="0"/>
              <w:rPr>
                <w:sz w:val="11"/>
                <w:szCs w:val="11"/>
                <w:color w:val="auto"/>
              </w:rPr>
            </w:pPr>
          </w:p>
        </w:tc>
        <w:tc>
          <w:tcPr>
            <w:tcW w:w="100" w:type="dxa"/>
            <w:vAlign w:val="bottom"/>
            <w:vMerge w:val="restart"/>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(53,017)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$ 60,855</w:t>
            </w:r>
          </w:p>
        </w:tc>
        <w:tc>
          <w:tcPr>
            <w:tcW w:w="240" w:type="dxa"/>
            <w:vAlign w:val="bottom"/>
            <w:gridSpan w:val="3"/>
            <w:vMerge w:val="restart"/>
          </w:tcPr>
          <w:p>
            <w:pPr>
              <w:ind w:left="16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(21,259)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30,688</w:t>
            </w:r>
          </w:p>
        </w:tc>
        <w:tc>
          <w:tcPr>
            <w:tcW w:w="2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19,255</w:t>
            </w:r>
          </w:p>
        </w:tc>
        <w:tc>
          <w:tcPr>
            <w:tcW w:w="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(22,719)</w:t>
            </w:r>
          </w:p>
        </w:tc>
        <w:tc>
          <w:tcPr>
            <w:tcW w:w="740" w:type="dxa"/>
            <w:vAlign w:val="bottom"/>
            <w:gridSpan w:val="2"/>
            <w:vMerge w:val="continue"/>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39,596</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Total comprehensive income</w:t>
            </w: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including noncontrolling</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$ 296,101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$293,268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$816,732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$614,584</w:t>
            </w:r>
          </w:p>
        </w:tc>
        <w:tc>
          <w:tcPr>
            <w:tcW w:w="0" w:type="dxa"/>
            <w:vAlign w:val="bottom"/>
          </w:tcPr>
          <w:p>
            <w:pPr>
              <w:spacing w:after="0"/>
              <w:rPr>
                <w:sz w:val="1"/>
                <w:szCs w:val="1"/>
                <w:color w:val="auto"/>
              </w:rPr>
            </w:pPr>
          </w:p>
        </w:tc>
      </w:tr>
      <w:tr>
        <w:trPr>
          <w:trHeight w:val="137"/>
        </w:trPr>
        <w:tc>
          <w:tcPr>
            <w:tcW w:w="1960" w:type="dxa"/>
            <w:vAlign w:val="bottom"/>
          </w:tcPr>
          <w:p>
            <w:pPr>
              <w:ind w:left="180"/>
              <w:spacing w:after="0" w:line="137"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(loss) attributable to</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(26,125)</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attributable to The Hershey</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$ 295,604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$292,239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$818,589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$640,709</w:t>
            </w: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Company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380,179</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814,923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588,262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752,836</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274,663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280,633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2,794,046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2,001,910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2,092,899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2,106,697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821,061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1,008,051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369,156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251,879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7,836,189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581,481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523,229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663,974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676,134</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61,030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559,359</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300,098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2,076,543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3,253,879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2,061,023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438,939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144,980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45,656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6,586,917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4,622,161</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Preferred stock, shares issued: none at September 30, 2018 and 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w w:val="94"/>
              </w:rPr>
              <w:t>Common stock, shares issued: 299,281,967 at September 30, 2018, 2018 and December</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31, 2017</w:t>
            </w:r>
          </w:p>
        </w:tc>
        <w:tc>
          <w:tcPr>
            <w:tcW w:w="22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Class B common stock, shares issued: 60,619,777 at September 30, 2018 and December</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31, 2017</w:t>
            </w: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957,759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924,978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6,843,057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6,371,082</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rPr>
              <w:t>Treasury—common stock shares, at cost: 150,181,170 at September 30, 2018 and</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149,040,927 at December 31, 2017</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(6,589,861)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(6,426,877)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(313,746)</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1,234,902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915,338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1,249,272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931,565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7,836,189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56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2018</w:t>
            </w:r>
          </w:p>
        </w:tc>
        <w:tc>
          <w:tcPr>
            <w:tcW w:w="580" w:type="dxa"/>
            <w:vAlign w:val="bottom"/>
          </w:tcPr>
          <w:p>
            <w:pPr>
              <w:spacing w:after="0"/>
              <w:rPr>
                <w:sz w:val="22"/>
                <w:szCs w:val="22"/>
                <w:color w:val="auto"/>
              </w:rPr>
            </w:pPr>
          </w:p>
        </w:tc>
        <w:tc>
          <w:tcPr>
            <w:tcW w:w="1560" w:type="dxa"/>
            <w:vAlign w:val="bottom"/>
          </w:tcPr>
          <w:p>
            <w:pPr>
              <w:jc w:val="right"/>
              <w:ind w:right="468"/>
              <w:spacing w:after="0"/>
              <w:rPr>
                <w:sz w:val="20"/>
                <w:szCs w:val="20"/>
                <w:color w:val="auto"/>
              </w:rPr>
            </w:pPr>
            <w:r>
              <w:rPr>
                <w:rFonts w:ascii="Arial" w:cs="Arial" w:eastAsia="Arial" w:hAnsi="Arial"/>
                <w:sz w:val="14"/>
                <w:szCs w:val="14"/>
                <w:b w:val="1"/>
                <w:bCs w:val="1"/>
                <w:color w:val="auto"/>
                <w:w w:val="95"/>
              </w:rPr>
              <w:t>October 1, 2017</w:t>
            </w:r>
          </w:p>
        </w:tc>
      </w:t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tcBorders>
              <w:top w:val="single" w:sz="8" w:color="auto"/>
            </w:tcBorders>
            <w:shd w:val="clear" w:color="auto" w:fill="CCEEFF"/>
          </w:tcPr>
          <w:p>
            <w:pPr>
              <w:spacing w:after="0"/>
              <w:rPr>
                <w:sz w:val="23"/>
                <w:szCs w:val="23"/>
                <w:color w:val="auto"/>
              </w:rPr>
            </w:pPr>
          </w:p>
        </w:tc>
        <w:tc>
          <w:tcPr>
            <w:tcW w:w="1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839,451</w:t>
            </w:r>
          </w:p>
        </w:tc>
        <w:tc>
          <w:tcPr>
            <w:tcW w:w="120" w:type="dxa"/>
            <w:vAlign w:val="bottom"/>
          </w:tcPr>
          <w:p>
            <w:pPr>
              <w:spacing w:after="0"/>
              <w:rPr>
                <w:sz w:val="22"/>
                <w:szCs w:val="22"/>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574,988</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225,803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194,313</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35,668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37,966</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22"/>
                <w:szCs w:val="22"/>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(14,859)</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assets (see Notes 6 and 8)</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28,817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208,712</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320" w:type="dxa"/>
            <w:vAlign w:val="bottom"/>
          </w:tcPr>
          <w:p>
            <w:pPr>
              <w:spacing w:after="0"/>
              <w:rPr>
                <w:sz w:val="22"/>
                <w:szCs w:val="22"/>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23,067</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23,999</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22,433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60,129</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Changes in assets and liabilities, net of business acquisition and divestitures:</w:t>
            </w:r>
          </w:p>
        </w:tc>
        <w:tc>
          <w:tcPr>
            <w:tcW w:w="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(212,193)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(161,451)</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(111,901)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(192,509)</w:t>
            </w: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(59,182)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(33,581)</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3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(15,380)</w:t>
            </w: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125,698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18,849</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3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(26,705)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(57,883)</w:t>
            </w:r>
          </w:p>
        </w:tc>
      </w:tr>
      <w:tr>
        <w:trPr>
          <w:trHeight w:val="270"/>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(17,394)</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892,861</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625,899</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3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(241,214)</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(148,923)</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46,652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1,758</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Proceeds from sales of businesses, net of cash and cash equivalents divested</w:t>
            </w:r>
          </w:p>
        </w:tc>
        <w:tc>
          <w:tcPr>
            <w:tcW w:w="320" w:type="dxa"/>
            <w:vAlign w:val="bottom"/>
          </w:tcPr>
          <w:p>
            <w:pPr>
              <w:spacing w:after="0"/>
              <w:rPr>
                <w:sz w:val="22"/>
                <w:szCs w:val="22"/>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171,950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(34,170)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(39,977)</w:t>
            </w:r>
          </w:p>
        </w:tc>
      </w:tr>
      <w:tr>
        <w:trPr>
          <w:trHeight w:val="264"/>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Business acquisition, net of cash and cash equivalents acquired</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(915,457)</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(972,239)</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(187,142)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in short-term debt</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893,365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173,110</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Long-term borrowings</w:t>
            </w:r>
          </w:p>
        </w:tc>
        <w:tc>
          <w:tcPr>
            <w:tcW w:w="320" w:type="dxa"/>
            <w:vAlign w:val="bottom"/>
          </w:tcPr>
          <w:p>
            <w:pPr>
              <w:spacing w:after="0"/>
              <w:rPr>
                <w:sz w:val="22"/>
                <w:szCs w:val="22"/>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1,199,891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long-term debt</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(910,851)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3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(72,000)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dividends paid</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(415,178)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(391,845)</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3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(199,665)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(300,312)</w:t>
            </w:r>
          </w:p>
        </w:tc>
      </w:tr>
      <w:tr>
        <w:trPr>
          <w:trHeight w:val="270"/>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3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33,454</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53,532</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529,016</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(465,719)</w:t>
            </w: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(6,030)</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5,051</w:t>
            </w: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320" w:type="dxa"/>
            <w:vAlign w:val="bottom"/>
          </w:tcPr>
          <w:p>
            <w:pPr>
              <w:spacing w:after="0"/>
              <w:rPr>
                <w:sz w:val="21"/>
                <w:szCs w:val="21"/>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443,608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(21,911)</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380,179</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296,967</w:t>
            </w:r>
          </w:p>
        </w:tc>
      </w:tr>
      <w:tr>
        <w:trPr>
          <w:trHeight w:val="28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823,787</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275,056</w:t>
            </w:r>
          </w:p>
        </w:tc>
      </w:tr>
      <w:tr>
        <w:trPr>
          <w:trHeight w:val="251"/>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3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99,886</w:t>
            </w:r>
          </w:p>
        </w:tc>
        <w:tc>
          <w:tcPr>
            <w:tcW w:w="120" w:type="dxa"/>
            <w:vAlign w:val="bottom"/>
          </w:tcPr>
          <w:p>
            <w:pPr>
              <w:spacing w:after="0"/>
              <w:rPr>
                <w:sz w:val="22"/>
                <w:szCs w:val="22"/>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81,497</w:t>
            </w:r>
          </w:p>
        </w:tc>
      </w:tr>
      <w:tr>
        <w:trPr>
          <w:trHeight w:val="276"/>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94,969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271,412</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Common Stock, $2.034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Class B Common Stock, $1.848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Reclassification of tax effects relating to U.S. tax reform</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September 30, 2018</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8"/>
          <w:szCs w:val="18"/>
          <w:b w:val="1"/>
          <w:bCs w:val="1"/>
          <w:color w:val="auto"/>
        </w:rPr>
        <w:t>THE HERSHEY COMPANY</w:t>
      </w:r>
    </w:p>
    <w:p>
      <w:pPr>
        <w:ind w:left="32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288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88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6,371,082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(6,426,877)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840,771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839,451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25,448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24,911</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(304,426)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(304,426)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(112,026)</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(112,026)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36,008</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36,008</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36,681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33,454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(199,665)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(199,665)</w:t>
            </w:r>
          </w:p>
        </w:tc>
        <w:tc>
          <w:tcPr>
            <w:tcW w:w="0" w:type="dxa"/>
            <w:vAlign w:val="bottom"/>
          </w:tcPr>
          <w:p>
            <w:pPr>
              <w:spacing w:after="0"/>
              <w:rPr>
                <w:sz w:val="1"/>
                <w:szCs w:val="1"/>
                <w:color w:val="auto"/>
              </w:rPr>
            </w:pPr>
          </w:p>
        </w:tc>
      </w:tr>
      <w:tr>
        <w:trPr>
          <w:trHeight w:val="357"/>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9"/>
              </w:rPr>
              <w:t>$  957,759</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$6,843,057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(6,589,861)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(335,954)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14,370</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1,249,272</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-2005965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-1663065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-1320165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-977265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-582295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640" w:space="200"/>
            <w:col w:w="8540"/>
          </w:cols>
          <w:pgMar w:left="280" w:top="5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which are, in our opinion, necessary for a fair presentation of the results of operations, financial position, and cash flows for the indicated periods.</w:t>
      </w:r>
    </w:p>
    <w:p>
      <w:pPr>
        <w:spacing w:after="0" w:line="3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results for the quarter ended September 30, 2018 may not be indicative of the results that may be expected for the year ending December 31, 2018 because of seasonal effects on our business. These financial statements should be read in conjunction with our Annual Report on Form 10-K for the year ended December 31, 2017 (our “2017 Annual Report on Form 10-K”), which provides a more complete understanding of our accounting policies, financial position, operating results and other matters.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The majority of our revenue is derived by fulfilling customer orders for the purchase of our products, including chocolate, sweets, mints and other grocery and snack offerings. We recognize revenue at the point in time that control of the ordered product(s) is transferred to the customer, which is typically upon delivery to the customer or other customer-designated delivery point. Shipping and handling costs incurred to deliver product to the customer are recorded within cost of sales. Amounts billed and due from our customers are classified as accounts receivables on the balance sheet and require payment on a short-term basis.</w:t>
      </w:r>
    </w:p>
    <w:p>
      <w:pPr>
        <w:spacing w:after="0" w:line="188"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Revenue is measured as the amount of consideration we expect to receive in exchange for fulfilling product orders. Sales, value add, and other taxes we collect concurrent with revenue-producing activities are excluded from revenue. Incidental items that are immaterial in the context of the contract are recognized as expense. The amount of consideration we expect to receive and revenue we recognize includes estimates of variable consideration, including costs for trade promotional programs, consumer incentives, and allowances and discounts associated with aged or potentially unsaleable products. These estimates are based upon our analysis of the programs offered, historical trends, expectations regarding customer and consumer participation, sales and payment trends and our experience with payment patterns associated with similar programs offered in the past. We review and update these estimates regularly and the impact of any adjustments are recognized in the period the adjustments are identified. The adjustments recognized in 2018 and 2017 resulting from updated estimates of revenue for prior year product sales were not significant.</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recognize a minor amount of royalty income (less than 1% of our consolidated net sales) from sales-based licensing arrangements, pursuant to which revenue is recognized as the third-party licensee sales occur.</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majority of our products are confectionery or confectionery-based and, therefore, exhibit similar economic characteristics, such that they are based on similar ingredients and are marketed and sold through the same channels to the same customers. See Note 12 for revenues reported by geographic segment, which is consistent with how we organize and manage our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Topic 606), which replaces numerous requirements in U.S. GAAP, including industry-specific requirements, and provides companies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single revenue recognition model for recognizing revenue from contracts with customers. On January 1, 2018, we adopted the requirements of ASC Topic</w:t>
      </w:r>
    </w:p>
    <w:p>
      <w:pPr>
        <w:ind w:right="20"/>
        <w:spacing w:after="0" w:line="254" w:lineRule="auto"/>
        <w:rPr>
          <w:sz w:val="20"/>
          <w:szCs w:val="20"/>
          <w:color w:val="auto"/>
        </w:rPr>
      </w:pPr>
      <w:r>
        <w:rPr>
          <w:rFonts w:ascii="Arial" w:cs="Arial" w:eastAsia="Arial" w:hAnsi="Arial"/>
          <w:sz w:val="18"/>
          <w:szCs w:val="18"/>
          <w:color w:val="auto"/>
        </w:rPr>
        <w:t>606 and all the related amendments to all of our contracts using the modified retrospective method. Upon completing our implementation assessment of Topic ASC 606, we concluded that no adjustment was required to the opening balance of retained earnings at the date of initial application. The comparative information was not restated and continues to be reported under the accounting standards in effect for those periods. Additional disclosures required by ASC Topic 606 are presented within the aforementioned Revenue Recognition policy disclosure.</w:t>
      </w:r>
    </w:p>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This ASU requires the income tax consequences of intra-entity transfers of assets other than inventory to be recognized when the intra-entity transfer occurs rather than deferring recognition of income tax consequences until the transfer was made with an outside party. We adopted the provisions of this ASU in the first quarter of 2018. Adoption of the new standard did not have a material impact on our Consolidated Financial Statements.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This ASU requires an employer to report the service cost component of net benefit cost in the same 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presented, or disclosed separately. In addition, only the service cost component may be eligible for capitalization where applicable. The amendments should be applied on a retrospective basis. We adopted the provisions of this ASU in the first quarter of 2018, with retrospective adjustment to the comparative periods determined using the previously disclosed service cost and other costs from our prior year pension and other post-retirement benefit plan footnote. As a result, the following amounts were reclassified for the three and nine months ended October 1, 2017 to correspond to the current year presentation: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900" w:type="dxa"/>
            <w:vAlign w:val="bottom"/>
          </w:tcPr>
          <w:p>
            <w:pPr>
              <w:jc w:val="right"/>
              <w:ind w:right="29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4"/>
          </w:tcPr>
          <w:p>
            <w:pPr>
              <w:jc w:val="right"/>
              <w:ind w:right="1572"/>
              <w:spacing w:after="0"/>
              <w:rPr>
                <w:sz w:val="20"/>
                <w:szCs w:val="20"/>
                <w:color w:val="auto"/>
              </w:rPr>
            </w:pPr>
            <w:r>
              <w:rPr>
                <w:rFonts w:ascii="Arial" w:cs="Arial" w:eastAsia="Arial" w:hAnsi="Arial"/>
                <w:sz w:val="16"/>
                <w:szCs w:val="16"/>
                <w:b w:val="1"/>
                <w:bCs w:val="1"/>
                <w:color w:val="auto"/>
              </w:rPr>
              <w:t>October 1, 2017</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from:</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8,143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24,758</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Reclassified to Other (income)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22,444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32,901</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this ASU had no impact on our consolidated balance sheets or statements of cash flows.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This ASU permits a company to reclassify the income tax effects of the 2017 Tax Cuts and Jobs Act</w:t>
      </w:r>
      <w:r>
        <w:rPr>
          <w:rFonts w:ascii="Arial" w:cs="Arial" w:eastAsia="Arial" w:hAnsi="Arial"/>
          <w:sz w:val="17"/>
          <w:szCs w:val="17"/>
          <w:i w:val="1"/>
          <w:iCs w:val="1"/>
          <w:color w:val="auto"/>
        </w:rPr>
        <w:t xml:space="preserve"> </w:t>
      </w:r>
      <w:r>
        <w:rPr>
          <w:rFonts w:ascii="Arial" w:cs="Arial" w:eastAsia="Arial" w:hAnsi="Arial"/>
          <w:sz w:val="17"/>
          <w:szCs w:val="17"/>
          <w:color w:val="auto"/>
        </w:rPr>
        <w:t>(“U.S. tax reform”) on items within accumulated other comprehensive income (“AOCI”) to retained earnings. We adopted the provisions of this ASU in the first quarter of 2018. We elected to reclassify the income tax effects of the 2017 U.S. tax reform from items in AOCI as of January 1, 2018 so that the tax effects of items within AOCI are reflected at the appropriate tax rate. The impact of the reclassification resulted in a $47,656 decrease to AOCI and a corresponding increase to retained earnings. This amount is considered “provisional” based on reasonable estimates as the Company continues to collect and analyze detailed information about the associated impact of items under U.S. tax reform.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ASU will require lessees to recognize most leases on their balance sheets as lease liabilities with corresponding right-of-use (“ROU”) assets. Recognition, measurement and presentation of expenses will depend on classification as a finance or operating lease. We are currently in the process of evaluating our existing lease portfolio, including accumulating all of the necessary information required to properly account for the leases under the new standard. Additionally, we are implementing new software functionality to assist in the accounting and are evaluating changes to our processes and internal controls to ensure we meet the standard’s reporting and disclosure requirements. In July 2018, the FASB issued ASU No. 2018-11, which provides entities with an additional transition method to adopt Topic 842. Under the new transition method, an entity initially applies the new leases standard at the adoption date, versus at the beginning of the earliest period presented, and recognizes a cumulative-effect adjustment to the opening balance of retained earnings in the period of adoption. The Company expects to elect this transition method at the adoption date of January 1, 2019. We expect adoption of this standard to result in a material increase in lease-related assets and liabilities on our Consolidated Balance Sheets; however, we do not expect it to have a significant impact on our Consolidated Statements of Income or Cash Flows.</w:t>
      </w:r>
    </w:p>
    <w:p>
      <w:pPr>
        <w:spacing w:after="0" w:line="11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The amendment should be applied using the modified retrospective transition method. ASU 2017-12 is effective for annual periods beginning after December 15, 2018 and interim periods within those annual periods, with early adoption permitted. We will adopt the provisions of this ASU in the first quarter of 2019. Adoption of the new standard is not expected to have a material impact on our Consolidated Financial Statements.</w:t>
      </w:r>
    </w:p>
    <w:p>
      <w:pPr>
        <w:spacing w:after="0" w:line="1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This ASU is intended to simplify aspects of share-based compensation issued to non-employees by making the guidance consistent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employee share-based compensation. ASU 2018-07 is effective for annual periods beginning after December 15, 2018 and interim periods within those annual periods, with early adoption permitted but no earlier than an entity’s adoption date of Topic 606. We will adopt the provisions of this ASU in the first quarter of 2019. Adoption of the new standard is not expected to have a material impact on our Consolidated Financial Statements.</w:t>
      </w:r>
    </w:p>
    <w:p>
      <w:pPr>
        <w:spacing w:after="0" w:line="10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ASU modifies the disclosure requirements for fair value measurements by removing, modifying or adding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evaluating the effect that ASU 2018-13 will have on our consolidated financial statements and related disclosures.</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Compensation—Retirement Benefits—Defined Benefit Plans—General (Topic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Defined Benefit Plans</w:t>
      </w:r>
      <w:r>
        <w:rPr>
          <w:rFonts w:ascii="Arial" w:cs="Arial" w:eastAsia="Arial" w:hAnsi="Arial"/>
          <w:sz w:val="17"/>
          <w:szCs w:val="17"/>
          <w:color w:val="auto"/>
        </w:rPr>
        <w:t>, which modifies the disclosure requirements for defined benefit pension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and other post-retirement plans. ASU 2018-14 is effective for annual periods beginning after December 15, 2020, with early adoption permitted. We are currently evaluating the effect that ASU 2018-14 will have on our consolidated financial statements and related disclosures.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are currently evaluating the effect that ASU 2018-15 will have on our consolidated financial statements and related disclosures.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w:t>
      </w:r>
    </w:p>
    <w:p>
      <w:pPr>
        <w:spacing w:after="0" w:line="17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w:t>
      </w:r>
      <w:r>
        <w:rPr>
          <w:rFonts w:ascii="Arial" w:cs="Arial" w:eastAsia="Arial" w:hAnsi="Arial"/>
          <w:sz w:val="17"/>
          <w:szCs w:val="17"/>
          <w:i w:val="1"/>
          <w:iCs w:val="1"/>
          <w:color w:val="auto"/>
        </w:rPr>
        <w:t>Paqui</w:t>
      </w:r>
      <w:r>
        <w:rPr>
          <w:rFonts w:ascii="Arial" w:cs="Arial" w:eastAsia="Arial" w:hAnsi="Arial"/>
          <w:sz w:val="17"/>
          <w:szCs w:val="17"/>
          <w:color w:val="auto"/>
        </w:rPr>
        <w:t xml:space="preserve"> and </w:t>
      </w:r>
      <w:r>
        <w:rPr>
          <w:rFonts w:ascii="Arial" w:cs="Arial" w:eastAsia="Arial" w:hAnsi="Arial"/>
          <w:sz w:val="17"/>
          <w:szCs w:val="17"/>
          <w:i w:val="1"/>
          <w:iCs w:val="1"/>
          <w:color w:val="auto"/>
        </w:rPr>
        <w:t>Tyrrells</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consideration, net of cash acquired totaling $53,324, was allocated to assets acquired and liabilities assumed based on their respective fair values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receivable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41,152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35,509</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Plant, property and equipment, net</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939,388</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payable</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(109,565)</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Current debt</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(610,836)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Non-current deferred income taxes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2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Net assets acquired</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the proceeds from the issuance of commercial paper.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we recorded measurement period adjustments totaling $26,865, the majority of which related to an increase in the final valuation of the assumed tax receivable obligation. The purchase price allocation has been concluded as of the end of the second quarter, except for the valuation of income tax-related liabilities, which we are still in the process of finalizing.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Goodwill is being determined as the excess of the purchase price over the fair value of the net assets acquired (including the identifiable intangible assets) and is not expected to be deductible for tax purposes. The goodwill that will result from the acquisition is attributable primarily to cost-reduction synergies as Amplify leverages Hershey's resources, expertise and capability-building.</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intangible assets includes trademarks of $648,000 and customer relationships of $34,000. Trademarks were assigned estimated useful lives ranging from 28 to 38 years and customer relationships were assigned estimated useful lives ranging from 14 to 18 years.</w:t>
      </w:r>
    </w:p>
    <w:p>
      <w:pPr>
        <w:spacing w:after="0" w:line="1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Under these valuation approaches, we are required to make estimates and assumptions about sales, operating margins, growth rates, royalty rates and discount rates based on budgets, business plans, economic projections, anticipated future cash flows and marketplace data.</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nine months ended September 30,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939,388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939,388</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 allocation adjustments (see Note 2)</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Divested during the period (see Note 7)</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(98,379)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(11,834)</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1,658,653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18,448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1,677,101</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76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909,624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(55,266)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277,473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(37,510)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(34,659)</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16,753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(15,975)</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1,083,545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(88,144)</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34,909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1,008,051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369,156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55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Total amortization expense for the three months ended September 30, 2018 and October 1, 2017 was $9,573 and $5,410, respectively. Total amortization expense for the nine months ended September 30, 2018 and October 1, 2017 was $27,858 and $17,968,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 million with the consent of the lenders, which we exercised on October 24, 2018, bringing the total amount we may borrow under this credit facility to $1.4 billion. On January 8, 2018, we entered into an additional unsecured revolving credit facility that provided for borrowings up to $1.5 billion. This facility was scheduled to expire on January 7, 2019; however, we terminated it effective October 24, 2018.</w:t>
      </w:r>
    </w:p>
    <w:p>
      <w:pPr>
        <w:spacing w:after="0" w:line="10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September 30, 2018, we were in compliance with all covenants pertaining to the credit agreement, and we had no significant compensating balance agreements that legally restricted these funds. For more information, refer to the Consolidated Financial Statements included in our 2017 Annual Report on Form 10-K.</w:t>
      </w:r>
    </w:p>
    <w:p>
      <w:pPr>
        <w:spacing w:after="0" w:line="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$89,875 at September 30, 2018 and $110,684 at December 31, 2017. Commitment fees relating to our revolving credit facility and lines of credit are not material.</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September 30, 2018, we had outstanding commercial paper totaling $1,359,351, at a weighted average interest rate of 2.1%. At December 31, 2017, we had outstanding commercial paper totaling $448,675, at a weighted average interest rate of 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1.60%</w:t>
            </w:r>
          </w:p>
        </w:tc>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2018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Notes due 2020 (2)</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gridSpan w:val="2"/>
          </w:tcPr>
          <w:p>
            <w:pPr>
              <w:spacing w:after="0"/>
              <w:rPr>
                <w:sz w:val="2"/>
                <w:szCs w:val="2"/>
                <w:color w:val="auto"/>
              </w:rPr>
            </w:pPr>
          </w:p>
        </w:tc>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4.125%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3.10%</w:t>
            </w: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Notes due 2021 (2)</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43"/>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6580" w:type="dxa"/>
            <w:vAlign w:val="bottom"/>
          </w:tcPr>
          <w:p>
            <w:pPr>
              <w:ind w:left="20"/>
              <w:spacing w:after="0"/>
              <w:rPr>
                <w:sz w:val="20"/>
                <w:szCs w:val="20"/>
                <w:color w:val="auto"/>
              </w:rPr>
            </w:pPr>
            <w:r>
              <w:rPr>
                <w:rFonts w:ascii="Arial" w:cs="Arial" w:eastAsia="Arial" w:hAnsi="Arial"/>
                <w:sz w:val="18"/>
                <w:szCs w:val="18"/>
                <w:color w:val="auto"/>
              </w:rPr>
              <w:t>Notes due 2023 (2)</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gridSpan w:val="2"/>
          </w:tcPr>
          <w:p>
            <w:pPr>
              <w:spacing w:after="0"/>
              <w:rPr>
                <w:sz w:val="2"/>
                <w:szCs w:val="2"/>
                <w:color w:val="auto"/>
              </w:rPr>
            </w:pPr>
          </w:p>
        </w:tc>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2.625%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3.20%</w:t>
            </w: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Notes due 2025</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6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2.30%</w:t>
            </w:r>
          </w:p>
        </w:tc>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7.2% Debentures due 2027</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193,639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7"/>
        </w:trPr>
        <w:tc>
          <w:tcPr>
            <w:tcW w:w="620" w:type="dxa"/>
            <w:vAlign w:val="bottom"/>
            <w:gridSpan w:val="2"/>
          </w:tcPr>
          <w:p>
            <w:pPr>
              <w:spacing w:after="0"/>
              <w:rPr>
                <w:sz w:val="2"/>
                <w:szCs w:val="2"/>
                <w:color w:val="auto"/>
              </w:rPr>
            </w:pPr>
          </w:p>
        </w:tc>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3.375%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2046</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98,417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99,194</w:t>
            </w:r>
          </w:p>
        </w:tc>
        <w:tc>
          <w:tcPr>
            <w:tcW w:w="0" w:type="dxa"/>
            <w:vAlign w:val="bottom"/>
          </w:tcPr>
          <w:p>
            <w:pPr>
              <w:spacing w:after="0"/>
              <w:rPr>
                <w:sz w:val="1"/>
                <w:szCs w:val="1"/>
                <w:color w:val="auto"/>
              </w:rPr>
            </w:pPr>
          </w:p>
        </w:tc>
      </w:tr>
      <w:tr>
        <w:trPr>
          <w:trHeight w:val="27"/>
        </w:trPr>
        <w:tc>
          <w:tcPr>
            <w:tcW w:w="72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0" w:type="dxa"/>
            <w:vAlign w:val="bottom"/>
          </w:tcPr>
          <w:p>
            <w:pPr>
              <w:spacing w:after="0"/>
              <w:rPr>
                <w:sz w:val="1"/>
                <w:szCs w:val="1"/>
                <w:color w:val="auto"/>
              </w:rPr>
            </w:pP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3,256,994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2,361,121</w:t>
            </w:r>
          </w:p>
        </w:tc>
        <w:tc>
          <w:tcPr>
            <w:tcW w:w="0" w:type="dxa"/>
            <w:vAlign w:val="bottom"/>
          </w:tcPr>
          <w:p>
            <w:pPr>
              <w:spacing w:after="0"/>
              <w:rPr>
                <w:sz w:val="1"/>
                <w:szCs w:val="1"/>
                <w:color w:val="auto"/>
              </w:rPr>
            </w:pPr>
          </w:p>
        </w:tc>
      </w:tr>
      <w:tr>
        <w:trPr>
          <w:trHeight w:val="27"/>
        </w:trPr>
        <w:tc>
          <w:tcPr>
            <w:tcW w:w="72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300,098</w:t>
            </w:r>
          </w:p>
        </w:tc>
        <w:tc>
          <w:tcPr>
            <w:tcW w:w="0" w:type="dxa"/>
            <w:vAlign w:val="bottom"/>
          </w:tcPr>
          <w:p>
            <w:pPr>
              <w:spacing w:after="0"/>
              <w:rPr>
                <w:sz w:val="1"/>
                <w:szCs w:val="1"/>
                <w:color w:val="auto"/>
              </w:rPr>
            </w:pPr>
          </w:p>
        </w:tc>
      </w:tr>
      <w:tr>
        <w:trPr>
          <w:trHeight w:val="25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Long-term portion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3,253,879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2,061,023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vMerge w:val="restart"/>
          </w:tcPr>
          <w:p>
            <w:pPr>
              <w:ind w:left="500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August 2018, we repaid $300,000 of 1.60% Notes due in 2018 upon their maturity.</w:t>
      </w:r>
    </w:p>
    <w:p>
      <w:pPr>
        <w:spacing w:after="0" w:line="90" w:lineRule="exact"/>
        <w:rPr>
          <w:rFonts w:ascii="Arial" w:cs="Arial" w:eastAsia="Arial" w:hAnsi="Arial"/>
          <w:sz w:val="18"/>
          <w:szCs w:val="18"/>
          <w:color w:val="auto"/>
        </w:rPr>
      </w:pPr>
    </w:p>
    <w:p>
      <w:pPr>
        <w:ind w:left="340" w:right="24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May 2018, we issued $350,000 of 2.90% Notes due in 2020, $350,000 of 3.10% Notes due in 2021 and $500,000 of 3.375% Notes due in 2023 (the "Notes"). Proceeds from the issuance of the Notes, net of discounts and issuance costs, totaled $1,193,827. The Notes were issued under a shelf registration statement on Form S-3 filed in June 2015 that registered an indeterminate amount of debt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27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Pr>
          <w:p>
            <w:pPr>
              <w:spacing w:after="0"/>
              <w:rPr>
                <w:sz w:val="22"/>
                <w:szCs w:val="22"/>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October 1, 2017</w:t>
            </w:r>
          </w:p>
        </w:tc>
        <w:tc>
          <w:tcPr>
            <w:tcW w:w="28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340" w:type="dxa"/>
            <w:vAlign w:val="bottom"/>
          </w:tcPr>
          <w:p>
            <w:pPr>
              <w:spacing w:after="0"/>
              <w:rPr>
                <w:sz w:val="22"/>
                <w:szCs w:val="22"/>
                <w:color w:val="auto"/>
              </w:rPr>
            </w:pPr>
          </w:p>
        </w:tc>
        <w:tc>
          <w:tcPr>
            <w:tcW w:w="1600" w:type="dxa"/>
            <w:vAlign w:val="bottom"/>
          </w:tcPr>
          <w:p>
            <w:pPr>
              <w:jc w:val="right"/>
              <w:ind w:right="353"/>
              <w:spacing w:after="0"/>
              <w:rPr>
                <w:sz w:val="20"/>
                <w:szCs w:val="20"/>
                <w:color w:val="auto"/>
              </w:rPr>
            </w:pPr>
            <w:r>
              <w:rPr>
                <w:rFonts w:ascii="Arial" w:cs="Arial" w:eastAsia="Arial" w:hAnsi="Arial"/>
                <w:sz w:val="14"/>
                <w:szCs w:val="14"/>
                <w:b w:val="1"/>
                <w:bCs w:val="1"/>
                <w:color w:val="auto"/>
              </w:rPr>
              <w:t>October 1, 2017</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76,208</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(2,892)</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38,735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73,316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36,916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101,207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72,456</w:t>
            </w: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6- to 24-month periods. Our open commodity derivative contracts had a notional value of $823,798 as of September 30, 2018 and $405,288 as of December 31, 2017.</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12,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and Brazilian real. We typically utilize foreign currency forward exchange contracts to hedge these exposures for periods ranging from 6 to 12 months. The contracts are either designated as cash flow hedges or are undesignated. The net notional amount of foreign exchange contracts accounted for as cash flow hedges was $63,801 at September 30, 2018 and $135,962 at December 31, 2017. The effective portion of the changes in fair value on these contracts is recorded in other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comprehensive income and reclassified into earnings in the same period in which the hedged transactions affect earnings. The net notional amount of foreign exchange contracts that are not designated as accounting hedges was $144,577 at September 30, 2018 and $2,791 at December 31, 2017, respectively. The change in fair value on these instruments is recorded directly in cost of sales or selling, marketing and administrative expense, depending on the nature of the underlying exposure.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September 30, 2018 and December 31, 2017.</w:t>
      </w:r>
    </w:p>
    <w:p>
      <w:pPr>
        <w:spacing w:after="0" w:line="1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6 to 12 months. The change in fair value of these derivatives is recorded in selling, marketing and administrative expense, together with the change in the related liabilities. The notional amount of the contracts outstanding at September 30, 2018 and December 31, 2017 was $30,794 and $25,246,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September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September 30, 2018</w:t>
            </w:r>
          </w:p>
        </w:tc>
        <w:tc>
          <w:tcPr>
            <w:tcW w:w="280" w:type="dxa"/>
            <w:vAlign w:val="bottom"/>
          </w:tcPr>
          <w:p>
            <w:pPr>
              <w:spacing w:after="0"/>
              <w:rPr>
                <w:sz w:val="18"/>
                <w:szCs w:val="18"/>
                <w:color w:val="auto"/>
              </w:rPr>
            </w:pPr>
          </w:p>
        </w:tc>
        <w:tc>
          <w:tcPr>
            <w:tcW w:w="290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21,443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6,378</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 w:right="100" w:hanging="330"/>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2018, amounts reflected on a net basis in liabilities were assets of $116,225 and liabilities of $132,837, which are associated with cash transfers receivable or payable on commodities futures contracts reflecting the change in quoted market prices on the last trading day for the period. The comparable amounts reflected on a net basis in liabilities at December 31, 2017 were assets of $48,505 and liabilities of $50,179. At September 30, 2018 and December 31, 2017,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three months ended September 30, 2018 and October 1, 2017 was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1"/>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(71,088)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1,595</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(1,484)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4,605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1,345</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(68,148)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2,261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nine months ended September 30, 2018 and October 1, 2017 was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1,580</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6,320</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4,648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1,087</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2,151</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6,320</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from accumulated OCI into earnings in the next 12 months was approximately $6,814 as of September 30, 2018. This amount was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the three months ended September 30, 2018 and 2017, we recognized net incremental interest expense of $370 and a net benefit to interest expense of $573 relating to our fixed-to-floating interest swap arrangements. For the nine months ended September 30, 2018 and 2017, we recognized net incremental interest expense of $245 and a net benefit of $2,203 relating to our fixed-to-floating interest swap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September 30, 2018 and December 31, 2017:</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4,573</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16,684</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4560" w:type="dxa"/>
            <w:vAlign w:val="bottom"/>
            <w:gridSpan w:val="2"/>
          </w:tcPr>
          <w:p>
            <w:pPr>
              <w:ind w:left="28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810"/>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18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values as of September 30, 2018 and December 31, 2017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5"/>
          </w:tcPr>
          <w:p>
            <w:pPr>
              <w:ind w:left="132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3640" w:type="dxa"/>
            <w:vAlign w:val="bottom"/>
            <w:gridSpan w:val="4"/>
          </w:tcPr>
          <w:p>
            <w:pPr>
              <w:jc w:val="right"/>
              <w:ind w:right="123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20"/>
                <w:szCs w:val="20"/>
                <w:color w:val="auto"/>
              </w:rPr>
            </w:pPr>
          </w:p>
        </w:tc>
        <w:tc>
          <w:tcPr>
            <w:tcW w:w="166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300,098</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3,221,093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2,113,296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3,253,879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2,061,023</w:t>
            </w: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3,224,208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2,412,726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3,256,994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2,361,121</w:t>
            </w: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Amplify acquisition, during the first quarter of 2018, as discussed in Note 2,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In connection with disposal groups previously classified as held for sale, as discussed in Note 7, during 2018, we recorded impairment charges totaling $28,817 to adjust the long-lived asset values within the Shanghai Golden Monkey ("SGM") and Tyrrells disposal groups. These charges represent the excess of the disposal groups' carrying values, including the related currency translation adjustment amounts realized upon completion of the sales, over the sales values less costs to sell for the respective businesses. The fair values of the disposal groups were supported by the sales prices agreed with the third-party buyers. The sale of SGM and Tyrrells were both completed in July 2018.</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8, we recorded impairment charges totaling $105,992 to write down distributor relationship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 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were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ASSETS HELD FOR SALE</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September 30, 2018, the following two disposal groups have been classified as held for sale, in each case stated at the lower of net book value or estimated sales value less costs to sell:</w:t>
      </w:r>
    </w:p>
    <w:p>
      <w:pPr>
        <w:spacing w:after="0" w:line="116" w:lineRule="exact"/>
        <w:rPr>
          <w:sz w:val="20"/>
          <w:szCs w:val="20"/>
          <w:color w:val="auto"/>
        </w:rPr>
      </w:pPr>
    </w:p>
    <w:p>
      <w:pPr>
        <w:ind w:left="660" w:right="1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long-lived assets of Lotte Shanghai Foods Co., Ltd. that were taken out of operation and classified as held for sale during the second quarter of 2018. We sold a portion of the equipment assets in the third quarter of 2018.</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Pennsylvania facilities and land that met the held for sale criteria in the third quarter of 2018. We expect these long-lived assets to be sold by the end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held for sale (included in prepaid expenses and other assets) at September 30, 2018 include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Property, plant and equipment, net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40,551</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3,278</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 the following disposal groups were sold:</w:t>
      </w:r>
    </w:p>
    <w:p>
      <w:pPr>
        <w:spacing w:after="0" w:line="171" w:lineRule="exact"/>
        <w:rPr>
          <w:sz w:val="20"/>
          <w:szCs w:val="20"/>
          <w:color w:val="auto"/>
        </w:rPr>
      </w:pPr>
    </w:p>
    <w:p>
      <w:pPr>
        <w:ind w:left="660" w:right="9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April 2018, we sold the licensing rights for a non-core trademark relating to a brand marketed outside of the U.S. for sale proceeds of approximately $13,000, realizing a gain on the sale of $2,658.</w:t>
      </w:r>
    </w:p>
    <w:p>
      <w:pPr>
        <w:spacing w:after="0" w:line="116" w:lineRule="exact"/>
        <w:rPr>
          <w:rFonts w:ascii="Arial" w:cs="Arial" w:eastAsia="Arial" w:hAnsi="Arial"/>
          <w:sz w:val="18"/>
          <w:szCs w:val="18"/>
          <w:color w:val="auto"/>
        </w:rPr>
      </w:pPr>
    </w:p>
    <w:p>
      <w:pPr>
        <w:ind w:left="660" w:right="320" w:hanging="328"/>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During the second and third quarters of 2018, we sold select China facilities that were taken out of operation and classified as assets held for sale during the first quarter of 2017 in connection with the 2016 Operational Optimization Program. Proceeds from the sale of these facilities totaled $27,468, resulting in a gain on the sale of $6,562.</w:t>
      </w:r>
    </w:p>
    <w:p>
      <w:pPr>
        <w:spacing w:after="0" w:line="127"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July 2018, we sold the Tyrrells and Shanghai Golden Monkey ("SGM") businesses, both of which were previously classified as held for sale. Total proceeds from the sale of Tyrrells and SGM, net of cash divested, were approximately $171,950. We recorded impairment charges of $28,817 to adjust the book value of the disposal groups to the sales value less costs to sell.</w:t>
      </w:r>
    </w:p>
    <w:p>
      <w:pPr>
        <w:spacing w:after="0" w:line="20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are currently executing upon several business realignment initiatives designed to increase our efficiency and focus our business in support of our key growth strategies. Costs recorded during the three and nine months ended September 30, 2018 and October 1, 2017 related to these activities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18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1, 2017</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420" w:type="dxa"/>
            <w:vAlign w:val="bottom"/>
          </w:tcPr>
          <w:p>
            <w:pPr>
              <w:jc w:val="right"/>
              <w:ind w:right="151"/>
              <w:spacing w:after="0"/>
              <w:rPr>
                <w:sz w:val="20"/>
                <w:szCs w:val="20"/>
                <w:color w:val="auto"/>
              </w:rPr>
            </w:pPr>
            <w:r>
              <w:rPr>
                <w:rFonts w:ascii="Arial" w:cs="Arial" w:eastAsia="Arial" w:hAnsi="Arial"/>
                <w:sz w:val="16"/>
                <w:szCs w:val="16"/>
                <w:b w:val="1"/>
                <w:bCs w:val="1"/>
                <w:color w:val="auto"/>
                <w:w w:val="97"/>
              </w:rPr>
              <w:t>October 1, 2017</w:t>
            </w: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12,635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33,331</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16,216</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13,828</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42,670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69,699</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2017, the Company's Board of Directors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originally estimated that the Margin for Growth Program would result in total pre-tax charges of $375,000 to $425,000, to be incurred from 2017 to 2019. The majority of the initiatives relating to the program have been executed, with the final initiatives to be completed over the next six to twelve months. To date, we have incurred pre-tax charges to execute the program totaling $327,265. This includes long-lived asset impairment charges of $208,712 related to the operations supporting our China business as noted below, as well as the $16,300 incremental impairment resulting from the sale of Shanghai Golden Monkey (see Note 7). In addition to the impairment charges, we have incurred employee separation costs of $45,189, and other business realignment costs of $57,064. We currently expect to incur additional pre-tax costs of $13,000 to $28,000 over the remainder of the program, primarily related to cash costs for employee separation and other business realignment activities, bring total estimated project costs to approximately $340,000 to $355,000. The cash portion of the total program charges are estimated to be $97,000 to $112,000. The Company expects that implementation of the program will reduce its global workforce by approximately 15%, with a majority of the reductions coming from hourly headcount positions outside of the United States.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and nine months ended September 30, 2018, we recognized total costs associated with the Margin for Growth Program of $16,908 and $46,419, respectively. These charges include employee severance, largely relating to initiatives to improve the cost structure of our China business and to further streamline our corporate operating model, as well as non-cash, asset-related incremental depreciation expense as part of optimizing the global supply chain. In addition, we incurred other program costs, which relate primarily to third-party charges in support of our initiative to improve global efficiency and effectiveness. For the three and nine months ended October 1, 2017, we recognized total costs associated with the Margin for Growth Program of $7,889 and $56,420, respectively. The 2017 charges are consistent in nature to the 2018 activity.</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program included an initiative to optimize the manufacturing operations supporting our China business. When the program was approved in 2017,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in the long-lived asset impairment charges caption within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and nine months ended September 30, 2018, we incurred pre-tax costs totaling $1,077 and $2,813, respectively, relating primarily to third-party charges in support of our initiative to optimize our production and supply chain network. In addition, we completed the sale of select China facilities that had been taken out of service in connection with the 2016 Operational Optimization Program. The sale resulted in a gain of $6,562 for the three and nine months ended September 30, 2018. For the three and nine months ended October 1, 2017, we incurred pre-tax costs totaling $368 and $13,279, respectively, primarily related to employee severance associated with the workforce planning efforts within North America. We have substantially completed the efforts relating to this program.</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Costs associated with business realignment activities are classified in our Consolidated Statements of Income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October 1, 2017 as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56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4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1, 2017</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20"/>
                <w:szCs w:val="20"/>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October 1, 2017</w:t>
            </w:r>
          </w:p>
        </w:tc>
      </w:tr>
      <w:tr>
        <w:trPr>
          <w:trHeight w:val="33"/>
        </w:trPr>
        <w:tc>
          <w:tcPr>
            <w:tcW w:w="5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6,475</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4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13,206</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realignment costs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50,018</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11,423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8,257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42,670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69,699</w:t>
            </w:r>
          </w:p>
        </w:tc>
      </w:tr>
      <w:tr>
        <w:trPr>
          <w:trHeight w:val="20"/>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 cumulative program to date basis, the costs and related benefits of the Margin for Growth Program are approximately 65% to the North America segment and 35% to the International and Other segment. In addition, the costs and related benefits of the Operational Optimization Program relate approximately 40% to the North America segment and 60% to the International and Other segment. However, segment operating results do not include these business realignment expenses because we evaluate segment performance excluding such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nine months ended September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38,992</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2018 business realignment charges (1)</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23,087</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(43,884)</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669</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September 30, 2018 (reported within accrued and other long-term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18,864</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140" w:hanging="330"/>
        <w:spacing w:after="0" w:line="286" w:lineRule="auto"/>
        <w:tabs>
          <w:tab w:leader="none" w:pos="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costs reflected in the liability roll-forward represent employee-related and certain third-party service provider charges. These costs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88" w:lineRule="exact"/>
        <w:rPr>
          <w:rFonts w:ascii="Arial" w:cs="Arial" w:eastAsia="Arial" w:hAnsi="Arial"/>
          <w:sz w:val="17"/>
          <w:szCs w:val="17"/>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majority of our taxable income is generated in the U.S. and taxed at the U.S. statutory rate of 21%. The effective tax rates for the nine months ended September 30, 2018 and October 1, 2017 were 21.3% and 32.4%, respectively. Relative to the statutory rate, the 2018 effective tax rate was impacted by investment tax credits and favorable rate differential relating to foreign operations, partially offset by state and local taxes. The 2017 effective rate, relative to the previous U.S. statutory rate of 35%, was impacted by favorable rate differential relating to foreign operations, investment tax credits and the benefit of ASU 2016-09, which were partially offset by non-benefited costs resulting from the Margin for Growth Program.</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Hershey and its subsidiaries file tax returns in the U.S., including various state and local returns, and in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$6,751 within the next 12 months because of the expiration of statutes of limitations and settlements of tax audits.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fourth quarter of 2017, we recorded a net provisional charge of $32,500, which included the estimated impact of the one-time mandatory tax on previously deferred earnings of non-U.S. subsidiaries offset in part by the benefit from revaluation of net deferred tax liabilities based on the new lower corporate income tax rate. The impact of the U.S. tax reform may differ from this estimate, possibly materially, due to, among other things, changes in interpretations and assumptions made, additional guidance that may be issued and actions taken by Hershey as a result of the U.S. tax reform. During the nine months ended September 30, 2018, there were no adjustments to the recorded provisional amount.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third quarter were as follows:</w:t>
      </w:r>
    </w:p>
    <w:p>
      <w:pPr>
        <w:spacing w:after="0" w:line="185" w:lineRule="exact"/>
        <w:rPr>
          <w:sz w:val="20"/>
          <w:szCs w:val="20"/>
          <w:color w:val="auto"/>
        </w:rPr>
      </w:pPr>
    </w:p>
    <w:p>
      <w:pPr>
        <w:ind w:left="5520"/>
        <w:spacing w:after="0"/>
        <w:tabs>
          <w:tab w:leader="none" w:pos="908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4399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p>
      <w:pPr>
        <w:spacing w:after="0" w:line="86"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2160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0" w:lineRule="exact"/>
        <w:rPr>
          <w:sz w:val="20"/>
          <w:szCs w:val="20"/>
          <w:color w:val="auto"/>
        </w:rPr>
      </w:pPr>
    </w:p>
    <w:p>
      <w:pPr>
        <w:ind w:left="4580"/>
        <w:spacing w:after="0"/>
        <w:tabs>
          <w:tab w:leader="none" w:pos="6460" w:val="left"/>
        </w:tabs>
        <w:rPr>
          <w:sz w:val="20"/>
          <w:szCs w:val="20"/>
          <w:color w:val="auto"/>
        </w:rPr>
      </w:pPr>
      <w:r>
        <w:rPr>
          <w:rFonts w:ascii="Arial" w:cs="Arial" w:eastAsia="Arial" w:hAnsi="Arial"/>
          <w:sz w:val="16"/>
          <w:szCs w:val="16"/>
          <w:b w:val="1"/>
          <w:bCs w:val="1"/>
          <w:color w:val="auto"/>
        </w:rPr>
        <w:t>September 30, 2018</w:t>
      </w:r>
      <w:r>
        <w:rPr>
          <w:sz w:val="20"/>
          <w:szCs w:val="20"/>
          <w:color w:val="auto"/>
        </w:rPr>
        <w:tab/>
      </w:r>
      <w:r>
        <w:rPr>
          <w:rFonts w:ascii="Arial" w:cs="Arial" w:eastAsia="Arial" w:hAnsi="Arial"/>
          <w:sz w:val="14"/>
          <w:szCs w:val="14"/>
          <w:b w:val="1"/>
          <w:bCs w:val="1"/>
          <w:color w:val="auto"/>
        </w:rPr>
        <w:t>October 1, 2017</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37465</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0"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b w:val="1"/>
          <w:bCs w:val="1"/>
          <w:color w:val="auto"/>
        </w:rPr>
        <w:t>September 30, 2018</w:t>
      </w:r>
      <w:r>
        <w:rPr>
          <w:sz w:val="20"/>
          <w:szCs w:val="20"/>
          <w:color w:val="auto"/>
        </w:rPr>
        <w:tab/>
      </w:r>
      <w:r>
        <w:rPr>
          <w:rFonts w:ascii="Arial" w:cs="Arial" w:eastAsia="Arial" w:hAnsi="Arial"/>
          <w:sz w:val="14"/>
          <w:szCs w:val="14"/>
          <w:b w:val="1"/>
          <w:bCs w:val="1"/>
          <w:color w:val="auto"/>
        </w:rPr>
        <w:t>October 1, 2017</w:t>
      </w:r>
    </w:p>
    <w:p>
      <w:pPr>
        <w:spacing w:after="0" w:line="39" w:lineRule="exact"/>
        <w:rPr>
          <w:sz w:val="20"/>
          <w:szCs w:val="20"/>
          <w:color w:val="auto"/>
        </w:rPr>
      </w:pPr>
    </w:p>
    <w:p>
      <w:pPr>
        <w:sectPr>
          <w:pgSz w:w="11900" w:h="16838" w:orient="portrait"/>
          <w:cols w:equalWidth="0" w:num="2">
            <w:col w:w="7560" w:space="540"/>
            <w:col w:w="3280"/>
          </w:cols>
          <w:pgMar w:left="240" w:top="121" w:right="27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6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10,320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2,214</w:t>
            </w:r>
          </w:p>
        </w:tc>
      </w:tr>
      <w:tr>
        <w:trPr>
          <w:trHeight w:val="27"/>
        </w:trPr>
        <w:tc>
          <w:tcPr>
            <w:tcW w:w="4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187</w:t>
            </w:r>
          </w:p>
        </w:tc>
      </w:tr>
      <w:tr>
        <w:trPr>
          <w:trHeight w:val="27"/>
        </w:trPr>
        <w:tc>
          <w:tcPr>
            <w:tcW w:w="4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6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17,043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2,466</w:t>
            </w:r>
          </w:p>
        </w:tc>
      </w:tr>
      <w:tr>
        <w:trPr>
          <w:trHeight w:val="20"/>
        </w:trPr>
        <w:tc>
          <w:tcPr>
            <w:tcW w:w="4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made contributions of $6,350 and $6,276 to the pension plans and other benefits plans, respectively, during the third quarter of 2018. In the third quarter of 2017, we made contributions of $31,512 and $6,922 to our pension plans and other benefit plans, respectively. The contributions in 2018 and 2017 also included benefit payments from our non-qualified pension plans and post-retirement benefit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year-to-date periods were as follows:</w:t>
      </w:r>
    </w:p>
    <w:p>
      <w:pPr>
        <w:spacing w:after="0" w:line="185" w:lineRule="exact"/>
        <w:rPr>
          <w:sz w:val="20"/>
          <w:szCs w:val="20"/>
          <w:color w:val="auto"/>
        </w:rPr>
      </w:pPr>
    </w:p>
    <w:p>
      <w:pPr>
        <w:ind w:left="5520"/>
        <w:spacing w:after="0"/>
        <w:tabs>
          <w:tab w:leader="none" w:pos="908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4399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p>
      <w:pPr>
        <w:spacing w:after="0" w:line="86"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2160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0" w:lineRule="exact"/>
        <w:rPr>
          <w:sz w:val="20"/>
          <w:szCs w:val="20"/>
          <w:color w:val="auto"/>
        </w:rPr>
      </w:pPr>
    </w:p>
    <w:p>
      <w:pPr>
        <w:ind w:left="4580"/>
        <w:spacing w:after="0"/>
        <w:tabs>
          <w:tab w:leader="none" w:pos="6460" w:val="left"/>
        </w:tabs>
        <w:rPr>
          <w:sz w:val="20"/>
          <w:szCs w:val="20"/>
          <w:color w:val="auto"/>
        </w:rPr>
      </w:pPr>
      <w:r>
        <w:rPr>
          <w:rFonts w:ascii="Arial" w:cs="Arial" w:eastAsia="Arial" w:hAnsi="Arial"/>
          <w:sz w:val="16"/>
          <w:szCs w:val="16"/>
          <w:b w:val="1"/>
          <w:bCs w:val="1"/>
          <w:color w:val="auto"/>
        </w:rPr>
        <w:t>September 30, 2018</w:t>
      </w:r>
      <w:r>
        <w:rPr>
          <w:sz w:val="20"/>
          <w:szCs w:val="20"/>
          <w:color w:val="auto"/>
        </w:rPr>
        <w:tab/>
      </w:r>
      <w:r>
        <w:rPr>
          <w:rFonts w:ascii="Arial" w:cs="Arial" w:eastAsia="Arial" w:hAnsi="Arial"/>
          <w:sz w:val="14"/>
          <w:szCs w:val="14"/>
          <w:b w:val="1"/>
          <w:bCs w:val="1"/>
          <w:color w:val="auto"/>
        </w:rPr>
        <w:t>October 1, 2017</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37465</wp:posOffset>
            </wp:positionV>
            <wp:extent cx="2169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0"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b w:val="1"/>
          <w:bCs w:val="1"/>
          <w:color w:val="auto"/>
        </w:rPr>
        <w:t>September 30, 2018</w:t>
      </w:r>
      <w:r>
        <w:rPr>
          <w:sz w:val="20"/>
          <w:szCs w:val="20"/>
          <w:color w:val="auto"/>
        </w:rPr>
        <w:tab/>
      </w:r>
      <w:r>
        <w:rPr>
          <w:rFonts w:ascii="Arial" w:cs="Arial" w:eastAsia="Arial" w:hAnsi="Arial"/>
          <w:sz w:val="14"/>
          <w:szCs w:val="14"/>
          <w:b w:val="1"/>
          <w:bCs w:val="1"/>
          <w:color w:val="auto"/>
        </w:rPr>
        <w:t>October 1, 2017</w:t>
      </w:r>
    </w:p>
    <w:p>
      <w:pPr>
        <w:spacing w:after="0" w:line="39" w:lineRule="exact"/>
        <w:rPr>
          <w:sz w:val="20"/>
          <w:szCs w:val="20"/>
          <w:color w:val="auto"/>
        </w:rPr>
      </w:pPr>
    </w:p>
    <w:p>
      <w:pPr>
        <w:sectPr>
          <w:pgSz w:w="11900" w:h="16838" w:orient="portrait"/>
          <w:cols w:equalWidth="0" w:num="2">
            <w:col w:w="7560" w:space="540"/>
            <w:col w:w="3280"/>
          </w:cols>
          <w:pgMar w:left="240" w:top="121" w:right="27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6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23,153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30,819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6,626</w:t>
            </w:r>
          </w:p>
        </w:tc>
      </w:tr>
      <w:tr>
        <w:trPr>
          <w:trHeight w:val="27"/>
        </w:trPr>
        <w:tc>
          <w:tcPr>
            <w:tcW w:w="4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560</w:t>
            </w:r>
          </w:p>
        </w:tc>
      </w:tr>
      <w:tr>
        <w:trPr>
          <w:trHeight w:val="27"/>
        </w:trPr>
        <w:tc>
          <w:tcPr>
            <w:tcW w:w="4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6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17,043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16,757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41,203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7,382</w:t>
            </w:r>
          </w:p>
        </w:tc>
      </w:tr>
      <w:tr>
        <w:trPr>
          <w:trHeight w:val="20"/>
        </w:trPr>
        <w:tc>
          <w:tcPr>
            <w:tcW w:w="4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78"/>
        </w:trPr>
        <w:tc>
          <w:tcPr>
            <w:tcW w:w="4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made contributions of $7,651 and $19,054 to the pension plans and other benefits plans, respectively, during the first nine months of 2018. During the first nine months of 2017, we made contributions of $36,497 and $21,386 to our pension plans and other benefit plans, respectively. The contributions in 2018 and 2017 also included benefit payments from our non-qualified pension plans and post-retirement benefit plans.</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third quarter of 2018, we recognized pension settlement charges in our hourly retirement plan due to lump sum withdrawals by employees retiring or leaving the Company as a result of the Operational Optimization Program and due to lump sum distributions in our supplemental executive retirement plan. In the third quarter of 2017, we recognized pension settlement charges in the pension plan benefiting our employees in Puerto Rico as a result of lump sum distributions and the purchase of annuity contracts relating to the termination of this plan and due to lump sum distributions in our supplemental executive retirement plan. In each case,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third quarter 2018 settlements, the related plan assets and liabilities were remeasured using a discount rate as of the remeasurement date that was 72 basis points higher than the rate as of December 31, 2017 and an expected rate of return on plan assets of 5.8%.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 PLANS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2017 Annual Report on Form 10-K.</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3240" w:type="dxa"/>
            <w:vAlign w:val="bottom"/>
            <w:gridSpan w:val="4"/>
          </w:tcPr>
          <w:p>
            <w:pPr>
              <w:jc w:val="right"/>
              <w:ind w:right="85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 2017</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0"/>
                <w:szCs w:val="20"/>
                <w:color w:val="auto"/>
              </w:rPr>
            </w:pPr>
          </w:p>
        </w:tc>
        <w:tc>
          <w:tcPr>
            <w:tcW w:w="1420" w:type="dxa"/>
            <w:vAlign w:val="bottom"/>
          </w:tcPr>
          <w:p>
            <w:pPr>
              <w:jc w:val="right"/>
              <w:ind w:right="153"/>
              <w:spacing w:after="0"/>
              <w:rPr>
                <w:sz w:val="20"/>
                <w:szCs w:val="20"/>
                <w:color w:val="auto"/>
              </w:rPr>
            </w:pPr>
            <w:r>
              <w:rPr>
                <w:rFonts w:ascii="Arial" w:cs="Arial" w:eastAsia="Arial" w:hAnsi="Arial"/>
                <w:sz w:val="16"/>
                <w:szCs w:val="16"/>
                <w:b w:val="1"/>
                <w:bCs w:val="1"/>
                <w:color w:val="auto"/>
                <w:w w:val="97"/>
              </w:rPr>
              <w:t>October 1, 2017</w:t>
            </w:r>
          </w:p>
        </w:tc>
      </w:tr>
      <w:tr>
        <w:trPr>
          <w:trHeight w:val="33"/>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37,966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1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4,076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11,124</w:t>
            </w:r>
          </w:p>
        </w:tc>
      </w:tr>
    </w:tbl>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September 30, 2018, total stock-based compensation cost related to non-vested awards not yet recognized was $68,498 and the weighted-average period over which this amount is expected to be recognized was approximately 2.1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September 30, 2018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5,921,062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927,775</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$99.86</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(680,028)</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$62.25</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(311,438)</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$102.16</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2018</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5,857,371</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63,665</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September 30, 2018</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3,907,324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$89.41</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4.3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57,198</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743"/>
        </w:trPr>
        <w:tc>
          <w:tcPr>
            <w:tcW w:w="4700" w:type="dxa"/>
            <w:vAlign w:val="bottom"/>
          </w:tcPr>
          <w:p>
            <w:pPr>
              <w:spacing w:after="0"/>
              <w:rPr>
                <w:sz w:val="24"/>
                <w:szCs w:val="24"/>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weighted-average fair value of options granted was $15.57 and $15.77 per share for the periods ended September 30, 2018 and October 1, 2017, respectively. The fair value was estimated on the date of grant using a Black-Scholes option-pricing model and the following weighted-average assumptions: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420" w:type="dxa"/>
            <w:vAlign w:val="bottom"/>
            <w:gridSpan w:val="3"/>
          </w:tcPr>
          <w:p>
            <w:pPr>
              <w:ind w:left="1980"/>
              <w:spacing w:after="0"/>
              <w:rPr>
                <w:sz w:val="20"/>
                <w:szCs w:val="20"/>
                <w:color w:val="auto"/>
              </w:rPr>
            </w:pPr>
            <w:r>
              <w:rPr>
                <w:rFonts w:ascii="Arial" w:cs="Arial" w:eastAsia="Arial" w:hAnsi="Arial"/>
                <w:sz w:val="16"/>
                <w:szCs w:val="16"/>
                <w:b w:val="1"/>
                <w:bCs w:val="1"/>
                <w:color w:val="auto"/>
                <w:w w:val="95"/>
              </w:rPr>
              <w:t>Nine Months Ended</w:t>
            </w:r>
          </w:p>
        </w:tc>
        <w:tc>
          <w:tcPr>
            <w:tcW w:w="182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6180" w:type="dxa"/>
            <w:vAlign w:val="bottom"/>
          </w:tcPr>
          <w:p>
            <w:pPr>
              <w:spacing w:after="0"/>
              <w:rPr>
                <w:sz w:val="20"/>
                <w:szCs w:val="20"/>
                <w:color w:val="auto"/>
              </w:rPr>
            </w:pPr>
          </w:p>
        </w:tc>
        <w:tc>
          <w:tcPr>
            <w:tcW w:w="3420" w:type="dxa"/>
            <w:vAlign w:val="bottom"/>
            <w:gridSpan w:val="3"/>
          </w:tcPr>
          <w:p>
            <w:pPr>
              <w:ind w:left="660"/>
              <w:spacing w:after="0"/>
              <w:rPr>
                <w:sz w:val="20"/>
                <w:szCs w:val="20"/>
                <w:color w:val="auto"/>
              </w:rPr>
            </w:pPr>
            <w:r>
              <w:rPr>
                <w:rFonts w:ascii="Arial" w:cs="Arial" w:eastAsia="Arial" w:hAnsi="Arial"/>
                <w:sz w:val="16"/>
                <w:szCs w:val="16"/>
                <w:b w:val="1"/>
                <w:bCs w:val="1"/>
                <w:color w:val="auto"/>
              </w:rPr>
              <w:t>September 30, 2018</w:t>
            </w:r>
          </w:p>
        </w:tc>
        <w:tc>
          <w:tcPr>
            <w:tcW w:w="1820" w:type="dxa"/>
            <w:vAlign w:val="bottom"/>
          </w:tcPr>
          <w:p>
            <w:pPr>
              <w:jc w:val="right"/>
              <w:ind w:right="612"/>
              <w:spacing w:after="0"/>
              <w:rPr>
                <w:sz w:val="20"/>
                <w:szCs w:val="20"/>
                <w:color w:val="auto"/>
              </w:rPr>
            </w:pPr>
            <w:r>
              <w:rPr>
                <w:rFonts w:ascii="Arial" w:cs="Arial" w:eastAsia="Arial" w:hAnsi="Arial"/>
                <w:sz w:val="16"/>
                <w:szCs w:val="16"/>
                <w:b w:val="1"/>
                <w:bCs w:val="1"/>
                <w:color w:val="auto"/>
                <w:w w:val="92"/>
              </w:rPr>
              <w:t>October 1, 2017</w:t>
            </w:r>
          </w:p>
        </w:tc>
      </w:tr>
      <w:tr>
        <w:trPr>
          <w:trHeight w:val="33"/>
        </w:trPr>
        <w:tc>
          <w:tcPr>
            <w:tcW w:w="61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5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560" w:type="dxa"/>
            <w:vAlign w:val="bottom"/>
          </w:tcPr>
          <w:p>
            <w:pPr>
              <w:jc w:val="right"/>
              <w:ind w:right="93"/>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6.8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was $26,006 and $38,845 for the periods ended September 30, 2018 and October 1, 2017,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September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923,364</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435,096</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 (1)</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(68,625)</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(225,213)</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(101,170)</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September 30, 2018</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963,452</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8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 2018</w:t>
            </w:r>
          </w:p>
        </w:tc>
        <w:tc>
          <w:tcPr>
            <w:tcW w:w="740" w:type="dxa"/>
            <w:vAlign w:val="bottom"/>
          </w:tcPr>
          <w:p>
            <w:pPr>
              <w:spacing w:after="0"/>
              <w:rPr>
                <w:sz w:val="20"/>
                <w:szCs w:val="20"/>
                <w:color w:val="auto"/>
              </w:rPr>
            </w:pPr>
          </w:p>
        </w:tc>
        <w:tc>
          <w:tcPr>
            <w:tcW w:w="1800" w:type="dxa"/>
            <w:vAlign w:val="bottom"/>
          </w:tcPr>
          <w:p>
            <w:pPr>
              <w:jc w:val="right"/>
              <w:ind w:right="591"/>
              <w:spacing w:after="0"/>
              <w:rPr>
                <w:sz w:val="20"/>
                <w:szCs w:val="20"/>
                <w:color w:val="auto"/>
              </w:rPr>
            </w:pPr>
            <w:r>
              <w:rPr>
                <w:rFonts w:ascii="Arial" w:cs="Arial" w:eastAsia="Arial" w:hAnsi="Arial"/>
                <w:sz w:val="16"/>
                <w:szCs w:val="16"/>
                <w:b w:val="1"/>
                <w:bCs w:val="1"/>
                <w:color w:val="auto"/>
                <w:w w:val="92"/>
              </w:rPr>
              <w:t>October 1, 2017</w:t>
            </w:r>
          </w:p>
        </w:tc>
        <w:tc>
          <w:tcPr>
            <w:tcW w:w="0" w:type="dxa"/>
            <w:vAlign w:val="bottom"/>
          </w:tcPr>
          <w:p>
            <w:pPr>
              <w:spacing w:after="0"/>
              <w:rPr>
                <w:sz w:val="1"/>
                <w:szCs w:val="1"/>
                <w:color w:val="auto"/>
              </w:rPr>
            </w:pPr>
          </w:p>
        </w:tc>
      </w:tr>
      <w:tr>
        <w:trPr>
          <w:trHeight w:val="33"/>
        </w:trPr>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3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435,096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441,634</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180" w:type="dxa"/>
            <w:vAlign w:val="bottom"/>
            <w:vMerge w:val="restart"/>
          </w:tcPr>
          <w:p>
            <w:pPr>
              <w:jc w:val="right"/>
              <w:ind w:right="113"/>
              <w:spacing w:after="0"/>
              <w:rPr>
                <w:sz w:val="20"/>
                <w:szCs w:val="20"/>
                <w:color w:val="auto"/>
              </w:rPr>
            </w:pPr>
            <w:r>
              <w:rPr>
                <w:rFonts w:ascii="Arial" w:cs="Arial" w:eastAsia="Arial" w:hAnsi="Arial"/>
                <w:sz w:val="18"/>
                <w:szCs w:val="18"/>
                <w:color w:val="auto"/>
              </w:rPr>
              <w:t>97.74</w:t>
            </w:r>
          </w:p>
        </w:tc>
        <w:tc>
          <w:tcPr>
            <w:tcW w:w="100" w:type="dxa"/>
            <w:vAlign w:val="bottom"/>
          </w:tcPr>
          <w:p>
            <w:pPr>
              <w:spacing w:after="0"/>
              <w:rPr>
                <w:sz w:val="21"/>
                <w:szCs w:val="21"/>
                <w:color w:val="auto"/>
              </w:rPr>
            </w:pPr>
          </w:p>
        </w:tc>
        <w:tc>
          <w:tcPr>
            <w:tcW w:w="740" w:type="dxa"/>
            <w:vAlign w:val="bottom"/>
            <w:vMerge w:val="restart"/>
          </w:tcPr>
          <w:p>
            <w:pPr>
              <w:jc w:val="right"/>
              <w:ind w:right="530"/>
              <w:spacing w:after="0"/>
              <w:rPr>
                <w:sz w:val="20"/>
                <w:szCs w:val="20"/>
                <w:color w:val="auto"/>
              </w:rPr>
            </w:pPr>
            <w:r>
              <w:rPr>
                <w:rFonts w:ascii="Arial" w:cs="Arial" w:eastAsia="Arial" w:hAnsi="Arial"/>
                <w:sz w:val="18"/>
                <w:szCs w:val="18"/>
                <w:color w:val="auto"/>
                <w:w w:val="99"/>
              </w:rPr>
              <w:t>$</w:t>
            </w:r>
          </w:p>
        </w:tc>
        <w:tc>
          <w:tcPr>
            <w:tcW w:w="1800" w:type="dxa"/>
            <w:vAlign w:val="bottom"/>
            <w:vMerge w:val="restart"/>
          </w:tcPr>
          <w:p>
            <w:pPr>
              <w:jc w:val="right"/>
              <w:ind w:right="111"/>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3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13"/>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1"/>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3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10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$22,093 and $26,097 for the periods ended September 30, 2018 and October 1, 2017, respectively.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308,369 units as of September 30, 2018. Each unit is equivalent to one share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60" w:hanging="328"/>
        <w:spacing w:after="0" w:line="266" w:lineRule="auto"/>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hanging="328"/>
        <w:spacing w:after="0" w:line="274" w:lineRule="auto"/>
        <w:tabs>
          <w:tab w:leader="none" w:pos="66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International and Other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and Other is a combination of all other operating segments that are not individually material, including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 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2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Accounting policies associated with our operating segments are generally the same as those described in Note 1 to the Consolidated Financial Statements included in our 2017 Annual Report on Form 10-K.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in Note 5, derivatives used to manage commodity price risk are not designated for hedge accounting treatment. These derivatives are recognized at fair market value with the resulting realized and unrealized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316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w w:val="99"/>
              </w:rPr>
              <w:t>September 30, 2018</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 2017</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6"/>
                <w:szCs w:val="16"/>
                <w:b w:val="1"/>
                <w:bCs w:val="1"/>
                <w:color w:val="auto"/>
                <w:w w:val="97"/>
              </w:rPr>
              <w:t>October 1, 2017</w:t>
            </w:r>
          </w:p>
        </w:tc>
      </w:tr>
      <w:tr>
        <w:trPr>
          <w:trHeight w:val="33"/>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1,843,511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1,792,377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5,155,151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4,946,537</w:t>
            </w: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236,082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240,744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648,016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629,253</w:t>
            </w:r>
          </w:p>
        </w:tc>
      </w:tr>
      <w:tr>
        <w:trPr>
          <w:trHeight w:val="297"/>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2,079,593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2,033,121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5,803,167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5,575,790</w:t>
            </w:r>
          </w:p>
        </w:tc>
      </w:tr>
      <w:tr>
        <w:trPr>
          <w:trHeight w:val="311"/>
        </w:trPr>
        <w:tc>
          <w:tcPr>
            <w:tcW w:w="4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554,247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1,534,345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1,567,054</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1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31,072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16,400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65,379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26,491</w:t>
            </w: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 (1)</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570,647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1,599,724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1,593,545</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Unallocated corporate expense (2)</w:t>
            </w:r>
          </w:p>
        </w:tc>
        <w:tc>
          <w:tcPr>
            <w:tcW w:w="1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116,474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122,880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361,447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363,116</w:t>
            </w: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(gains) on commodity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(69,464)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(27,486)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1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28,817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208,712</w:t>
            </w: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69,699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1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36,413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311</w:t>
            </w: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406,263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461,464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1,202,499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979,193</w:t>
            </w: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24,589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72,456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36,074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35,201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56,458</w:t>
            </w: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356,854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400,801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1,066,091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850,279</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28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 income for the three and nine months ended October 1, 2017 has been revised to conform to the current definition of segment income, which has been updated for the exclusion of certain pension-related costs.</w:t>
      </w:r>
    </w:p>
    <w:p>
      <w:pPr>
        <w:spacing w:after="0" w:line="35" w:lineRule="exact"/>
        <w:rPr>
          <w:rFonts w:ascii="Arial" w:cs="Arial" w:eastAsia="Arial" w:hAnsi="Arial"/>
          <w:sz w:val="18"/>
          <w:szCs w:val="18"/>
          <w:color w:val="auto"/>
        </w:rPr>
      </w:pPr>
    </w:p>
    <w:p>
      <w:pPr>
        <w:ind w:left="340" w:right="340" w:hanging="332"/>
        <w:spacing w:after="0" w:line="31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losses (gains) on commodity derivatives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84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54"/>
              <w:spacing w:after="0"/>
              <w:rPr>
                <w:sz w:val="20"/>
                <w:szCs w:val="20"/>
                <w:color w:val="auto"/>
              </w:rPr>
            </w:pPr>
            <w:r>
              <w:rPr>
                <w:rFonts w:ascii="Arial" w:cs="Arial" w:eastAsia="Arial" w:hAnsi="Arial"/>
                <w:sz w:val="16"/>
                <w:szCs w:val="16"/>
                <w:b w:val="1"/>
                <w:bCs w:val="1"/>
                <w:color w:val="auto"/>
                <w:w w:val="95"/>
              </w:rPr>
              <w:t>September 30,</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6"/>
                <w:szCs w:val="16"/>
                <w:b w:val="1"/>
                <w:bCs w:val="1"/>
                <w:color w:val="auto"/>
                <w:w w:val="95"/>
              </w:rPr>
              <w:t>September 30, 2018</w:t>
            </w:r>
          </w:p>
        </w:tc>
        <w:tc>
          <w:tcPr>
            <w:tcW w:w="2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1, 2017</w:t>
            </w:r>
          </w:p>
        </w:tc>
        <w:tc>
          <w:tcPr>
            <w:tcW w:w="220" w:type="dxa"/>
            <w:vAlign w:val="bottom"/>
          </w:tcPr>
          <w:p>
            <w:pPr>
              <w:spacing w:after="0"/>
              <w:rPr>
                <w:sz w:val="18"/>
                <w:szCs w:val="18"/>
                <w:color w:val="auto"/>
              </w:rPr>
            </w:pPr>
          </w:p>
        </w:tc>
        <w:tc>
          <w:tcPr>
            <w:tcW w:w="13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October 1, 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on mark-to-market valuation of commodity derivative</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positions recognized in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71,088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Net losses on commodity derivative positions reclassified from</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unallocated to segment income</w:t>
            </w:r>
          </w:p>
        </w:tc>
        <w:tc>
          <w:tcPr>
            <w:tcW w:w="120" w:type="dxa"/>
            <w:vAlign w:val="bottom"/>
          </w:tcPr>
          <w:p>
            <w:pPr>
              <w:spacing w:after="0"/>
              <w:rPr>
                <w:sz w:val="20"/>
                <w:szCs w:val="20"/>
                <w:color w:val="auto"/>
              </w:rPr>
            </w:pPr>
          </w:p>
        </w:tc>
        <w:tc>
          <w:tcPr>
            <w:tcW w:w="1440" w:type="dxa"/>
            <w:vAlign w:val="bottom"/>
          </w:tcPr>
          <w:p>
            <w:pPr>
              <w:ind w:left="760"/>
              <w:spacing w:after="0"/>
              <w:rPr>
                <w:sz w:val="20"/>
                <w:szCs w:val="20"/>
                <w:color w:val="auto"/>
              </w:rPr>
            </w:pPr>
            <w:r>
              <w:rPr>
                <w:rFonts w:ascii="Arial" w:cs="Arial" w:eastAsia="Arial" w:hAnsi="Arial"/>
                <w:sz w:val="18"/>
                <w:szCs w:val="18"/>
                <w:color w:val="auto"/>
              </w:rPr>
              <w:t>23,471</w:t>
            </w:r>
          </w:p>
        </w:tc>
        <w:tc>
          <w:tcPr>
            <w:tcW w:w="24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73,779</w:t>
            </w:r>
          </w:p>
        </w:tc>
        <w:tc>
          <w:tcPr>
            <w:tcW w:w="24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67,986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(gains) on mark-to-market valuation of commodity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rPr>
              <w:t>47,617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(69,464)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positions recognized in unallocated derivative gains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September 30, 2018, the cumulative amount of mark-to-market losses on commodity derivatives that have been recognized in our consolidated cost of sales and not yet allocated to reportable segments was $58,482. Based on our forecasts of the timing of the recognition of the underlying hedged items, we expect to reclassify net pretax losses on commodity derivatives of $25,418 to segment operating results in the next twelve months.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4"/>
          </w:tcPr>
          <w:p>
            <w:pPr>
              <w:jc w:val="right"/>
              <w:ind w:right="892"/>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340" w:type="dxa"/>
            <w:vAlign w:val="bottom"/>
            <w:gridSpan w:val="4"/>
          </w:tcPr>
          <w:p>
            <w:pPr>
              <w:jc w:val="right"/>
              <w:ind w:right="91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20"/>
                <w:szCs w:val="20"/>
                <w:color w:val="auto"/>
              </w:rPr>
            </w:pPr>
          </w:p>
        </w:tc>
        <w:tc>
          <w:tcPr>
            <w:tcW w:w="1480" w:type="dxa"/>
            <w:vAlign w:val="bottom"/>
          </w:tcPr>
          <w:p>
            <w:pPr>
              <w:jc w:val="right"/>
              <w:ind w:right="192"/>
              <w:spacing w:after="0"/>
              <w:rPr>
                <w:sz w:val="20"/>
                <w:szCs w:val="20"/>
                <w:color w:val="auto"/>
              </w:rPr>
            </w:pPr>
            <w:r>
              <w:rPr>
                <w:rFonts w:ascii="Arial" w:cs="Arial" w:eastAsia="Arial" w:hAnsi="Arial"/>
                <w:sz w:val="16"/>
                <w:szCs w:val="16"/>
                <w:b w:val="1"/>
                <w:bCs w:val="1"/>
                <w:color w:val="auto"/>
                <w:w w:val="98"/>
              </w:rPr>
              <w:t>October 1, 2017</w:t>
            </w:r>
          </w:p>
        </w:tc>
        <w:tc>
          <w:tcPr>
            <w:tcW w:w="2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20"/>
                <w:szCs w:val="20"/>
                <w:color w:val="auto"/>
              </w:rPr>
            </w:pPr>
          </w:p>
        </w:tc>
        <w:tc>
          <w:tcPr>
            <w:tcW w:w="1460" w:type="dxa"/>
            <w:vAlign w:val="bottom"/>
          </w:tcPr>
          <w:p>
            <w:pPr>
              <w:jc w:val="right"/>
              <w:ind w:right="172"/>
              <w:spacing w:after="0"/>
              <w:rPr>
                <w:sz w:val="20"/>
                <w:szCs w:val="20"/>
                <w:color w:val="auto"/>
              </w:rPr>
            </w:pPr>
            <w:r>
              <w:rPr>
                <w:rFonts w:ascii="Arial" w:cs="Arial" w:eastAsia="Arial" w:hAnsi="Arial"/>
                <w:sz w:val="16"/>
                <w:szCs w:val="16"/>
                <w:b w:val="1"/>
                <w:bCs w:val="1"/>
                <w:color w:val="auto"/>
                <w:w w:val="98"/>
              </w:rPr>
              <w:t>October 1, 2017</w:t>
            </w:r>
          </w:p>
        </w:tc>
      </w:tr>
      <w:tr>
        <w:trPr>
          <w:trHeight w:val="33"/>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125,532</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9,397</w:t>
            </w:r>
          </w:p>
        </w:tc>
        <w:tc>
          <w:tcPr>
            <w:tcW w:w="2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28,090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32,110</w:t>
            </w:r>
          </w:p>
        </w:tc>
      </w:tr>
      <w:tr>
        <w:trPr>
          <w:trHeight w:val="27"/>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(1)</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10,293</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36,671</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74,807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62,234</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225,803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194,313</w:t>
            </w: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8.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778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733"/>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repurchased in the open market under pre-approved share repurchase programs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1,406,093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140,000</w:t>
            </w:r>
          </w:p>
        </w:tc>
      </w:tr>
      <w:tr>
        <w:trPr>
          <w:trHeight w:val="229"/>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615,719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59,665</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2,021,812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199,665</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(881,569)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(36,681)</w:t>
            </w:r>
          </w:p>
        </w:tc>
      </w:tr>
      <w:tr>
        <w:trPr>
          <w:trHeight w:val="27"/>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1,140,243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162,984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$500,000 share repurchase program approved by our Board of Directors in January 2016 was completed in the first quarter of 2018. In October 2017, our Board of Directors approved an additional $100,000 share repurchase authorization, to commence after the existing 2016 authorization was completed. As of September 30, 2018, $60,000 remained available for repurchases of our Common Stock under this program. In July 2018, our Board of Directors approved an additional $500,000 share repurchase authorization. This program is to commence after the existing 2017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showing the 2018 activity relating to the noncontrolling interest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492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Other comprehensive loss - foreign currency translation adjustments</w:t>
            </w:r>
          </w:p>
        </w:tc>
        <w:tc>
          <w:tcPr>
            <w:tcW w:w="4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Balance, September 30, 2018</w:t>
            </w:r>
          </w:p>
        </w:tc>
        <w:tc>
          <w:tcPr>
            <w:tcW w:w="41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180" w:type="dxa"/>
            <w:vAlign w:val="bottom"/>
            <w:vMerge w:val="restart"/>
          </w:tcPr>
          <w:p>
            <w:pPr>
              <w:jc w:val="right"/>
              <w:ind w:right="3590"/>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October 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14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22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107,532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36,129</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85,019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31,395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100,892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36,694</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192,551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200,480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72,823</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149,155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151,418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192,551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71,162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200,480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72,823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 common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to Common stock</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71,162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263,713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71,023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273,303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72,584</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149,155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151,418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210,681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earnings per share calculations for the three months ended September 30, 2018 and October 1, 2017 excluded 4,084 and 2,374 stock options (in thousands), respectively, that would have been antidilutive.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October 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14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22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1"/>
              </w:rPr>
              <w:t>Class B Common</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104,265</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310,942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114,651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154,128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55,875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614,094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226,677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441,708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160,140</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149,371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614,094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226,677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441,708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160,140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 common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to Common stock</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226,677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160,140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840,771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226,130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601,848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159,739</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149,371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210,970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214,123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earnings per share calculations for the nine months ended September 30, 2018 and October 1, 2017 excluded 4,196 and 2,374 stock options (in thousands), respectively,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600" w:type="dxa"/>
            <w:vAlign w:val="bottom"/>
          </w:tcPr>
          <w:p>
            <w:pPr>
              <w:spacing w:after="0"/>
              <w:rPr>
                <w:sz w:val="22"/>
                <w:szCs w:val="22"/>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2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October 1, 2017</w:t>
            </w: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Write-down of equity investments in partnerships qualifying for tax credits</w:t>
            </w: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23,999</w:t>
            </w: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rPr>
              <w:t>Non-service cost components of net periodic benefit cost relating to</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pension and other post-retirement benefit plans</w:t>
            </w:r>
          </w:p>
        </w:tc>
        <w:tc>
          <w:tcPr>
            <w:tcW w:w="44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22,444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32,901</w:t>
            </w:r>
          </w:p>
        </w:tc>
      </w:tr>
      <w:tr>
        <w:trPr>
          <w:trHeight w:val="27"/>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12,493</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36,074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35,201</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56,458</w:t>
            </w:r>
          </w:p>
        </w:tc>
      </w:tr>
      <w:tr>
        <w:trPr>
          <w:trHeight w:val="20"/>
        </w:trPr>
        <w:tc>
          <w:tcPr>
            <w:tcW w:w="5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2018</w:t>
            </w:r>
          </w:p>
        </w:tc>
        <w:tc>
          <w:tcPr>
            <w:tcW w:w="380" w:type="dxa"/>
            <w:vAlign w:val="bottom"/>
          </w:tcPr>
          <w:p>
            <w:pPr>
              <w:spacing w:after="0"/>
              <w:rPr>
                <w:sz w:val="18"/>
                <w:szCs w:val="18"/>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Raw materials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241,611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224,940</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93,627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34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700,309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614,945</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3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1,050,460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933,512</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Adjustment to LIFO</w:t>
            </w:r>
          </w:p>
        </w:tc>
        <w:tc>
          <w:tcPr>
            <w:tcW w:w="3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(169,787)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(180,676)</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880,673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752,836</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45,141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128,735</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21,124</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185,693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130,774</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274,663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280,633</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Land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103,436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108,300</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1,230,615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1,214,158</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34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2,989,276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2,925,353</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260,595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212,912</w:t>
            </w:r>
          </w:p>
        </w:tc>
      </w:tr>
      <w:tr>
        <w:trPr>
          <w:trHeight w:val="217"/>
        </w:trPr>
        <w:tc>
          <w:tcPr>
            <w:tcW w:w="654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3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4,583,922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4,460,723</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(2,491,023)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(2,354,026)</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2,092,899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2,106,697</w:t>
            </w:r>
          </w:p>
        </w:tc>
      </w:tr>
      <w:tr>
        <w:trPr>
          <w:trHeight w:val="217"/>
        </w:trPr>
        <w:tc>
          <w:tcPr>
            <w:tcW w:w="6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104,881</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34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140,002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146,998</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261,248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251,879</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Payroll, compensation and benefits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164,986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190,863</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 and promotion</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294,638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305,107</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204,350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180,164</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accrued liabilities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663,974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676,134</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Post-retirement benefits liabilities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208,114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215,320</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benefits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39,410</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182,929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184,209</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long-term liabilities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429,232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438,939</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(84,509)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(91,837)</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(194,793)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(169,526)</w:t>
            </w: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Cash flow hedges, net of tax</w:t>
            </w:r>
          </w:p>
        </w:tc>
        <w:tc>
          <w:tcPr>
            <w:tcW w:w="3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(56,652)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(52,383)</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accumulated other comprehensive loss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(313,746)</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1" w:right="35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00"/>
          </w:cols>
          <w:pgMar w:left="240" w:top="121" w:right="359" w:bottom="312" w:gutter="0" w:footer="0" w:header="0"/>
          <w:type w:val="continuous"/>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On October 17, 2018, we completed the acquisition of Pirate Brands, which includes the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w:t>
      </w:r>
      <w:r>
        <w:rPr>
          <w:rFonts w:ascii="Arial" w:cs="Arial" w:eastAsia="Arial" w:hAnsi="Arial"/>
          <w:sz w:val="18"/>
          <w:szCs w:val="18"/>
          <w:i w:val="1"/>
          <w:iCs w:val="1"/>
          <w:color w:val="auto"/>
        </w:rPr>
        <w:t>Smart Puffs</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Original Tings</w:t>
      </w:r>
      <w:r>
        <w:rPr>
          <w:rFonts w:ascii="Arial" w:cs="Arial" w:eastAsia="Arial" w:hAnsi="Arial"/>
          <w:sz w:val="18"/>
          <w:szCs w:val="18"/>
          <w:color w:val="auto"/>
        </w:rPr>
        <w:t xml:space="preserve"> brands, from B&amp;G Foods, Inc. Pirate Brands offers baked, trans fat free and gluten free snacks and is available in a wide range of food distribution channels in the United States. Pirate Brands is expected to generate annualized net sales of approximately $90,000.</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purchase consideration for Pirate Brands totaled approximately $420,000. Funding for the acquisition consisted of short-term borrowings and cash on hand. We are currently in the process of determining the allocation of the purchase price, which we expect to predominantly be allocated to identifiable intangible assets and goodwill. Goodwill is being determined as the excess of the purchase price over the fair value of the net assets acquired (including the identifiable intangible assets). The goodwill derived from this acquisition is expected to be deductible for tax purposes and reflects the value of utilizing the Company's resources to increase the number of distribution locations and customers.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2017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Overview presented below is an executive-level summary highlighting the key trends and measures on which the Company’s management focuses in evaluating its financial condition and operating performance. Certain earnings and performance measures within the Overview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124"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w:t>
      </w:r>
      <w:r>
        <w:rPr>
          <w:rFonts w:ascii="Arial" w:cs="Arial" w:eastAsia="Arial" w:hAnsi="Arial"/>
          <w:sz w:val="18"/>
          <w:szCs w:val="18"/>
          <w:i w:val="1"/>
          <w:iCs w:val="1"/>
          <w:color w:val="auto"/>
        </w:rPr>
        <w:t>Paqui</w:t>
      </w:r>
      <w:r>
        <w:rPr>
          <w:rFonts w:ascii="Arial" w:cs="Arial" w:eastAsia="Arial" w:hAnsi="Arial"/>
          <w:sz w:val="18"/>
          <w:szCs w:val="18"/>
          <w:color w:val="auto"/>
        </w:rPr>
        <w:t xml:space="preserve"> and </w:t>
      </w:r>
      <w:r>
        <w:rPr>
          <w:rFonts w:ascii="Arial" w:cs="Arial" w:eastAsia="Arial" w:hAnsi="Arial"/>
          <w:sz w:val="18"/>
          <w:szCs w:val="18"/>
          <w:i w:val="1"/>
          <w:iCs w:val="1"/>
          <w:color w:val="auto"/>
        </w:rPr>
        <w:t>Tyrrells</w:t>
      </w:r>
      <w:r>
        <w:rPr>
          <w:rFonts w:ascii="Arial" w:cs="Arial" w:eastAsia="Arial" w:hAnsi="Arial"/>
          <w:sz w:val="18"/>
          <w:szCs w:val="18"/>
          <w:color w:val="auto"/>
        </w:rPr>
        <w:t xml:space="preserve">. Amplify's anchor brand, </w:t>
      </w:r>
      <w:r>
        <w:rPr>
          <w:rFonts w:ascii="Arial" w:cs="Arial" w:eastAsia="Arial" w:hAnsi="Arial"/>
          <w:sz w:val="18"/>
          <w:szCs w:val="18"/>
          <w:i w:val="1"/>
          <w:iCs w:val="1"/>
          <w:color w:val="auto"/>
        </w:rPr>
        <w:t>SkinnyPop</w:t>
      </w:r>
      <w:r>
        <w:rPr>
          <w:rFonts w:ascii="Arial" w:cs="Arial" w:eastAsia="Arial" w:hAnsi="Arial"/>
          <w:sz w:val="18"/>
          <w:szCs w:val="18"/>
          <w:color w:val="auto"/>
        </w:rPr>
        <w:t>, is a market-leading ready-to-eat popcorn brand and is available in a wide range of food distribution channels in the United States. The business enables us to capture more consumer snacking occasions by contributing a new portfolio of brands. On July 5, 2018, we sold the Tyrrells business in order to focus on the U.S. growth opportunities.</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On October 17,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third quarter 2018 net sales totaled $2,079.6 million, an increase of 2.3%, versus $2,033.1 million for the third quarter 2017. Excluding a 0.7% impact from unfavorable foreign exchange rates, our net sales increased 3.0%. Net sales growth was driven primarily by the revenue contribution from Amplify.</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reported gross margin was 41.5% for the third quarter 2018, a decrease of 490 basis points compared to the third quarter 2017. Our third quarter 2018 non-GAAP gross margin was 44.0%, a decrease of 130 basis points compared to the third quarter 2017 due to incremental investments in trade and packaging, and higher freight and logistics costs, partially offset by favorable mix.</w:t>
      </w:r>
    </w:p>
    <w:p>
      <w:pPr>
        <w:spacing w:after="0" w:line="127"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Our third quarter 2018 reported net income and EPS-diluted totaled $263.7 million and $1.25, respectively, compared to the third quarter 2017 reported net income and EPS-diluted of $273.3 million and $1.28, respectively. From a non-GAAP perspective, third quarter 2018 adjusted net income was $326.3 million, an increase of 17.9% versus $276.8 million in the third quarter 2017. Our adjusted EPS-diluted for the third quarter 2018 was $1.55 compared</w:t>
      </w:r>
    </w:p>
    <w:p>
      <w:pPr>
        <w:ind w:right="220"/>
        <w:spacing w:after="0" w:line="261" w:lineRule="auto"/>
        <w:rPr>
          <w:sz w:val="20"/>
          <w:szCs w:val="20"/>
          <w:color w:val="auto"/>
        </w:rPr>
      </w:pPr>
      <w:r>
        <w:rPr>
          <w:rFonts w:ascii="Arial" w:cs="Arial" w:eastAsia="Arial" w:hAnsi="Arial"/>
          <w:sz w:val="18"/>
          <w:szCs w:val="18"/>
          <w:color w:val="auto"/>
        </w:rPr>
        <w:t>to $1.29 for the third quarter 2017, an increase of 20.2%. The increases in our adjusted net income and adjusted EPS-diluted in 2018 compared to 2017 are primarily due to lower advertising and related consumer marketing expenses, which are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823" w:right="279" w:bottom="1440" w:gutter="0" w:footer="0" w:header="0"/>
        </w:sectPr>
      </w:pPr>
    </w:p>
    <w:bookmarkStart w:id="32" w:name="page33"/>
    <w:bookmarkEnd w:id="32"/>
    <w:p>
      <w:pPr>
        <w:ind w:right="280"/>
        <w:spacing w:after="0" w:line="277" w:lineRule="auto"/>
        <w:rPr>
          <w:sz w:val="20"/>
          <w:szCs w:val="20"/>
          <w:color w:val="auto"/>
        </w:rPr>
      </w:pPr>
      <w:r>
        <w:rPr>
          <w:rFonts w:ascii="Arial" w:cs="Arial" w:eastAsia="Arial" w:hAnsi="Arial"/>
          <w:sz w:val="18"/>
          <w:szCs w:val="18"/>
          <w:color w:val="auto"/>
        </w:rPr>
        <w:t>recorded in selling, marketing and administrative expense, as well as the lower 2018 tax rate as a result of U.S. tax reform, partially offset by unfavorable gross profit.</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Over the remainder of the year, our outlook remains unchanged and we are focused on achieving the financial targets we outlined earlier this year. We continue to invest in our core brands and will continue to support the previous launches of </w:t>
      </w:r>
      <w:r>
        <w:rPr>
          <w:rFonts w:ascii="Arial" w:cs="Arial" w:eastAsia="Arial" w:hAnsi="Arial"/>
          <w:sz w:val="18"/>
          <w:szCs w:val="18"/>
          <w:i w:val="1"/>
          <w:iCs w:val="1"/>
          <w:color w:val="auto"/>
        </w:rPr>
        <w:t>Hershey's Gold</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 Outrageous</w:t>
      </w:r>
      <w:r>
        <w:rPr>
          <w:rFonts w:ascii="Arial" w:cs="Arial" w:eastAsia="Arial" w:hAnsi="Arial"/>
          <w:sz w:val="18"/>
          <w:szCs w:val="18"/>
          <w:color w:val="auto"/>
        </w:rPr>
        <w:t xml:space="preserve"> bars with consumer promotions and merchandising. In addition to these initiatives, in December, we will launch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with </w:t>
      </w:r>
      <w:r>
        <w:rPr>
          <w:rFonts w:ascii="Arial" w:cs="Arial" w:eastAsia="Arial" w:hAnsi="Arial"/>
          <w:sz w:val="18"/>
          <w:szCs w:val="18"/>
          <w:i w:val="1"/>
          <w:iCs w:val="1"/>
          <w:color w:val="auto"/>
        </w:rPr>
        <w:t>Reese's Pieces</w:t>
      </w:r>
      <w:r>
        <w:rPr>
          <w:rFonts w:ascii="Arial" w:cs="Arial" w:eastAsia="Arial" w:hAnsi="Arial"/>
          <w:sz w:val="18"/>
          <w:szCs w:val="18"/>
          <w:color w:val="auto"/>
        </w:rPr>
        <w:t xml:space="preserve"> bars as we leverage two iconic brands to drive consumer excitement and have strong Holiday programs underway which should enable us to end the year with momentum. We also expect sales and profit trends to continue in our international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Certain Financial Measures</w:t>
      </w:r>
    </w:p>
    <w:p>
      <w:pPr>
        <w:spacing w:after="0" w:line="94"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comparability of certain of our financial measures is impacted by unallocated mark-to-market (gains) losses on commodity derivatives, pension settlement charges relating to company-directed initiatives, costs associated with business realignment activities, costs relating to the integration of acquisitions, impairment of long-lived assets and other non-recurring gains and losses.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Reconciliations of the non-GAAP financial measures referenced in MD&amp;A to their nearest comparable GAAP financial measures as presented in the Consolidated Statements of Income are provided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conjunction with the adoption of ASU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in the first quarter of 2018, the Company elected to discontinue its practice of excluding the non-service related components of its net periodic benefit cost in deriving its non-GAAP financial measures, with a minor exception. Historically, the Company excluded from its non-GAAP results the following components relating to its pension benefit plans: interest cost, expected return on plan assets, amortization of net loss (gain), and settlement and curtailment charges. The Company did not historically exclude from its non-GAAP results the non-service related components relating to its other post retirement benefit plans. Starting with the first quarter of 2018, the Company will continue to exclude from its non-GAAP results the portion of pension settlement and/or curtailment charges relating to Company-directed initiatives, such as significant business realignment events and benefit plan terminations or amendments. As a result of this change, the non-GAAP reconciliations presented for the three and nine months ended October 1, 2017 that follow have been revised to conform to this updated presentation. The revision in the Company’s determination of non-GAAP earnings resulted in a reduction of $0.04 to adjusted earnings per share-diluted from $1.33 to $1.29 for the three months ended October 1, 2017 and a reduction of $0.06 to adjusted earnings per share-diluted from $3.73 to $3.67 for the nine months ended October 1, 2017.</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746"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5580" w:type="dxa"/>
            <w:vAlign w:val="bottom"/>
            <w:gridSpan w:val="7"/>
          </w:tcPr>
          <w:p>
            <w:pPr>
              <w:ind w:left="1140"/>
              <w:spacing w:after="0"/>
              <w:rPr>
                <w:sz w:val="20"/>
                <w:szCs w:val="20"/>
                <w:color w:val="auto"/>
              </w:rPr>
            </w:pPr>
            <w:r>
              <w:rPr>
                <w:rFonts w:ascii="Arial" w:cs="Arial" w:eastAsia="Arial" w:hAnsi="Arial"/>
                <w:sz w:val="16"/>
                <w:szCs w:val="16"/>
                <w:b w:val="1"/>
                <w:bCs w:val="1"/>
                <w:color w:val="auto"/>
              </w:rPr>
              <w:t>Reconciliation of Certain Non-GAAP Financial Measures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120" w:type="dxa"/>
            <w:vAlign w:val="bottom"/>
          </w:tcPr>
          <w:p>
            <w:pPr>
              <w:spacing w:after="0"/>
              <w:rPr>
                <w:sz w:val="23"/>
                <w:szCs w:val="23"/>
                <w:color w:val="auto"/>
              </w:rPr>
            </w:pPr>
          </w:p>
        </w:tc>
        <w:tc>
          <w:tcPr>
            <w:tcW w:w="346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3"/>
                <w:szCs w:val="23"/>
                <w:color w:val="auto"/>
              </w:rPr>
            </w:pPr>
          </w:p>
        </w:tc>
        <w:tc>
          <w:tcPr>
            <w:tcW w:w="31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20"/>
                <w:szCs w:val="20"/>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October 1, 2017</w:t>
            </w:r>
          </w:p>
        </w:tc>
        <w:tc>
          <w:tcPr>
            <w:tcW w:w="1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October 1, 2017</w:t>
            </w:r>
          </w:p>
        </w:tc>
      </w:tr>
      <w:tr>
        <w:trPr>
          <w:trHeight w:val="33"/>
        </w:trPr>
        <w:tc>
          <w:tcPr>
            <w:tcW w:w="25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6"/>
                <w:szCs w:val="16"/>
                <w:b w:val="1"/>
                <w:bCs w:val="1"/>
                <w:color w:val="auto"/>
                <w:w w:val="91"/>
              </w:rPr>
              <w:t>(Revised)</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(Revised)</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Reported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863,493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942,936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2,630,973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2,618,135</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losses (gains)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(21,954)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(27,486)</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4,565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6,475</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2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915,675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921,195</w:t>
            </w:r>
          </w:p>
        </w:tc>
        <w:tc>
          <w:tcPr>
            <w:tcW w:w="2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2,580,597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2,597,124</w:t>
            </w:r>
          </w:p>
        </w:tc>
      </w:tr>
      <w:tr>
        <w:trPr>
          <w:trHeight w:val="163"/>
        </w:trPr>
        <w:tc>
          <w:tcPr>
            <w:tcW w:w="25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Reported operating profit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406,263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461,464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1,202,499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979,193</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losses (gains)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(21,954)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(27,486)</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11,423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8,257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42,670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69,699</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28,817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208,712</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Gain on sale of licensing rights</w:t>
            </w:r>
          </w:p>
        </w:tc>
        <w:tc>
          <w:tcPr>
            <w:tcW w:w="2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operating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470,658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447,767</w:t>
            </w:r>
          </w:p>
        </w:tc>
        <w:tc>
          <w:tcPr>
            <w:tcW w:w="2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1,238,277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1,230,429</w:t>
            </w:r>
          </w:p>
        </w:tc>
      </w:tr>
      <w:tr>
        <w:trPr>
          <w:trHeight w:val="163"/>
        </w:trPr>
        <w:tc>
          <w:tcPr>
            <w:tcW w:w="25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Reported provision for income taxes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91,441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126,788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226,640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275,291</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losses (gains)*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(2,726)</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13,767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18,688</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Acquisition-related costs*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w w:val="94"/>
              </w:rPr>
              <w:t>Pension settlement charges relating to company-directed initiatives*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4,148</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29,264</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1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Non-GAAP provision for income taxes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120,529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324,783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net income</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273,303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601,848</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44,323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(61,063)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(24,760)</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51,011</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29,154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179,448</w:t>
            </w:r>
          </w:p>
        </w:tc>
      </w:tr>
      <w:tr>
        <w:trPr>
          <w:trHeight w:val="22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Noncontrolling interest share of business realignment and</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(27,967)</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5"/>
                <w:shd w:val="clear" w:color="auto" w:fill="CCEEFF"/>
              </w:rPr>
              <w:t>Pension settlement charges relating to company-directed initiatives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6,796</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1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net income</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276,804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786,569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EPS — Diluted</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losses (gains)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r>
      <w:tr>
        <w:trPr>
          <w:trHeight w:val="22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Noncontrolling interest share of business realignment and</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33"/>
        </w:trPr>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5"/>
                <w:shd w:val="clear" w:color="auto" w:fill="CCEEFF"/>
              </w:rPr>
              <w:t>Pension settlement charges relating to company-directed initiatives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1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EPS — Diluted</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47"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 The tax effect for each adjustment is determined by calculating the tax impact of the adjustment on the Company's quarterly effective tax rate.</w:t>
      </w:r>
    </w:p>
    <w:p>
      <w:pPr>
        <w:spacing w:after="0" w:line="19" w:lineRule="exact"/>
        <w:rPr>
          <w:sz w:val="20"/>
          <w:szCs w:val="20"/>
          <w:color w:val="auto"/>
        </w:rPr>
      </w:pPr>
    </w:p>
    <w:p>
      <w:pPr>
        <w:ind w:left="180" w:right="40" w:hanging="172"/>
        <w:spacing w:after="0" w:line="252"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were no pre-tax impairment charges associated with long-lived assets during the three months ended October 1, 2017. However, the long-lived asset impairment charge in the first quarter of 2017 was not treated as a discrete tax item. Therefore, the tax impact was included in the estimated annual effective tax rate resulting in an EPS-diluted impact for each of the quarters throughout 2017.</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580" w:type="dxa"/>
            <w:vAlign w:val="bottom"/>
            <w:gridSpan w:val="4"/>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336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Nine Months Ended</w:t>
            </w:r>
          </w:p>
        </w:tc>
      </w:tr>
      <w:tr>
        <w:trPr>
          <w:trHeight w:val="47"/>
        </w:trPr>
        <w:tc>
          <w:tcPr>
            <w:tcW w:w="4480" w:type="dxa"/>
            <w:vAlign w:val="bottom"/>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1"/>
        </w:trPr>
        <w:tc>
          <w:tcPr>
            <w:tcW w:w="448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2018</w:t>
            </w: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October 1, 2017</w:t>
            </w: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2018</w:t>
            </w: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1, 2017</w:t>
            </w:r>
          </w:p>
        </w:tc>
      </w:tr>
      <w:tr>
        <w:trPr>
          <w:trHeight w:val="33"/>
        </w:trPr>
        <w:tc>
          <w:tcPr>
            <w:tcW w:w="44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1"/>
              </w:rPr>
              <w:t>(Revised)</w:t>
            </w: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(Revised)</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As reported gross margin</w:t>
            </w:r>
          </w:p>
        </w:tc>
        <w:tc>
          <w:tcPr>
            <w:tcW w:w="164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46.4%</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33"/>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gross margin (1)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324"/>
        </w:trPr>
        <w:tc>
          <w:tcPr>
            <w:tcW w:w="4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operating profit margin</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Non-GAAP operating profit margin (2)</w:t>
            </w:r>
          </w:p>
        </w:tc>
        <w:tc>
          <w:tcPr>
            <w:tcW w:w="164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33"/>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44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As reported effective tax rate</w:t>
            </w:r>
          </w:p>
        </w:tc>
        <w:tc>
          <w:tcPr>
            <w:tcW w:w="16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33"/>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0"/>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effective tax rate (3)</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41"/>
        </w:trPr>
        <w:tc>
          <w:tcPr>
            <w:tcW w:w="44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r>
    </w:tbl>
    <w:p>
      <w:pPr>
        <w:spacing w:after="0" w:line="20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losses (gains) on commodity derivatives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mark-to-market losses (gains) on commodity derivatives are recorded as unallocated and excluded from adjusted results until such time as the related inventory is sold, at which time the corresponding losses (gains)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September 30, 2018 and October 1, 2017, the net adjustment recognized within unallocated was a loss of $47.6 million and a gain of $22.0 million, respectively. For the nine months ended September 30, 2018 and October 1, 2017, the net adjustment recognized within unallocated was a gain of $69.5 million and a gain of $27.5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periodically undertake restructuring and cost reduction activities as part of ongoing efforts to enhance long-term profitability. For the three months ended September 30, 2018 and October 1, 2017, we incurred $11.4 million and $8.3 million, respectively, of pre-tax costs related to business realignment activities. For the nine months ended September 30, 2018 and October 1, 2017, we incurred $42.7 million and $69.7 million, respectively, of pre-tax costs related to business realignment activities. See Note 8 to the Unaudited Consolidated Financial Statements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Acquisition-related costs</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the three months ended September 30, 2018, we incurred expenses totaling $3.7 million. Costs incurred during the three months ended October 1, 2017 were insignificant. For the nine months ended September 30, 2018 and October 1, 2017, we incurred expenses totaling $36.4 million and $0.3 million, respectively. 2018 costs related to the acquisition of Amplify Snack Brands, Inc. and primarily include legal and consultant fees, as well as severance and other costs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9" w:right="239" w:bottom="1440" w:gutter="0" w:footer="0" w:header="0"/>
        </w:sectPr>
      </w:pPr>
    </w:p>
    <w:bookmarkStart w:id="35" w:name="page36"/>
    <w:bookmarkEnd w:id="35"/>
    <w:p>
      <w:pPr>
        <w:ind w:right="220"/>
        <w:spacing w:after="0" w:line="342" w:lineRule="auto"/>
        <w:rPr>
          <w:sz w:val="20"/>
          <w:szCs w:val="20"/>
          <w:color w:val="auto"/>
        </w:rPr>
      </w:pPr>
      <w:r>
        <w:rPr>
          <w:rFonts w:ascii="Arial" w:cs="Arial" w:eastAsia="Arial" w:hAnsi="Arial"/>
          <w:sz w:val="16"/>
          <w:szCs w:val="16"/>
          <w:color w:val="auto"/>
        </w:rPr>
        <w:t>relating to the integration of the business. 2017 costs related to the integration of the 2016 acquisition of Ripple Brand Collective, LLC as we incorporated this business into our operating practices and information systems. See Note 2 to the Unaudited Consolidated Financial Statements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 impairment charges</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For the three and nine months ended September 30, 2018, we incurred $1.6 million and $28.8 million, respectively, of pre-tax long-lived asset impairment charges within the Shanghai Golden Monkey and Tyrrells disposal groups. These charges represent the excess of the disposal groups' carrying values, including the related currency translation adjustment amounts realized upon completion of the sales, over the sales values less costs to sell for the respective businesses. See Note 7 to the Unaudited Consolidated Financial Statements for more information. For the nine months ended October 1, 2017, we incurred $208.7 million of pre-tax long-lived asset impairment charges related to certain business realignment activities. This included a write-down of certain intangible assets that had been recognized in connection with the 2014 SGM acquisition and write-down of property, plant and equipment. See Note 8 to the Unaudited Consolidated Financial Statements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color w:val="auto"/>
        </w:rPr>
        <w:t>Certain of the business realignment and impairment charges recorded for the three and nine months ended September 30, 2018 and October 1, 2017, in connection with the Margin for Growth Program, related to Lotte Shanghai Foods Co., Ltd., a joint venture in which we own a 50% controlling interest. Therefore, we have also adjusted for the portion of these charges included within the income (loss) attributed to the non-controlling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settlement charges related to Company-directed initiatives</w:t>
      </w:r>
    </w:p>
    <w:p>
      <w:pPr>
        <w:spacing w:after="0" w:line="23"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In 2018, settlement charges in our hourly defined benefit plan were triggered by lump sum withdrawals by employees retiring or leaving the Company under a voluntary separation plan included within the Operational Optimization Program. In 2017, settlement charges were triggered in the pension plan benefiting our employees in Puerto Rico as a result of lump sum distributions and the purchase of annuity contracts relating to the termination of this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licensing rights</w:t>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During the second quarter of 2018, we recorded a $2.7 million gain on the sale of licensing rights for a non-core trademark relating to a brand marketed outside of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comparable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comparable period of the prior fiscal year.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584"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 reconciliation between reported and constant currency growth rates is provided below:</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3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Three Months Ended September 30, 2018</w:t>
            </w: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Impact of Foreign Currency</w:t>
            </w:r>
          </w:p>
        </w:tc>
        <w:tc>
          <w:tcPr>
            <w:tcW w:w="2400" w:type="dxa"/>
            <w:vAlign w:val="bottom"/>
          </w:tcPr>
          <w:p>
            <w:pPr>
              <w:jc w:val="right"/>
              <w:spacing w:after="0"/>
              <w:rPr>
                <w:sz w:val="20"/>
                <w:szCs w:val="20"/>
                <w:color w:val="auto"/>
              </w:rPr>
            </w:pPr>
            <w:r>
              <w:rPr>
                <w:rFonts w:ascii="Arial" w:cs="Arial" w:eastAsia="Arial" w:hAnsi="Arial"/>
                <w:sz w:val="16"/>
                <w:szCs w:val="16"/>
                <w:b w:val="1"/>
                <w:bCs w:val="1"/>
                <w:color w:val="auto"/>
                <w:w w:val="93"/>
              </w:rPr>
              <w:t>Percentage Change on Constant</w:t>
            </w:r>
          </w:p>
        </w:tc>
      </w:tr>
      <w:tr>
        <w:trPr>
          <w:trHeight w:val="210"/>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80" w:type="dxa"/>
            <w:vAlign w:val="bottom"/>
            <w:gridSpan w:val="2"/>
          </w:tcPr>
          <w:p>
            <w:pPr>
              <w:ind w:left="80"/>
              <w:spacing w:after="0"/>
              <w:rPr>
                <w:sz w:val="20"/>
                <w:szCs w:val="20"/>
                <w:color w:val="auto"/>
              </w:rPr>
            </w:pPr>
            <w:r>
              <w:rPr>
                <w:rFonts w:ascii="Arial" w:cs="Arial" w:eastAsia="Arial" w:hAnsi="Arial"/>
                <w:sz w:val="16"/>
                <w:szCs w:val="16"/>
                <w:b w:val="1"/>
                <w:bCs w:val="1"/>
                <w:color w:val="auto"/>
                <w:w w:val="96"/>
              </w:rPr>
              <w:t>Percentage Change as Reported</w:t>
            </w: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Exchange</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North America segment</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Canada</w:t>
            </w:r>
          </w:p>
        </w:tc>
        <w:tc>
          <w:tcPr>
            <w:tcW w:w="23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324"/>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Mexico</w:t>
            </w:r>
          </w:p>
        </w:tc>
        <w:tc>
          <w:tcPr>
            <w:tcW w:w="23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Brazil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37"/>
        </w:trPr>
        <w:tc>
          <w:tcPr>
            <w:tcW w:w="4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India</w:t>
            </w:r>
          </w:p>
        </w:tc>
        <w:tc>
          <w:tcPr>
            <w:tcW w:w="2380" w:type="dxa"/>
            <w:vAlign w:val="bottom"/>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23.5 %</w:t>
            </w: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China</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17"/>
        </w:trPr>
        <w:tc>
          <w:tcPr>
            <w:tcW w:w="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Total International and Other segment</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Total Company</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5180" w:type="dxa"/>
            <w:vAlign w:val="bottom"/>
            <w:gridSpan w:val="5"/>
          </w:tcPr>
          <w:p>
            <w:pPr>
              <w:jc w:val="center"/>
              <w:ind w:left="2279"/>
              <w:spacing w:after="0"/>
              <w:rPr>
                <w:sz w:val="20"/>
                <w:szCs w:val="20"/>
                <w:color w:val="auto"/>
              </w:rPr>
            </w:pPr>
            <w:r>
              <w:rPr>
                <w:rFonts w:ascii="Arial" w:cs="Arial" w:eastAsia="Arial" w:hAnsi="Arial"/>
                <w:sz w:val="16"/>
                <w:szCs w:val="16"/>
                <w:b w:val="1"/>
                <w:bCs w:val="1"/>
                <w:color w:val="auto"/>
                <w:w w:val="91"/>
              </w:rPr>
              <w:t>Nine Months Ended September 30, 2018</w:t>
            </w:r>
          </w:p>
        </w:tc>
        <w:tc>
          <w:tcPr>
            <w:tcW w:w="23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Impact of Foreign Currency</w:t>
            </w:r>
          </w:p>
        </w:tc>
        <w:tc>
          <w:tcPr>
            <w:tcW w:w="23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540" w:type="dxa"/>
            <w:vAlign w:val="bottom"/>
            <w:gridSpan w:val="2"/>
          </w:tcPr>
          <w:p>
            <w:pPr>
              <w:ind w:left="100"/>
              <w:spacing w:after="0"/>
              <w:rPr>
                <w:sz w:val="20"/>
                <w:szCs w:val="20"/>
                <w:color w:val="auto"/>
              </w:rPr>
            </w:pPr>
            <w:r>
              <w:rPr>
                <w:rFonts w:ascii="Arial" w:cs="Arial" w:eastAsia="Arial" w:hAnsi="Arial"/>
                <w:sz w:val="16"/>
                <w:szCs w:val="16"/>
                <w:b w:val="1"/>
                <w:bCs w:val="1"/>
                <w:color w:val="auto"/>
                <w:w w:val="98"/>
              </w:rPr>
              <w:t>Percentage Change as Reported</w:t>
            </w: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Exchange</w:t>
            </w:r>
          </w:p>
        </w:tc>
        <w:tc>
          <w:tcPr>
            <w:tcW w:w="2360" w:type="dxa"/>
            <w:vAlign w:val="bottom"/>
          </w:tcPr>
          <w:p>
            <w:pPr>
              <w:jc w:val="right"/>
              <w:ind w:right="61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3"/>
            <w:shd w:val="clear" w:color="auto" w:fill="CCEEFF"/>
          </w:tcPr>
          <w:p>
            <w:pPr>
              <w:ind w:left="2060"/>
              <w:spacing w:after="0"/>
              <w:rPr>
                <w:sz w:val="20"/>
                <w:szCs w:val="20"/>
                <w:color w:val="auto"/>
              </w:rPr>
            </w:pPr>
            <w:r>
              <w:rPr>
                <w:rFonts w:ascii="Arial" w:cs="Arial" w:eastAsia="Arial" w:hAnsi="Arial"/>
                <w:sz w:val="16"/>
                <w:szCs w:val="16"/>
                <w:color w:val="auto"/>
              </w:rPr>
              <w:t>— %</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324"/>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4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40" w:type="dxa"/>
            <w:vAlign w:val="bottom"/>
          </w:tcPr>
          <w:p>
            <w:pPr>
              <w:jc w:val="right"/>
              <w:spacing w:after="0"/>
              <w:rPr>
                <w:sz w:val="20"/>
                <w:szCs w:val="20"/>
                <w:color w:val="auto"/>
              </w:rPr>
            </w:pPr>
            <w:r>
              <w:rPr>
                <w:rFonts w:ascii="Arial" w:cs="Arial" w:eastAsia="Arial" w:hAnsi="Arial"/>
                <w:sz w:val="16"/>
                <w:szCs w:val="16"/>
                <w:color w:val="auto"/>
              </w:rPr>
              <w:t>23.0 %</w:t>
            </w:r>
          </w:p>
        </w:tc>
        <w:tc>
          <w:tcPr>
            <w:tcW w:w="1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26.0 %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China</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r>
      <w:tr>
        <w:trPr>
          <w:trHeight w:val="20"/>
        </w:trPr>
        <w:tc>
          <w:tcPr>
            <w:tcW w:w="388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w:t>
            </w: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 2018</w:t>
            </w:r>
          </w:p>
        </w:tc>
        <w:tc>
          <w:tcPr>
            <w:tcW w:w="14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October 1, 2017</w:t>
            </w:r>
          </w:p>
        </w:tc>
        <w:tc>
          <w:tcPr>
            <w:tcW w:w="100" w:type="dxa"/>
            <w:vAlign w:val="bottom"/>
          </w:tcPr>
          <w:p>
            <w:pPr>
              <w:spacing w:after="0"/>
              <w:rPr>
                <w:sz w:val="22"/>
                <w:szCs w:val="22"/>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42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October 1, 2017</w:t>
            </w:r>
          </w:p>
        </w:tc>
        <w:tc>
          <w:tcPr>
            <w:tcW w:w="100" w:type="dxa"/>
            <w:vAlign w:val="bottom"/>
          </w:tcPr>
          <w:p>
            <w:pPr>
              <w:spacing w:after="0"/>
              <w:rPr>
                <w:sz w:val="22"/>
                <w:szCs w:val="22"/>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1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In millions of dollars except per share amounts</w:t>
            </w: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0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2,079.6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2,033.1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5,803.2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5,575.8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37"/>
        </w:trPr>
        <w:tc>
          <w:tcPr>
            <w:tcW w:w="3120" w:type="dxa"/>
            <w:vAlign w:val="bottom"/>
            <w:gridSpan w:val="3"/>
          </w:tcPr>
          <w:p>
            <w:pPr>
              <w:ind w:left="40"/>
              <w:spacing w:after="0"/>
              <w:rPr>
                <w:sz w:val="20"/>
                <w:szCs w:val="20"/>
                <w:color w:val="auto"/>
              </w:rPr>
            </w:pPr>
            <w:r>
              <w:rPr>
                <w:rFonts w:ascii="Arial" w:cs="Arial" w:eastAsia="Arial" w:hAnsi="Arial"/>
                <w:sz w:val="16"/>
                <w:szCs w:val="16"/>
                <w:color w:val="auto"/>
              </w:rPr>
              <w:t>Cost of Sales</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1,216.1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1,090.2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3,172.2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2,957.7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863.5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2,631.0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2,618.1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6"/>
                <w:szCs w:val="16"/>
                <w:i w:val="1"/>
                <w:iCs w:val="1"/>
                <w:color w:val="auto"/>
              </w:rPr>
              <w:t>Gross Margin</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41.5%</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45.3%</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47.0%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477.5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1,388.8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1,380.2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6"/>
                <w:szCs w:val="16"/>
                <w:i w:val="1"/>
                <w:iCs w:val="1"/>
                <w:color w:val="auto"/>
                <w:w w:val="99"/>
              </w:rPr>
              <w:t>SM&amp;A Expense as a percent of net sales</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21.8%</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23.5%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23.9%</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Long-Lived Asset Impairment Charges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NM</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37"/>
        </w:trPr>
        <w:tc>
          <w:tcPr>
            <w:tcW w:w="3120" w:type="dxa"/>
            <w:vAlign w:val="bottom"/>
            <w:gridSpan w:val="3"/>
          </w:tcPr>
          <w:p>
            <w:pPr>
              <w:ind w:left="40"/>
              <w:spacing w:after="0"/>
              <w:rPr>
                <w:sz w:val="20"/>
                <w:szCs w:val="20"/>
                <w:color w:val="auto"/>
              </w:rPr>
            </w:pPr>
            <w:r>
              <w:rPr>
                <w:rFonts w:ascii="Arial" w:cs="Arial" w:eastAsia="Arial" w:hAnsi="Arial"/>
                <w:sz w:val="16"/>
                <w:szCs w:val="16"/>
                <w:color w:val="auto"/>
              </w:rPr>
              <w:t>Business Realignment Costs</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(58.7)%</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461.5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1,202.5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979.2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22.8 %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80" w:type="dxa"/>
            <w:vAlign w:val="bottom"/>
            <w:gridSpan w:val="2"/>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19.5%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22.7%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20.7%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17.6%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0" w:type="dxa"/>
            <w:vAlign w:val="bottom"/>
          </w:tcPr>
          <w:p>
            <w:pPr>
              <w:spacing w:after="0"/>
              <w:rPr>
                <w:sz w:val="1"/>
                <w:szCs w:val="1"/>
                <w:color w:val="auto"/>
              </w:rPr>
            </w:pPr>
          </w:p>
        </w:tc>
      </w:tr>
      <w:tr>
        <w:trPr>
          <w:trHeight w:val="237"/>
        </w:trPr>
        <w:tc>
          <w:tcPr>
            <w:tcW w:w="3120" w:type="dxa"/>
            <w:vAlign w:val="bottom"/>
            <w:gridSpan w:val="3"/>
          </w:tcPr>
          <w:p>
            <w:pPr>
              <w:ind w:left="40"/>
              <w:spacing w:after="0"/>
              <w:rPr>
                <w:sz w:val="20"/>
                <w:szCs w:val="20"/>
                <w:color w:val="auto"/>
              </w:rPr>
            </w:pPr>
            <w:r>
              <w:rPr>
                <w:rFonts w:ascii="Arial" w:cs="Arial" w:eastAsia="Arial" w:hAnsi="Arial"/>
                <w:sz w:val="16"/>
                <w:szCs w:val="16"/>
                <w:color w:val="auto"/>
              </w:rPr>
              <w:t>Other (Income) Expense, Net</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36.1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(65.4)%</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56.5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275.3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080" w:type="dxa"/>
            <w:vAlign w:val="bottom"/>
            <w:gridSpan w:val="2"/>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25.6%</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31.6%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21.3%</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32.4%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Net Income Including Noncontrolling</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shd w:val="clear" w:color="auto" w:fill="CCEEFF"/>
              </w:rPr>
              <w:t>Interest</w:t>
            </w:r>
          </w:p>
        </w:tc>
        <w:tc>
          <w:tcPr>
            <w:tcW w:w="4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265.4</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274.0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839.5</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575.0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46.0 %</w:t>
            </w:r>
          </w:p>
        </w:tc>
        <w:tc>
          <w:tcPr>
            <w:tcW w:w="0" w:type="dxa"/>
            <w:vAlign w:val="bottom"/>
          </w:tcPr>
          <w:p>
            <w:pPr>
              <w:spacing w:after="0"/>
              <w:rPr>
                <w:sz w:val="1"/>
                <w:szCs w:val="1"/>
                <w:color w:val="auto"/>
              </w:rPr>
            </w:pPr>
          </w:p>
        </w:tc>
      </w:tr>
      <w:tr>
        <w:trPr>
          <w:trHeight w:val="220"/>
        </w:trPr>
        <w:tc>
          <w:tcPr>
            <w:tcW w:w="312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080" w:type="dxa"/>
            <w:vAlign w:val="bottom"/>
            <w:gridSpan w:val="2"/>
          </w:tcPr>
          <w:p>
            <w:pPr>
              <w:ind w:left="220"/>
              <w:spacing w:after="0"/>
              <w:rPr>
                <w:sz w:val="20"/>
                <w:szCs w:val="20"/>
                <w:color w:val="auto"/>
              </w:rPr>
            </w:pPr>
            <w:r>
              <w:rPr>
                <w:rFonts w:ascii="Arial" w:cs="Arial" w:eastAsia="Arial" w:hAnsi="Arial"/>
                <w:sz w:val="16"/>
                <w:szCs w:val="16"/>
                <w:color w:val="auto"/>
              </w:rPr>
              <w:t>Noncontrolling Interest</w:t>
            </w:r>
          </w:p>
        </w:tc>
        <w:tc>
          <w:tcPr>
            <w:tcW w:w="5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139.4 %</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Net Income Attributable to The Hershey</w:t>
            </w:r>
          </w:p>
        </w:tc>
        <w:tc>
          <w:tcPr>
            <w:tcW w:w="46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263.7</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840.8</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601.8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shd w:val="clear" w:color="auto" w:fill="CCEEFF"/>
              </w:rPr>
              <w:t>Company</w:t>
            </w:r>
          </w:p>
        </w:tc>
        <w:tc>
          <w:tcPr>
            <w:tcW w:w="4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vMerge w:val="continue"/>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vMerge w:val="continue"/>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gridSpan w:val="3"/>
          </w:tcPr>
          <w:p>
            <w:pPr>
              <w:ind w:left="40"/>
              <w:spacing w:after="0"/>
              <w:rPr>
                <w:sz w:val="20"/>
                <w:szCs w:val="20"/>
                <w:color w:val="auto"/>
              </w:rPr>
            </w:pPr>
            <w:r>
              <w:rPr>
                <w:rFonts w:ascii="Arial" w:cs="Arial" w:eastAsia="Arial" w:hAnsi="Arial"/>
                <w:sz w:val="16"/>
                <w:szCs w:val="16"/>
                <w:color w:val="auto"/>
              </w:rPr>
              <w:t>Net Income Per Share—Diluted</w:t>
            </w: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1"/>
                <w:szCs w:val="21"/>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1"/>
                <w:szCs w:val="21"/>
                <w:color w:val="auto"/>
              </w:rPr>
            </w:pPr>
          </w:p>
        </w:tc>
        <w:tc>
          <w:tcPr>
            <w:tcW w:w="6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2018 vs. Third Quarter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Net sales increased 2.3% in the third quarter of 2018 compared to the same period of 2017, reflecting a benefit from the recent Amplify acquisition of 2.5% and a volume increase of 1.7%, partially offset by unfavorable price realization of 1.2% and a unfavorable impact from foreign currency exchange rates of</w:t>
      </w:r>
    </w:p>
    <w:p>
      <w:pPr>
        <w:ind w:right="60"/>
        <w:spacing w:after="0" w:line="254" w:lineRule="auto"/>
        <w:rPr>
          <w:sz w:val="20"/>
          <w:szCs w:val="20"/>
          <w:color w:val="auto"/>
        </w:rPr>
      </w:pPr>
      <w:r>
        <w:rPr>
          <w:rFonts w:ascii="Arial" w:cs="Arial" w:eastAsia="Arial" w:hAnsi="Arial"/>
          <w:sz w:val="18"/>
          <w:szCs w:val="18"/>
          <w:color w:val="auto"/>
        </w:rPr>
        <w:t>0.7%. Excluding the unfavorable impact from foreign currency exchange rates, our net sales increased 3.0%. Consolidated volumes increased due to Amplify and solid performance in select international markets, which more than offset the volume reduction from the sale of Shanghai Golden Monkey ("SGM") in July 2018. These volume increases were partially offset by unfavorable net price realization, which was attributed to incremental trade promotional expense in the North America segment in support of 2018 programming.</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twelve weeks ended October 7, 2018, our total U.S. retail takeaway, including Amplify, increased 0.2% in the expanded multi-outlet combined plus convenience store channels (IRI MULO + C-Stores), which includes candy, mint, gum, salty snacks, snack bars, meat snacks and grocery items. Our U.S. candy, mint and gum ("CMG") consumer takeaway was in line with prior year, resulting in a CMG market share loss of approximately 13 basis points due to the timing of innovation and promotional activity relative to our competitors.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3" w:right="23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Cost of sales increased 11.5% in the third quarter of 2018 compared to the same period of 2017. The increase was driven by an incremental $69.6 million unfavorable impact from marking-to-market our commodity derivative instruments intended to economically hedge future years' commodity purchases. In addition, cost of sales increased due to higher sales volume, including incremental volume from Amplify, as well as higher freight and logistics costs and higher plant costs, which were partially offset by supply chain productivity.</w:t>
      </w:r>
    </w:p>
    <w:p>
      <w:pPr>
        <w:spacing w:after="0" w:line="13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Gross margin decreased by 490 basis points in the third quarter of 2018 compared to the same period of 2017. This was primarily due to unfavorable year-over-year mark-to-market impact from commodity derivative instruments, higher freight and logistics costs, additional plant costs, and incremental trade promotional expense and packaging costs. However, supply chain productivity and favorable product mix partially offset the decrease in gross margin.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Selling, marketing and administrative (“SM&amp;A”) expenses decreased $23.5 million or 4.9% in the third quarter of 2018. Total advertising and related consumer marketing expenses declined 16.5% due mainly to spend optimization and shifts relating to our emerging brands. Selling, marketing and administrative expenses, excluding advertising and related consumer marketing, increased approximately 3.2% in the third quarter due to incremental expenses from Amplify and higher expenses related to the multi-year implementation of our enterprise resource planning system, which more than offset reductions in our base spending from the Margin for Growth Program.</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third quarter of 2018, we recorded long-lived asset impairment charges of $1.6 million associated with the Shanghai Golden Monkey and Tyrrells disposal groups. These charges represent the excess of the disposal groups' carrying values, including the related currency translation adjustment amounts that were realized upon completion of the sales, over the sales values less costs to sell for the respective businesses. There were no long-lived asset impairment charges in the third quarter of 2017.</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third quarter of 2018 and 2017, we recorded business realignment costs of $1.7 million and $4.0 million, respectively. The costs related primarily to the Margin for Growth Program, which is discussed in more detail in Note 8 to the Unaudited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Operating profit decreased 12.0% in the third quarter of 2018 compared to the same period of 2017 primarily due to lower gross profit, partly offset by lower SM&amp;A, as discussed previously. Operating profit margin decreased to 19.5% in 2018 from 22.7% in 2017 driven by these same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Net interest expense was $12.3 million higher in the third quarter of 2018 compared to the same period of 2017. The increase was due to higher levels of commercial paper issued to fund the Amplify acquisition, as well as incremental interest on $1.2 billion of notes issued in May 2018.</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6"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(income) expense, net totaled an expense of $12.5 million in the third quarter of 2018 compared to an expense of $36.1 million in the third quarter of 2017. The decrease in the net expense was primarily due to lower non-service cost components of net periodic benefit cost relating to pension and other post-retirement benefit plans during 2018, as well as a $10.4 million decrease in write-downs on equity investments qualifying for federal historic and energy tax credits.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effective income tax rate was 25.6% for the third quarter of 2018 compared with 31.6% for the third quarter of 2017, with the lower 2018 rate reflecting the impact of the U.S. tax reform. Relative to the statutory rate of 21%, the 2018 effective tax rate was impacted by state and local taxes, partially offset by favorable rate differential relating to foreign operations. The 2017 effective rate, relative to the previous U.S. statutory rate of 35%, was impacted by favorable rate differential relating to foreign operations and investment tax credits, which were partially offset by non-benefited costs resulting from the Margin for Growth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income decreased $9.6 million, or 3.5%, while EPS-diluted decreased $0.03, or 2.3%, in the third quarter of 2018 compared to the same period of 2017. The decrease in both 2018 net income and EPS-diluted were driven primarily by lower gross profit and higher interest expense, which were partly offset by lower income taxes, SM&amp;A, and business realignment costs, as noted above. Our 2018 EPS-diluted also benefited from lower weighted-average shares outstanding as a result of share repurchases, including a prior year repurchase from the Milton Hershey School Trust, as well as current year repurchases pursuant to our Board-approved repurchase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2018 vs. First Nine Months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4.1% in the first nine months of 2018 compared to the same period of 2017, reflecting a benefit from the recent Amplify acquisition of</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3.8% and a volume increase of 1.5%, partially offset by unfavorable price realization of 1.1% and a unfavorable impact from foreign currency exchange rates of 0.1%. Excluding the unfavorable impact from foreign currency exchange rates, our net sales increased 4.2%. Consolidated volumes increased due to Amplify and solid performance in select international markets, which more than offset the volume reduction from the sale of SGM in July 2018. These volume increases were partially offset by unfavorable net price realization, which was attributed to incremental trade promotional expense in the North America segment in support of 2018 programming.</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Cost of sales increased 7.3% in the first nine months of 2018 compared to the same period of 2017. The increase was driven by higher sales volume, higher freight and logistics costs and additional plant costs. This was partially offset by an incremental $42.0 million favorable impact from marking-to-market our commodity derivative instruments intended to economically hedge future years' commodity purchases and supply chain productivity,</w:t>
      </w:r>
    </w:p>
    <w:p>
      <w:pPr>
        <w:spacing w:after="0" w:line="11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Gross margin decreased by 170 basis points in the first nine months of 2018 compared to the same period of 2017. This was primarily due to the higher freight and logistics costs, unfavorable product mix, additional plant costs related to new production lines, and incremental trade promotional expense. This was partially offset by the favorable year-over-year mark-to-market impact from commodity derivative instruments and supply chain productivity.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742" w:right="299"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Selling, marketing and administrative (“SM&amp;A”) expenses increased $8.6 million or 0.6% in the first nine months of 2018. Total advertising and related consumer marketing expenses declined 10.0% due mainly to spend optimization and shifts relating to our emerging brands; however, advertising and related consumer marketing on our core U.S. confection brands increased. Selling, marketing and administrative expenses, excluding advertising and related consumer marketing, increased approximately 7.4% in 2018 due to incremental expenses from Amplify and higher expenses related to the multi-year implementation of our enterprise resource planning system, which more than offset reductions in our base spending from the Margin for Growth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recorded long-lived asset impairment charges of $28.8 million associated with the Shanghai Golden Monkey and Tyrrells disposal groups. These charges represent the excess of the disposal groups' carrying values, including the related currency translation adjustment amounts realized upon completion of the sales, over the estimated sales values less costs to sell for the respective businesses. In 2017, we recorded long-lived asset impairment charges totaling $106.0 million to write-down distributor relationship and trademark intangible assets that had been recognized in connection with the 2014 SGM acquisition and wrote-down property, plant and equipment by $102.7 million.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 the first nine months of 2018 and 2017, we recorded business realignment costs of $10.9 million and $50.0 million, respectively. The costs related primarily to the Margin for Growth Program, which is discussed in more detail in Note 8 to the Unaudited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Operating profit increased 22.8% in the first nine months of 2018 compared to the same period of 2017 primarily due to higher gross profit and lower impairment charges and business realignment costs in the 2018 period, partly offset by higher SM&amp;A, as discussed previously. Operating profit margin increased to 20.7% in 2018 from 17.6% in 2017 driven by these same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interest expense was $28.8 million higher in the first nine months of 2018 compared to the same period of 2017. The increase was due to higher levels of commercial paper issued to fund the Amplify acquisition, as well as incremental interest on $1.2 billion of notes issued in May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(income) expense, net totaled an expense of $35.2 million in the first nine months of 2018 compared to an expense of $56.5 million in the first nine months of 2017. The decrease in the net expense was primarily due to lower non-service cost components of net periodic benefit cost relating to pension and other post-retirement benefit plans during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effective income tax rate was 21.3% for the first nine months of 2018 compared with 32.4% for the same period of 2017, with the lower 2018 rate reflecting the impact of the U.S. tax reform. Relative to the 21% statutory rate, the 2018 effective tax rate was impacted by state and local taxes, partially offset by investment tax credits and favorable rate differential relating to foreign operations. The 2017 effective rate, relative to the previous U.S. statutory rate of 35%, was impacted by favorable rate differential relating to foreign operations, investment tax credits and the benefit of ASU 2016-09, which were partially offset by non-benefited costs resulting from the Margin for Growth Program.</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823"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income increased $238.9 million, or 39.7%, while EPS-diluted increased $1.18, or 42.0%, in the first nine months of 2018 compared to the same period of 2017. The increase in both net income and EPS-diluted was driven primarily by 2018 higher gross profit, lower impairment charges and business realignment costs and lower income taxes, which were partly offset by higher SM&amp;A and higher interest expense, as noted above. Our 2018 EPS-diluted also benefited from lower weighted-average shares outstanding as a result of share repurchases, including a prior year repurchase from the Milton Hershey School Trust, as well as current year repurchases pursuant to our Board-approved repurchase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of this MD&amp;A.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18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1, 2017</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420" w:type="dxa"/>
            <w:vAlign w:val="bottom"/>
          </w:tcPr>
          <w:p>
            <w:pPr>
              <w:jc w:val="right"/>
              <w:ind w:right="151"/>
              <w:spacing w:after="0"/>
              <w:rPr>
                <w:sz w:val="20"/>
                <w:szCs w:val="20"/>
                <w:color w:val="auto"/>
              </w:rPr>
            </w:pPr>
            <w:r>
              <w:rPr>
                <w:rFonts w:ascii="Arial" w:cs="Arial" w:eastAsia="Arial" w:hAnsi="Arial"/>
                <w:sz w:val="16"/>
                <w:szCs w:val="16"/>
                <w:b w:val="1"/>
                <w:bCs w:val="1"/>
                <w:color w:val="auto"/>
                <w:w w:val="97"/>
              </w:rPr>
              <w:t>October 1, 2017</w:t>
            </w:r>
          </w:p>
        </w:tc>
      </w:tr>
      <w:tr>
        <w:trPr>
          <w:trHeight w:val="33"/>
        </w:trPr>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1,843,511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1,792,377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5,155,151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4,946,537</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240,744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629,253</w:t>
            </w:r>
          </w:p>
        </w:tc>
      </w:tr>
      <w:tr>
        <w:trPr>
          <w:trHeight w:val="297"/>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2,079,593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2,033,121</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5,803,167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5,575,790</w:t>
            </w:r>
          </w:p>
        </w:tc>
      </w:tr>
      <w:tr>
        <w:trPr>
          <w:trHeight w:val="311"/>
        </w:trPr>
        <w:tc>
          <w:tcPr>
            <w:tcW w:w="4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1,567,054</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16,400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26,491</w:t>
            </w:r>
          </w:p>
        </w:tc>
      </w:tr>
      <w:tr>
        <w:trPr>
          <w:trHeight w:val="27"/>
        </w:trPr>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 (1)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570,647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1,593,545</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Unallocated corporate expense (2)</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116,474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122,880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361,447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363,116</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Unallocated mark-to-market (gains) losses on commodity</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(3)</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208,712</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69,699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licensing rights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406,263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461,464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1,202,499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979,193</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72,456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36,074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56,458</w:t>
            </w:r>
          </w:p>
        </w:tc>
      </w:tr>
      <w:tr>
        <w:trPr>
          <w:trHeight w:val="27"/>
        </w:trPr>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400,801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1,066,091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850,279</w:t>
            </w: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10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Segment income for the three and nine months ended October 1, 2017 have been revised to conform to the current definition of segment income, which has been updated for the exclusion of certain pension-related costs.</w:t>
      </w:r>
    </w:p>
    <w:p>
      <w:pPr>
        <w:spacing w:after="0" w:line="37" w:lineRule="exact"/>
        <w:rPr>
          <w:rFonts w:ascii="Arial" w:cs="Arial" w:eastAsia="Arial" w:hAnsi="Arial"/>
          <w:sz w:val="16"/>
          <w:szCs w:val="16"/>
          <w:color w:val="auto"/>
        </w:rPr>
      </w:pPr>
    </w:p>
    <w:p>
      <w:pPr>
        <w:ind w:left="340" w:right="60" w:hanging="332"/>
        <w:spacing w:after="0" w:line="26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12 to the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88.6% and 88.2% of our net sales for the three months ended September 30, 2018 and October 1, 2017, respectively. North America results for the three and nine months ended September 30, 2018 and October 1, 2017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148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9"/>
              </w:rPr>
              <w:t>September 30, 2018</w:t>
            </w:r>
          </w:p>
        </w:tc>
        <w:tc>
          <w:tcPr>
            <w:tcW w:w="22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2017</w:t>
            </w: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 Change</w:t>
            </w:r>
          </w:p>
        </w:tc>
        <w:tc>
          <w:tcPr>
            <w:tcW w:w="14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9"/>
              </w:rPr>
              <w:t>September 30, 2018</w:t>
            </w:r>
          </w:p>
        </w:tc>
        <w:tc>
          <w:tcPr>
            <w:tcW w:w="24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2017</w:t>
            </w: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23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4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5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1,843.5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1,792.4</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5,155.2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4,946.5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400" w:type="dxa"/>
            <w:vAlign w:val="bottom"/>
          </w:tcPr>
          <w:p>
            <w:pPr>
              <w:spacing w:after="0"/>
              <w:rPr>
                <w:sz w:val="21"/>
                <w:szCs w:val="21"/>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556.1</w:t>
            </w: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1,534.3</w:t>
            </w:r>
          </w:p>
        </w:tc>
        <w:tc>
          <w:tcPr>
            <w:tcW w:w="24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1,567.1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30.2%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29.8%</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2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2018 vs. Third Quarter 2017</w:t>
      </w:r>
    </w:p>
    <w:p>
      <w:pPr>
        <w:spacing w:after="0" w:line="9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 xml:space="preserve">Net sales of our North America segment increased $51.1 million or 2.9% in 2018 compared to 2017, which includes a 3.7% benefit from the Amplify acquisition. Excluding Amplify and the unfavorable impact of foreign currency exchange rates of 0.2%, our North America segment net sales decreased 0.6%. Net price realization decreased by 1.5% due to incremental trade promotional expense in support of 2018 programming, partially offset by volume increases of 0.9% due to innovation, specifically driven by </w:t>
      </w:r>
      <w:r>
        <w:rPr>
          <w:rFonts w:ascii="Arial" w:cs="Arial" w:eastAsia="Arial" w:hAnsi="Arial"/>
          <w:sz w:val="17"/>
          <w:szCs w:val="17"/>
          <w:i w:val="1"/>
          <w:iCs w:val="1"/>
          <w:color w:val="auto"/>
        </w:rPr>
        <w:t>Reese's Outrageous</w:t>
      </w:r>
      <w:r>
        <w:rPr>
          <w:rFonts w:ascii="Arial" w:cs="Arial" w:eastAsia="Arial" w:hAnsi="Arial"/>
          <w:sz w:val="17"/>
          <w:szCs w:val="17"/>
          <w:color w:val="auto"/>
        </w:rPr>
        <w:t xml:space="preserve"> bars and </w:t>
      </w:r>
      <w:r>
        <w:rPr>
          <w:rFonts w:ascii="Arial" w:cs="Arial" w:eastAsia="Arial" w:hAnsi="Arial"/>
          <w:sz w:val="17"/>
          <w:szCs w:val="17"/>
          <w:i w:val="1"/>
          <w:iCs w:val="1"/>
          <w:color w:val="auto"/>
        </w:rPr>
        <w:t>Hershey's Gold</w:t>
      </w:r>
      <w:r>
        <w:rPr>
          <w:rFonts w:ascii="Arial" w:cs="Arial" w:eastAsia="Arial" w:hAnsi="Arial"/>
          <w:sz w:val="17"/>
          <w:szCs w:val="17"/>
          <w:color w:val="auto"/>
        </w:rPr>
        <w:t>.</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North America segment income increased $1.9 million or 0.3% in 2018 compared to 2017, driven by higher volume primarily from Amplify, partially offset by higher trade promotional expense, higher logistics costs, unfavorable sales mix and additional plant costs, as well as incremental SM&amp;A expense from the Amplify acquisition. Furthermore, advertising and related consumer marketing expense declined by 18.5% versus the third quarter of 2017, with the reduction driven by spend optimization and shifts relating to our emerging brands.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2018 vs. First Nine Months 2017</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Net sales of our North America segment increased $208.7 million or 4.2% in 2018 compared to 2017, which includes a 4.6% benefit from the Amplify acquisition. Excluding Amplify and the favorable impact of foreign currency exchange rates of 0.1%, our North America segment net sales decreased 0.5%. Net price realization decreased by 1.4% due to incremental trade promotional expense in support of 2018 programming, partially offset by volume increases of 0.9% due to innovation, specifically driven by </w:t>
      </w:r>
      <w:r>
        <w:rPr>
          <w:rFonts w:ascii="Arial" w:cs="Arial" w:eastAsia="Arial" w:hAnsi="Arial"/>
          <w:sz w:val="17"/>
          <w:szCs w:val="17"/>
          <w:i w:val="1"/>
          <w:iCs w:val="1"/>
          <w:color w:val="auto"/>
        </w:rPr>
        <w:t>Reese's Outrageous</w:t>
      </w:r>
      <w:r>
        <w:rPr>
          <w:rFonts w:ascii="Arial" w:cs="Arial" w:eastAsia="Arial" w:hAnsi="Arial"/>
          <w:sz w:val="17"/>
          <w:szCs w:val="17"/>
          <w:color w:val="auto"/>
        </w:rPr>
        <w:t xml:space="preserve"> bars and </w:t>
      </w:r>
      <w:r>
        <w:rPr>
          <w:rFonts w:ascii="Arial" w:cs="Arial" w:eastAsia="Arial" w:hAnsi="Arial"/>
          <w:sz w:val="17"/>
          <w:szCs w:val="17"/>
          <w:i w:val="1"/>
          <w:iCs w:val="1"/>
          <w:color w:val="auto"/>
        </w:rPr>
        <w:t>Hershey's Gold</w:t>
      </w:r>
      <w:r>
        <w:rPr>
          <w:rFonts w:ascii="Arial" w:cs="Arial" w:eastAsia="Arial" w:hAnsi="Arial"/>
          <w:sz w:val="17"/>
          <w:szCs w:val="17"/>
          <w:color w:val="auto"/>
        </w:rPr>
        <w:t>.</w:t>
      </w:r>
    </w:p>
    <w:p>
      <w:pPr>
        <w:spacing w:after="0" w:line="9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North America segment income decreased $32.8 million or 2.1% in 2018 compared to 2017, primarily due to the higher trade promotional expense, higher logistics costs, unfavorable sales mix and additional plant costs, as well as incremental SM&amp;A expense from the Amplify acquisition. These higher expenses more than offset reductions in advertising and related consumer marketing expense, which declined by 10.5% versus the 2017 period, with the reduction driven by spend optimization and shifts relating to our emerging brands, as advertising and related consumer marketing on our core U.S. brands increased during the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Mexico, Brazil, India, Greater China and other regional markets,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accounted for 11.4% and 11.8% of our net sales for the three months ended September 30, 2018 and October 1, 2017, respectively. International and Other results for the three and nine months ended September 30, 2018 and October 1, 2017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2360" w:type="dxa"/>
            <w:vAlign w:val="bottom"/>
          </w:tcPr>
          <w:p>
            <w:pPr>
              <w:spacing w:after="0"/>
              <w:rPr>
                <w:sz w:val="22"/>
                <w:szCs w:val="22"/>
                <w:color w:val="auto"/>
              </w:rPr>
            </w:pPr>
          </w:p>
        </w:tc>
        <w:tc>
          <w:tcPr>
            <w:tcW w:w="14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7"/>
              </w:rPr>
              <w:t>September 30, 2018</w:t>
            </w:r>
          </w:p>
        </w:tc>
        <w:tc>
          <w:tcPr>
            <w:tcW w:w="22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 2017</w:t>
            </w: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 Change</w:t>
            </w:r>
          </w:p>
        </w:tc>
        <w:tc>
          <w:tcPr>
            <w:tcW w:w="14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7"/>
              </w:rPr>
              <w:t>September 30, 2018</w:t>
            </w:r>
          </w:p>
        </w:tc>
        <w:tc>
          <w:tcPr>
            <w:tcW w:w="22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 2017</w:t>
            </w:r>
          </w:p>
        </w:tc>
        <w:tc>
          <w:tcPr>
            <w:tcW w:w="138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23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4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648.0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460" w:type="dxa"/>
            <w:vAlign w:val="bottom"/>
          </w:tcPr>
          <w:p>
            <w:pPr>
              <w:spacing w:after="0"/>
              <w:rPr>
                <w:sz w:val="21"/>
                <w:szCs w:val="21"/>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89.5 %</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7"/>
        </w:trPr>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
        </w:trPr>
        <w:tc>
          <w:tcPr>
            <w:tcW w:w="2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2018 vs. Third Quarter 2017</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of our International and Other segment decreased $4.6 million or 1.9% in 2018 compared to 2017, reflecting a 6.4% reduction in net sales from the divestiture of Shanghai Golden Monkey ("SGM") and an unfavorable impact from foreign currency exchange rates of 4.0%. Excluding the sale of SGM and unfavorable foreign currency exchange rates, our International and Other segment net sales increased 8.5%, which is primarily due to volume increases of 7.8% and favorable price realization of 0.7%.</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volume increase is primarily attributed to solid marketplace growth in Mexico, Brazil and India, where constant currency net sales increased by 6.8%, 8.4% and 23.5%, respectively. The favorable net price realization was driven by decreased levels of trade promotional spending compared to the prior year.</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International and Other segment generated income of $31.1 million in 2018 compared to $16.4 million in 2017, with the improvement primarily resulting from our efforts to drive sustainable gross margin improvements as we optimize the product portfolio, transform the supply network in China and deliver SM&amp;A efficiencies. Additionally, segment income benefited from higher net sales in regional markets, as well as continued growth in Mexico, Brazil and India.</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2018 vs. First Nine Months 2017</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sales of our International and Other segment increased $18.7 million or 3.0% in 2018 compared to 2017, reflecting volume increases of 5.9% and favorable price realization of 0.8%, partially offset by a 2.4% reduction in net sales from the divestiture of SGM and an unfavorable impact from foreign currency exchange rates of 1.3%. Excluding the sale of SGM and unfavorable foreign currency exchange rates, our International and Other segment net sales increased 6.7%.</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volume increase is primarily attributed to solid marketplace growth in Mexico, Brazil and India, where constant currency net sales increased by 7.1%, 13.3% and 26.0%, respectively. The favorable net price realization was driven by decreased levels of trade promotional spending compared to the prior year.</w:t>
      </w:r>
    </w:p>
    <w:p>
      <w:pPr>
        <w:spacing w:after="0" w:line="4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International and Other segment generated income of $65.4 million in 2018 compared to $26.5 million in 2017, with the improvement primarily resulting from our efforts to drive sustainable gross margin improvements as we execute our Margin for Growth program in China and optimize the product portfolio across various international markets. Additionally, segment income benefited from continued growth across Mexico, Brazil, India and regional markets.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third quarter of 2018, unallocated corporate expense totaled $116.5 million, as compared to $122.9 million in the same period of 2017, primarily driven by savings from our productivity and cost savings initiatives, partially offset by spending on the multi-year implementation of our enterprise resource planning system. In the first nine months of 2018, unallocated corporate expense totaled $361.4 million, as compared to $363.1 million in the same period of 2017, primarily driven by savings from our productivity and cost savings initiatives, partially offset by spending on the multi-year implementation of our enterprise resource planning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September 30, 2018, our cash and cash equivalents totaled $823.8 million. At December 31, 2017, our cash and cash equivalents totaled $380.2 million. Our cash and cash equivalents during the first nine months of 2018 increased $443.6 million compared to the 2017 year-end balance as a result of the net cash provided by certain activities outlined in the following discussion.</w:t>
      </w:r>
    </w:p>
    <w:p>
      <w:pPr>
        <w:spacing w:after="0" w:line="12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Approximately 70% of the balance of our cash and cash equivalents at September 30, 2018 was held by subsidiaries domiciled outside of the United States. The Company recognized the one-time U.S. repatriation tax due under U.S. tax reform during the fourth quarter of 2017 and, as a result, repatriation of these amounts would not be subject to additional U.S. federal income tax but would be subject to applicable withholding taxes in the relevant jurisdiction. Except for the proceeds from the sale of the Tyrrell's business, which we repatriated from Luxembourg in October 2018 with minimal tax impact, our intent is to reinvest funds earned outside of the U.S. to finance foreign operations and investments, and our current plans do not demonstrate a need to repatriate them to fund our U.S. operations. We believe we have sufficient liquidity to satisfy our cash needs, including our cash needs in the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23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23495</wp:posOffset>
            </wp:positionV>
            <wp:extent cx="2907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1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 millions of dollars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cash and cash equivalents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19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440" w:type="dxa"/>
            <w:vAlign w:val="bottom"/>
          </w:tcPr>
          <w:p>
            <w:pPr>
              <w:spacing w:after="0"/>
              <w:rPr>
                <w:sz w:val="16"/>
                <w:szCs w:val="16"/>
                <w:color w:val="auto"/>
              </w:rPr>
            </w:pPr>
          </w:p>
        </w:tc>
        <w:tc>
          <w:tcPr>
            <w:tcW w:w="1780" w:type="dxa"/>
            <w:vAlign w:val="bottom"/>
          </w:tcPr>
          <w:p>
            <w:pPr>
              <w:jc w:val="right"/>
              <w:ind w:right="493"/>
              <w:spacing w:after="0"/>
              <w:rPr>
                <w:sz w:val="20"/>
                <w:szCs w:val="20"/>
                <w:color w:val="auto"/>
              </w:rPr>
            </w:pPr>
            <w:r>
              <w:rPr>
                <w:rFonts w:ascii="Arial" w:cs="Arial" w:eastAsia="Arial" w:hAnsi="Arial"/>
                <w:sz w:val="14"/>
                <w:szCs w:val="14"/>
                <w:b w:val="1"/>
                <w:bCs w:val="1"/>
                <w:color w:val="auto"/>
              </w:rPr>
              <w:t>October 1, 2017</w:t>
            </w:r>
          </w:p>
        </w:tc>
      </w:tr>
      <w:tr>
        <w:trPr>
          <w:trHeight w:val="513"/>
        </w:trPr>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892.8</w:t>
            </w:r>
          </w:p>
        </w:tc>
        <w:tc>
          <w:tcPr>
            <w:tcW w:w="120" w:type="dxa"/>
            <w:vAlign w:val="bottom"/>
          </w:tcPr>
          <w:p>
            <w:pPr>
              <w:spacing w:after="0"/>
              <w:rPr>
                <w:sz w:val="24"/>
                <w:szCs w:val="24"/>
                <w:color w:val="auto"/>
              </w:rPr>
            </w:pP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625.9</w:t>
            </w:r>
          </w:p>
        </w:tc>
      </w:tr>
      <w:tr>
        <w:trPr>
          <w:trHeight w:val="284"/>
        </w:trPr>
        <w:tc>
          <w:tcPr>
            <w:tcW w:w="4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(187.1)</w:t>
            </w:r>
          </w:p>
        </w:tc>
      </w:tr>
      <w:tr>
        <w:trPr>
          <w:trHeight w:val="270"/>
        </w:trPr>
        <w:tc>
          <w:tcPr>
            <w:tcW w:w="400" w:type="dxa"/>
            <w:vAlign w:val="bottom"/>
          </w:tcPr>
          <w:p>
            <w:pPr>
              <w:spacing w:after="0"/>
              <w:rPr>
                <w:sz w:val="23"/>
                <w:szCs w:val="23"/>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529.0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(465.7)</w:t>
            </w:r>
          </w:p>
        </w:tc>
      </w:tr>
      <w:tr>
        <w:trPr>
          <w:trHeight w:val="284"/>
        </w:trPr>
        <w:tc>
          <w:tcPr>
            <w:tcW w:w="4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41"/>
        </w:trPr>
        <w:tc>
          <w:tcPr>
            <w:tcW w:w="4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-736600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-385445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-1097280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0" w:space="720"/>
            <w:col w:w="4580"/>
          </w:cols>
          <w:pgMar w:left="240" w:top="823" w:right="239"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823"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generated cash of $892.8 million for operating activities in the first nine months of 2018, an increase of $266.9 million compared to $625.9 million in the same period of 2017. This increase in net cash from operating activities was mainly driven by the following factors:</w:t>
      </w:r>
    </w:p>
    <w:p>
      <w:pPr>
        <w:spacing w:after="0" w:line="116" w:lineRule="exact"/>
        <w:rPr>
          <w:sz w:val="20"/>
          <w:szCs w:val="20"/>
          <w:color w:val="auto"/>
        </w:rPr>
      </w:pPr>
    </w:p>
    <w:p>
      <w:pPr>
        <w:ind w:left="340" w:right="20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write-down of equity investments and other charges) contributed $93 million of additional cash flow in 2018 relative to 2017.</w:t>
      </w:r>
    </w:p>
    <w:p>
      <w:pPr>
        <w:spacing w:after="0" w:line="69" w:lineRule="exact"/>
        <w:rPr>
          <w:rFonts w:ascii="Arial" w:cs="Arial" w:eastAsia="Arial" w:hAnsi="Arial"/>
          <w:sz w:val="16"/>
          <w:szCs w:val="16"/>
          <w:color w:val="auto"/>
        </w:rPr>
      </w:pPr>
    </w:p>
    <w:p>
      <w:pPr>
        <w:ind w:left="340" w:right="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Income taxes generated $107 million more in cash flow in 2018 relative to 2017, mainly due to the variance in actual tax expense for 2018 relative to the timing of quarterly estimated tax payments, which resulted in a lower prepaid tax position in 2018 compared to the 2017 period.</w:t>
      </w:r>
    </w:p>
    <w:p>
      <w:pPr>
        <w:spacing w:after="0" w:line="92"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(comprised of trade accounts receivable, inventory, accounts payable and accrued liabilities) consumed cash of $326 million in 2018 and $369 million in 2017. This $43 million fluctuation was mainly due to lower investments in inventory resulting from lower year-over-year build up on inventories to maintain sufficient levels to accommodate customer requirements.</w:t>
      </w:r>
    </w:p>
    <w:p>
      <w:pPr>
        <w:spacing w:after="0" w:line="127"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contributions to our pension and post retirement plans totaled $26.7 million in the first nine months of 2018 compared to $57.9 million in the same period of 2017. In 2017, we made incremental contributions to fund annuity contracts in connection with the termination of the pension plan benefiting our employees in Puerto Rico. We contribute cash to our plans at our discretion, subject to applicable regulations and minimum contribution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used cash of $972.2 million for investing activities in the first nine months of 2018, an increase of $785.1 million compared to $187.1 million in the same period of 2017. This increase in net cash used in investing activities was mainly driven by the following factors:</w:t>
      </w:r>
    </w:p>
    <w:p>
      <w:pPr>
        <w:spacing w:after="0" w:line="116" w:lineRule="exact"/>
        <w:rPr>
          <w:sz w:val="20"/>
          <w:szCs w:val="20"/>
          <w:color w:val="auto"/>
        </w:rPr>
      </w:pPr>
    </w:p>
    <w:p>
      <w:pPr>
        <w:ind w:left="340" w:right="300" w:hanging="332"/>
        <w:spacing w:after="0" w:line="279"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capacity expansion, innovation and cost savings, totaled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$241.2 million in the first nine months of 2018 compared to $148.9 million in the same period of 2017. For full year 2018, we expect capital expenditures, including capitalized software, to approximate $355 million to $375 million, which includes incremental investments we are making in </w:t>
      </w:r>
      <w:r>
        <w:rPr>
          <w:rFonts w:ascii="Arial" w:cs="Arial" w:eastAsia="Arial" w:hAnsi="Arial"/>
          <w:sz w:val="17"/>
          <w:szCs w:val="17"/>
          <w:i w:val="1"/>
          <w:iCs w:val="1"/>
          <w:color w:val="auto"/>
        </w:rPr>
        <w:t xml:space="preserve">Reese's </w:t>
      </w:r>
      <w:r>
        <w:rPr>
          <w:rFonts w:ascii="Arial" w:cs="Arial" w:eastAsia="Arial" w:hAnsi="Arial"/>
          <w:sz w:val="17"/>
          <w:szCs w:val="17"/>
          <w:color w:val="auto"/>
        </w:rPr>
        <w:t>and</w:t>
      </w:r>
      <w:r>
        <w:rPr>
          <w:rFonts w:ascii="Arial" w:cs="Arial" w:eastAsia="Arial" w:hAnsi="Arial"/>
          <w:sz w:val="17"/>
          <w:szCs w:val="17"/>
          <w:i w:val="1"/>
          <w:iCs w:val="1"/>
          <w:color w:val="auto"/>
        </w:rPr>
        <w:t xml:space="preserve"> Kit Kat </w:t>
      </w:r>
      <w:r>
        <w:rPr>
          <w:rFonts w:ascii="Arial" w:cs="Arial" w:eastAsia="Arial" w:hAnsi="Arial"/>
          <w:sz w:val="17"/>
          <w:szCs w:val="17"/>
          <w:color w:val="auto"/>
        </w:rPr>
        <w:t>capacity, upgrades related to packaging and increased spending related to our multi-year ERP project.</w:t>
      </w:r>
    </w:p>
    <w:p>
      <w:pPr>
        <w:spacing w:after="0" w:line="117" w:lineRule="exact"/>
        <w:rPr>
          <w:rFonts w:ascii="Arial" w:cs="Arial" w:eastAsia="Arial" w:hAnsi="Arial"/>
          <w:sz w:val="17"/>
          <w:szCs w:val="17"/>
          <w:i w:val="1"/>
          <w:iCs w:val="1"/>
          <w:color w:val="auto"/>
        </w:rPr>
      </w:pPr>
    </w:p>
    <w:p>
      <w:pPr>
        <w:ind w:left="340" w:right="140" w:hanging="332"/>
        <w:spacing w:after="0" w:line="276"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Proceeds from sales of property, plant and equipment and other long-lived assets</w:t>
      </w:r>
      <w:r>
        <w:rPr>
          <w:rFonts w:ascii="Arial" w:cs="Arial" w:eastAsia="Arial" w:hAnsi="Arial"/>
          <w:sz w:val="17"/>
          <w:szCs w:val="17"/>
          <w:color w:val="auto"/>
        </w:rPr>
        <w:t>. During the first nine months of 2018, we generated $46.7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the sale of property, plant and equipment and other long-lived assets. We sold select China facilities that were taken out of operation in connection with the 2016 Operational Optimization Program. Proceeds from the sale of these facilities totaled $27.5 million, resulting in a gain of $6.6 million. Additionally, we sold licensing rights for a non-core trademark relating to a brand marketed outside of the U.S. for $13.0 million, resulting in a gain of $2.7 million. Further details are provided in Note 7 to the Unaudited Consolidated Financial Statements.</w:t>
      </w:r>
    </w:p>
    <w:p>
      <w:pPr>
        <w:spacing w:after="0" w:line="118" w:lineRule="exact"/>
        <w:rPr>
          <w:rFonts w:ascii="Arial" w:cs="Arial" w:eastAsia="Arial" w:hAnsi="Arial"/>
          <w:sz w:val="17"/>
          <w:szCs w:val="17"/>
          <w:color w:val="auto"/>
        </w:rPr>
      </w:pPr>
    </w:p>
    <w:p>
      <w:pPr>
        <w:ind w:left="340" w:right="140" w:hanging="332"/>
        <w:spacing w:after="0" w:line="286"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Proceeds from the sales of businesses</w:t>
      </w:r>
      <w:r>
        <w:rPr>
          <w:rFonts w:ascii="Arial" w:cs="Arial" w:eastAsia="Arial" w:hAnsi="Arial"/>
          <w:sz w:val="17"/>
          <w:szCs w:val="17"/>
          <w:color w:val="auto"/>
        </w:rPr>
        <w:t>. In July 2018, we sold the Tyrrells and Shanghai Golden Monkey ("SGM") businesses. Collectively, the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sales of these businesses, net of cash divested, were approximately $171.9 million. We had no divestiture activity in the comparable 2017 period. Further details are provided in Note 7 to the Unaudited Consolidated Financial Statements.</w:t>
      </w:r>
    </w:p>
    <w:p>
      <w:pPr>
        <w:spacing w:after="0" w:line="111" w:lineRule="exact"/>
        <w:rPr>
          <w:rFonts w:ascii="Arial" w:cs="Arial" w:eastAsia="Arial" w:hAnsi="Arial"/>
          <w:sz w:val="17"/>
          <w:szCs w:val="17"/>
          <w:i w:val="1"/>
          <w:iCs w:val="1"/>
          <w:color w:val="auto"/>
        </w:rPr>
      </w:pPr>
    </w:p>
    <w:p>
      <w:pPr>
        <w:ind w:left="340" w:right="320" w:hanging="332"/>
        <w:spacing w:after="0" w:line="342" w:lineRule="auto"/>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Business Acquisition</w:t>
      </w:r>
      <w:r>
        <w:rPr>
          <w:rFonts w:ascii="Arial" w:cs="Arial" w:eastAsia="Arial" w:hAnsi="Arial"/>
          <w:sz w:val="16"/>
          <w:szCs w:val="16"/>
          <w:color w:val="auto"/>
        </w:rPr>
        <w:t>. In January 2018, we acquired Amplify for $915 million, net of cash acquired. We had no acquisition activity in the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2017 period. Further details regarding business acquisition activity are provided in Note 2 to the Unaudited Consolidated Financial Statements.</w:t>
      </w:r>
    </w:p>
    <w:p>
      <w:pPr>
        <w:spacing w:after="0" w:line="69" w:lineRule="exact"/>
        <w:rPr>
          <w:rFonts w:ascii="Arial" w:cs="Arial" w:eastAsia="Arial" w:hAnsi="Arial"/>
          <w:sz w:val="16"/>
          <w:szCs w:val="16"/>
          <w:i w:val="1"/>
          <w:iCs w:val="1"/>
          <w:color w:val="auto"/>
        </w:rPr>
      </w:pPr>
    </w:p>
    <w:p>
      <w:pPr>
        <w:ind w:left="340" w:right="18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$34.2 million in the first nine months of 2018, compared to $40.0 million in the same period of 2017.</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746"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generated cash of $529.0 million from financing activities in the first nine months of 2018, an increase of $994.7 million compared to cash used of $465.7 million in the same period of 2017. This increase in net cash from financing activities was mainly driven by the following factors:</w:t>
      </w:r>
    </w:p>
    <w:p>
      <w:pPr>
        <w:spacing w:after="0" w:line="116" w:lineRule="exact"/>
        <w:rPr>
          <w:sz w:val="20"/>
          <w:szCs w:val="20"/>
          <w:color w:val="auto"/>
        </w:rPr>
      </w:pPr>
    </w:p>
    <w:p>
      <w:pPr>
        <w:ind w:left="340" w:hanging="332"/>
        <w:spacing w:after="0" w:line="255"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During the first nine months of 2018, we generated cash flow of $911 million through the issuance of short-term commercial paper, partially offset by a reduction in short-term foreign bank borrowings. We utilized the proceeds from the issuance of commercial paper to fund the Amplify acquisition and repay Amplify's outstanding debt owed under its existing credit agreement. A portion of the commercial paper borrowings used to fund the Amplify acquisition were subsequently refinanced with the proceeds of new notes issued during the second quarter of 2018, as discussed below. During the first nine months of 2017, we generated cash flow of $173 million primarily from proceeds on short-term commercial paper issuances.</w:t>
      </w:r>
    </w:p>
    <w:p>
      <w:pPr>
        <w:spacing w:after="0" w:line="135" w:lineRule="exact"/>
        <w:rPr>
          <w:rFonts w:ascii="Arial" w:cs="Arial" w:eastAsia="Arial" w:hAnsi="Arial"/>
          <w:sz w:val="18"/>
          <w:szCs w:val="18"/>
          <w:i w:val="1"/>
          <w:iCs w:val="1"/>
          <w:color w:val="auto"/>
        </w:rPr>
      </w:pPr>
    </w:p>
    <w:p>
      <w:pPr>
        <w:ind w:left="340" w:right="140" w:hanging="332"/>
        <w:spacing w:after="0" w:line="276" w:lineRule="auto"/>
        <w:tabs>
          <w:tab w:leader="none" w:pos="3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Long-term debt borrowings and repayments</w:t>
      </w:r>
      <w:r>
        <w:rPr>
          <w:rFonts w:ascii="Arial" w:cs="Arial" w:eastAsia="Arial" w:hAnsi="Arial"/>
          <w:sz w:val="17"/>
          <w:szCs w:val="17"/>
          <w:color w:val="auto"/>
        </w:rPr>
        <w:t>. In May 2018, we issued $350 million of 2.90% Notes due in 2020, $350 million of 3.10% Notes due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$500 million of 3.375% Notes due in 2023. Proceeds from the issuance of the Notes, net of discounts and issuance costs, totaled $1,193.8 million. In August 2018, we repaid $300 million of 1.60% Notes due in 2018 upon their maturity. Additionally, in 2018, we repaid $607 million of debt assumed in connection with the Amplify acquisition, including all of the outstanding debt owed by Amplify under its existing credit agreement. We had minimal long-term repayment activity during the first nine months of 2017.</w:t>
      </w:r>
    </w:p>
    <w:p>
      <w:pPr>
        <w:spacing w:after="0" w:line="118" w:lineRule="exact"/>
        <w:rPr>
          <w:rFonts w:ascii="Arial" w:cs="Arial" w:eastAsia="Arial" w:hAnsi="Arial"/>
          <w:sz w:val="17"/>
          <w:szCs w:val="17"/>
          <w:i w:val="1"/>
          <w:iCs w:val="1"/>
          <w:color w:val="auto"/>
        </w:rPr>
      </w:pPr>
    </w:p>
    <w:p>
      <w:pPr>
        <w:ind w:left="340" w:right="340" w:hanging="332"/>
        <w:spacing w:after="0" w:line="277"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Tax receivable obligation. </w:t>
      </w:r>
      <w:r>
        <w:rPr>
          <w:rFonts w:ascii="Arial" w:cs="Arial" w:eastAsia="Arial" w:hAnsi="Arial"/>
          <w:sz w:val="18"/>
          <w:szCs w:val="18"/>
          <w:color w:val="auto"/>
        </w:rPr>
        <w:t>In connection with the Amplify acquisition, the Company agreed to make payments to the counterparty of a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During the first nine months of 2018, we paid $72.0 million to settle the tax receivable obligation.</w:t>
      </w:r>
    </w:p>
    <w:p>
      <w:pPr>
        <w:spacing w:after="0" w:line="116" w:lineRule="exact"/>
        <w:rPr>
          <w:rFonts w:ascii="Arial" w:cs="Arial" w:eastAsia="Arial" w:hAnsi="Arial"/>
          <w:sz w:val="18"/>
          <w:szCs w:val="18"/>
          <w:i w:val="1"/>
          <w:iCs w:val="1"/>
          <w:color w:val="auto"/>
        </w:rPr>
      </w:pPr>
    </w:p>
    <w:p>
      <w:pPr>
        <w:ind w:left="340" w:right="240" w:hanging="332"/>
        <w:spacing w:after="0" w:line="257"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$199.7 million during the first nine months of 2018 pursuant to our practice of</w:t>
      </w:r>
      <w:r>
        <w:rPr>
          <w:rFonts w:ascii="Arial" w:cs="Arial" w:eastAsia="Arial" w:hAnsi="Arial"/>
          <w:sz w:val="18"/>
          <w:szCs w:val="18"/>
          <w:i w:val="1"/>
          <w:iCs w:val="1"/>
          <w:color w:val="auto"/>
        </w:rPr>
        <w:t xml:space="preserve"> </w:t>
      </w:r>
      <w:r>
        <w:rPr>
          <w:rFonts w:ascii="Arial" w:cs="Arial" w:eastAsia="Arial" w:hAnsi="Arial"/>
          <w:sz w:val="18"/>
          <w:szCs w:val="18"/>
          <w:color w:val="auto"/>
        </w:rPr>
        <w:t>replenishing shares issued for stock options and incentive compensation, as well as for repurchases of shares in the open market under pre-approved share repurchase programs. We used cash for total share repurchases of $300.3 million during the first nine months of 2017 pursuant to our practice of replenishing shares issued for stock options and incentive compensation. Additionally, our 2017 share repurchases included a privately negotiated repurchase transaction with the Milton Hershey School Trust.</w:t>
      </w:r>
    </w:p>
    <w:p>
      <w:pPr>
        <w:spacing w:after="0" w:line="134" w:lineRule="exact"/>
        <w:rPr>
          <w:rFonts w:ascii="Arial" w:cs="Arial" w:eastAsia="Arial" w:hAnsi="Arial"/>
          <w:sz w:val="18"/>
          <w:szCs w:val="18"/>
          <w:i w:val="1"/>
          <w:iCs w:val="1"/>
          <w:color w:val="auto"/>
        </w:rPr>
      </w:pPr>
    </w:p>
    <w:p>
      <w:pPr>
        <w:ind w:left="340" w:right="360" w:hanging="332"/>
        <w:spacing w:after="0" w:line="277"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$415.2 million during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 an increase of $23.4 million compared to $391.8 million in the same period of 2017.</w:t>
      </w:r>
    </w:p>
    <w:p>
      <w:pPr>
        <w:spacing w:after="0" w:line="116" w:lineRule="exact"/>
        <w:rPr>
          <w:rFonts w:ascii="Arial" w:cs="Arial" w:eastAsia="Arial" w:hAnsi="Arial"/>
          <w:sz w:val="18"/>
          <w:szCs w:val="18"/>
          <w:i w:val="1"/>
          <w:iCs w:val="1"/>
          <w:color w:val="auto"/>
        </w:rPr>
      </w:pPr>
    </w:p>
    <w:p>
      <w:pPr>
        <w:ind w:left="340" w:right="200" w:hanging="332"/>
        <w:spacing w:after="0" w:line="342"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Proceeds from the exercise of stock options. </w:t>
      </w:r>
      <w:r>
        <w:rPr>
          <w:rFonts w:ascii="Arial" w:cs="Arial" w:eastAsia="Arial" w:hAnsi="Arial"/>
          <w:sz w:val="16"/>
          <w:szCs w:val="16"/>
          <w:color w:val="auto"/>
        </w:rPr>
        <w:t>We received $33.4 million from employee exercises of stock options, net of employee taxes withheld from</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awards, during the first nine months of 2018, a decrease of $20.1 million compared to $53.5 million in the same period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recently adopted and recently issued accounting standards is included in Note 1 to the Unaudited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4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4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42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 and</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other matters as discussed in our 2017 Annual Report on Form 10-K.</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823"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total notional amount of interest rate swaps outstanding was $350 million at September 30, 2018 and December 31, 2017. The notional amount relates to fixed-to-floating interest rate swaps which convert a comparable amount of fixed-rate debt to variable rate debt at September 30, 2018 and December 31, 2017. A hypothetical 100 basis point increase in interest rates applied to this now variable rate debt as of September 30, 2018 would have increased interest expense by approximately $2.7 million for the first nine months of 2018 and $3.5 million for the full year 2017.</w:t>
      </w:r>
    </w:p>
    <w:p>
      <w:pPr>
        <w:spacing w:after="0" w:line="117"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September 30, 2018 and December 31, 2017 by approximately $151 million and $134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potential decline in fair value of foreign currency forward exchange contracts resulting from a hypothetical near-term adverse change in market rates of 10% was $15.8 million as of September 30, 2018 and $19.7 million as of December 31, 2017. Our open commodity contracts had a notional value of $823.8 million as of September 30, 2018 and $405.3 million as of December 31, 2017. At the end of the third quarter of 2018, the potential change in fair value of commodity derivative instruments, assuming a 10% decrease in the underlying commodity price, would have increased net unrealized losses by $77.4 million, generally offset by a reduction in the cost of the underlying commodity purchases.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2017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2018. Based on this evaluation, our Chief Executive Officer and Chief Financial Officer concluded that our disclosure controls and procedures were effective as of September 30, 2018.</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The initial changes to our consolidated financial reporting took place in the second quarter of 2018. The transition to the new financial reporting platform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823"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15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When evaluating an investment in our Common Stock, investors should consider carefully, among other things, the risk factors previously disclosed in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 I, Item 1A, “Risk Factors,” of our 2017 Annual Report on Form 10-K and the information contained in this Quarterly Report on Form 10-Q and our other reports and registration statements filed with the SEC. There have been no material changes in our risk factors since the filing of our 2017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during the three months ended September 30, 2018.</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January 2016, our Board of Directors approved a $500 million share repurchase authorization. This program was completed in the first quarter of 2018. In October 2017, our Board of Directors approved an additional $100 million share repurchase authorization. As of September 30, 2018, approximately $60 million remained available for repurchases of our Common Stock under this program. The share repurchase program does not have an expiration date. In July 2018, our Board of Directors approved an additional $500 million share repurchase authorization (excluded from the table above). This program is to commence after the existing 2017 authorization is completed and is to be utilized at management's discretion.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780"/>
        <w:spacing w:after="0" w:line="291" w:lineRule="auto"/>
        <w:rPr>
          <w:sz w:val="20"/>
          <w:szCs w:val="20"/>
          <w:color w:val="auto"/>
        </w:rPr>
      </w:pPr>
      <w:r>
        <w:rPr>
          <w:rFonts w:ascii="Arial" w:cs="Arial" w:eastAsia="Arial" w:hAnsi="Arial"/>
          <w:sz w:val="16"/>
          <w:szCs w:val="16"/>
          <w:color w:val="auto"/>
        </w:rPr>
        <w:t>Effective October 24, 2018, the Company terminated its 364 Day Credit Agreement (the “Credit Agreement”) with Citibank, N.A., as lender and administrative agent, and Bank of America, N.A. and Royal Bank of Canada as lenders, pursuant to which the Company had the right borrow up to</w:t>
      </w:r>
    </w:p>
    <w:p>
      <w:pPr>
        <w:ind w:right="40"/>
        <w:spacing w:after="0" w:line="255" w:lineRule="auto"/>
        <w:rPr>
          <w:sz w:val="20"/>
          <w:szCs w:val="20"/>
          <w:color w:val="auto"/>
        </w:rPr>
      </w:pPr>
      <w:r>
        <w:rPr>
          <w:rFonts w:ascii="Arial" w:cs="Arial" w:eastAsia="Arial" w:hAnsi="Arial"/>
          <w:sz w:val="18"/>
          <w:szCs w:val="18"/>
          <w:color w:val="auto"/>
        </w:rPr>
        <w:t>$1,500 million on an unsecured, revolving basis. The Credit Agreement had been put in place on January 8, 2018 to provide additional borrowings to be used for general corporate purposes, including commercial paper backstop and acquisitions. The Company made no borrowings under this facility while it was outstanding. No early termination penalties were incurred as a result of the termination.</w:t>
      </w:r>
    </w:p>
    <w:p>
      <w:pPr>
        <w:spacing w:after="0" w:line="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ordinary course of their respective businesses, Citibank, N.A., Bank of America, N.A. and Royal Bank of Canada, and each of their respective affiliates, have engaged, and may in the future engage, in commercial banking and/or investment banking transactions with the Company and its affiliates for which they have in the past received, and may in the future receive, customary fees.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0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00" w:type="dxa"/>
            <w:vAlign w:val="bottom"/>
          </w:tcPr>
          <w:p>
            <w:pPr>
              <w:spacing w:after="0"/>
              <w:rPr>
                <w:sz w:val="18"/>
                <w:szCs w:val="18"/>
                <w:color w:val="auto"/>
              </w:rPr>
            </w:pPr>
          </w:p>
        </w:tc>
        <w:tc>
          <w:tcPr>
            <w:tcW w:w="10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40" w:type="dxa"/>
            <w:vAlign w:val="bottom"/>
            <w:gridSpan w:val="7"/>
          </w:tcPr>
          <w:p>
            <w:pPr>
              <w:ind w:left="126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480" w:type="dxa"/>
            <w:vAlign w:val="bottom"/>
            <w:tcBorders>
              <w:right w:val="single" w:sz="8" w:color="CCEEFF"/>
            </w:tcBorders>
            <w:gridSpan w:val="2"/>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jc w:val="center"/>
              <w:spacing w:after="0" w:line="183" w:lineRule="exact"/>
              <w:rPr>
                <w:rFonts w:ascii="Arial" w:cs="Arial" w:eastAsia="Arial" w:hAnsi="Arial"/>
                <w:sz w:val="16"/>
                <w:szCs w:val="16"/>
                <w:color w:val="0000FF"/>
                <w:w w:val="89"/>
              </w:rPr>
            </w:pPr>
            <w:hyperlink r:id="rId30">
              <w:r>
                <w:rPr>
                  <w:rFonts w:ascii="Arial" w:cs="Arial" w:eastAsia="Arial" w:hAnsi="Arial"/>
                  <w:sz w:val="16"/>
                  <w:szCs w:val="16"/>
                  <w:color w:val="0000FF"/>
                  <w:w w:val="89"/>
                </w:rPr>
                <w:t>2.</w:t>
              </w:r>
              <w:r>
                <w:rPr>
                  <w:rFonts w:ascii="Arial" w:cs="Arial" w:eastAsia="Arial" w:hAnsi="Arial"/>
                  <w:sz w:val="16"/>
                  <w:szCs w:val="16"/>
                  <w:u w:val="single" w:color="auto"/>
                  <w:color w:val="0000FF"/>
                  <w:w w:val="89"/>
                </w:rPr>
                <w:t>1</w:t>
              </w:r>
            </w:hyperlink>
          </w:p>
        </w:tc>
        <w:tc>
          <w:tcPr>
            <w:tcW w:w="1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5"/>
            <w:shd w:val="clear" w:color="auto" w:fill="CCEEFF"/>
          </w:tcPr>
          <w:p>
            <w:pPr>
              <w:spacing w:after="0" w:line="183" w:lineRule="exact"/>
              <w:rPr>
                <w:rFonts w:ascii="Arial" w:cs="Arial" w:eastAsia="Arial" w:hAnsi="Arial"/>
                <w:sz w:val="16"/>
                <w:szCs w:val="16"/>
                <w:color w:val="0000FF"/>
                <w:w w:val="94"/>
              </w:rPr>
            </w:pPr>
            <w:hyperlink r:id="rId30">
              <w:r>
                <w:rPr>
                  <w:rFonts w:ascii="Arial" w:cs="Arial" w:eastAsia="Arial" w:hAnsi="Arial"/>
                  <w:sz w:val="16"/>
                  <w:szCs w:val="16"/>
                  <w:color w:val="0000FF"/>
                  <w:w w:val="94"/>
                </w:rPr>
                <w:t>Asset Purchase Agreement, dated as of September 12, 2018, among The Hershey Company, B&amp;G Foods, Inc. and the Selling Subsidiaries (as named</w:t>
              </w:r>
            </w:hyperlink>
          </w:p>
        </w:tc>
      </w:tr>
      <w:tr>
        <w:trPr>
          <w:trHeight w:val="20"/>
        </w:trPr>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30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5"/>
            <w:shd w:val="clear" w:color="auto" w:fill="CCEEFF"/>
          </w:tcPr>
          <w:p>
            <w:pPr>
              <w:spacing w:after="0" w:line="183" w:lineRule="exact"/>
              <w:rPr>
                <w:rFonts w:ascii="Arial" w:cs="Arial" w:eastAsia="Arial" w:hAnsi="Arial"/>
                <w:sz w:val="16"/>
                <w:szCs w:val="16"/>
                <w:color w:val="0000FF"/>
              </w:rPr>
            </w:pPr>
            <w:hyperlink r:id="rId30">
              <w:r>
                <w:rPr>
                  <w:rFonts w:ascii="Arial" w:cs="Arial" w:eastAsia="Arial" w:hAnsi="Arial"/>
                  <w:sz w:val="16"/>
                  <w:szCs w:val="16"/>
                  <w:color w:val="0000FF"/>
                </w:rPr>
                <w:t>therein) is incorporated by reference from Exhibit 2.1 to the Company’s Current Report on Form 8-K filed September 13, 2018.</w:t>
              </w:r>
            </w:hyperlink>
          </w:p>
        </w:tc>
      </w:tr>
      <w:tr>
        <w:trPr>
          <w:trHeight w:val="48"/>
        </w:trPr>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189"/>
        </w:trPr>
        <w:tc>
          <w:tcPr>
            <w:tcW w:w="720" w:type="dxa"/>
            <w:vAlign w:val="bottom"/>
            <w:gridSpan w:val="3"/>
          </w:tcPr>
          <w:p>
            <w:pPr>
              <w:jc w:val="center"/>
              <w:ind w:left="359"/>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5"/>
          </w:tcPr>
          <w:p>
            <w:pPr>
              <w:spacing w:after="0"/>
              <w:rPr>
                <w:rFonts w:ascii="Arial" w:cs="Arial" w:eastAsia="Arial" w:hAnsi="Arial"/>
                <w:sz w:val="16"/>
                <w:szCs w:val="16"/>
                <w:color w:val="0000FF"/>
                <w:w w:val="95"/>
              </w:rPr>
            </w:pPr>
            <w:hyperlink w:anchor="page54">
              <w:r>
                <w:rPr>
                  <w:rFonts w:ascii="Arial" w:cs="Arial" w:eastAsia="Arial" w:hAnsi="Arial"/>
                  <w:sz w:val="16"/>
                  <w:szCs w:val="16"/>
                  <w:color w:val="0000FF"/>
                  <w:w w:val="95"/>
                </w:rPr>
                <w:t>Letter Agreement, by and between The Hershey Company and Citibank, N.A., terminating the 364 Day Credit Agreement effective October 24, 2018.</w:t>
              </w:r>
            </w:hyperlink>
            <w:r>
              <w:rPr>
                <w:rFonts w:ascii="Arial" w:cs="Arial" w:eastAsia="Arial" w:hAnsi="Arial"/>
                <w:sz w:val="16"/>
                <w:szCs w:val="16"/>
                <w:color w:val="000000"/>
                <w:w w:val="95"/>
              </w:rPr>
              <w:t>*</w:t>
            </w:r>
          </w:p>
        </w:tc>
      </w:tr>
      <w:tr>
        <w:trPr>
          <w:trHeight w:val="61"/>
        </w:trPr>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2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13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tcBorders>
              <w:right w:val="single" w:sz="8" w:color="CCEEFF"/>
            </w:tcBorders>
            <w:gridSpan w:val="3"/>
            <w:shd w:val="clear" w:color="auto" w:fill="CCEEFF"/>
          </w:tcPr>
          <w:p>
            <w:pPr>
              <w:jc w:val="center"/>
              <w:ind w:left="359"/>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12.</w:t>
              </w:r>
              <w:r>
                <w:rPr>
                  <w:rFonts w:ascii="Arial" w:cs="Arial" w:eastAsia="Arial" w:hAnsi="Arial"/>
                  <w:sz w:val="16"/>
                  <w:szCs w:val="16"/>
                  <w:u w:val="single" w:color="auto"/>
                  <w:color w:val="0000FF"/>
                  <w:w w:val="89"/>
                </w:rPr>
                <w:t>1</w:t>
              </w:r>
            </w:hyperlink>
          </w:p>
        </w:tc>
        <w:tc>
          <w:tcPr>
            <w:tcW w:w="1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5"/>
            <w:shd w:val="clear" w:color="auto" w:fill="CCEEFF"/>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Computation of Ratio of Earnings to Fixed Charges.</w:t>
              </w:r>
            </w:hyperlink>
            <w:r>
              <w:rPr>
                <w:rFonts w:ascii="Arial" w:cs="Arial" w:eastAsia="Arial" w:hAnsi="Arial"/>
                <w:sz w:val="16"/>
                <w:szCs w:val="16"/>
                <w:color w:val="000000"/>
              </w:rPr>
              <w:t>*</w:t>
            </w:r>
          </w:p>
        </w:tc>
      </w:tr>
      <w:tr>
        <w:trPr>
          <w:trHeight w:val="61"/>
        </w:trPr>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240" w:type="dxa"/>
            <w:vAlign w:val="bottom"/>
            <w:tcBorders>
              <w:top w:val="single" w:sz="8" w:color="0000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720" w:type="dxa"/>
            <w:vAlign w:val="bottom"/>
            <w:gridSpan w:val="3"/>
          </w:tcPr>
          <w:p>
            <w:pPr>
              <w:jc w:val="center"/>
              <w:ind w:left="359"/>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5"/>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2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tcBorders>
              <w:right w:val="single" w:sz="8" w:color="CCEEFF"/>
            </w:tcBorders>
            <w:gridSpan w:val="3"/>
            <w:shd w:val="clear" w:color="auto" w:fill="CCEEFF"/>
          </w:tcPr>
          <w:p>
            <w:pPr>
              <w:jc w:val="center"/>
              <w:ind w:left="359"/>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5"/>
            <w:shd w:val="clear" w:color="auto" w:fill="CCEEFF"/>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61"/>
        </w:trPr>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240" w:type="dxa"/>
            <w:vAlign w:val="bottom"/>
            <w:tcBorders>
              <w:top w:val="single" w:sz="8" w:color="0000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2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480" w:type="dxa"/>
            <w:vAlign w:val="bottom"/>
            <w:gridSpan w:val="2"/>
          </w:tcPr>
          <w:p>
            <w:pPr>
              <w:spacing w:after="0"/>
              <w:rPr>
                <w:sz w:val="16"/>
                <w:szCs w:val="16"/>
                <w:color w:val="auto"/>
              </w:rPr>
            </w:pPr>
          </w:p>
        </w:tc>
        <w:tc>
          <w:tcPr>
            <w:tcW w:w="240" w:type="dxa"/>
            <w:vAlign w:val="bottom"/>
          </w:tcPr>
          <w:p>
            <w:pPr>
              <w:jc w:val="center"/>
              <w:spacing w:after="0"/>
              <w:rPr>
                <w:rFonts w:ascii="Arial" w:cs="Arial" w:eastAsia="Arial" w:hAnsi="Arial"/>
                <w:sz w:val="16"/>
                <w:szCs w:val="16"/>
                <w:color w:val="0000FF"/>
                <w:w w:val="76"/>
              </w:rPr>
            </w:pPr>
            <w:hyperlink w:anchor="page58">
              <w:r>
                <w:rPr>
                  <w:rFonts w:ascii="Arial" w:cs="Arial" w:eastAsia="Arial" w:hAnsi="Arial"/>
                  <w:sz w:val="16"/>
                  <w:szCs w:val="16"/>
                  <w:color w:val="0000FF"/>
                  <w:w w:val="76"/>
                </w:rPr>
                <w:t>32.</w:t>
              </w:r>
              <w:r>
                <w:rPr>
                  <w:rFonts w:ascii="Arial" w:cs="Arial" w:eastAsia="Arial" w:hAnsi="Arial"/>
                  <w:sz w:val="16"/>
                  <w:szCs w:val="16"/>
                  <w:u w:val="single" w:color="auto"/>
                  <w:color w:val="0000FF"/>
                  <w:w w:val="76"/>
                </w:rPr>
                <w:t>1</w:t>
              </w:r>
            </w:hyperlink>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5"/>
          </w:tcPr>
          <w:p>
            <w:pPr>
              <w:spacing w:after="0"/>
              <w:rPr>
                <w:rFonts w:ascii="Arial" w:cs="Arial" w:eastAsia="Arial" w:hAnsi="Arial"/>
                <w:sz w:val="16"/>
                <w:szCs w:val="16"/>
                <w:color w:val="0000FF"/>
                <w:w w:val="95"/>
              </w:rPr>
            </w:pPr>
            <w:hyperlink w:anchor="page58">
              <w:r>
                <w:rPr>
                  <w:rFonts w:ascii="Arial" w:cs="Arial" w:eastAsia="Arial" w:hAnsi="Arial"/>
                  <w:sz w:val="16"/>
                  <w:szCs w:val="16"/>
                  <w:color w:val="0000FF"/>
                  <w:w w:val="95"/>
                </w:rPr>
                <w:t>Certification of Michele G. Buck, Chief Executive Officer, and Patricia A. Little, Chief Financial Officer, pursuant to Section 906 of the Sarbanes-Oxley</w:t>
              </w:r>
            </w:hyperlink>
          </w:p>
        </w:tc>
      </w:tr>
      <w:tr>
        <w:trPr>
          <w:trHeight w:val="20"/>
        </w:trPr>
        <w:tc>
          <w:tcPr>
            <w:tcW w:w="3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58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15"/>
          </w:tcPr>
          <w:p>
            <w:pPr>
              <w:spacing w:after="0" w:line="183" w:lineRule="exact"/>
              <w:rPr>
                <w:rFonts w:ascii="Arial" w:cs="Arial" w:eastAsia="Arial" w:hAnsi="Arial"/>
                <w:sz w:val="16"/>
                <w:szCs w:val="16"/>
                <w:color w:val="0000FF"/>
              </w:rPr>
            </w:pPr>
            <w:hyperlink w:anchor="page58">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48"/>
        </w:trPr>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9"/>
        </w:trPr>
        <w:tc>
          <w:tcPr>
            <w:tcW w:w="30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gridSpan w:val="5"/>
            <w:shd w:val="clear" w:color="auto" w:fill="CCEEFF"/>
          </w:tcPr>
          <w:p>
            <w:pPr>
              <w:jc w:val="center"/>
              <w:ind w:right="440"/>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INS</w:t>
            </w:r>
          </w:p>
        </w:tc>
        <w:tc>
          <w:tcPr>
            <w:tcW w:w="10120" w:type="dxa"/>
            <w:vAlign w:val="bottom"/>
            <w:gridSpan w:val="15"/>
            <w:shd w:val="clear" w:color="auto" w:fill="CCEEFF"/>
          </w:tcPr>
          <w:p>
            <w:pPr>
              <w:spacing w:after="0"/>
              <w:rPr>
                <w:sz w:val="20"/>
                <w:szCs w:val="20"/>
                <w:color w:val="auto"/>
              </w:rPr>
            </w:pPr>
            <w:r>
              <w:rPr>
                <w:rFonts w:ascii="Arial" w:cs="Arial" w:eastAsia="Arial" w:hAnsi="Arial"/>
                <w:sz w:val="16"/>
                <w:szCs w:val="16"/>
                <w:color w:val="0000FF"/>
              </w:rPr>
              <w:t>XBRL Instance Document</w:t>
            </w:r>
          </w:p>
        </w:tc>
      </w:tr>
      <w:tr>
        <w:trPr>
          <w:trHeight w:val="61"/>
        </w:trPr>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180" w:type="dxa"/>
            <w:vAlign w:val="bottom"/>
            <w:tcBorders>
              <w:top w:val="single" w:sz="8" w:color="0000FF"/>
              <w:right w:val="single" w:sz="8" w:color="CCEEFF"/>
            </w:tcBorders>
            <w:shd w:val="clear" w:color="auto" w:fill="CCEEFF"/>
          </w:tcPr>
          <w:p>
            <w:pPr>
              <w:spacing w:after="0"/>
              <w:rPr>
                <w:sz w:val="5"/>
                <w:szCs w:val="5"/>
                <w:color w:val="auto"/>
              </w:rPr>
            </w:pPr>
          </w:p>
        </w:tc>
        <w:tc>
          <w:tcPr>
            <w:tcW w:w="240" w:type="dxa"/>
            <w:vAlign w:val="bottom"/>
            <w:tcBorders>
              <w:top w:val="single" w:sz="8" w:color="0000FF"/>
              <w:right w:val="single" w:sz="8" w:color="CCEEFF"/>
            </w:tcBorders>
            <w:shd w:val="clear" w:color="auto" w:fill="CCEEFF"/>
          </w:tcPr>
          <w:p>
            <w:pPr>
              <w:spacing w:after="0"/>
              <w:rPr>
                <w:sz w:val="5"/>
                <w:szCs w:val="5"/>
                <w:color w:val="auto"/>
              </w:rPr>
            </w:pPr>
          </w:p>
        </w:tc>
        <w:tc>
          <w:tcPr>
            <w:tcW w:w="160" w:type="dxa"/>
            <w:vAlign w:val="bottom"/>
            <w:tcBorders>
              <w:top w:val="single" w:sz="8" w:color="0000FF"/>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300" w:type="dxa"/>
            <w:vAlign w:val="bottom"/>
          </w:tcPr>
          <w:p>
            <w:pPr>
              <w:spacing w:after="0"/>
              <w:rPr>
                <w:sz w:val="16"/>
                <w:szCs w:val="16"/>
                <w:color w:val="auto"/>
              </w:rPr>
            </w:pPr>
          </w:p>
        </w:tc>
        <w:tc>
          <w:tcPr>
            <w:tcW w:w="1000" w:type="dxa"/>
            <w:vAlign w:val="bottom"/>
            <w:gridSpan w:val="5"/>
          </w:tcPr>
          <w:p>
            <w:pPr>
              <w:jc w:val="center"/>
              <w:ind w:right="420"/>
              <w:spacing w:after="0"/>
              <w:rPr>
                <w:sz w:val="20"/>
                <w:szCs w:val="20"/>
                <w:color w:val="auto"/>
              </w:rPr>
            </w:pPr>
            <w:r>
              <w:rPr>
                <w:rFonts w:ascii="Arial" w:cs="Arial" w:eastAsia="Arial" w:hAnsi="Arial"/>
                <w:sz w:val="16"/>
                <w:szCs w:val="16"/>
                <w:color w:val="0000FF"/>
                <w:w w:val="89"/>
              </w:rPr>
              <w:t>101.</w:t>
            </w:r>
            <w:r>
              <w:rPr>
                <w:rFonts w:ascii="Arial" w:cs="Arial" w:eastAsia="Arial" w:hAnsi="Arial"/>
                <w:sz w:val="16"/>
                <w:szCs w:val="16"/>
                <w:u w:val="single" w:color="auto"/>
                <w:color w:val="0000FF"/>
                <w:w w:val="89"/>
              </w:rPr>
              <w:t>SCH</w:t>
            </w:r>
          </w:p>
        </w:tc>
        <w:tc>
          <w:tcPr>
            <w:tcW w:w="10120" w:type="dxa"/>
            <w:vAlign w:val="bottom"/>
            <w:gridSpan w:val="15"/>
          </w:tcPr>
          <w:p>
            <w:pPr>
              <w:spacing w:after="0"/>
              <w:rPr>
                <w:sz w:val="20"/>
                <w:szCs w:val="20"/>
                <w:color w:val="auto"/>
              </w:rPr>
            </w:pPr>
            <w:r>
              <w:rPr>
                <w:rFonts w:ascii="Arial" w:cs="Arial" w:eastAsia="Arial" w:hAnsi="Arial"/>
                <w:sz w:val="16"/>
                <w:szCs w:val="16"/>
                <w:color w:val="0000FF"/>
              </w:rPr>
              <w:t>XBRL Taxonomy Extension Schema</w:t>
            </w:r>
          </w:p>
        </w:tc>
      </w:tr>
      <w:tr>
        <w:trPr>
          <w:trHeight w:val="61"/>
        </w:trPr>
        <w:tc>
          <w:tcPr>
            <w:tcW w:w="300" w:type="dxa"/>
            <w:vAlign w:val="bottom"/>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30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gridSpan w:val="5"/>
            <w:shd w:val="clear" w:color="auto" w:fill="CCEEFF"/>
          </w:tcPr>
          <w:p>
            <w:pPr>
              <w:jc w:val="center"/>
              <w:ind w:right="420"/>
              <w:spacing w:after="0"/>
              <w:rPr>
                <w:sz w:val="20"/>
                <w:szCs w:val="20"/>
                <w:color w:val="auto"/>
              </w:rPr>
            </w:pPr>
            <w:r>
              <w:rPr>
                <w:rFonts w:ascii="Arial" w:cs="Arial" w:eastAsia="Arial" w:hAnsi="Arial"/>
                <w:sz w:val="16"/>
                <w:szCs w:val="16"/>
                <w:color w:val="0000FF"/>
                <w:w w:val="93"/>
              </w:rPr>
              <w:t>101.</w:t>
            </w:r>
            <w:r>
              <w:rPr>
                <w:rFonts w:ascii="Arial" w:cs="Arial" w:eastAsia="Arial" w:hAnsi="Arial"/>
                <w:sz w:val="16"/>
                <w:szCs w:val="16"/>
                <w:u w:val="single" w:color="auto"/>
                <w:color w:val="0000FF"/>
                <w:w w:val="93"/>
              </w:rPr>
              <w:t>CAL</w:t>
            </w:r>
          </w:p>
        </w:tc>
        <w:tc>
          <w:tcPr>
            <w:tcW w:w="10120" w:type="dxa"/>
            <w:vAlign w:val="bottom"/>
            <w:gridSpan w:val="15"/>
            <w:shd w:val="clear" w:color="auto" w:fill="CCEEFF"/>
          </w:tcPr>
          <w:p>
            <w:pPr>
              <w:spacing w:after="0"/>
              <w:rPr>
                <w:sz w:val="20"/>
                <w:szCs w:val="20"/>
                <w:color w:val="auto"/>
              </w:rPr>
            </w:pPr>
            <w:r>
              <w:rPr>
                <w:rFonts w:ascii="Arial" w:cs="Arial" w:eastAsia="Arial" w:hAnsi="Arial"/>
                <w:sz w:val="16"/>
                <w:szCs w:val="16"/>
                <w:color w:val="0000FF"/>
              </w:rPr>
              <w:t>XBRL Taxonomy Extension Calculation Linkbase</w:t>
            </w:r>
          </w:p>
        </w:tc>
      </w:tr>
      <w:tr>
        <w:trPr>
          <w:trHeight w:val="61"/>
        </w:trPr>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180" w:type="dxa"/>
            <w:vAlign w:val="bottom"/>
            <w:tcBorders>
              <w:top w:val="single" w:sz="8" w:color="0000FF"/>
              <w:right w:val="single" w:sz="8" w:color="CCEEFF"/>
            </w:tcBorders>
            <w:shd w:val="clear" w:color="auto" w:fill="CCEEFF"/>
          </w:tcPr>
          <w:p>
            <w:pPr>
              <w:spacing w:after="0"/>
              <w:rPr>
                <w:sz w:val="5"/>
                <w:szCs w:val="5"/>
                <w:color w:val="auto"/>
              </w:rPr>
            </w:pPr>
          </w:p>
        </w:tc>
        <w:tc>
          <w:tcPr>
            <w:tcW w:w="240" w:type="dxa"/>
            <w:vAlign w:val="bottom"/>
            <w:tcBorders>
              <w:top w:val="single" w:sz="8" w:color="0000FF"/>
              <w:right w:val="single" w:sz="8" w:color="CCEEFF"/>
            </w:tcBorders>
            <w:shd w:val="clear" w:color="auto" w:fill="CCEEFF"/>
          </w:tcPr>
          <w:p>
            <w:pPr>
              <w:spacing w:after="0"/>
              <w:rPr>
                <w:sz w:val="5"/>
                <w:szCs w:val="5"/>
                <w:color w:val="auto"/>
              </w:rPr>
            </w:pPr>
          </w:p>
        </w:tc>
        <w:tc>
          <w:tcPr>
            <w:tcW w:w="160" w:type="dxa"/>
            <w:vAlign w:val="bottom"/>
            <w:tcBorders>
              <w:top w:val="single" w:sz="8" w:color="0000FF"/>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300" w:type="dxa"/>
            <w:vAlign w:val="bottom"/>
          </w:tcPr>
          <w:p>
            <w:pPr>
              <w:spacing w:after="0"/>
              <w:rPr>
                <w:sz w:val="16"/>
                <w:szCs w:val="16"/>
                <w:color w:val="auto"/>
              </w:rPr>
            </w:pPr>
          </w:p>
        </w:tc>
        <w:tc>
          <w:tcPr>
            <w:tcW w:w="1000" w:type="dxa"/>
            <w:vAlign w:val="bottom"/>
            <w:gridSpan w:val="5"/>
          </w:tcPr>
          <w:p>
            <w:pPr>
              <w:jc w:val="center"/>
              <w:ind w:right="420"/>
              <w:spacing w:after="0"/>
              <w:rPr>
                <w:sz w:val="20"/>
                <w:szCs w:val="20"/>
                <w:color w:val="auto"/>
              </w:rPr>
            </w:pPr>
            <w:r>
              <w:rPr>
                <w:rFonts w:ascii="Arial" w:cs="Arial" w:eastAsia="Arial" w:hAnsi="Arial"/>
                <w:sz w:val="16"/>
                <w:szCs w:val="16"/>
                <w:color w:val="0000FF"/>
                <w:w w:val="94"/>
              </w:rPr>
              <w:t>101.</w:t>
            </w:r>
            <w:r>
              <w:rPr>
                <w:rFonts w:ascii="Arial" w:cs="Arial" w:eastAsia="Arial" w:hAnsi="Arial"/>
                <w:sz w:val="16"/>
                <w:szCs w:val="16"/>
                <w:u w:val="single" w:color="auto"/>
                <w:color w:val="0000FF"/>
                <w:w w:val="94"/>
              </w:rPr>
              <w:t>LAB</w:t>
            </w:r>
          </w:p>
        </w:tc>
        <w:tc>
          <w:tcPr>
            <w:tcW w:w="10120" w:type="dxa"/>
            <w:vAlign w:val="bottom"/>
            <w:gridSpan w:val="15"/>
          </w:tcPr>
          <w:p>
            <w:pPr>
              <w:spacing w:after="0"/>
              <w:rPr>
                <w:sz w:val="20"/>
                <w:szCs w:val="20"/>
                <w:color w:val="auto"/>
              </w:rPr>
            </w:pPr>
            <w:r>
              <w:rPr>
                <w:rFonts w:ascii="Arial" w:cs="Arial" w:eastAsia="Arial" w:hAnsi="Arial"/>
                <w:sz w:val="16"/>
                <w:szCs w:val="16"/>
                <w:color w:val="0000FF"/>
              </w:rPr>
              <w:t>XBRL Taxonomy Extension Label Linkbase</w:t>
            </w:r>
          </w:p>
        </w:tc>
      </w:tr>
      <w:tr>
        <w:trPr>
          <w:trHeight w:val="61"/>
        </w:trPr>
        <w:tc>
          <w:tcPr>
            <w:tcW w:w="300" w:type="dxa"/>
            <w:vAlign w:val="bottom"/>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30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gridSpan w:val="5"/>
            <w:shd w:val="clear" w:color="auto" w:fill="CCEEFF"/>
          </w:tcPr>
          <w:p>
            <w:pPr>
              <w:jc w:val="center"/>
              <w:ind w:right="420"/>
              <w:spacing w:after="0"/>
              <w:rPr>
                <w:sz w:val="20"/>
                <w:szCs w:val="20"/>
                <w:color w:val="auto"/>
              </w:rPr>
            </w:pPr>
            <w:r>
              <w:rPr>
                <w:rFonts w:ascii="Arial" w:cs="Arial" w:eastAsia="Arial" w:hAnsi="Arial"/>
                <w:sz w:val="16"/>
                <w:szCs w:val="16"/>
                <w:color w:val="0000FF"/>
                <w:w w:val="90"/>
              </w:rPr>
              <w:t>101.</w:t>
            </w:r>
            <w:r>
              <w:rPr>
                <w:rFonts w:ascii="Arial" w:cs="Arial" w:eastAsia="Arial" w:hAnsi="Arial"/>
                <w:sz w:val="16"/>
                <w:szCs w:val="16"/>
                <w:u w:val="single" w:color="auto"/>
                <w:color w:val="0000FF"/>
                <w:w w:val="90"/>
              </w:rPr>
              <w:t>PRE</w:t>
            </w:r>
          </w:p>
        </w:tc>
        <w:tc>
          <w:tcPr>
            <w:tcW w:w="10120" w:type="dxa"/>
            <w:vAlign w:val="bottom"/>
            <w:gridSpan w:val="15"/>
            <w:shd w:val="clear" w:color="auto" w:fill="CCEEFF"/>
          </w:tcPr>
          <w:p>
            <w:pPr>
              <w:spacing w:after="0"/>
              <w:rPr>
                <w:sz w:val="20"/>
                <w:szCs w:val="20"/>
                <w:color w:val="auto"/>
              </w:rPr>
            </w:pPr>
            <w:r>
              <w:rPr>
                <w:rFonts w:ascii="Arial" w:cs="Arial" w:eastAsia="Arial" w:hAnsi="Arial"/>
                <w:sz w:val="16"/>
                <w:szCs w:val="16"/>
                <w:color w:val="0000FF"/>
              </w:rPr>
              <w:t>XBRL Taxonomy Extension Presentation Linkbase</w:t>
            </w:r>
          </w:p>
        </w:tc>
      </w:tr>
      <w:tr>
        <w:trPr>
          <w:trHeight w:val="61"/>
        </w:trPr>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180" w:type="dxa"/>
            <w:vAlign w:val="bottom"/>
            <w:tcBorders>
              <w:top w:val="single" w:sz="8" w:color="0000FF"/>
              <w:right w:val="single" w:sz="8" w:color="CCEEFF"/>
            </w:tcBorders>
            <w:shd w:val="clear" w:color="auto" w:fill="CCEEFF"/>
          </w:tcPr>
          <w:p>
            <w:pPr>
              <w:spacing w:after="0"/>
              <w:rPr>
                <w:sz w:val="5"/>
                <w:szCs w:val="5"/>
                <w:color w:val="auto"/>
              </w:rPr>
            </w:pPr>
          </w:p>
        </w:tc>
        <w:tc>
          <w:tcPr>
            <w:tcW w:w="240" w:type="dxa"/>
            <w:vAlign w:val="bottom"/>
            <w:tcBorders>
              <w:top w:val="single" w:sz="8" w:color="0000FF"/>
              <w:right w:val="single" w:sz="8" w:color="CCEEFF"/>
            </w:tcBorders>
            <w:shd w:val="clear" w:color="auto" w:fill="CCEEFF"/>
          </w:tcPr>
          <w:p>
            <w:pPr>
              <w:spacing w:after="0"/>
              <w:rPr>
                <w:sz w:val="5"/>
                <w:szCs w:val="5"/>
                <w:color w:val="auto"/>
              </w:rPr>
            </w:pPr>
          </w:p>
        </w:tc>
        <w:tc>
          <w:tcPr>
            <w:tcW w:w="160" w:type="dxa"/>
            <w:vAlign w:val="bottom"/>
            <w:tcBorders>
              <w:top w:val="single" w:sz="8" w:color="0000FF"/>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30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Arial" w:cs="Arial" w:eastAsia="Arial" w:hAnsi="Arial"/>
                <w:sz w:val="16"/>
                <w:szCs w:val="16"/>
                <w:color w:val="0000FF"/>
                <w:w w:val="91"/>
              </w:rPr>
              <w:t>101.</w:t>
            </w:r>
            <w:r>
              <w:rPr>
                <w:rFonts w:ascii="Arial" w:cs="Arial" w:eastAsia="Arial" w:hAnsi="Arial"/>
                <w:sz w:val="16"/>
                <w:szCs w:val="16"/>
                <w:u w:val="single" w:color="auto"/>
                <w:color w:val="0000FF"/>
                <w:w w:val="91"/>
              </w:rPr>
              <w:t>DEF</w:t>
            </w:r>
          </w:p>
        </w:tc>
        <w:tc>
          <w:tcPr>
            <w:tcW w:w="420" w:type="dxa"/>
            <w:vAlign w:val="bottom"/>
            <w:gridSpan w:val="2"/>
          </w:tcPr>
          <w:p>
            <w:pPr>
              <w:spacing w:after="0"/>
              <w:rPr>
                <w:sz w:val="16"/>
                <w:szCs w:val="16"/>
                <w:color w:val="auto"/>
              </w:rPr>
            </w:pPr>
          </w:p>
        </w:tc>
        <w:tc>
          <w:tcPr>
            <w:tcW w:w="10120" w:type="dxa"/>
            <w:vAlign w:val="bottom"/>
            <w:gridSpan w:val="15"/>
          </w:tcPr>
          <w:p>
            <w:pPr>
              <w:spacing w:after="0"/>
              <w:rPr>
                <w:sz w:val="20"/>
                <w:szCs w:val="20"/>
                <w:color w:val="auto"/>
              </w:rPr>
            </w:pPr>
            <w:r>
              <w:rPr>
                <w:rFonts w:ascii="Arial" w:cs="Arial" w:eastAsia="Arial" w:hAnsi="Arial"/>
                <w:sz w:val="16"/>
                <w:szCs w:val="16"/>
                <w:color w:val="0000FF"/>
              </w:rPr>
              <w:t>XBRL Taxonomy Extension Definition Linkbase</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300" w:hanging="75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23" w:right="239" w:bottom="1440" w:gutter="0" w:footer="0" w:header="0"/>
        </w:sectPr>
      </w:pPr>
    </w:p>
    <w:bookmarkStart w:id="52" w:name="page53"/>
    <w:bookmarkEnd w:id="5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74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68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October 26, 2018</w:t>
            </w:r>
          </w:p>
        </w:tc>
        <w:tc>
          <w:tcPr>
            <w:tcW w:w="5740" w:type="dxa"/>
            <w:vAlign w:val="bottom"/>
          </w:tcPr>
          <w:p>
            <w:pPr>
              <w:ind w:left="100"/>
              <w:spacing w:after="0"/>
              <w:rPr>
                <w:sz w:val="20"/>
                <w:szCs w:val="20"/>
                <w:color w:val="auto"/>
              </w:rPr>
            </w:pPr>
            <w:r>
              <w:rPr>
                <w:rFonts w:ascii="Arial" w:cs="Arial" w:eastAsia="Arial" w:hAnsi="Arial"/>
                <w:sz w:val="18"/>
                <w:szCs w:val="18"/>
                <w:color w:val="auto"/>
              </w:rPr>
              <w:t>/s/ Patricia A. Little</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Patricia A. Little</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October 26, 2018</w:t>
            </w:r>
          </w:p>
        </w:tc>
        <w:tc>
          <w:tcPr>
            <w:tcW w:w="574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918"/>
        </w:trPr>
        <w:tc>
          <w:tcPr>
            <w:tcW w:w="2680" w:type="dxa"/>
            <w:vAlign w:val="bottom"/>
          </w:tcPr>
          <w:p>
            <w:pPr>
              <w:spacing w:after="0"/>
              <w:rPr>
                <w:sz w:val="24"/>
                <w:szCs w:val="24"/>
                <w:color w:val="auto"/>
              </w:rPr>
            </w:pPr>
          </w:p>
        </w:tc>
        <w:tc>
          <w:tcPr>
            <w:tcW w:w="5740" w:type="dxa"/>
            <w:vAlign w:val="bottom"/>
          </w:tcPr>
          <w:p>
            <w:pPr>
              <w:ind w:left="196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240"/>
          </w:cols>
          <w:pgMar w:left="240" w:top="580" w:right="4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49425" cy="728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7494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1615 Brett Road, Building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36852248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The Hershey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021000089</w:t>
      </w:r>
    </w:p>
    <w:p>
      <w:pPr>
        <w:spacing w:after="0" w:line="21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Reference is hereby made to the 364 Day Credit Agreement (the “Credit Agreement”), dated as of January 8, 2018, among The Hershey Company (“Hershey”), Citibank, N.A., as lender and administrative agent (“Agent”), and Bank of America, N.A. and Royal Bank of Canada as lenders. Capitalized terms used but not defined in this letter have the meaning given to such terms in the Credit Agreement.</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Pursuant to Section 2.05(a) of the Credit Agreement, Hershey hereby notifies you, in your capacity as Agent, that it desires to terminate in whole the unused portions of the respective Commitments of the Lenders. Since the entire $1.5 billion Commitment is currently unused, this will have the effect of terminating the Credit Agreement, effective October 24, 2018.</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Please acknowledge your receipt of this letter agreement and your agreement to the terms set forth herein, including, without limitation, the termination date identified above, by signing and returning the enclosed copy to The Hershey Company, 100 Crystal A Drive, Hershey, Pennsylvania 17033-0810, Attention: Treasury Department</w:t>
      </w:r>
    </w:p>
    <w:p>
      <w:pPr>
        <w:spacing w:after="0" w:line="200" w:lineRule="exact"/>
        <w:rPr>
          <w:sz w:val="20"/>
          <w:szCs w:val="20"/>
          <w:color w:val="auto"/>
        </w:rPr>
      </w:pPr>
    </w:p>
    <w:p>
      <w:pPr>
        <w:spacing w:after="0" w:line="35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Sincerely,</w:t>
      </w:r>
    </w:p>
    <w:p>
      <w:pPr>
        <w:spacing w:after="0" w:line="38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The Hershey Company</w:t>
      </w:r>
    </w:p>
    <w:p>
      <w:pPr>
        <w:spacing w:after="0" w:line="25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Bjork Hupfeld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Bjork Hupfeld</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Treasurer</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Acknowledged and Agreed:</w:t>
      </w:r>
    </w:p>
    <w:p>
      <w:pPr>
        <w:spacing w:after="0" w:line="3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Citibank, N.A.</w:t>
      </w:r>
    </w:p>
    <w:p>
      <w:pPr>
        <w:spacing w:after="0" w:line="256" w:lineRule="exact"/>
        <w:rPr>
          <w:sz w:val="20"/>
          <w:szCs w:val="20"/>
          <w:color w:val="auto"/>
        </w:rPr>
      </w:pPr>
    </w:p>
    <w:p>
      <w:pPr>
        <w:ind w:left="520"/>
        <w:spacing w:after="0"/>
        <w:tabs>
          <w:tab w:leader="none" w:pos="4560" w:val="left"/>
        </w:tabs>
        <w:rPr>
          <w:sz w:val="20"/>
          <w:szCs w:val="20"/>
          <w:color w:val="auto"/>
        </w:rPr>
      </w:pPr>
      <w:r>
        <w:rPr>
          <w:rFonts w:ascii="Arial" w:cs="Arial" w:eastAsia="Arial" w:hAnsi="Arial"/>
          <w:sz w:val="18"/>
          <w:szCs w:val="18"/>
          <w:color w:val="auto"/>
        </w:rPr>
        <w:t>/s/ Carolyn A. Kee</w:t>
      </w:r>
      <w:r>
        <w:rPr>
          <w:sz w:val="20"/>
          <w:szCs w:val="20"/>
          <w:color w:val="auto"/>
        </w:rPr>
        <w:tab/>
      </w:r>
      <w:r>
        <w:rPr>
          <w:rFonts w:ascii="Arial" w:cs="Arial" w:eastAsia="Arial" w:hAnsi="Arial"/>
          <w:sz w:val="16"/>
          <w:szCs w:val="16"/>
          <w:color w:val="auto"/>
        </w:rPr>
        <w:t>Date: October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383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By: Carolyn A. Kee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Its: Vice President</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80" w:type="dxa"/>
            <w:vAlign w:val="bottom"/>
            <w:gridSpan w:val="4"/>
          </w:tcPr>
          <w:p>
            <w:pPr>
              <w:jc w:val="right"/>
              <w:ind w:right="147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2018</w:t>
            </w:r>
          </w:p>
        </w:tc>
        <w:tc>
          <w:tcPr>
            <w:tcW w:w="320" w:type="dxa"/>
            <w:vAlign w:val="bottom"/>
          </w:tcPr>
          <w:p>
            <w:pPr>
              <w:spacing w:after="0"/>
              <w:rPr>
                <w:sz w:val="20"/>
                <w:szCs w:val="20"/>
                <w:color w:val="auto"/>
              </w:rPr>
            </w:pPr>
          </w:p>
        </w:tc>
        <w:tc>
          <w:tcPr>
            <w:tcW w:w="1840" w:type="dxa"/>
            <w:vAlign w:val="bottom"/>
          </w:tcPr>
          <w:p>
            <w:pPr>
              <w:jc w:val="right"/>
              <w:ind w:right="451"/>
              <w:spacing w:after="0"/>
              <w:rPr>
                <w:sz w:val="20"/>
                <w:szCs w:val="20"/>
                <w:color w:val="auto"/>
              </w:rPr>
            </w:pPr>
            <w:r>
              <w:rPr>
                <w:rFonts w:ascii="Arial" w:cs="Arial" w:eastAsia="Arial" w:hAnsi="Arial"/>
                <w:sz w:val="16"/>
                <w:szCs w:val="16"/>
                <w:b w:val="1"/>
                <w:bCs w:val="1"/>
                <w:color w:val="auto"/>
              </w:rPr>
              <w:t>October 1, 2017</w:t>
            </w:r>
          </w:p>
        </w:tc>
      </w:tr>
      <w:tr>
        <w:trPr>
          <w:trHeight w:val="33"/>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324"/>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1,066,091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850,279</w:t>
            </w:r>
          </w:p>
        </w:tc>
      </w:tr>
      <w:tr>
        <w:trPr>
          <w:trHeight w:val="189"/>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189"/>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122,523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85,075</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8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759</w:t>
            </w: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183"/>
        </w:trPr>
        <w:tc>
          <w:tcPr>
            <w:tcW w:w="68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as adjusted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1,185,591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933,221</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6"/>
        </w:trPr>
        <w:tc>
          <w:tcPr>
            <w:tcW w:w="6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189"/>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expensed and capitalized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109,156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75,030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Amortization of deferred debt issuance costs</w:t>
            </w:r>
          </w:p>
        </w:tc>
        <w:tc>
          <w:tcPr>
            <w:tcW w:w="28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1,773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1,178</w:t>
            </w: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Portion of rents representative of the interest factor (a)</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8,867</w:t>
            </w:r>
          </w:p>
        </w:tc>
      </w:tr>
      <w:tr>
        <w:trPr>
          <w:trHeight w:val="183"/>
        </w:trPr>
        <w:tc>
          <w:tcPr>
            <w:tcW w:w="68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122,523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85,075</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6"/>
        </w:trPr>
        <w:tc>
          <w:tcPr>
            <w:tcW w:w="6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October 26, 2018</w:t>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October 26, 2018</w:t>
      </w:r>
    </w:p>
    <w:p>
      <w:pPr>
        <w:sectPr>
          <w:pgSz w:w="11900" w:h="16838" w:orient="portrait"/>
          <w:cols w:equalWidth="0" w:num="1">
            <w:col w:w="11420"/>
          </w:cols>
          <w:pgMar w:left="240" w:top="36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September 30, 2018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October 26, 2018</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October 26, 2018</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7"/>
    </w:lvl>
    <w:lvl w:ilvl="1">
      <w:lvlJc w:val="left"/>
      <w:lvlText w:val="•"/>
      <w:numFmt w:val="bullet"/>
      <w:start w:val="1"/>
    </w:lvl>
  </w:abstractNum>
  <w:abstractNum w:abstractNumId="9">
    <w:nsid w:val="431BD7B7"/>
    <w:multiLevelType w:val="hybridMultilevel"/>
    <w:lvl w:ilvl="0">
      <w:lvlJc w:val="left"/>
      <w:lvlText w:val="%1"/>
      <w:numFmt w:val="decimal"/>
      <w:start w:val="1"/>
    </w:lvl>
    <w:lvl w:ilvl="1">
      <w:lvlJc w:val="left"/>
      <w:lvlText w:val="(%2)"/>
      <w:numFmt w:val="decimal"/>
      <w:start w:val="1"/>
    </w:lvl>
  </w:abstractNum>
  <w:abstractNum w:abstractNumId="10">
    <w:nsid w:val="3F2DBA31"/>
    <w:multiLevelType w:val="hybridMultilevel"/>
    <w:lvl w:ilvl="0">
      <w:lvlJc w:val="left"/>
      <w:lvlText w:val="%1."/>
      <w:numFmt w:val="decimal"/>
      <w:start w:val="9"/>
    </w:lvl>
    <w:lvl w:ilvl="1">
      <w:lvlJc w:val="left"/>
      <w:lvlText w:val="%2"/>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0" Type="http://schemas.openxmlformats.org/officeDocument/2006/relationships/hyperlink" Target="http://www.sec.gov/Archives/edgar/data/47111/000004711118000042/exhibit21-assetpurchas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2019-12-28T18:59:14Z</dcterms:created>
  <dcterms:modified xsi:type="dcterms:W3CDTF">2019-12-28T18:59:14Z</dcterms:modified>
</cp:coreProperties>
</file>