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 xml:space="preserve">UNITED STATES </w:t>
      </w:r>
    </w:p>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 xml:space="preserve">SECURITIES AND EXCHANGE COMMISSION </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 xml:space="preserve">WASHINGTON, D.C. 20549 </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28, 2026</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______to_______</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1-183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94310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809625"/>
                    </a:xfrm>
                    <a:prstGeom prst="rect">
                      <a:avLst/>
                    </a:prstGeom>
                  </pic:spPr>
                </pic:pic>
              </a:graphicData>
            </a:graphic>
          </wp:inline>
        </w:drawing>
      </w:r>
      <w:bookmarkStart w:id="0" w:name="i-1"/>
      <w:bookmarkEnd w:id="0"/>
    </w:p>
    <w:p>
      <w:pPr>
        <w:pStyle w:val="TextBody"/>
        <w:bidi w:val="0"/>
        <w:spacing w:lineRule="auto" w:line="240" w:before="0" w:after="0"/>
        <w:jc w:val="center"/>
        <w:rPr>
          <w:rFonts w:ascii="Times New Roman;serif" w:hAnsi="Times New Roman;serif"/>
          <w:b/>
          <w:color w:val="000000"/>
          <w:sz w:val="44"/>
        </w:rPr>
      </w:pPr>
      <w:r>
        <w:rPr>
          <w:rFonts w:ascii="Times New Roman;serif" w:hAnsi="Times New Roman;serif"/>
          <w:b/>
          <w:color w:val="000000"/>
          <w:sz w:val="44"/>
        </w:rPr>
        <w:t xml:space="preserve">THE HERSHEY COMPANY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23-0691590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40"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 xml:space="preserve">19 East Chocolate Avenue, Hershey, PA 17033 </w:t>
      </w:r>
    </w:p>
    <w:p>
      <w:pPr>
        <w:pStyle w:val="TextBody"/>
        <w:bidi w:val="0"/>
        <w:spacing w:lineRule="auto" w:line="240"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40"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 xml:space="preserve">(717) 534-4200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262" w:type="dxa"/>
        <w:jc w:val="left"/>
        <w:tblInd w:w="0" w:type="dxa"/>
        <w:tblLayout w:type="fixed"/>
        <w:tblCellMar>
          <w:top w:w="28" w:type="dxa"/>
          <w:left w:w="28" w:type="dxa"/>
          <w:bottom w:w="28" w:type="dxa"/>
          <w:right w:w="28" w:type="dxa"/>
        </w:tblCellMar>
      </w:tblPr>
      <w:tblGrid>
        <w:gridCol w:w="1116"/>
        <w:gridCol w:w="981"/>
        <w:gridCol w:w="992"/>
        <w:gridCol w:w="109"/>
        <w:gridCol w:w="109"/>
        <w:gridCol w:w="109"/>
        <w:gridCol w:w="564"/>
        <w:gridCol w:w="564"/>
        <w:gridCol w:w="566"/>
        <w:gridCol w:w="109"/>
        <w:gridCol w:w="109"/>
        <w:gridCol w:w="109"/>
        <w:gridCol w:w="1118"/>
        <w:gridCol w:w="1118"/>
        <w:gridCol w:w="1589"/>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one dollar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erif" w:hAnsi="Times New Roman;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40" w:before="0" w:after="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 xml:space="preserve">x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40" w:before="24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the number of shares outstanding of each of the registrant’s classes of common stock, as of the latest practicable date.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one dollar par value—146,312,143 shares, as of July 27, 2026.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one dollar par value—54,613,514 shares, as of July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Period Ended June 28,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440"/>
        <w:gridCol w:w="3029"/>
        <w:gridCol w:w="3035"/>
        <w:gridCol w:w="109"/>
        <w:gridCol w:w="109"/>
        <w:gridCol w:w="109"/>
        <w:gridCol w:w="109"/>
        <w:gridCol w:w="109"/>
        <w:gridCol w:w="156"/>
      </w:tblGrid>
      <w:tr>
        <w:trPr/>
        <w:tc>
          <w:tcPr>
            <w:tcW w:w="3440"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0">
              <w:r>
                <w:rPr>
                  <w:rStyle w:val="InternetLink"/>
                  <w:rFonts w:ascii="Times New Roman;serif" w:hAnsi="Times New Roman;serif"/>
                  <w:b w:val="false"/>
                  <w:color w:val="0000FF"/>
                  <w:sz w:val="20"/>
                  <w:u w:val="single"/>
                </w:rPr>
                <w:t>PART I. FINANCIAL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0">
              <w:r>
                <w:rPr>
                  <w:rStyle w:val="InternetLink"/>
                  <w:rFonts w:ascii="Times New Roman;serif" w:hAnsi="Times New Roman;serif"/>
                  <w:b w:val="false"/>
                  <w:color w:val="0000FF"/>
                  <w:sz w:val="20"/>
                  <w:u w:val="single"/>
                </w:rPr>
                <w:t>2</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3">
              <w:r>
                <w:rPr>
                  <w:rStyle w:val="InternetLink"/>
                  <w:rFonts w:ascii="Times New Roman;serif" w:hAnsi="Times New Roman;serif"/>
                  <w:b w:val="false"/>
                  <w:color w:val="0000FF"/>
                  <w:sz w:val="20"/>
                  <w:u w:val="single"/>
                </w:rPr>
                <w:t>Item 1.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3">
              <w:r>
                <w:rPr>
                  <w:rStyle w:val="InternetLink"/>
                  <w:rFonts w:ascii="Times New Roman;serif" w:hAnsi="Times New Roman;serif"/>
                  <w:b w:val="false"/>
                  <w:color w:val="0000FF"/>
                  <w:sz w:val="20"/>
                  <w:u w:val="single"/>
                </w:rPr>
                <w:t>2</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6">
              <w:r>
                <w:rPr>
                  <w:rStyle w:val="InternetLink"/>
                  <w:rFonts w:ascii="Times New Roman;serif" w:hAnsi="Times New Roman;serif"/>
                  <w:b w:val="false"/>
                  <w:color w:val="000080"/>
                  <w:sz w:val="20"/>
                  <w:u w:val="single"/>
                </w:rPr>
                <w:t xml:space="preserve">Consolidated Statements of Income for the </w:t>
              </w:r>
            </w:hyperlink>
            <w:hyperlink w:anchor="i758a99e56aa5464382aa6843e8af7f88_16">
              <w:r>
                <w:rPr>
                  <w:rStyle w:val="InternetLink"/>
                  <w:rFonts w:ascii="Times New Roman;serif" w:hAnsi="Times New Roman;serif"/>
                  <w:b w:val="false"/>
                  <w:color w:val="000080"/>
                  <w:sz w:val="20"/>
                  <w:u w:val="single"/>
                </w:rPr>
                <w:t xml:space="preserve">Three and </w:t>
              </w:r>
            </w:hyperlink>
            <w:hyperlink w:anchor="i758a99e56aa5464382aa6843e8af7f88_16">
              <w:r>
                <w:rPr>
                  <w:rStyle w:val="InternetLink"/>
                  <w:rFonts w:ascii="Times New Roman;serif" w:hAnsi="Times New Roman;serif"/>
                  <w:b w:val="false"/>
                  <w:color w:val="000080"/>
                  <w:sz w:val="20"/>
                  <w:u w:val="single"/>
                </w:rPr>
                <w:t>Six Months</w:t>
              </w:r>
            </w:hyperlink>
            <w:hyperlink w:anchor="i758a99e56aa5464382aa6843e8af7f88_16">
              <w:r>
                <w:rPr>
                  <w:rStyle w:val="InternetLink"/>
                  <w:rFonts w:ascii="Times New Roman;serif" w:hAnsi="Times New Roman;serif"/>
                  <w:b w:val="false"/>
                  <w:color w:val="000080"/>
                  <w:sz w:val="20"/>
                  <w:u w:val="single"/>
                </w:rPr>
                <w:t xml:space="preserve"> Ended </w:t>
              </w:r>
            </w:hyperlink>
            <w:hyperlink w:anchor="i758a99e56aa5464382aa6843e8af7f88_16">
              <w:r>
                <w:rPr>
                  <w:rStyle w:val="InternetLink"/>
                  <w:rFonts w:ascii="Times New Roman;serif" w:hAnsi="Times New Roman;serif"/>
                  <w:b w:val="false"/>
                  <w:color w:val="000080"/>
                  <w:sz w:val="20"/>
                  <w:u w:val="single"/>
                </w:rPr>
                <w:t>June</w:t>
              </w:r>
            </w:hyperlink>
            <w:hyperlink w:anchor="i758a99e56aa5464382aa6843e8af7f88_16">
              <w:r>
                <w:rPr>
                  <w:rStyle w:val="InternetLink"/>
                  <w:rFonts w:ascii="Times New Roman;serif" w:hAnsi="Times New Roman;serif"/>
                  <w:b w:val="false"/>
                  <w:color w:val="000080"/>
                  <w:sz w:val="20"/>
                  <w:u w:val="single"/>
                </w:rPr>
                <w:t xml:space="preserve"> 2</w:t>
              </w:r>
            </w:hyperlink>
            <w:hyperlink w:anchor="i758a99e56aa5464382aa6843e8af7f88_16">
              <w:r>
                <w:rPr>
                  <w:rStyle w:val="InternetLink"/>
                  <w:rFonts w:ascii="Times New Roman;serif" w:hAnsi="Times New Roman;serif"/>
                  <w:b w:val="false"/>
                  <w:color w:val="000080"/>
                  <w:sz w:val="20"/>
                  <w:u w:val="single"/>
                </w:rPr>
                <w:t>8</w:t>
              </w:r>
            </w:hyperlink>
            <w:hyperlink w:anchor="i758a99e56aa5464382aa6843e8af7f88_16">
              <w:r>
                <w:rPr>
                  <w:rStyle w:val="InternetLink"/>
                  <w:rFonts w:ascii="Times New Roman;serif" w:hAnsi="Times New Roman;serif"/>
                  <w:b w:val="false"/>
                  <w:color w:val="000080"/>
                  <w:sz w:val="20"/>
                  <w:u w:val="single"/>
                </w:rPr>
                <w:t xml:space="preserve">, 2026 and </w:t>
              </w:r>
            </w:hyperlink>
            <w:hyperlink w:anchor="i758a99e56aa5464382aa6843e8af7f88_16">
              <w:r>
                <w:rPr>
                  <w:rStyle w:val="InternetLink"/>
                  <w:rFonts w:ascii="Times New Roman;serif" w:hAnsi="Times New Roman;serif"/>
                  <w:b w:val="false"/>
                  <w:color w:val="000080"/>
                  <w:sz w:val="20"/>
                  <w:u w:val="single"/>
                </w:rPr>
                <w:t>June</w:t>
              </w:r>
            </w:hyperlink>
            <w:hyperlink w:anchor="i758a99e56aa5464382aa6843e8af7f88_16">
              <w:r>
                <w:rPr>
                  <w:rStyle w:val="InternetLink"/>
                  <w:rFonts w:ascii="Times New Roman;serif" w:hAnsi="Times New Roman;serif"/>
                  <w:b w:val="false"/>
                  <w:color w:val="000080"/>
                  <w:sz w:val="20"/>
                  <w:u w:val="single"/>
                </w:rPr>
                <w:t xml:space="preserve"> </w:t>
              </w:r>
            </w:hyperlink>
            <w:hyperlink w:anchor="i758a99e56aa5464382aa6843e8af7f88_16">
              <w:r>
                <w:rPr>
                  <w:rStyle w:val="InternetLink"/>
                  <w:rFonts w:ascii="Times New Roman;serif" w:hAnsi="Times New Roman;serif"/>
                  <w:b w:val="false"/>
                  <w:color w:val="000080"/>
                  <w:sz w:val="20"/>
                  <w:u w:val="single"/>
                </w:rPr>
                <w:t>2</w:t>
              </w:r>
            </w:hyperlink>
            <w:hyperlink w:anchor="i758a99e56aa5464382aa6843e8af7f88_16">
              <w:r>
                <w:rPr>
                  <w:rStyle w:val="InternetLink"/>
                  <w:rFonts w:ascii="Times New Roman;serif" w:hAnsi="Times New Roman;serif"/>
                  <w:b w:val="false"/>
                  <w:color w:val="000080"/>
                  <w:sz w:val="20"/>
                  <w:u w:val="single"/>
                </w:rPr>
                <w:t>9</w:t>
              </w:r>
            </w:hyperlink>
            <w:hyperlink w:anchor="i758a99e56aa5464382aa6843e8af7f88_16">
              <w:r>
                <w:rPr>
                  <w:rStyle w:val="InternetLink"/>
                  <w:rFonts w:ascii="Times New Roman;serif" w:hAnsi="Times New Roman;serif"/>
                  <w:b w:val="false"/>
                  <w:color w:val="000080"/>
                  <w:sz w:val="20"/>
                  <w:u w:val="single"/>
                </w:rPr>
                <w:t>,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6">
              <w:r>
                <w:rPr>
                  <w:rStyle w:val="InternetLink"/>
                  <w:rFonts w:ascii="Times New Roman;serif" w:hAnsi="Times New Roman;serif"/>
                  <w:b w:val="false"/>
                  <w:color w:val="0000FF"/>
                  <w:sz w:val="20"/>
                  <w:u w:val="single"/>
                </w:rPr>
                <w:t>2</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9">
              <w:r>
                <w:rPr>
                  <w:rStyle w:val="InternetLink"/>
                  <w:rFonts w:ascii="Times New Roman;serif" w:hAnsi="Times New Roman;serif"/>
                  <w:b w:val="false"/>
                  <w:color w:val="000080"/>
                  <w:sz w:val="20"/>
                  <w:u w:val="single"/>
                </w:rPr>
                <w:t>Consolidated Statements of Comprehensive Income for the</w:t>
              </w:r>
            </w:hyperlink>
            <w:hyperlink w:anchor="i758a99e56aa5464382aa6843e8af7f88_19">
              <w:r>
                <w:rPr>
                  <w:rStyle w:val="InternetLink"/>
                  <w:rFonts w:ascii="Times New Roman;serif" w:hAnsi="Times New Roman;serif"/>
                  <w:b w:val="false"/>
                  <w:color w:val="000080"/>
                  <w:sz w:val="20"/>
                  <w:u w:val="single"/>
                </w:rPr>
                <w:t xml:space="preserve"> Three and</w:t>
              </w:r>
            </w:hyperlink>
            <w:hyperlink w:anchor="i758a99e56aa5464382aa6843e8af7f88_19">
              <w:r>
                <w:rPr>
                  <w:rStyle w:val="InternetLink"/>
                  <w:rFonts w:ascii="Times New Roman;serif" w:hAnsi="Times New Roman;serif"/>
                  <w:b w:val="false"/>
                  <w:color w:val="000080"/>
                  <w:sz w:val="20"/>
                  <w:u w:val="single"/>
                </w:rPr>
                <w:t xml:space="preserve"> </w:t>
              </w:r>
            </w:hyperlink>
            <w:hyperlink w:anchor="i758a99e56aa5464382aa6843e8af7f88_19">
              <w:r>
                <w:rPr>
                  <w:rStyle w:val="InternetLink"/>
                  <w:rFonts w:ascii="Times New Roman;serif" w:hAnsi="Times New Roman;serif"/>
                  <w:b w:val="false"/>
                  <w:color w:val="000080"/>
                  <w:sz w:val="20"/>
                  <w:u w:val="single"/>
                </w:rPr>
                <w:t>S</w:t>
              </w:r>
            </w:hyperlink>
            <w:hyperlink w:anchor="i758a99e56aa5464382aa6843e8af7f88_19">
              <w:r>
                <w:rPr>
                  <w:rStyle w:val="InternetLink"/>
                  <w:rFonts w:ascii="Times New Roman;serif" w:hAnsi="Times New Roman;serif"/>
                  <w:b w:val="false"/>
                  <w:color w:val="000080"/>
                  <w:sz w:val="20"/>
                  <w:u w:val="single"/>
                </w:rPr>
                <w:t>ix</w:t>
              </w:r>
            </w:hyperlink>
            <w:hyperlink w:anchor="i758a99e56aa5464382aa6843e8af7f88_19">
              <w:r>
                <w:rPr>
                  <w:rStyle w:val="InternetLink"/>
                  <w:rFonts w:ascii="Times New Roman;serif" w:hAnsi="Times New Roman;serif"/>
                  <w:b w:val="false"/>
                  <w:color w:val="000080"/>
                  <w:sz w:val="20"/>
                  <w:u w:val="single"/>
                </w:rPr>
                <w:t xml:space="preserve"> Months Ended </w:t>
              </w:r>
            </w:hyperlink>
            <w:hyperlink w:anchor="i758a99e56aa5464382aa6843e8af7f88_16">
              <w:r>
                <w:rPr>
                  <w:rStyle w:val="InternetLink"/>
                  <w:rFonts w:ascii="Times New Roman;serif" w:hAnsi="Times New Roman;serif"/>
                  <w:b w:val="false"/>
                  <w:color w:val="000080"/>
                  <w:sz w:val="20"/>
                  <w:u w:val="single"/>
                </w:rPr>
                <w:t>June</w:t>
              </w:r>
            </w:hyperlink>
            <w:hyperlink w:anchor="i758a99e56aa5464382aa6843e8af7f88_16">
              <w:r>
                <w:rPr>
                  <w:rStyle w:val="InternetLink"/>
                  <w:rFonts w:ascii="Times New Roman;serif" w:hAnsi="Times New Roman;serif"/>
                  <w:b w:val="false"/>
                  <w:color w:val="000080"/>
                  <w:sz w:val="20"/>
                  <w:u w:val="single"/>
                </w:rPr>
                <w:t xml:space="preserve"> 2</w:t>
              </w:r>
            </w:hyperlink>
            <w:hyperlink w:anchor="i758a99e56aa5464382aa6843e8af7f88_16">
              <w:r>
                <w:rPr>
                  <w:rStyle w:val="InternetLink"/>
                  <w:rFonts w:ascii="Times New Roman;serif" w:hAnsi="Times New Roman;serif"/>
                  <w:b w:val="false"/>
                  <w:color w:val="000080"/>
                  <w:sz w:val="20"/>
                  <w:u w:val="single"/>
                </w:rPr>
                <w:t>8</w:t>
              </w:r>
            </w:hyperlink>
            <w:hyperlink w:anchor="i758a99e56aa5464382aa6843e8af7f88_16">
              <w:r>
                <w:rPr>
                  <w:rStyle w:val="InternetLink"/>
                  <w:rFonts w:ascii="Times New Roman;serif" w:hAnsi="Times New Roman;serif"/>
                  <w:b w:val="false"/>
                  <w:color w:val="000080"/>
                  <w:sz w:val="20"/>
                  <w:u w:val="single"/>
                </w:rPr>
                <w:t xml:space="preserve">, 2026 and </w:t>
              </w:r>
            </w:hyperlink>
            <w:hyperlink w:anchor="i758a99e56aa5464382aa6843e8af7f88_16">
              <w:r>
                <w:rPr>
                  <w:rStyle w:val="InternetLink"/>
                  <w:rFonts w:ascii="Times New Roman;serif" w:hAnsi="Times New Roman;serif"/>
                  <w:b w:val="false"/>
                  <w:color w:val="000080"/>
                  <w:sz w:val="20"/>
                  <w:u w:val="single"/>
                </w:rPr>
                <w:t>June</w:t>
              </w:r>
            </w:hyperlink>
            <w:hyperlink w:anchor="i758a99e56aa5464382aa6843e8af7f88_16">
              <w:r>
                <w:rPr>
                  <w:rStyle w:val="InternetLink"/>
                  <w:rFonts w:ascii="Times New Roman;serif" w:hAnsi="Times New Roman;serif"/>
                  <w:b w:val="false"/>
                  <w:color w:val="000080"/>
                  <w:sz w:val="20"/>
                  <w:u w:val="single"/>
                </w:rPr>
                <w:t xml:space="preserve"> </w:t>
              </w:r>
            </w:hyperlink>
            <w:hyperlink w:anchor="i758a99e56aa5464382aa6843e8af7f88_16">
              <w:r>
                <w:rPr>
                  <w:rStyle w:val="InternetLink"/>
                  <w:rFonts w:ascii="Times New Roman;serif" w:hAnsi="Times New Roman;serif"/>
                  <w:b w:val="false"/>
                  <w:color w:val="000080"/>
                  <w:sz w:val="20"/>
                  <w:u w:val="single"/>
                </w:rPr>
                <w:t>29</w:t>
              </w:r>
            </w:hyperlink>
            <w:hyperlink w:anchor="i758a99e56aa5464382aa6843e8af7f88_16">
              <w:r>
                <w:rPr>
                  <w:rStyle w:val="InternetLink"/>
                  <w:rFonts w:ascii="Times New Roman;serif" w:hAnsi="Times New Roman;serif"/>
                  <w:b w:val="false"/>
                  <w:color w:val="000080"/>
                  <w:sz w:val="20"/>
                  <w:u w:val="single"/>
                </w:rPr>
                <w:t>,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9">
              <w:r>
                <w:rPr>
                  <w:rStyle w:val="InternetLink"/>
                  <w:rFonts w:ascii="Times New Roman;serif" w:hAnsi="Times New Roman;serif"/>
                  <w:b w:val="false"/>
                  <w:color w:val="0000FF"/>
                  <w:sz w:val="20"/>
                  <w:u w:val="single"/>
                </w:rPr>
                <w:t>3</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22">
              <w:r>
                <w:rPr>
                  <w:rStyle w:val="InternetLink"/>
                  <w:rFonts w:ascii="Times New Roman;serif" w:hAnsi="Times New Roman;serif"/>
                  <w:b w:val="false"/>
                  <w:color w:val="000080"/>
                  <w:sz w:val="20"/>
                  <w:u w:val="single"/>
                </w:rPr>
                <w:t xml:space="preserve">Consolidated Balance Sheets as of </w:t>
              </w:r>
            </w:hyperlink>
            <w:hyperlink w:anchor="i758a99e56aa5464382aa6843e8af7f88_22">
              <w:r>
                <w:rPr>
                  <w:rStyle w:val="InternetLink"/>
                  <w:rFonts w:ascii="Times New Roman;serif" w:hAnsi="Times New Roman;serif"/>
                  <w:b w:val="false"/>
                  <w:color w:val="000080"/>
                  <w:sz w:val="20"/>
                  <w:u w:val="single"/>
                </w:rPr>
                <w:t>June</w:t>
              </w:r>
            </w:hyperlink>
            <w:hyperlink w:anchor="i758a99e56aa5464382aa6843e8af7f88_22">
              <w:r>
                <w:rPr>
                  <w:rStyle w:val="InternetLink"/>
                  <w:rFonts w:ascii="Times New Roman;serif" w:hAnsi="Times New Roman;serif"/>
                  <w:b w:val="false"/>
                  <w:color w:val="000080"/>
                  <w:sz w:val="20"/>
                  <w:u w:val="single"/>
                </w:rPr>
                <w:t xml:space="preserve"> 2</w:t>
              </w:r>
            </w:hyperlink>
            <w:hyperlink w:anchor="i758a99e56aa5464382aa6843e8af7f88_22">
              <w:r>
                <w:rPr>
                  <w:rStyle w:val="InternetLink"/>
                  <w:rFonts w:ascii="Times New Roman;serif" w:hAnsi="Times New Roman;serif"/>
                  <w:b w:val="false"/>
                  <w:color w:val="000080"/>
                  <w:sz w:val="20"/>
                  <w:u w:val="single"/>
                </w:rPr>
                <w:t>8</w:t>
              </w:r>
            </w:hyperlink>
            <w:hyperlink w:anchor="i758a99e56aa5464382aa6843e8af7f88_22">
              <w:r>
                <w:rPr>
                  <w:rStyle w:val="InternetLink"/>
                  <w:rFonts w:ascii="Times New Roman;serif" w:hAnsi="Times New Roman;serif"/>
                  <w:b w:val="false"/>
                  <w:color w:val="000080"/>
                  <w:sz w:val="20"/>
                  <w:u w:val="single"/>
                </w:rPr>
                <w:t>, 2026 and December 31,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22">
              <w:r>
                <w:rPr>
                  <w:rStyle w:val="InternetLink"/>
                  <w:rFonts w:ascii="Times New Roman;serif" w:hAnsi="Times New Roman;serif"/>
                  <w:b w:val="false"/>
                  <w:color w:val="0000FF"/>
                  <w:sz w:val="20"/>
                  <w:u w:val="single"/>
                </w:rPr>
                <w:t>4</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28">
              <w:r>
                <w:rPr>
                  <w:rStyle w:val="InternetLink"/>
                  <w:rFonts w:ascii="Times New Roman;serif" w:hAnsi="Times New Roman;serif"/>
                  <w:b w:val="false"/>
                  <w:color w:val="000080"/>
                  <w:sz w:val="20"/>
                  <w:u w:val="single"/>
                </w:rPr>
                <w:t xml:space="preserve">Consolidated Statements of Cash Flows for the </w:t>
              </w:r>
            </w:hyperlink>
            <w:hyperlink w:anchor="i758a99e56aa5464382aa6843e8af7f88_28">
              <w:r>
                <w:rPr>
                  <w:rStyle w:val="InternetLink"/>
                  <w:rFonts w:ascii="Times New Roman;serif" w:hAnsi="Times New Roman;serif"/>
                  <w:b w:val="false"/>
                  <w:color w:val="000080"/>
                  <w:sz w:val="20"/>
                  <w:u w:val="single"/>
                </w:rPr>
                <w:t>S</w:t>
              </w:r>
            </w:hyperlink>
            <w:hyperlink w:anchor="i758a99e56aa5464382aa6843e8af7f88_28">
              <w:r>
                <w:rPr>
                  <w:rStyle w:val="InternetLink"/>
                  <w:rFonts w:ascii="Times New Roman;serif" w:hAnsi="Times New Roman;serif"/>
                  <w:b w:val="false"/>
                  <w:color w:val="000080"/>
                  <w:sz w:val="20"/>
                  <w:u w:val="single"/>
                </w:rPr>
                <w:t>ix</w:t>
              </w:r>
            </w:hyperlink>
            <w:hyperlink w:anchor="i758a99e56aa5464382aa6843e8af7f88_28">
              <w:r>
                <w:rPr>
                  <w:rStyle w:val="InternetLink"/>
                  <w:rFonts w:ascii="Times New Roman;serif" w:hAnsi="Times New Roman;serif"/>
                  <w:b w:val="false"/>
                  <w:color w:val="000080"/>
                  <w:sz w:val="20"/>
                  <w:u w:val="single"/>
                </w:rPr>
                <w:t xml:space="preserve"> Months Ended</w:t>
              </w:r>
            </w:hyperlink>
            <w:hyperlink w:anchor="i758a99e56aa5464382aa6843e8af7f88_28">
              <w:r>
                <w:rPr>
                  <w:rStyle w:val="InternetLink"/>
                  <w:rFonts w:ascii="Times New Roman;serif" w:hAnsi="Times New Roman;serif"/>
                  <w:b w:val="false"/>
                  <w:color w:val="000080"/>
                  <w:sz w:val="20"/>
                  <w:u w:val="single"/>
                </w:rPr>
                <w:t xml:space="preserve"> </w:t>
              </w:r>
            </w:hyperlink>
            <w:hyperlink w:anchor="i758a99e56aa5464382aa6843e8af7f88_16">
              <w:r>
                <w:rPr>
                  <w:rStyle w:val="InternetLink"/>
                  <w:rFonts w:ascii="Times New Roman;serif" w:hAnsi="Times New Roman;serif"/>
                  <w:b w:val="false"/>
                  <w:color w:val="000080"/>
                  <w:sz w:val="20"/>
                  <w:u w:val="single"/>
                </w:rPr>
                <w:t>June</w:t>
              </w:r>
            </w:hyperlink>
            <w:hyperlink w:anchor="i758a99e56aa5464382aa6843e8af7f88_16">
              <w:r>
                <w:rPr>
                  <w:rStyle w:val="InternetLink"/>
                  <w:rFonts w:ascii="Times New Roman;serif" w:hAnsi="Times New Roman;serif"/>
                  <w:b w:val="false"/>
                  <w:color w:val="000080"/>
                  <w:sz w:val="20"/>
                  <w:u w:val="single"/>
                </w:rPr>
                <w:t xml:space="preserve"> 2</w:t>
              </w:r>
            </w:hyperlink>
            <w:hyperlink w:anchor="i758a99e56aa5464382aa6843e8af7f88_16">
              <w:r>
                <w:rPr>
                  <w:rStyle w:val="InternetLink"/>
                  <w:rFonts w:ascii="Times New Roman;serif" w:hAnsi="Times New Roman;serif"/>
                  <w:b w:val="false"/>
                  <w:color w:val="000080"/>
                  <w:sz w:val="20"/>
                  <w:u w:val="single"/>
                </w:rPr>
                <w:t>8</w:t>
              </w:r>
            </w:hyperlink>
            <w:hyperlink w:anchor="i758a99e56aa5464382aa6843e8af7f88_16">
              <w:r>
                <w:rPr>
                  <w:rStyle w:val="InternetLink"/>
                  <w:rFonts w:ascii="Times New Roman;serif" w:hAnsi="Times New Roman;serif"/>
                  <w:b w:val="false"/>
                  <w:color w:val="000080"/>
                  <w:sz w:val="20"/>
                  <w:u w:val="single"/>
                </w:rPr>
                <w:t xml:space="preserve">, 2026 and </w:t>
              </w:r>
            </w:hyperlink>
            <w:hyperlink w:anchor="i758a99e56aa5464382aa6843e8af7f88_16">
              <w:r>
                <w:rPr>
                  <w:rStyle w:val="InternetLink"/>
                  <w:rFonts w:ascii="Times New Roman;serif" w:hAnsi="Times New Roman;serif"/>
                  <w:b w:val="false"/>
                  <w:color w:val="000080"/>
                  <w:sz w:val="20"/>
                  <w:u w:val="single"/>
                </w:rPr>
                <w:t>June</w:t>
              </w:r>
            </w:hyperlink>
            <w:hyperlink w:anchor="i758a99e56aa5464382aa6843e8af7f88_16">
              <w:r>
                <w:rPr>
                  <w:rStyle w:val="InternetLink"/>
                  <w:rFonts w:ascii="Times New Roman;serif" w:hAnsi="Times New Roman;serif"/>
                  <w:b w:val="false"/>
                  <w:color w:val="000080"/>
                  <w:sz w:val="20"/>
                  <w:u w:val="single"/>
                </w:rPr>
                <w:t xml:space="preserve"> 29</w:t>
              </w:r>
            </w:hyperlink>
            <w:hyperlink w:anchor="i758a99e56aa5464382aa6843e8af7f88_16">
              <w:r>
                <w:rPr>
                  <w:rStyle w:val="InternetLink"/>
                  <w:rFonts w:ascii="Times New Roman;serif" w:hAnsi="Times New Roman;serif"/>
                  <w:b w:val="false"/>
                  <w:color w:val="000080"/>
                  <w:sz w:val="20"/>
                  <w:u w:val="single"/>
                </w:rPr>
                <w:t>,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28">
              <w:r>
                <w:rPr>
                  <w:rStyle w:val="InternetLink"/>
                  <w:rFonts w:ascii="Times New Roman;serif" w:hAnsi="Times New Roman;serif"/>
                  <w:b w:val="false"/>
                  <w:color w:val="0000FF"/>
                  <w:sz w:val="20"/>
                  <w:u w:val="single"/>
                </w:rPr>
                <w:t>5</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31">
              <w:r>
                <w:rPr>
                  <w:rStyle w:val="InternetLink"/>
                  <w:rFonts w:ascii="Times New Roman;serif" w:hAnsi="Times New Roman;serif"/>
                  <w:b w:val="false"/>
                  <w:color w:val="000080"/>
                  <w:sz w:val="20"/>
                  <w:u w:val="single"/>
                </w:rPr>
                <w:t>Consolidated Statements of Stockholders’ Equity for the Three</w:t>
              </w:r>
            </w:hyperlink>
            <w:hyperlink w:anchor="i758a99e56aa5464382aa6843e8af7f88_31">
              <w:r>
                <w:rPr>
                  <w:rStyle w:val="InternetLink"/>
                  <w:rFonts w:ascii="Times New Roman;serif" w:hAnsi="Times New Roman;serif"/>
                  <w:b w:val="false"/>
                  <w:color w:val="000080"/>
                  <w:sz w:val="20"/>
                  <w:u w:val="single"/>
                </w:rPr>
                <w:t xml:space="preserve"> and Six</w:t>
              </w:r>
            </w:hyperlink>
            <w:hyperlink w:anchor="i758a99e56aa5464382aa6843e8af7f88_31">
              <w:r>
                <w:rPr>
                  <w:rStyle w:val="InternetLink"/>
                  <w:rFonts w:ascii="Times New Roman;serif" w:hAnsi="Times New Roman;serif"/>
                  <w:b w:val="false"/>
                  <w:color w:val="000080"/>
                  <w:sz w:val="20"/>
                  <w:u w:val="single"/>
                </w:rPr>
                <w:t xml:space="preserve"> Months Ended </w:t>
              </w:r>
            </w:hyperlink>
            <w:hyperlink w:anchor="i758a99e56aa5464382aa6843e8af7f88_31">
              <w:r>
                <w:rPr>
                  <w:rStyle w:val="InternetLink"/>
                  <w:rFonts w:ascii="Times New Roman;serif" w:hAnsi="Times New Roman;serif"/>
                  <w:b w:val="false"/>
                  <w:color w:val="000080"/>
                  <w:sz w:val="20"/>
                  <w:u w:val="single"/>
                </w:rPr>
                <w:t>Ju</w:t>
              </w:r>
            </w:hyperlink>
            <w:hyperlink w:anchor="i758a99e56aa5464382aa6843e8af7f88_31">
              <w:r>
                <w:rPr>
                  <w:rStyle w:val="InternetLink"/>
                  <w:rFonts w:ascii="Times New Roman;serif" w:hAnsi="Times New Roman;serif"/>
                  <w:b w:val="false"/>
                  <w:color w:val="000080"/>
                  <w:sz w:val="20"/>
                  <w:u w:val="single"/>
                </w:rPr>
                <w:t>ne</w:t>
              </w:r>
            </w:hyperlink>
            <w:hyperlink w:anchor="i758a99e56aa5464382aa6843e8af7f88_31">
              <w:r>
                <w:rPr>
                  <w:rStyle w:val="InternetLink"/>
                  <w:rFonts w:ascii="Times New Roman;serif" w:hAnsi="Times New Roman;serif"/>
                  <w:b w:val="false"/>
                  <w:color w:val="000080"/>
                  <w:sz w:val="20"/>
                  <w:u w:val="single"/>
                </w:rPr>
                <w:t xml:space="preserve"> 2</w:t>
              </w:r>
            </w:hyperlink>
            <w:hyperlink w:anchor="i758a99e56aa5464382aa6843e8af7f88_31">
              <w:r>
                <w:rPr>
                  <w:rStyle w:val="InternetLink"/>
                  <w:rFonts w:ascii="Times New Roman;serif" w:hAnsi="Times New Roman;serif"/>
                  <w:b w:val="false"/>
                  <w:color w:val="000080"/>
                  <w:sz w:val="20"/>
                  <w:u w:val="single"/>
                </w:rPr>
                <w:t>8</w:t>
              </w:r>
            </w:hyperlink>
            <w:hyperlink w:anchor="i758a99e56aa5464382aa6843e8af7f88_31">
              <w:r>
                <w:rPr>
                  <w:rStyle w:val="InternetLink"/>
                  <w:rFonts w:ascii="Times New Roman;serif" w:hAnsi="Times New Roman;serif"/>
                  <w:b w:val="false"/>
                  <w:color w:val="000080"/>
                  <w:sz w:val="20"/>
                  <w:u w:val="single"/>
                </w:rPr>
                <w:t xml:space="preserve">, 2026 and </w:t>
              </w:r>
            </w:hyperlink>
            <w:hyperlink w:anchor="i758a99e56aa5464382aa6843e8af7f88_31">
              <w:r>
                <w:rPr>
                  <w:rStyle w:val="InternetLink"/>
                  <w:rFonts w:ascii="Times New Roman;serif" w:hAnsi="Times New Roman;serif"/>
                  <w:b w:val="false"/>
                  <w:color w:val="000080"/>
                  <w:sz w:val="20"/>
                  <w:u w:val="single"/>
                </w:rPr>
                <w:t>June</w:t>
              </w:r>
            </w:hyperlink>
            <w:hyperlink w:anchor="i758a99e56aa5464382aa6843e8af7f88_31">
              <w:r>
                <w:rPr>
                  <w:rStyle w:val="InternetLink"/>
                  <w:rFonts w:ascii="Times New Roman;serif" w:hAnsi="Times New Roman;serif"/>
                  <w:b w:val="false"/>
                  <w:color w:val="000080"/>
                  <w:sz w:val="20"/>
                  <w:u w:val="single"/>
                </w:rPr>
                <w:t xml:space="preserve"> </w:t>
              </w:r>
            </w:hyperlink>
            <w:hyperlink w:anchor="i758a99e56aa5464382aa6843e8af7f88_31">
              <w:r>
                <w:rPr>
                  <w:rStyle w:val="InternetLink"/>
                  <w:rFonts w:ascii="Times New Roman;serif" w:hAnsi="Times New Roman;serif"/>
                  <w:b w:val="false"/>
                  <w:color w:val="000080"/>
                  <w:sz w:val="20"/>
                  <w:u w:val="single"/>
                </w:rPr>
                <w:t>29</w:t>
              </w:r>
            </w:hyperlink>
            <w:hyperlink w:anchor="i758a99e56aa5464382aa6843e8af7f88_31">
              <w:r>
                <w:rPr>
                  <w:rStyle w:val="InternetLink"/>
                  <w:rFonts w:ascii="Times New Roman;serif" w:hAnsi="Times New Roman;serif"/>
                  <w:b w:val="false"/>
                  <w:color w:val="000080"/>
                  <w:sz w:val="20"/>
                  <w:u w:val="single"/>
                </w:rPr>
                <w:t>,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31">
              <w:r>
                <w:rPr>
                  <w:rStyle w:val="InternetLink"/>
                  <w:rFonts w:ascii="Times New Roman;serif" w:hAnsi="Times New Roman;serif"/>
                  <w:b w:val="false"/>
                  <w:color w:val="0000FF"/>
                  <w:sz w:val="20"/>
                  <w:u w:val="single"/>
                </w:rPr>
                <w:t>6</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37">
              <w:r>
                <w:rPr>
                  <w:rStyle w:val="InternetLink"/>
                  <w:rFonts w:ascii="Times New Roman;serif" w:hAnsi="Times New Roman;serif"/>
                  <w:b w:val="false"/>
                  <w:color w:val="0000FF"/>
                  <w:sz w:val="20"/>
                  <w:u w:val="single"/>
                </w:rPr>
                <w:t>Notes to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37">
              <w:r>
                <w:rPr>
                  <w:rStyle w:val="InternetLink"/>
                  <w:rFonts w:ascii="Times New Roman;serif" w:hAnsi="Times New Roman;serif"/>
                  <w:b w:val="false"/>
                  <w:color w:val="0000FF"/>
                  <w:sz w:val="20"/>
                  <w:u w:val="single"/>
                </w:rPr>
                <w:t>8</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40">
              <w:r>
                <w:rPr>
                  <w:rStyle w:val="InternetLink"/>
                  <w:rFonts w:ascii="Times New Roman;serif" w:hAnsi="Times New Roman;serif"/>
                  <w:b w:val="false"/>
                  <w:color w:val="0000FF"/>
                  <w:sz w:val="20"/>
                  <w:u w:val="single"/>
                </w:rPr>
                <w:t>Note 1 - Summary of Significant Accounting Policies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40">
              <w:r>
                <w:rPr>
                  <w:rStyle w:val="InternetLink"/>
                  <w:rFonts w:ascii="Times New Roman;serif" w:hAnsi="Times New Roman;serif"/>
                  <w:b w:val="false"/>
                  <w:color w:val="0000FF"/>
                  <w:sz w:val="20"/>
                  <w:u w:val="single"/>
                </w:rPr>
                <w:t>8</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43">
              <w:r>
                <w:rPr>
                  <w:rStyle w:val="InternetLink"/>
                  <w:rFonts w:ascii="Times New Roman;serif" w:hAnsi="Times New Roman;serif"/>
                  <w:b w:val="false"/>
                  <w:color w:val="0000FF"/>
                  <w:sz w:val="20"/>
                  <w:u w:val="single"/>
                </w:rPr>
                <w:t>Note 2 - Business Acquisitions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43">
              <w:r>
                <w:rPr>
                  <w:rStyle w:val="InternetLink"/>
                  <w:rFonts w:ascii="Times New Roman;serif" w:hAnsi="Times New Roman;serif"/>
                  <w:b w:val="false"/>
                  <w:color w:val="0000FF"/>
                  <w:sz w:val="20"/>
                  <w:u w:val="single"/>
                </w:rPr>
                <w:t>9</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46">
              <w:r>
                <w:rPr>
                  <w:rStyle w:val="InternetLink"/>
                  <w:rFonts w:ascii="Times New Roman;serif" w:hAnsi="Times New Roman;serif"/>
                  <w:b w:val="false"/>
                  <w:color w:val="0000FF"/>
                  <w:sz w:val="20"/>
                  <w:u w:val="single"/>
                </w:rPr>
                <w:t>Note 3 - Goodwill and Intangible Assets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46">
              <w:r>
                <w:rPr>
                  <w:rStyle w:val="InternetLink"/>
                  <w:rFonts w:ascii="Times New Roman;serif" w:hAnsi="Times New Roman;serif"/>
                  <w:b w:val="false"/>
                  <w:color w:val="0000FF"/>
                  <w:sz w:val="20"/>
                  <w:u w:val="single"/>
                </w:rPr>
                <w:t>10</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49">
              <w:r>
                <w:rPr>
                  <w:rStyle w:val="InternetLink"/>
                  <w:rFonts w:ascii="Times New Roman;serif" w:hAnsi="Times New Roman;serif"/>
                  <w:b w:val="false"/>
                  <w:color w:val="0000FF"/>
                  <w:sz w:val="20"/>
                  <w:u w:val="single"/>
                </w:rPr>
                <w:t>Note 4 - Short and Long-Term Debt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49">
              <w:r>
                <w:rPr>
                  <w:rStyle w:val="InternetLink"/>
                  <w:rFonts w:ascii="Times New Roman;serif" w:hAnsi="Times New Roman;serif"/>
                  <w:b w:val="false"/>
                  <w:color w:val="0000FF"/>
                  <w:sz w:val="20"/>
                  <w:u w:val="single"/>
                </w:rPr>
                <w:t>11</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55">
              <w:r>
                <w:rPr>
                  <w:rStyle w:val="InternetLink"/>
                  <w:rFonts w:ascii="Times New Roman;serif" w:hAnsi="Times New Roman;serif"/>
                  <w:b w:val="false"/>
                  <w:color w:val="0000FF"/>
                  <w:sz w:val="20"/>
                  <w:u w:val="single"/>
                </w:rPr>
                <w:t>Note 5 - Derivative Instruments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55">
              <w:r>
                <w:rPr>
                  <w:rStyle w:val="InternetLink"/>
                  <w:rFonts w:ascii="Times New Roman;serif" w:hAnsi="Times New Roman;serif"/>
                  <w:b w:val="false"/>
                  <w:color w:val="0000FF"/>
                  <w:sz w:val="20"/>
                  <w:u w:val="single"/>
                </w:rPr>
                <w:t>12</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61">
              <w:r>
                <w:rPr>
                  <w:rStyle w:val="InternetLink"/>
                  <w:rFonts w:ascii="Times New Roman;serif" w:hAnsi="Times New Roman;serif"/>
                  <w:b w:val="false"/>
                  <w:color w:val="0000FF"/>
                  <w:sz w:val="20"/>
                  <w:u w:val="single"/>
                </w:rPr>
                <w:t>Note 6 - Fair Value Measurements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61">
              <w:r>
                <w:rPr>
                  <w:rStyle w:val="InternetLink"/>
                  <w:rFonts w:ascii="Times New Roman;serif" w:hAnsi="Times New Roman;serif"/>
                  <w:b w:val="false"/>
                  <w:color w:val="0000FF"/>
                  <w:sz w:val="20"/>
                  <w:u w:val="single"/>
                </w:rPr>
                <w:t>15</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64">
              <w:r>
                <w:rPr>
                  <w:rStyle w:val="InternetLink"/>
                  <w:rFonts w:ascii="Times New Roman;serif" w:hAnsi="Times New Roman;serif"/>
                  <w:b w:val="false"/>
                  <w:color w:val="0000FF"/>
                  <w:sz w:val="20"/>
                  <w:u w:val="single"/>
                </w:rPr>
                <w:t>Note 7 - Leases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64">
              <w:r>
                <w:rPr>
                  <w:rStyle w:val="InternetLink"/>
                  <w:rFonts w:ascii="Times New Roman;serif" w:hAnsi="Times New Roman;serif"/>
                  <w:b w:val="false"/>
                  <w:color w:val="0000FF"/>
                  <w:sz w:val="20"/>
                  <w:u w:val="single"/>
                </w:rPr>
                <w:t>17</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0">
              <w:r>
                <w:rPr>
                  <w:rStyle w:val="InternetLink"/>
                  <w:rFonts w:ascii="Times New Roman;serif" w:hAnsi="Times New Roman;serif"/>
                  <w:b w:val="false"/>
                  <w:color w:val="0000FF"/>
                  <w:sz w:val="20"/>
                  <w:u w:val="single"/>
                </w:rPr>
                <w:t>Note 8 - Investments in Unconsolidated Affiliates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70">
              <w:r>
                <w:rPr>
                  <w:rStyle w:val="InternetLink"/>
                  <w:rFonts w:ascii="Times New Roman;serif" w:hAnsi="Times New Roman;serif"/>
                  <w:b w:val="false"/>
                  <w:color w:val="0000FF"/>
                  <w:sz w:val="20"/>
                  <w:u w:val="single"/>
                </w:rPr>
                <w:t>20</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3">
              <w:r>
                <w:rPr>
                  <w:rStyle w:val="InternetLink"/>
                  <w:rFonts w:ascii="Times New Roman;serif" w:hAnsi="Times New Roman;serif"/>
                  <w:b w:val="false"/>
                  <w:color w:val="0000FF"/>
                  <w:sz w:val="20"/>
                  <w:u w:val="single"/>
                </w:rPr>
                <w:t>Note 9 - Business Realignment Activities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73">
              <w:r>
                <w:rPr>
                  <w:rStyle w:val="InternetLink"/>
                  <w:rFonts w:ascii="Times New Roman;serif" w:hAnsi="Times New Roman;serif"/>
                  <w:b w:val="false"/>
                  <w:color w:val="0000FF"/>
                  <w:sz w:val="20"/>
                  <w:u w:val="single"/>
                </w:rPr>
                <w:t>20</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6">
              <w:r>
                <w:rPr>
                  <w:rStyle w:val="InternetLink"/>
                  <w:rFonts w:ascii="Times New Roman;serif" w:hAnsi="Times New Roman;serif"/>
                  <w:b w:val="false"/>
                  <w:color w:val="0000FF"/>
                  <w:sz w:val="20"/>
                  <w:u w:val="single"/>
                </w:rPr>
                <w:t>Note 10 - Income Taxes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76">
              <w:r>
                <w:rPr>
                  <w:rStyle w:val="InternetLink"/>
                  <w:rFonts w:ascii="Times New Roman;serif" w:hAnsi="Times New Roman;serif"/>
                  <w:b w:val="false"/>
                  <w:color w:val="0000FF"/>
                  <w:sz w:val="20"/>
                  <w:u w:val="single"/>
                </w:rPr>
                <w:t>21</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9">
              <w:r>
                <w:rPr>
                  <w:rStyle w:val="InternetLink"/>
                  <w:rFonts w:ascii="Times New Roman;serif" w:hAnsi="Times New Roman;serif"/>
                  <w:b w:val="false"/>
                  <w:color w:val="0000FF"/>
                  <w:sz w:val="20"/>
                  <w:u w:val="single"/>
                </w:rPr>
                <w:t>Note 11 - Pension and Other Post-Retirement Benefit Plans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79">
              <w:r>
                <w:rPr>
                  <w:rStyle w:val="InternetLink"/>
                  <w:rFonts w:ascii="Times New Roman;serif" w:hAnsi="Times New Roman;serif"/>
                  <w:b w:val="false"/>
                  <w:color w:val="0000FF"/>
                  <w:sz w:val="20"/>
                  <w:u w:val="single"/>
                </w:rPr>
                <w:t>22</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85">
              <w:r>
                <w:rPr>
                  <w:rStyle w:val="InternetLink"/>
                  <w:rFonts w:ascii="Times New Roman;serif" w:hAnsi="Times New Roman;serif"/>
                  <w:b w:val="false"/>
                  <w:color w:val="0000FF"/>
                  <w:sz w:val="20"/>
                  <w:u w:val="single"/>
                </w:rPr>
                <w:t>Note 12 - Stock Compensation Plans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85">
              <w:r>
                <w:rPr>
                  <w:rStyle w:val="InternetLink"/>
                  <w:rFonts w:ascii="Times New Roman;serif" w:hAnsi="Times New Roman;serif"/>
                  <w:b w:val="false"/>
                  <w:color w:val="0000FF"/>
                  <w:sz w:val="20"/>
                  <w:u w:val="single"/>
                </w:rPr>
                <w:t>23</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91">
              <w:r>
                <w:rPr>
                  <w:rStyle w:val="InternetLink"/>
                  <w:rFonts w:ascii="Times New Roman;serif" w:hAnsi="Times New Roman;serif"/>
                  <w:b w:val="false"/>
                  <w:color w:val="0000FF"/>
                  <w:sz w:val="20"/>
                  <w:u w:val="single"/>
                </w:rPr>
                <w:t>Note 13 - Segment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91">
              <w:r>
                <w:rPr>
                  <w:rStyle w:val="InternetLink"/>
                  <w:rFonts w:ascii="Times New Roman;serif" w:hAnsi="Times New Roman;serif"/>
                  <w:b w:val="false"/>
                  <w:color w:val="0000FF"/>
                  <w:sz w:val="20"/>
                  <w:u w:val="single"/>
                </w:rPr>
                <w:t>26</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97">
              <w:r>
                <w:rPr>
                  <w:rStyle w:val="InternetLink"/>
                  <w:rFonts w:ascii="Times New Roman;serif" w:hAnsi="Times New Roman;serif"/>
                  <w:b w:val="false"/>
                  <w:color w:val="0000FF"/>
                  <w:sz w:val="20"/>
                  <w:u w:val="single"/>
                </w:rPr>
                <w:t>Note 14 - Treasury Stock Activity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97">
              <w:r>
                <w:rPr>
                  <w:rStyle w:val="InternetLink"/>
                  <w:rFonts w:ascii="Times New Roman;serif" w:hAnsi="Times New Roman;serif"/>
                  <w:b w:val="false"/>
                  <w:color w:val="0000FF"/>
                  <w:sz w:val="20"/>
                  <w:u w:val="single"/>
                </w:rPr>
                <w:t>29</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00">
              <w:r>
                <w:rPr>
                  <w:rStyle w:val="InternetLink"/>
                  <w:rFonts w:ascii="Times New Roman;serif" w:hAnsi="Times New Roman;serif"/>
                  <w:b w:val="false"/>
                  <w:color w:val="0000FF"/>
                  <w:sz w:val="20"/>
                  <w:u w:val="single"/>
                </w:rPr>
                <w:t>Note 15 - Contingencies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00">
              <w:r>
                <w:rPr>
                  <w:rStyle w:val="InternetLink"/>
                  <w:rFonts w:ascii="Times New Roman;serif" w:hAnsi="Times New Roman;serif"/>
                  <w:b w:val="false"/>
                  <w:color w:val="0000FF"/>
                  <w:sz w:val="20"/>
                  <w:u w:val="single"/>
                </w:rPr>
                <w:t>30</w:t>
              </w:r>
            </w:hyperlink>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03">
              <w:r>
                <w:rPr>
                  <w:rStyle w:val="InternetLink"/>
                  <w:rFonts w:ascii="Times New Roman;serif" w:hAnsi="Times New Roman;serif"/>
                  <w:b w:val="false"/>
                  <w:color w:val="0000FF"/>
                  <w:sz w:val="20"/>
                  <w:u w:val="single"/>
                </w:rPr>
                <w:t>Note 16 - Earnings Per Share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03">
              <w:r>
                <w:rPr>
                  <w:rStyle w:val="InternetLink"/>
                  <w:rFonts w:ascii="Times New Roman;serif" w:hAnsi="Times New Roman;serif"/>
                  <w:b w:val="false"/>
                  <w:color w:val="0000FF"/>
                  <w:sz w:val="20"/>
                  <w:u w:val="single"/>
                </w:rPr>
                <w:t>31</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09">
              <w:r>
                <w:rPr>
                  <w:rStyle w:val="InternetLink"/>
                  <w:rFonts w:ascii="Times New Roman;serif" w:hAnsi="Times New Roman;serif"/>
                  <w:b w:val="false"/>
                  <w:color w:val="0000FF"/>
                  <w:sz w:val="20"/>
                  <w:u w:val="single"/>
                </w:rPr>
                <w:t>Note 17 - Other (Income) Expense, Net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09">
              <w:r>
                <w:rPr>
                  <w:rStyle w:val="InternetLink"/>
                  <w:rFonts w:ascii="Times New Roman;serif" w:hAnsi="Times New Roman;serif"/>
                  <w:b w:val="false"/>
                  <w:color w:val="0000FF"/>
                  <w:sz w:val="20"/>
                  <w:u w:val="single"/>
                </w:rPr>
                <w:t>33</w:t>
              </w:r>
            </w:hyperlink>
          </w:p>
        </w:tc>
      </w:tr>
      <w:tr>
        <w:trPr/>
        <w:tc>
          <w:tcPr>
            <w:tcW w:w="9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15">
              <w:r>
                <w:rPr>
                  <w:rStyle w:val="InternetLink"/>
                  <w:rFonts w:ascii="Times New Roman;serif" w:hAnsi="Times New Roman;serif"/>
                  <w:b w:val="false"/>
                  <w:color w:val="0000FF"/>
                  <w:sz w:val="20"/>
                  <w:u w:val="single"/>
                </w:rPr>
                <w:t>Note 18 - Supplemental Balance Sheet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15">
              <w:r>
                <w:rPr>
                  <w:rStyle w:val="InternetLink"/>
                  <w:rFonts w:ascii="Times New Roman;serif" w:hAnsi="Times New Roman;serif"/>
                  <w:b w:val="false"/>
                  <w:color w:val="0000FF"/>
                  <w:sz w:val="20"/>
                  <w:u w:val="single"/>
                </w:rPr>
                <w:t>34</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1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18">
              <w:r>
                <w:rPr>
                  <w:rStyle w:val="InternetLink"/>
                  <w:rFonts w:ascii="Times New Roman;serif" w:hAnsi="Times New Roman;serif"/>
                  <w:b w:val="false"/>
                  <w:color w:val="0000FF"/>
                  <w:sz w:val="20"/>
                  <w:u w:val="single"/>
                </w:rPr>
                <w:t>36</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48">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48">
              <w:r>
                <w:rPr>
                  <w:rStyle w:val="InternetLink"/>
                  <w:rFonts w:ascii="Times New Roman;serif" w:hAnsi="Times New Roman;serif"/>
                  <w:b w:val="false"/>
                  <w:color w:val="0000FF"/>
                  <w:sz w:val="20"/>
                  <w:u w:val="single"/>
                </w:rPr>
                <w:t>47</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51">
              <w:r>
                <w:rPr>
                  <w:rStyle w:val="InternetLink"/>
                  <w:rFonts w:ascii="Times New Roman;serif" w:hAnsi="Times New Roman;serif"/>
                  <w:b w:val="false"/>
                  <w:color w:val="0000FF"/>
                  <w:sz w:val="20"/>
                  <w:u w:val="single"/>
                </w:rPr>
                <w:t>Item 4. 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51">
              <w:r>
                <w:rPr>
                  <w:rStyle w:val="InternetLink"/>
                  <w:rFonts w:ascii="Times New Roman;serif" w:hAnsi="Times New Roman;serif"/>
                  <w:b w:val="false"/>
                  <w:color w:val="0000FF"/>
                  <w:sz w:val="20"/>
                  <w:u w:val="single"/>
                </w:rPr>
                <w:t>49</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54">
              <w:r>
                <w:rPr>
                  <w:rStyle w:val="InternetLink"/>
                  <w:rFonts w:ascii="Times New Roman;serif" w:hAnsi="Times New Roman;serif"/>
                  <w:b w:val="false"/>
                  <w:color w:val="0000FF"/>
                  <w:sz w:val="20"/>
                  <w:u w:val="single"/>
                </w:rPr>
                <w:t>PART II.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54">
              <w:r>
                <w:rPr>
                  <w:rStyle w:val="InternetLink"/>
                  <w:rFonts w:ascii="Times New Roman;serif" w:hAnsi="Times New Roman;serif"/>
                  <w:b w:val="false"/>
                  <w:color w:val="0000FF"/>
                  <w:sz w:val="20"/>
                  <w:u w:val="single"/>
                </w:rPr>
                <w:t>50</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57">
              <w:r>
                <w:rPr>
                  <w:rStyle w:val="InternetLink"/>
                  <w:rFonts w:ascii="Times New Roman;serif" w:hAnsi="Times New Roman;serif"/>
                  <w:b w:val="false"/>
                  <w:color w:val="0000FF"/>
                  <w:sz w:val="20"/>
                  <w:u w:val="single"/>
                </w:rPr>
                <w:t>Item 1. 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57">
              <w:r>
                <w:rPr>
                  <w:rStyle w:val="InternetLink"/>
                  <w:rFonts w:ascii="Times New Roman;serif" w:hAnsi="Times New Roman;serif"/>
                  <w:b w:val="false"/>
                  <w:color w:val="0000FF"/>
                  <w:sz w:val="20"/>
                  <w:u w:val="single"/>
                </w:rPr>
                <w:t>50</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60">
              <w:r>
                <w:rPr>
                  <w:rStyle w:val="InternetLink"/>
                  <w:rFonts w:ascii="Times New Roman;serif" w:hAnsi="Times New Roman;serif"/>
                  <w:b w:val="false"/>
                  <w:color w:val="0000FF"/>
                  <w:sz w:val="20"/>
                  <w:u w:val="single"/>
                </w:rPr>
                <w:t>Item 1A. 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60">
              <w:r>
                <w:rPr>
                  <w:rStyle w:val="InternetLink"/>
                  <w:rFonts w:ascii="Times New Roman;serif" w:hAnsi="Times New Roman;serif"/>
                  <w:b w:val="false"/>
                  <w:color w:val="0000FF"/>
                  <w:sz w:val="20"/>
                  <w:u w:val="single"/>
                </w:rPr>
                <w:t>50</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63">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63">
              <w:r>
                <w:rPr>
                  <w:rStyle w:val="InternetLink"/>
                  <w:rFonts w:ascii="Times New Roman;serif" w:hAnsi="Times New Roman;serif"/>
                  <w:b w:val="false"/>
                  <w:color w:val="0000FF"/>
                  <w:sz w:val="20"/>
                  <w:u w:val="single"/>
                </w:rPr>
                <w:t>50</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69">
              <w:r>
                <w:rPr>
                  <w:rStyle w:val="InternetLink"/>
                  <w:rFonts w:ascii="Times New Roman;serif" w:hAnsi="Times New Roman;serif"/>
                  <w:b w:val="false"/>
                  <w:color w:val="0000FF"/>
                  <w:sz w:val="20"/>
                  <w:u w:val="single"/>
                </w:rPr>
                <w:t>Item 3. 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69">
              <w:r>
                <w:rPr>
                  <w:rStyle w:val="InternetLink"/>
                  <w:rFonts w:ascii="Times New Roman;serif" w:hAnsi="Times New Roman;serif"/>
                  <w:b w:val="false"/>
                  <w:color w:val="0000FF"/>
                  <w:sz w:val="20"/>
                  <w:u w:val="single"/>
                </w:rPr>
                <w:t>50</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72">
              <w:r>
                <w:rPr>
                  <w:rStyle w:val="InternetLink"/>
                  <w:rFonts w:ascii="Times New Roman;serif" w:hAnsi="Times New Roman;serif"/>
                  <w:b w:val="false"/>
                  <w:color w:val="0000FF"/>
                  <w:sz w:val="20"/>
                  <w:u w:val="single"/>
                </w:rPr>
                <w:t>Item 4. 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72">
              <w:r>
                <w:rPr>
                  <w:rStyle w:val="InternetLink"/>
                  <w:rFonts w:ascii="Times New Roman;serif" w:hAnsi="Times New Roman;serif"/>
                  <w:b w:val="false"/>
                  <w:color w:val="0000FF"/>
                  <w:sz w:val="20"/>
                  <w:u w:val="single"/>
                </w:rPr>
                <w:t>50</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75">
              <w:r>
                <w:rPr>
                  <w:rStyle w:val="InternetLink"/>
                  <w:rFonts w:ascii="Times New Roman;serif" w:hAnsi="Times New Roman;serif"/>
                  <w:b w:val="false"/>
                  <w:color w:val="0000FF"/>
                  <w:sz w:val="20"/>
                  <w:u w:val="single"/>
                </w:rPr>
                <w:t>Item 5.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75">
              <w:r>
                <w:rPr>
                  <w:rStyle w:val="InternetLink"/>
                  <w:rFonts w:ascii="Times New Roman;serif" w:hAnsi="Times New Roman;serif"/>
                  <w:b w:val="false"/>
                  <w:color w:val="0000FF"/>
                  <w:sz w:val="20"/>
                  <w:u w:val="single"/>
                </w:rPr>
                <w:t>50</w:t>
              </w:r>
            </w:hyperlink>
          </w:p>
        </w:tc>
      </w:tr>
      <w:tr>
        <w:trPr/>
        <w:tc>
          <w:tcPr>
            <w:tcW w:w="9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81">
              <w:r>
                <w:rPr>
                  <w:rStyle w:val="InternetLink"/>
                  <w:rFonts w:ascii="Times New Roman;serif" w:hAnsi="Times New Roman;serif"/>
                  <w:b w:val="false"/>
                  <w:color w:val="0000FF"/>
                  <w:sz w:val="20"/>
                  <w:u w:val="single"/>
                </w:rPr>
                <w:t>Item 6. 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81">
              <w:r>
                <w:rPr>
                  <w:rStyle w:val="InternetLink"/>
                  <w:rFonts w:ascii="Times New Roman;serif" w:hAnsi="Times New Roman;serif"/>
                  <w:b w:val="false"/>
                  <w:color w:val="0000FF"/>
                  <w:sz w:val="20"/>
                  <w:u w:val="single"/>
                </w:rPr>
                <w:t>52</w:t>
              </w:r>
            </w:hyperlink>
          </w:p>
        </w:tc>
      </w:tr>
      <w:tr>
        <w:trPr/>
        <w:tc>
          <w:tcPr>
            <w:tcW w:w="9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184">
              <w:r>
                <w:rPr>
                  <w:rStyle w:val="InternetLink"/>
                  <w:rFonts w:ascii="Times New Roman;serif" w:hAnsi="Times New Roman;serif"/>
                  <w:b w:val="false"/>
                  <w:color w:val="0000FF"/>
                  <w:sz w:val="20"/>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58a99e56aa5464382aa6843e8af7f88_184">
              <w:r>
                <w:rPr>
                  <w:rStyle w:val="InternetLink"/>
                  <w:rFonts w:ascii="Times New Roman;serif" w:hAnsi="Times New Roman;serif"/>
                  <w:b w:val="false"/>
                  <w:color w:val="0000FF"/>
                  <w:sz w:val="20"/>
                  <w:u w:val="single"/>
                </w:rPr>
                <w:t>53</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73735"/>
                <wp:effectExtent l="0" t="0" r="0" b="0"/>
                <wp:wrapNone/>
                <wp:docPr id="3" name="Frame2"/>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19075" cy="190500"/>
                                                </a:xfrm>
                                                <a:prstGeom prst="rect">
                                                  <a:avLst/>
                                                </a:prstGeom>
                                              </pic:spPr>
                                            </pic:pic>
                                          </a:graphicData>
                                        </a:graphic>
                                      </wp:inline>
                                    </w:drawing>
                                  </w:r>
                                  <w:bookmarkStart w:id="1" w:name="i-2"/>
                                  <w:bookmarkEnd w:id="1"/>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219075" cy="190500"/>
                                          </a:xfrm>
                                          <a:prstGeom prst="rect">
                                            <a:avLst/>
                                          </a:prstGeom>
                                        </pic:spPr>
                                      </pic:pic>
                                    </a:graphicData>
                                  </a:graphic>
                                </wp:inline>
                              </w:drawing>
                            </w:r>
                            <w:bookmarkStart w:id="2" w:name="i-2"/>
                            <w:bookmarkEnd w:id="2"/>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HERSHEY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35"/>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33"/>
        <w:gridCol w:w="1163"/>
        <w:gridCol w:w="1170"/>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3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 2025</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5,420,137 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3,679,597 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1,740,540 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Selling, marketing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realignment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562,032 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472,766 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286,922 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paid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See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73735"/>
                <wp:effectExtent l="0" t="0" r="0" b="0"/>
                <wp:wrapNone/>
                <wp:docPr id="6" name="Frame3"/>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219075" cy="190500"/>
                                                </a:xfrm>
                                                <a:prstGeom prst="rect">
                                                  <a:avLst/>
                                                </a:prstGeom>
                                              </pic:spPr>
                                            </pic:pic>
                                          </a:graphicData>
                                        </a:graphic>
                                      </wp:inline>
                                    </w:drawing>
                                  </w:r>
                                  <w:bookmarkStart w:id="3" w:name="i-3"/>
                                  <w:bookmarkEnd w:id="3"/>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219075" cy="190500"/>
                                          </a:xfrm>
                                          <a:prstGeom prst="rect">
                                            <a:avLst/>
                                          </a:prstGeom>
                                        </pic:spPr>
                                      </pic:pic>
                                    </a:graphicData>
                                  </a:graphic>
                                </wp:inline>
                              </w:drawing>
                            </w:r>
                            <w:bookmarkStart w:id="4" w:name="i-3"/>
                            <w:bookmarkEnd w:id="4"/>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HERSHEY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6452" w:type="dxa"/>
        <w:jc w:val="center"/>
        <w:tblInd w:w="0" w:type="dxa"/>
        <w:tblLayout w:type="fixed"/>
        <w:tblCellMar>
          <w:top w:w="28" w:type="dxa"/>
          <w:left w:w="28" w:type="dxa"/>
          <w:bottom w:w="28" w:type="dxa"/>
          <w:right w:w="28" w:type="dxa"/>
        </w:tblCellMar>
      </w:tblPr>
      <w:tblGrid>
        <w:gridCol w:w="473"/>
        <w:gridCol w:w="377"/>
        <w:gridCol w:w="381"/>
        <w:gridCol w:w="109"/>
        <w:gridCol w:w="109"/>
        <w:gridCol w:w="109"/>
        <w:gridCol w:w="196"/>
        <w:gridCol w:w="646"/>
        <w:gridCol w:w="109"/>
        <w:gridCol w:w="109"/>
        <w:gridCol w:w="109"/>
        <w:gridCol w:w="109"/>
        <w:gridCol w:w="196"/>
        <w:gridCol w:w="571"/>
        <w:gridCol w:w="109"/>
        <w:gridCol w:w="109"/>
        <w:gridCol w:w="109"/>
        <w:gridCol w:w="109"/>
        <w:gridCol w:w="196"/>
        <w:gridCol w:w="736"/>
        <w:gridCol w:w="109"/>
        <w:gridCol w:w="109"/>
        <w:gridCol w:w="109"/>
        <w:gridCol w:w="109"/>
        <w:gridCol w:w="196"/>
        <w:gridCol w:w="646"/>
        <w:gridCol w:w="109"/>
        <w:gridCol w:w="109"/>
        <w:gridCol w:w="109"/>
        <w:gridCol w:w="109"/>
        <w:gridCol w:w="218"/>
        <w:gridCol w:w="470"/>
        <w:gridCol w:w="123"/>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196"/>
        <w:gridCol w:w="736"/>
        <w:gridCol w:w="109"/>
        <w:gridCol w:w="109"/>
        <w:gridCol w:w="109"/>
        <w:gridCol w:w="109"/>
        <w:gridCol w:w="196"/>
        <w:gridCol w:w="646"/>
        <w:gridCol w:w="109"/>
        <w:gridCol w:w="327"/>
        <w:gridCol w:w="214"/>
        <w:gridCol w:w="477"/>
        <w:gridCol w:w="120"/>
        <w:gridCol w:w="327"/>
        <w:gridCol w:w="196"/>
        <w:gridCol w:w="73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 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 (losses)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actuarial gain (loss) and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to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cash flow hedging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to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48995"/>
                <wp:effectExtent l="0" t="0" r="0" b="0"/>
                <wp:wrapNone/>
                <wp:docPr id="9" name="Frame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219075" cy="190500"/>
                                                </a:xfrm>
                                                <a:prstGeom prst="rect">
                                                  <a:avLst/>
                                                </a:prstGeom>
                                              </pic:spPr>
                                            </pic:pic>
                                          </a:graphicData>
                                        </a:graphic>
                                      </wp:inline>
                                    </w:drawing>
                                  </w:r>
                                  <w:bookmarkStart w:id="5" w:name="i-4"/>
                                  <w:bookmarkEnd w:id="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219075" cy="190500"/>
                                          </a:xfrm>
                                          <a:prstGeom prst="rect">
                                            <a:avLst/>
                                          </a:prstGeom>
                                        </pic:spPr>
                                      </pic:pic>
                                    </a:graphicData>
                                  </a:graphic>
                                </wp:inline>
                              </w:drawing>
                            </w:r>
                            <w:bookmarkStart w:id="6" w:name="i-4"/>
                            <w:bookmarkEnd w:id="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 xml:space="preserve">THE HERSHEY COMPANY </w:t>
      </w:r>
    </w:p>
    <w:p>
      <w:pPr>
        <w:pStyle w:val="TextBody"/>
        <w:bidi w:val="0"/>
        <w:spacing w:lineRule="auto" w:line="288" w:before="20" w:after="283"/>
        <w:ind w:left="0" w:right="0" w:firstLine="135"/>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20" w:after="283"/>
        <w:ind w:left="0" w:right="0" w:firstLine="135"/>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500"/>
        <w:gridCol w:w="2018"/>
        <w:gridCol w:w="1971"/>
        <w:gridCol w:w="109"/>
        <w:gridCol w:w="109"/>
        <w:gridCol w:w="109"/>
        <w:gridCol w:w="211"/>
        <w:gridCol w:w="1081"/>
        <w:gridCol w:w="109"/>
        <w:gridCol w:w="109"/>
        <w:gridCol w:w="109"/>
        <w:gridCol w:w="109"/>
        <w:gridCol w:w="242"/>
        <w:gridCol w:w="1240"/>
        <w:gridCol w:w="179"/>
      </w:tblGrid>
      <w:tr>
        <w:trPr/>
        <w:tc>
          <w:tcPr>
            <w:tcW w:w="2500"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receivable—trade,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729,547 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1,429,254 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504,239 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3,956,241 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3,588,899 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3,529,608 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2,996,005 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2,475,698 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13,741,297 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1,255,701 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503,327 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3,011,896 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4,681,194 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679,540 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9,104,547 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Hershey Company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shares issued: none in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shares issued: 166,939,511 at June 28, 2026 and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166,939 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shares issued: 54,613,514 at June 28,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1,426,651 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5,495,449 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Treasury—common stock shares, at cost: 20,637,517 at June 28, 2026 and 18,713,369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(2,259,553)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(247,350)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6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4,562,690 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4,636,750 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13,973,052 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13,741,297 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35"/>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See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48995"/>
                <wp:effectExtent l="0" t="0" r="0" b="0"/>
                <wp:wrapNone/>
                <wp:docPr id="12" name="Frame5"/>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219075" cy="190500"/>
                                                </a:xfrm>
                                                <a:prstGeom prst="rect">
                                                  <a:avLst/>
                                                </a:prstGeom>
                                              </pic:spPr>
                                            </pic:pic>
                                          </a:graphicData>
                                        </a:graphic>
                                      </wp:inline>
                                    </w:drawing>
                                  </w:r>
                                  <w:bookmarkStart w:id="7" w:name="i-5"/>
                                  <w:bookmarkEnd w:id="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219075" cy="190500"/>
                                          </a:xfrm>
                                          <a:prstGeom prst="rect">
                                            <a:avLst/>
                                          </a:prstGeom>
                                        </pic:spPr>
                                      </pic:pic>
                                    </a:graphicData>
                                  </a:graphic>
                                </wp:inline>
                              </w:drawing>
                            </w:r>
                            <w:bookmarkStart w:id="8" w:name="i-5"/>
                            <w:bookmarkEnd w:id="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 xml:space="preserve">THE HERSHEY COMPANY </w:t>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470" w:type="dxa"/>
        <w:jc w:val="center"/>
        <w:tblInd w:w="0" w:type="dxa"/>
        <w:tblLayout w:type="fixed"/>
        <w:tblCellMar>
          <w:top w:w="28" w:type="dxa"/>
          <w:left w:w="28" w:type="dxa"/>
          <w:bottom w:w="28" w:type="dxa"/>
          <w:right w:w="28" w:type="dxa"/>
        </w:tblCellMar>
      </w:tblPr>
      <w:tblGrid>
        <w:gridCol w:w="2096"/>
        <w:gridCol w:w="1843"/>
        <w:gridCol w:w="1850"/>
        <w:gridCol w:w="217"/>
        <w:gridCol w:w="817"/>
        <w:gridCol w:w="121"/>
        <w:gridCol w:w="109"/>
        <w:gridCol w:w="109"/>
        <w:gridCol w:w="109"/>
        <w:gridCol w:w="216"/>
        <w:gridCol w:w="813"/>
        <w:gridCol w:w="170"/>
      </w:tblGrid>
      <w:tr>
        <w:trPr/>
        <w:tc>
          <w:tcPr>
            <w:tcW w:w="2096"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892,770 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derivative contracts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464,739 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business acquisition:</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receivable—trade, net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(177,661)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(318,668)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(576,571)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(447,678)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382,684 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to pension and other benefit plans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888,122 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508,898 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additions (including software)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(230,615)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Receipts related to equity investments in tax credit qualifying partnerships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(73,597)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(199,563)</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(301,781)</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short-term debt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(1,151,638)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net of debt issuance costs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1,984,545 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and finance leases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(303,317)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(574,392)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exercised stock options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Taxes withheld and paid on employee stock awards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paid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(828,079)</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(22,492)</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(134,646)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181,599 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925,859 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730,746 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791,213 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912,345 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92,348 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48995"/>
                <wp:effectExtent l="0" t="0" r="0" b="0"/>
                <wp:wrapNone/>
                <wp:docPr id="15" name="Frame6"/>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219075" cy="190500"/>
                                                </a:xfrm>
                                                <a:prstGeom prst="rect">
                                                  <a:avLst/>
                                                </a:prstGeom>
                                              </pic:spPr>
                                            </pic:pic>
                                          </a:graphicData>
                                        </a:graphic>
                                      </wp:inline>
                                    </w:drawing>
                                  </w:r>
                                  <w:bookmarkStart w:id="9" w:name="i-6"/>
                                  <w:bookmarkEnd w:id="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219075" cy="190500"/>
                                          </a:xfrm>
                                          <a:prstGeom prst="rect">
                                            <a:avLst/>
                                          </a:prstGeom>
                                        </pic:spPr>
                                      </pic:pic>
                                    </a:graphicData>
                                  </a:graphic>
                                </wp:inline>
                              </w:drawing>
                            </w:r>
                            <w:bookmarkStart w:id="10" w:name="i-6"/>
                            <w:bookmarkEnd w:id="1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HERSHEY COMPANY</w:t>
      </w:r>
    </w:p>
    <w:p>
      <w:pPr>
        <w:pStyle w:val="TextBody"/>
        <w:bidi w:val="0"/>
        <w:spacing w:lineRule="auto" w:line="240"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40"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For the Three Months Ended June 28, 2026 and June 29, 2025</w:t>
      </w:r>
    </w:p>
    <w:p>
      <w:pPr>
        <w:pStyle w:val="TextBody"/>
        <w:bidi w:val="0"/>
        <w:spacing w:lineRule="auto" w:line="240"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2600" w:type="dxa"/>
        <w:jc w:val="center"/>
        <w:tblInd w:w="0" w:type="dxa"/>
        <w:tblLayout w:type="fixed"/>
        <w:tblCellMar>
          <w:top w:w="28" w:type="dxa"/>
          <w:left w:w="28" w:type="dxa"/>
          <w:bottom w:w="28" w:type="dxa"/>
          <w:right w:w="28" w:type="dxa"/>
        </w:tblCellMar>
      </w:tblPr>
      <w:tblGrid>
        <w:gridCol w:w="729"/>
        <w:gridCol w:w="236"/>
        <w:gridCol w:w="236"/>
        <w:gridCol w:w="109"/>
        <w:gridCol w:w="109"/>
        <w:gridCol w:w="109"/>
        <w:gridCol w:w="223"/>
        <w:gridCol w:w="463"/>
        <w:gridCol w:w="125"/>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54"/>
      </w:tblGrid>
      <w:tr>
        <w:trPr/>
        <w:tc>
          <w:tcPr>
            <w:tcW w:w="72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 xml:space="preserve">Comprehensive </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w:t>
              <w:br/>
              <w:t>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Balance, March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5,643,428 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(2,316,416)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(249,911)</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4,733,848 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Dividends (including dividend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Common Stock, $1.452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Class B Common Stock, $1.320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Exercise of stock options and incentive-based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Balance, 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1,447,283 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5,814,164 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(2,689,761)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(230,549)</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4,562,690 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2818" w:type="dxa"/>
        <w:jc w:val="center"/>
        <w:tblInd w:w="0" w:type="dxa"/>
        <w:tblLayout w:type="fixed"/>
        <w:tblCellMar>
          <w:top w:w="28" w:type="dxa"/>
          <w:left w:w="28" w:type="dxa"/>
          <w:bottom w:w="28" w:type="dxa"/>
          <w:right w:w="28" w:type="dxa"/>
        </w:tblCellMar>
      </w:tblPr>
      <w:tblGrid>
        <w:gridCol w:w="729"/>
        <w:gridCol w:w="236"/>
        <w:gridCol w:w="236"/>
        <w:gridCol w:w="109"/>
        <w:gridCol w:w="109"/>
        <w:gridCol w:w="109"/>
        <w:gridCol w:w="223"/>
        <w:gridCol w:w="463"/>
        <w:gridCol w:w="125"/>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09"/>
        <w:gridCol w:w="109"/>
        <w:gridCol w:w="196"/>
        <w:gridCol w:w="871"/>
        <w:gridCol w:w="154"/>
      </w:tblGrid>
      <w:tr>
        <w:trPr/>
        <w:tc>
          <w:tcPr>
            <w:tcW w:w="72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 xml:space="preserve">Comprehensive </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w:t>
              <w:br/>
              <w:t>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Balance, 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5,652,065 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(2,269,560)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(291,299)</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4,684,896 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Dividends (including dividend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Common Stock, $1.370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Class B Common Stock, $1.245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Exercise of stock options and incentive-based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Balance, June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1,387,873 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5,442,869 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(2,267,253)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(270,424)</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4,514,618 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48995"/>
                <wp:effectExtent l="0" t="0" r="0" b="0"/>
                <wp:wrapNone/>
                <wp:docPr id="18" name="Frame7"/>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219075" cy="190500"/>
                                                </a:xfrm>
                                                <a:prstGeom prst="rect">
                                                  <a:avLst/>
                                                </a:prstGeom>
                                              </pic:spPr>
                                            </pic:pic>
                                          </a:graphicData>
                                        </a:graphic>
                                      </wp:inline>
                                    </w:drawing>
                                  </w:r>
                                  <w:bookmarkStart w:id="11" w:name="i-7"/>
                                  <w:bookmarkEnd w:id="1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219075" cy="190500"/>
                                          </a:xfrm>
                                          <a:prstGeom prst="rect">
                                            <a:avLst/>
                                          </a:prstGeom>
                                        </pic:spPr>
                                      </pic:pic>
                                    </a:graphicData>
                                  </a:graphic>
                                </wp:inline>
                              </w:drawing>
                            </w:r>
                            <w:bookmarkStart w:id="12" w:name="i-7"/>
                            <w:bookmarkEnd w:id="1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40"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40"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For the Six Months Ended June 28, 2026 and June 29, 2025</w:t>
      </w:r>
    </w:p>
    <w:p>
      <w:pPr>
        <w:pStyle w:val="TextBody"/>
        <w:bidi w:val="0"/>
        <w:spacing w:lineRule="auto" w:line="240"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2818" w:type="dxa"/>
        <w:jc w:val="center"/>
        <w:tblInd w:w="0" w:type="dxa"/>
        <w:tblLayout w:type="fixed"/>
        <w:tblCellMar>
          <w:top w:w="28" w:type="dxa"/>
          <w:left w:w="28" w:type="dxa"/>
          <w:bottom w:w="28" w:type="dxa"/>
          <w:right w:w="28" w:type="dxa"/>
        </w:tblCellMar>
      </w:tblPr>
      <w:tblGrid>
        <w:gridCol w:w="731"/>
        <w:gridCol w:w="234"/>
        <w:gridCol w:w="236"/>
        <w:gridCol w:w="109"/>
        <w:gridCol w:w="109"/>
        <w:gridCol w:w="109"/>
        <w:gridCol w:w="223"/>
        <w:gridCol w:w="463"/>
        <w:gridCol w:w="125"/>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09"/>
        <w:gridCol w:w="109"/>
        <w:gridCol w:w="196"/>
        <w:gridCol w:w="87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 xml:space="preserve">Comprehensive </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w:t>
              <w:br/>
              <w:t>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5,495,449 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(2,259,553)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(247,350)</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4,636,750 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Dividends (including dividend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Common Stock, $2.904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Class B Common Stock, $2.640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Exercise of stock options and incentive-based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Balance, 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1,447,283 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5,814,164 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(2,689,761)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(230,549)</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4,562,690 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2818" w:type="dxa"/>
        <w:jc w:val="center"/>
        <w:tblInd w:w="0" w:type="dxa"/>
        <w:tblLayout w:type="fixed"/>
        <w:tblCellMar>
          <w:top w:w="28" w:type="dxa"/>
          <w:left w:w="28" w:type="dxa"/>
          <w:bottom w:w="28" w:type="dxa"/>
          <w:right w:w="28" w:type="dxa"/>
        </w:tblCellMar>
      </w:tblPr>
      <w:tblGrid>
        <w:gridCol w:w="731"/>
        <w:gridCol w:w="234"/>
        <w:gridCol w:w="236"/>
        <w:gridCol w:w="109"/>
        <w:gridCol w:w="109"/>
        <w:gridCol w:w="109"/>
        <w:gridCol w:w="223"/>
        <w:gridCol w:w="463"/>
        <w:gridCol w:w="125"/>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09"/>
        <w:gridCol w:w="109"/>
        <w:gridCol w:w="196"/>
        <w:gridCol w:w="87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 xml:space="preserve">Comprehensive </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w:t>
              <w:br/>
              <w:t>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5,698,316 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(2,278,551)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(303,890)</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4,714,654 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Dividends (including dividend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Common Stock, $2.740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Class B Common Stock, $2.490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Exercise of stock options and incentive-based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6"/>
              </w:rPr>
            </w:pPr>
            <w:r>
              <w:rPr>
                <w:rFonts w:ascii="Times New Roman;serif" w:hAnsi="Times New Roman;serif"/>
                <w:b/>
                <w:color w:val="000000"/>
                <w:sz w:val="16"/>
              </w:rPr>
              <w:t>Balance, 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1,387,873 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5,442,869 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(2,267,253)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(270,424)</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4,514,618 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48995"/>
                <wp:effectExtent l="0" t="0" r="0" b="0"/>
                <wp:wrapNone/>
                <wp:docPr id="21" name="Frame8"/>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219075" cy="190500"/>
                                                </a:xfrm>
                                                <a:prstGeom prst="rect">
                                                  <a:avLst/>
                                                </a:prstGeom>
                                              </pic:spPr>
                                            </pic:pic>
                                          </a:graphicData>
                                        </a:graphic>
                                      </wp:inline>
                                    </w:drawing>
                                  </w:r>
                                  <w:bookmarkStart w:id="13" w:name="i-8"/>
                                  <w:bookmarkEnd w:id="1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219075" cy="190500"/>
                                          </a:xfrm>
                                          <a:prstGeom prst="rect">
                                            <a:avLst/>
                                          </a:prstGeom>
                                        </pic:spPr>
                                      </pic:pic>
                                    </a:graphicData>
                                  </a:graphic>
                                </wp:inline>
                              </w:drawing>
                            </w:r>
                            <w:bookmarkStart w:id="14" w:name="i-8"/>
                            <w:bookmarkEnd w:id="14"/>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 SUMMARY OF SIGNIFICANT ACCOUNTING POLICIES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method investments and cost, less impairment, investments are included as Other non-current assets in the Consolidated Balance Sheets.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results for the quarter ended June 28, 2026 may not be indicative of the results that may be expected for the year ending December 31, 2026 because of seasonal effects on our business. These financial statements should be read in conjunction with our Annual Report on Form 10-K for the year ended December 31, 2025 (our “2025 Annual Report on Form 10-K”), which provides a more complete understanding of our accounting policies, financial position, operating results and other matters.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Income Taxes (Topic 740): Improvements to Income Tax Disclosures. This ASU requires public business entities on an annual basis to disclose specific categories in a tabular rate reconciliation and provide additional information for reconciling items that meet a five percent quantitative threshold. Additionally, the ASU requires all entities to disclose the amount of income taxes paid disaggregated by federal, state, and foreign taxes, as well as individual jurisdictions where income taxes paid are equal to or greater than five percent of total income taxes paid. ASU 2023-09 is effective for annual periods beginning after December 15, 2024. We adopted the provisions of this ASU in the fourth quarter of 2025 and applied the provisions on a prospective basis.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80" w:after="283"/>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This ASU requires entities to disclose certain additional expense information including, among other items, purchases of inventory, employee compensation, depreciation and intangible asset amortization included within each Consolidated Statement of Income expense caption. ASU 2024-03 is effective for annual reporting periods beginning after December 15, 2026, and interim reporting periods beginning after December 15, 2027. Early adoption is permitted and the update should be applied on a prospective basis, with a retrospective application permitted in the financial statements. We are currently evaluating the impact of the new standard on our consolidated financial statements and related disclosures.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48995"/>
                <wp:effectExtent l="0" t="0" r="0" b="0"/>
                <wp:wrapNone/>
                <wp:docPr id="24" name="Frame9"/>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219075" cy="190500"/>
                                                </a:xfrm>
                                                <a:prstGeom prst="rect">
                                                  <a:avLst/>
                                                </a:prstGeom>
                                              </pic:spPr>
                                            </pic:pic>
                                          </a:graphicData>
                                        </a:graphic>
                                      </wp:inline>
                                    </w:drawing>
                                  </w:r>
                                  <w:bookmarkStart w:id="15" w:name="i-9"/>
                                  <w:bookmarkEnd w:id="1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219075" cy="190500"/>
                                          </a:xfrm>
                                          <a:prstGeom prst="rect">
                                            <a:avLst/>
                                          </a:prstGeom>
                                        </pic:spPr>
                                      </pic:pic>
                                    </a:graphicData>
                                  </a:graphic>
                                </wp:inline>
                              </w:drawing>
                            </w:r>
                            <w:bookmarkStart w:id="16" w:name="i-9"/>
                            <w:bookmarkEnd w:id="16"/>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This ASU modernizes the capitalization guidance by removing all references to software development project stages so that the guidance is neutral to different software development methods. Under this ASU, costs are capitalized when management has authorized and committed funding and it is probable the project will be completed and the software used as intended. ASU 2025-06 is effective for annual reporting periods beginning after December 15, 2027, and interim reporting periods within those annual reporting periods. Early adoption is permitted and the amendments in this update permit an entity to apply the new guidance using a prospective, retrospective or modified transition approach. We are currently evaluating the impact of the new standard on our consolidated financial statements and related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 other new accounting pronouncement issued or effective during the fiscal year had or is expected to have a material impact on our consolidated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2. BUSINESS ACQUISITIONS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LesserEvil, LLC</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On November 18, 2025, we completed the acquisition of LesserEvil, LLC (“LesserEvil”), previously a privately held company that produces and sells organic popcorn and puffed snack products to retailers and distributors in the United States and Canada, which complements Hershey’s existing product portfolio and brings additional manufacturing capacity. The initial cash consideration paid for LesserEvil totaled $769,090 and consisted of cash on hand and short-term borrowings; however, the Company may be required to pay additional contingent consideration ranging from zero to a maximum of $200,000 if certain defined earnings targets are met over a multi-year period. Acquisition-related costs for the LesserEvil acquisition were immaterial.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and, accordingly, LesserEvil has been included within the North America Salty Snacks segment from the date of acquisition. The purchase consideration, inclusive of the acquisition date fair value of the contingent consideration, was allocated to assets acquired and liabilities assumed based on their respective fair values as follows:</w:t>
      </w:r>
    </w:p>
    <w:tbl>
      <w:tblPr>
        <w:tblW w:w="9954" w:type="dxa"/>
        <w:jc w:val="left"/>
        <w:tblInd w:w="0" w:type="dxa"/>
        <w:tblLayout w:type="fixed"/>
        <w:tblCellMar>
          <w:top w:w="28" w:type="dxa"/>
          <w:left w:w="28" w:type="dxa"/>
          <w:bottom w:w="28" w:type="dxa"/>
          <w:right w:w="28" w:type="dxa"/>
        </w:tblCellMar>
      </w:tblPr>
      <w:tblGrid>
        <w:gridCol w:w="1873"/>
        <w:gridCol w:w="1642"/>
        <w:gridCol w:w="1660"/>
        <w:gridCol w:w="303"/>
        <w:gridCol w:w="1189"/>
        <w:gridCol w:w="157"/>
        <w:gridCol w:w="109"/>
        <w:gridCol w:w="109"/>
        <w:gridCol w:w="109"/>
        <w:gridCol w:w="246"/>
        <w:gridCol w:w="737"/>
        <w:gridCol w:w="128"/>
        <w:gridCol w:w="109"/>
        <w:gridCol w:w="109"/>
        <w:gridCol w:w="109"/>
        <w:gridCol w:w="242"/>
        <w:gridCol w:w="947"/>
        <w:gridCol w:w="176"/>
      </w:tblGrid>
      <w:tr>
        <w:trPr/>
        <w:tc>
          <w:tcPr>
            <w:tcW w:w="187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Initial Allocation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Final Allocation</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289,142 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281,929 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604,500 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acquired, including cash and cash equivalents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primarily operating lease ROU assets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assumed</w:t>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primarily operating lease liabilities</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815,150 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810,150 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(1) As reported in the Company’s 2025 Annual Report on Form 10-K.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price allocation presented above has been finalized as of the second quarter of 2026. The measurement period adjustments to the initial allocation were based on more detailed information obtained about the specific assets acquired and liabilities assumed, specifically, post-closing adjustments to the working capital acquired including certain holdbacks, as well as the valuation and step-up on property, plant and equipment.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was determined as the excess of the purchase price over the fair value of the net assets acquired (including the identifiable intangible assets). The goodwill derived from this acquisition is not expected to be deductible for tax purposes and reflects the value of leveraging our brand building expertise, supply chain capabilities and retail relationships to accelerate growth and access to the portfolio of LesserEvil’s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48995"/>
                <wp:effectExtent l="0" t="0" r="0" b="0"/>
                <wp:wrapNone/>
                <wp:docPr id="27" name="Frame10"/>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219075" cy="190500"/>
                                                </a:xfrm>
                                                <a:prstGeom prst="rect">
                                                  <a:avLst/>
                                                </a:prstGeom>
                                              </pic:spPr>
                                            </pic:pic>
                                          </a:graphicData>
                                        </a:graphic>
                                      </wp:inline>
                                    </w:drawing>
                                  </w:r>
                                  <w:bookmarkStart w:id="17" w:name="i-10"/>
                                  <w:bookmarkEnd w:id="1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815" w:type="dxa"/>
                        <w:jc w:val="center"/>
                        <w:tblInd w:w="0" w:type="dxa"/>
                        <w:tblLayout w:type="fixed"/>
                        <w:tblCellMar>
                          <w:top w:w="28" w:type="dxa"/>
                          <w:left w:w="28" w:type="dxa"/>
                          <w:bottom w:w="28" w:type="dxa"/>
                          <w:right w:w="28" w:type="dxa"/>
                        </w:tblCellMar>
                      </w:tblPr>
                      <w:tblGrid>
                        <w:gridCol w:w="500"/>
                        <w:gridCol w:w="439"/>
                        <w:gridCol w:w="441"/>
                        <w:gridCol w:w="1318"/>
                        <w:gridCol w:w="1318"/>
                        <w:gridCol w:w="132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219075" cy="190500"/>
                                          </a:xfrm>
                                          <a:prstGeom prst="rect">
                                            <a:avLst/>
                                          </a:prstGeom>
                                        </pic:spPr>
                                      </pic:pic>
                                    </a:graphicData>
                                  </a:graphic>
                                </wp:inline>
                              </w:drawing>
                            </w:r>
                            <w:bookmarkStart w:id="18" w:name="i-10"/>
                            <w:bookmarkEnd w:id="18"/>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 include the following estimated useful lives and values:</w:t>
      </w:r>
    </w:p>
    <w:tbl>
      <w:tblPr>
        <w:tblW w:w="5845" w:type="dxa"/>
        <w:jc w:val="left"/>
        <w:tblInd w:w="0" w:type="dxa"/>
        <w:tblLayout w:type="fixed"/>
        <w:tblCellMar>
          <w:top w:w="28" w:type="dxa"/>
          <w:left w:w="28" w:type="dxa"/>
          <w:bottom w:w="28" w:type="dxa"/>
          <w:right w:w="28" w:type="dxa"/>
        </w:tblCellMar>
      </w:tblPr>
      <w:tblGrid>
        <w:gridCol w:w="722"/>
        <w:gridCol w:w="634"/>
        <w:gridCol w:w="639"/>
        <w:gridCol w:w="639"/>
        <w:gridCol w:w="639"/>
        <w:gridCol w:w="641"/>
        <w:gridCol w:w="109"/>
        <w:gridCol w:w="109"/>
        <w:gridCol w:w="109"/>
        <w:gridCol w:w="284"/>
        <w:gridCol w:w="1113"/>
        <w:gridCol w:w="207"/>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Initial Allocation</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303,000 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301,500</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604,500 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Sour Strips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November 8, 2024, we completed the acquisition of the Sour Strips brand from Actual Candy, LLC. Sour Strips is an emerging sour candy brand and is available in a wide range of food distribution channels in the United States. The initial cash consideration paid for Sour Strips was deemed immaterial and consisted of cash on hand and short-term borrowings; however, the Company may be required to pay additional contingent consideration if certain defined targets are met over a multi-year period. We paid a portion of contingent consideration in April 2026. Acquisition-related costs for the Sour Strips acquisition were immaterial.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acquisition has been accounted for as a business combination and, accordingly, Sour Strips has been included within the North America Confectionery segment from the date of acquisition. The purchase consideration, inclusive of the acquisition date fair value of the contingent consideration, was allocated to minimal net assets acquired, goodwill and other intangible assets. The purchase price allocation was finalized as of the second quarter of 2025 and includes an immaterial amount of measurement period adjustments. The measurement period adjustments to the initial allocation were based on more detailed information obtained about the specific assets acquired and liabilities assumed, specifically, post-closing adjustments to the working capital acquired.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commercial capabilities and retail relationships to accelerate growth.</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include trademarks valued at $41,800 and customer relationships valued at $41,300. Trademarks were assigned an estimated useful life of 22 years and customer relationships were assigned estimated useful lives ranging from 14 to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3. GOODWILL AND INTANGIBLE ASSETS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the carrying value of goodwill by reportable segment for the six months ended June 28, 2026 are as follows: </w:t>
      </w:r>
    </w:p>
    <w:tbl>
      <w:tblPr>
        <w:tblW w:w="10205" w:type="dxa"/>
        <w:jc w:val="left"/>
        <w:tblInd w:w="0" w:type="dxa"/>
        <w:tblLayout w:type="fixed"/>
        <w:tblCellMar>
          <w:top w:w="28" w:type="dxa"/>
          <w:left w:w="28" w:type="dxa"/>
          <w:bottom w:w="28" w:type="dxa"/>
          <w:right w:w="28" w:type="dxa"/>
        </w:tblCellMar>
      </w:tblPr>
      <w:tblGrid>
        <w:gridCol w:w="801"/>
        <w:gridCol w:w="704"/>
        <w:gridCol w:w="706"/>
        <w:gridCol w:w="109"/>
        <w:gridCol w:w="109"/>
        <w:gridCol w:w="109"/>
        <w:gridCol w:w="345"/>
        <w:gridCol w:w="1602"/>
        <w:gridCol w:w="180"/>
        <w:gridCol w:w="109"/>
        <w:gridCol w:w="109"/>
        <w:gridCol w:w="109"/>
        <w:gridCol w:w="365"/>
        <w:gridCol w:w="1430"/>
        <w:gridCol w:w="188"/>
        <w:gridCol w:w="109"/>
        <w:gridCol w:w="109"/>
        <w:gridCol w:w="109"/>
        <w:gridCol w:w="249"/>
        <w:gridCol w:w="852"/>
        <w:gridCol w:w="130"/>
        <w:gridCol w:w="109"/>
        <w:gridCol w:w="109"/>
        <w:gridCol w:w="109"/>
        <w:gridCol w:w="211"/>
        <w:gridCol w:w="976"/>
        <w:gridCol w:w="158"/>
      </w:tblGrid>
      <w:tr>
        <w:trPr/>
        <w:tc>
          <w:tcPr>
            <w:tcW w:w="8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 Confectionery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9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 Salty Snacks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2,039,098 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946,143 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2,996,005 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2,035,588 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938,930 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11,091 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2,985,609 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48995"/>
                <wp:effectExtent l="0" t="0" r="0" b="0"/>
                <wp:wrapNone/>
                <wp:docPr id="30" name="Frame11"/>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219075" cy="190500"/>
                                                </a:xfrm>
                                                <a:prstGeom prst="rect">
                                                  <a:avLst/>
                                                </a:prstGeom>
                                              </pic:spPr>
                                            </pic:pic>
                                          </a:graphicData>
                                        </a:graphic>
                                      </wp:inline>
                                    </w:drawing>
                                  </w:r>
                                  <w:bookmarkStart w:id="19" w:name="i-11"/>
                                  <w:bookmarkEnd w:id="1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219075" cy="190500"/>
                                          </a:xfrm>
                                          <a:prstGeom prst="rect">
                                            <a:avLst/>
                                          </a:prstGeom>
                                        </pic:spPr>
                                      </pic:pic>
                                    </a:graphicData>
                                  </a:graphic>
                                </wp:inline>
                              </w:drawing>
                            </w:r>
                            <w:bookmarkStart w:id="20" w:name="i-11"/>
                            <w:bookmarkEnd w:id="20"/>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gross carrying amount and accumulated amortization for each major class of intangible asset:</w:t>
      </w:r>
    </w:p>
    <w:tbl>
      <w:tblPr>
        <w:tblW w:w="10205" w:type="dxa"/>
        <w:jc w:val="left"/>
        <w:tblInd w:w="0" w:type="dxa"/>
        <w:tblLayout w:type="fixed"/>
        <w:tblCellMar>
          <w:top w:w="28" w:type="dxa"/>
          <w:left w:w="28" w:type="dxa"/>
          <w:bottom w:w="28" w:type="dxa"/>
          <w:right w:w="28" w:type="dxa"/>
        </w:tblCellMar>
      </w:tblPr>
      <w:tblGrid>
        <w:gridCol w:w="988"/>
        <w:gridCol w:w="665"/>
        <w:gridCol w:w="667"/>
        <w:gridCol w:w="109"/>
        <w:gridCol w:w="109"/>
        <w:gridCol w:w="109"/>
        <w:gridCol w:w="261"/>
        <w:gridCol w:w="1209"/>
        <w:gridCol w:w="134"/>
        <w:gridCol w:w="109"/>
        <w:gridCol w:w="109"/>
        <w:gridCol w:w="109"/>
        <w:gridCol w:w="300"/>
        <w:gridCol w:w="1201"/>
        <w:gridCol w:w="157"/>
        <w:gridCol w:w="109"/>
        <w:gridCol w:w="109"/>
        <w:gridCol w:w="109"/>
        <w:gridCol w:w="261"/>
        <w:gridCol w:w="1209"/>
        <w:gridCol w:w="134"/>
        <w:gridCol w:w="109"/>
        <w:gridCol w:w="109"/>
        <w:gridCol w:w="109"/>
        <w:gridCol w:w="296"/>
        <w:gridCol w:w="1188"/>
        <w:gridCol w:w="227"/>
      </w:tblGrid>
      <w:tr>
        <w:trPr/>
        <w:tc>
          <w:tcPr>
            <w:tcW w:w="98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1,802,371 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1,803,973 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(335,974)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2,664,550 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(577,766)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2,667,473 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(529,913)</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338,319 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338,138 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2,425,103 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2,475,698 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 for the three months ended June 28, 2026 and June 29, 2025 was $24,972 and $21,188, respectively. Total amortization expense for the six months ended June 28, 2026 and June 29, 2025 was $49,946 and $41,756,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4. SHORT AND LONG-TERM DEBT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Short-term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a source of short-term financing, we utilize cash on hand and commercial paper or bank loans with an original maturity of three months or less. As of June 28, 2026, we maintained a $1.875 billion unsecured revolving credit facility with the option to increase the aggregate amount of the commitments by up to $1 billion with the consent of the lenders. The credit facility is scheduled to expire on October 21, 2030; however, we may extend the termination date for up to two additional one-year periods upon notice to the administrative agent under the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credit agreements governing the credit facility contain certain financial and other covenants, customary representations, warranties and events of default. As of June 28, 2026, we were in compliance with all covenants pertaining to the credit facility, and we had no significant compensating balance agreements that legally restricted access to these funds. For more information, refer to the Consolidated Financial Statements included in our 2025 Annual Report on Form 10-K.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revolving credit facility, we maintain lines of credit with domestic and international commercial banks. Commitment fees relating to our revolving credit facility and lines of credit are not material. Short-term debt consisted of the following:</w:t>
      </w:r>
    </w:p>
    <w:tbl>
      <w:tblPr>
        <w:tblW w:w="8819" w:type="dxa"/>
        <w:jc w:val="left"/>
        <w:tblInd w:w="0" w:type="dxa"/>
        <w:tblLayout w:type="fixed"/>
        <w:tblCellMar>
          <w:top w:w="28" w:type="dxa"/>
          <w:left w:w="28" w:type="dxa"/>
          <w:bottom w:w="28" w:type="dxa"/>
          <w:right w:w="28" w:type="dxa"/>
        </w:tblCellMar>
      </w:tblPr>
      <w:tblGrid>
        <w:gridCol w:w="1933"/>
        <w:gridCol w:w="1701"/>
        <w:gridCol w:w="1706"/>
        <w:gridCol w:w="454"/>
        <w:gridCol w:w="234"/>
        <w:gridCol w:w="586"/>
        <w:gridCol w:w="109"/>
        <w:gridCol w:w="109"/>
        <w:gridCol w:w="109"/>
        <w:gridCol w:w="615"/>
        <w:gridCol w:w="317"/>
        <w:gridCol w:w="792"/>
        <w:gridCol w:w="154"/>
      </w:tblGrid>
      <w:tr>
        <w:trPr/>
        <w:tc>
          <w:tcPr>
            <w:tcW w:w="193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foreign bank borrowings against lines of credit</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218,546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paper</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debt</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218,546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 on outstanding commercial paper</w:t>
            </w:r>
          </w:p>
        </w:tc>
        <w:tc>
          <w:tcPr>
            <w:tcW w:w="688"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8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48995"/>
                <wp:effectExtent l="0" t="0" r="0" b="0"/>
                <wp:wrapNone/>
                <wp:docPr id="33" name="Frame12"/>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219075" cy="190500"/>
                                                </a:xfrm>
                                                <a:prstGeom prst="rect">
                                                  <a:avLst/>
                                                </a:prstGeom>
                                              </pic:spPr>
                                            </pic:pic>
                                          </a:graphicData>
                                        </a:graphic>
                                      </wp:inline>
                                    </w:drawing>
                                  </w:r>
                                  <w:bookmarkStart w:id="21" w:name="i-12"/>
                                  <w:bookmarkEnd w:id="2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219075" cy="190500"/>
                                          </a:xfrm>
                                          <a:prstGeom prst="rect">
                                            <a:avLst/>
                                          </a:prstGeom>
                                        </pic:spPr>
                                      </pic:pic>
                                    </a:graphicData>
                                  </a:graphic>
                                </wp:inline>
                              </w:drawing>
                            </w:r>
                            <w:bookmarkStart w:id="22" w:name="i-12"/>
                            <w:bookmarkEnd w:id="22"/>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consisted of the following: </w:t>
      </w:r>
    </w:p>
    <w:tbl>
      <w:tblPr>
        <w:tblW w:w="10205" w:type="dxa"/>
        <w:jc w:val="left"/>
        <w:tblInd w:w="0" w:type="dxa"/>
        <w:tblLayout w:type="fixed"/>
        <w:tblCellMar>
          <w:top w:w="28" w:type="dxa"/>
          <w:left w:w="28" w:type="dxa"/>
          <w:bottom w:w="28" w:type="dxa"/>
          <w:right w:w="28" w:type="dxa"/>
        </w:tblCellMar>
      </w:tblPr>
      <w:tblGrid>
        <w:gridCol w:w="1907"/>
        <w:gridCol w:w="1572"/>
        <w:gridCol w:w="1498"/>
        <w:gridCol w:w="109"/>
        <w:gridCol w:w="109"/>
        <w:gridCol w:w="109"/>
        <w:gridCol w:w="555"/>
        <w:gridCol w:w="455"/>
        <w:gridCol w:w="434"/>
        <w:gridCol w:w="109"/>
        <w:gridCol w:w="109"/>
        <w:gridCol w:w="109"/>
        <w:gridCol w:w="211"/>
        <w:gridCol w:w="976"/>
        <w:gridCol w:w="109"/>
        <w:gridCol w:w="109"/>
        <w:gridCol w:w="109"/>
        <w:gridCol w:w="109"/>
        <w:gridCol w:w="236"/>
        <w:gridCol w:w="1094"/>
        <w:gridCol w:w="177"/>
      </w:tblGrid>
      <w:tr>
        <w:trPr/>
        <w:tc>
          <w:tcPr>
            <w:tcW w:w="190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ind w:left="0" w:right="0" w:hanging="270"/>
              <w:jc w:val="left"/>
              <w:rPr>
                <w:rFonts w:ascii="Times New Roman;serif" w:hAnsi="Times New Roman;serif"/>
                <w:b/>
                <w:color w:val="000000"/>
                <w:sz w:val="18"/>
              </w:rPr>
            </w:pPr>
            <w:r>
              <w:rPr>
                <w:rFonts w:ascii="Times New Roman;serif" w:hAnsi="Times New Roman;serif"/>
                <w:b/>
                <w:color w:val="000000"/>
                <w:sz w:val="18"/>
              </w:rPr>
              <w:t>Debt Type and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ind w:left="0" w:right="0" w:hanging="270"/>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9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7.200% Debentures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193,639 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4,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4,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5.100%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w:t>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Finance lease obligations (see </w:t>
            </w:r>
            <w:hyperlink w:anchor="i758a99e56aa5464382aa6843e8af7f88_64">
              <w:r>
                <w:rPr>
                  <w:rStyle w:val="InternetLink"/>
                  <w:rFonts w:ascii="Times New Roman;serif" w:hAnsi="Times New Roman;serif"/>
                  <w:b w:val="false"/>
                  <w:color w:val="0000FF"/>
                  <w:sz w:val="20"/>
                  <w:u w:val="single"/>
                </w:rPr>
                <w:t>Note 7</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73,510</w:t>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impact of interest rate swaps, debt issuance costs and unamortized debt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(32,628)</w:t>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5,189,135 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5,184,521 </w:t>
            </w:r>
          </w:p>
        </w:tc>
        <w:tc>
          <w:tcPr>
            <w:tcW w:w="1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503,327</w:t>
            </w:r>
          </w:p>
        </w:tc>
      </w:tr>
      <w:tr>
        <w:trPr/>
        <w:tc>
          <w:tcPr>
            <w:tcW w:w="4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4,684,968 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4,681,194 </w:t>
            </w:r>
          </w:p>
        </w:tc>
        <w:tc>
          <w:tcPr>
            <w:tcW w:w="1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consists of the following:</w:t>
      </w:r>
    </w:p>
    <w:tbl>
      <w:tblPr>
        <w:tblW w:w="7740" w:type="dxa"/>
        <w:jc w:val="left"/>
        <w:tblInd w:w="0" w:type="dxa"/>
        <w:tblLayout w:type="fixed"/>
        <w:tblCellMar>
          <w:top w:w="28" w:type="dxa"/>
          <w:left w:w="28" w:type="dxa"/>
          <w:bottom w:w="28" w:type="dxa"/>
          <w:right w:w="28" w:type="dxa"/>
        </w:tblCellMar>
      </w:tblPr>
      <w:tblGrid>
        <w:gridCol w:w="641"/>
        <w:gridCol w:w="562"/>
        <w:gridCol w:w="566"/>
        <w:gridCol w:w="109"/>
        <w:gridCol w:w="109"/>
        <w:gridCol w:w="109"/>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12"/>
        <w:gridCol w:w="832"/>
        <w:gridCol w:w="155"/>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49,963 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90,657 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48995"/>
                <wp:effectExtent l="0" t="0" r="0" b="0"/>
                <wp:wrapNone/>
                <wp:docPr id="36" name="Frame13"/>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219075" cy="190500"/>
                                                </a:xfrm>
                                                <a:prstGeom prst="rect">
                                                  <a:avLst/>
                                                </a:prstGeom>
                                              </pic:spPr>
                                            </pic:pic>
                                          </a:graphicData>
                                        </a:graphic>
                                      </wp:inline>
                                    </w:drawing>
                                  </w:r>
                                  <w:bookmarkStart w:id="23" w:name="i-13"/>
                                  <w:bookmarkEnd w:id="2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219075" cy="190500"/>
                                          </a:xfrm>
                                          <a:prstGeom prst="rect">
                                            <a:avLst/>
                                          </a:prstGeom>
                                        </pic:spPr>
                                      </pic:pic>
                                    </a:graphicData>
                                  </a:graphic>
                                </wp:inline>
                              </w:drawing>
                            </w:r>
                            <w:bookmarkStart w:id="24" w:name="i-13"/>
                            <w:bookmarkEnd w:id="24"/>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5. DERIVATIVE INSTRUMENTS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$504,114 as of June 28, 2026 and $973,083 as of December 31, 2025.</w:t>
      </w:r>
    </w:p>
    <w:p>
      <w:pPr>
        <w:pStyle w:val="TextBody"/>
        <w:bidi w:val="0"/>
        <w:spacing w:lineRule="auto" w:line="288" w:before="180" w:after="283"/>
        <w:jc w:val="left"/>
        <w:rPr/>
      </w:pPr>
      <w:r>
        <w:rPr>
          <w:rFonts w:ascii="Times New Roman;serif" w:hAnsi="Times New Roman;serif"/>
          <w:b w:val="false"/>
          <w:color w:val="000000"/>
          <w:sz w:val="20"/>
        </w:rPr>
        <w:t xml:space="preserve">Derivatives used to manage commodity price risk are not designated for hedge accounting treatment. Therefore, the changes in fair value of these derivatives are recorded as incurred within cost of sales. As discussed in </w:t>
      </w:r>
      <w:hyperlink w:anchor="i758a99e56aa5464382aa6843e8af7f88_91">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Foreign Exchange Price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18 months. The contracts are either designated as cash flow hedges or are undesignated. The net notional amount of foreign exchange contracts accounted for as cash flow hedges was $83,907 at June 28, 2026 and $223,962 at December 31, 2025.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$61,888 at June 28, 2026 and $59,970 at December 31, 2025. The change in fair value on these instruments is recorded directly in cost of sales or selling, marketing and administrative (“SM&amp;A”) expense, depending on the nature of the underlying exposure.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manage interest rate exposure, from time to time, we enter into interest rate swap agreements to protect against unfavorable interest rate changes relating to forecasted debt transactions. These swaps, which are settled upon issuance of the related debt, are designated as cash flow hedges and the gains and losses that are deferred in other comprehensive income are being recognized as an adjustment to interest expense over the same period that the hedged interest payments affect earnings.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Equity Price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SM&amp;A expense, together with the change in the related liabilities. The notional amount of the contracts outstanding at June 28, 2026 and December 31, 2025 was $34,251 and $35,896,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48995"/>
                <wp:effectExtent l="0" t="0" r="0" b="0"/>
                <wp:wrapNone/>
                <wp:docPr id="39" name="Frame1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219075" cy="190500"/>
                                                </a:xfrm>
                                                <a:prstGeom prst="rect">
                                                  <a:avLst/>
                                                </a:prstGeom>
                                              </pic:spPr>
                                            </pic:pic>
                                          </a:graphicData>
                                        </a:graphic>
                                      </wp:inline>
                                    </w:drawing>
                                  </w:r>
                                  <w:bookmarkStart w:id="25" w:name="i-14"/>
                                  <w:bookmarkEnd w:id="2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219075" cy="190500"/>
                                          </a:xfrm>
                                          <a:prstGeom prst="rect">
                                            <a:avLst/>
                                          </a:prstGeom>
                                        </pic:spPr>
                                      </pic:pic>
                                    </a:graphicData>
                                  </a:graphic>
                                </wp:inline>
                              </w:drawing>
                            </w:r>
                            <w:bookmarkStart w:id="26" w:name="i-14"/>
                            <w:bookmarkEnd w:id="26"/>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classification of derivative assets and liabilities within the Consolidated Balance Sheets as of June 28, 2026 and December 31, 2025: </w:t>
      </w:r>
    </w:p>
    <w:tbl>
      <w:tblPr>
        <w:tblW w:w="10205" w:type="dxa"/>
        <w:jc w:val="left"/>
        <w:tblInd w:w="0" w:type="dxa"/>
        <w:tblLayout w:type="fixed"/>
        <w:tblCellMar>
          <w:top w:w="28" w:type="dxa"/>
          <w:left w:w="28" w:type="dxa"/>
          <w:bottom w:w="28" w:type="dxa"/>
          <w:right w:w="28" w:type="dxa"/>
        </w:tblCellMar>
      </w:tblPr>
      <w:tblGrid>
        <w:gridCol w:w="1618"/>
        <w:gridCol w:w="1408"/>
        <w:gridCol w:w="1411"/>
        <w:gridCol w:w="109"/>
        <w:gridCol w:w="109"/>
        <w:gridCol w:w="109"/>
        <w:gridCol w:w="211"/>
        <w:gridCol w:w="721"/>
        <w:gridCol w:w="109"/>
        <w:gridCol w:w="109"/>
        <w:gridCol w:w="109"/>
        <w:gridCol w:w="109"/>
        <w:gridCol w:w="246"/>
        <w:gridCol w:w="843"/>
        <w:gridCol w:w="127"/>
        <w:gridCol w:w="109"/>
        <w:gridCol w:w="109"/>
        <w:gridCol w:w="109"/>
        <w:gridCol w:w="211"/>
        <w:gridCol w:w="616"/>
        <w:gridCol w:w="109"/>
        <w:gridCol w:w="109"/>
        <w:gridCol w:w="109"/>
        <w:gridCol w:w="109"/>
        <w:gridCol w:w="245"/>
        <w:gridCol w:w="839"/>
        <w:gridCol w:w="183"/>
      </w:tblGrid>
      <w:tr>
        <w:trPr/>
        <w:tc>
          <w:tcPr>
            <w:tcW w:w="161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(1)</w:t>
            </w:r>
          </w:p>
        </w:tc>
      </w:tr>
      <w:tr>
        <w:trPr/>
        <w:tc>
          <w:tcPr>
            <w:tcW w:w="4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 futures and options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20,829 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23,924 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(1)Derivative assets are classified on our Consolidated Balance Sheets within prepaid expenses and other as well as other non-current assets. Derivative liabilities are classified on our Consolidated Balance Sheets within accrued liabilities and other long-term liabilities.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(2)As of June 28, 2026, amounts reflected on a net basis in liabilities were assets of $48,630 and liabilities of $60,643, which are associated with cash transfers receivable or payable on commodities futures contracts reflecting the change in quoted market prices on the last trading day for the period. The comparable amounts reflected on a net basis in liabilities at December 31, 2025 were assets of $46,467 and liabilities of $63,531. At June 28, 2026 and December 31, 2025, the remaining amount reflected in assets and liabilities related to the fair value of other non-exchange traded derivative instruments, respectively. </w:t>
      </w:r>
    </w:p>
    <w:p>
      <w:pPr>
        <w:pStyle w:val="TextBody"/>
        <w:bidi w:val="0"/>
        <w:spacing w:lineRule="auto" w:line="288" w:before="180" w:after="283"/>
        <w:ind w:left="0" w:right="0" w:hanging="540"/>
        <w:jc w:val="left"/>
        <w:rPr>
          <w:rFonts w:ascii="Times New Roman;serif" w:hAnsi="Times New Roman;serif"/>
          <w:b/>
          <w:color w:val="000000"/>
          <w:sz w:val="20"/>
        </w:rPr>
      </w:pPr>
      <w:r>
        <w:rPr>
          <w:rFonts w:ascii="Times New Roman;serif" w:hAnsi="Times New Roman;serif"/>
          <w:b/>
          <w:color w:val="000000"/>
          <w:sz w:val="20"/>
        </w:rPr>
        <w:t>Income Statement Impact of Derivative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 of derivative instruments on the Consolidated Statements of Income for the three months ended June 28, 2026 and June 29, 2025 was as follows:</w:t>
      </w:r>
    </w:p>
    <w:tbl>
      <w:tblPr>
        <w:tblW w:w="10205" w:type="dxa"/>
        <w:jc w:val="left"/>
        <w:tblInd w:w="0" w:type="dxa"/>
        <w:tblLayout w:type="fixed"/>
        <w:tblCellMar>
          <w:top w:w="28" w:type="dxa"/>
          <w:left w:w="28" w:type="dxa"/>
          <w:bottom w:w="28" w:type="dxa"/>
          <w:right w:w="28" w:type="dxa"/>
        </w:tblCellMar>
      </w:tblPr>
      <w:tblGrid>
        <w:gridCol w:w="475"/>
        <w:gridCol w:w="382"/>
        <w:gridCol w:w="383"/>
        <w:gridCol w:w="109"/>
        <w:gridCol w:w="109"/>
        <w:gridCol w:w="109"/>
        <w:gridCol w:w="215"/>
        <w:gridCol w:w="735"/>
        <w:gridCol w:w="111"/>
        <w:gridCol w:w="111"/>
        <w:gridCol w:w="111"/>
        <w:gridCol w:w="111"/>
        <w:gridCol w:w="215"/>
        <w:gridCol w:w="756"/>
        <w:gridCol w:w="111"/>
        <w:gridCol w:w="109"/>
        <w:gridCol w:w="109"/>
        <w:gridCol w:w="109"/>
        <w:gridCol w:w="232"/>
        <w:gridCol w:w="706"/>
        <w:gridCol w:w="120"/>
        <w:gridCol w:w="120"/>
        <w:gridCol w:w="120"/>
        <w:gridCol w:w="120"/>
        <w:gridCol w:w="232"/>
        <w:gridCol w:w="706"/>
        <w:gridCol w:w="120"/>
        <w:gridCol w:w="109"/>
        <w:gridCol w:w="109"/>
        <w:gridCol w:w="109"/>
        <w:gridCol w:w="238"/>
        <w:gridCol w:w="726"/>
        <w:gridCol w:w="123"/>
        <w:gridCol w:w="123"/>
        <w:gridCol w:w="123"/>
        <w:gridCol w:w="123"/>
        <w:gridCol w:w="238"/>
        <w:gridCol w:w="726"/>
        <w:gridCol w:w="123"/>
        <w:gridCol w:w="109"/>
        <w:gridCol w:w="109"/>
        <w:gridCol w:w="109"/>
        <w:gridCol w:w="162"/>
      </w:tblGrid>
      <w:tr>
        <w:trPr/>
        <w:tc>
          <w:tcPr>
            <w:tcW w:w="4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Non-designated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Flow Hedges</w:t>
            </w:r>
          </w:p>
        </w:tc>
        <w:tc>
          <w:tcPr>
            <w:tcW w:w="489" w:type="dxa"/>
            <w:gridSpan w:val="4"/>
            <w:tcBorders/>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recognized in income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recognized in other comprehensive income (“OCI”)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reclassified from accumulated OCI (“AOCI”) into income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Commodities futures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compensation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(24,237)</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48995"/>
                <wp:effectExtent l="0" t="0" r="0" b="0"/>
                <wp:wrapNone/>
                <wp:docPr id="42" name="Frame15"/>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219075" cy="190500"/>
                                                </a:xfrm>
                                                <a:prstGeom prst="rect">
                                                  <a:avLst/>
                                                </a:prstGeom>
                                              </pic:spPr>
                                            </pic:pic>
                                          </a:graphicData>
                                        </a:graphic>
                                      </wp:inline>
                                    </w:drawing>
                                  </w:r>
                                  <w:bookmarkStart w:id="27" w:name="i-15"/>
                                  <w:bookmarkEnd w:id="2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219075" cy="190500"/>
                                          </a:xfrm>
                                          <a:prstGeom prst="rect">
                                            <a:avLst/>
                                          </a:prstGeom>
                                        </pic:spPr>
                                      </pic:pic>
                                    </a:graphicData>
                                  </a:graphic>
                                </wp:inline>
                              </w:drawing>
                            </w:r>
                            <w:bookmarkStart w:id="28" w:name="i-15"/>
                            <w:bookmarkEnd w:id="28"/>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 of derivative instruments on the Consolidated Statements of Income for the six months ended June 28, 2026 and June 29, 2025 was as follows:</w:t>
      </w:r>
    </w:p>
    <w:tbl>
      <w:tblPr>
        <w:tblW w:w="10205" w:type="dxa"/>
        <w:jc w:val="left"/>
        <w:tblInd w:w="0" w:type="dxa"/>
        <w:tblLayout w:type="fixed"/>
        <w:tblCellMar>
          <w:top w:w="28" w:type="dxa"/>
          <w:left w:w="28" w:type="dxa"/>
          <w:bottom w:w="28" w:type="dxa"/>
          <w:right w:w="28" w:type="dxa"/>
        </w:tblCellMar>
      </w:tblPr>
      <w:tblGrid>
        <w:gridCol w:w="468"/>
        <w:gridCol w:w="375"/>
        <w:gridCol w:w="377"/>
        <w:gridCol w:w="109"/>
        <w:gridCol w:w="109"/>
        <w:gridCol w:w="109"/>
        <w:gridCol w:w="214"/>
        <w:gridCol w:w="733"/>
        <w:gridCol w:w="110"/>
        <w:gridCol w:w="110"/>
        <w:gridCol w:w="110"/>
        <w:gridCol w:w="110"/>
        <w:gridCol w:w="214"/>
        <w:gridCol w:w="754"/>
        <w:gridCol w:w="110"/>
        <w:gridCol w:w="109"/>
        <w:gridCol w:w="109"/>
        <w:gridCol w:w="109"/>
        <w:gridCol w:w="229"/>
        <w:gridCol w:w="697"/>
        <w:gridCol w:w="118"/>
        <w:gridCol w:w="118"/>
        <w:gridCol w:w="118"/>
        <w:gridCol w:w="118"/>
        <w:gridCol w:w="229"/>
        <w:gridCol w:w="697"/>
        <w:gridCol w:w="118"/>
        <w:gridCol w:w="109"/>
        <w:gridCol w:w="109"/>
        <w:gridCol w:w="109"/>
        <w:gridCol w:w="233"/>
        <w:gridCol w:w="825"/>
        <w:gridCol w:w="120"/>
        <w:gridCol w:w="120"/>
        <w:gridCol w:w="120"/>
        <w:gridCol w:w="120"/>
        <w:gridCol w:w="233"/>
        <w:gridCol w:w="708"/>
        <w:gridCol w:w="120"/>
        <w:gridCol w:w="109"/>
        <w:gridCol w:w="109"/>
        <w:gridCol w:w="109"/>
        <w:gridCol w:w="171"/>
      </w:tblGrid>
      <w:tr>
        <w:trPr/>
        <w:tc>
          <w:tcPr>
            <w:tcW w:w="4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Non-designated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Flow Hedges</w:t>
            </w:r>
          </w:p>
        </w:tc>
        <w:tc>
          <w:tcPr>
            <w:tcW w:w="498" w:type="dxa"/>
            <w:gridSpan w:val="4"/>
            <w:tcBorders/>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recognized in income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recognized in other comprehensive income (“OCI”)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reclassified from accumulated OCI (“AOCI”) into income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gridSpan w:val="2"/>
            <w:tcBorders/>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Commodities futures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(85,402)</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compensation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58,202 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(72,257)</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amount of pre-tax net loss on derivative instruments, including interest rate swap agreements and foreign currency forward exchange contracts expected to be reclassified into earnings in the next 12 months was approximately $8,001 as of June 28, 2026. This amount is primarily associated with interest rate swap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Accounting guidance on fair value measurements requires that financial assets and liabilities be classified and disclosed in one of the following categories of the fair value hierarchy:</w:t>
      </w:r>
    </w:p>
    <w:tbl>
      <w:tblPr>
        <w:tblW w:w="10205" w:type="dxa"/>
        <w:jc w:val="left"/>
        <w:tblInd w:w="0" w:type="dxa"/>
        <w:tblLayout w:type="fixed"/>
        <w:tblCellMar>
          <w:top w:w="28" w:type="dxa"/>
          <w:left w:w="28" w:type="dxa"/>
          <w:bottom w:w="28" w:type="dxa"/>
          <w:right w:w="28" w:type="dxa"/>
        </w:tblCellMar>
      </w:tblPr>
      <w:tblGrid>
        <w:gridCol w:w="3303"/>
        <w:gridCol w:w="2855"/>
        <w:gridCol w:w="4047"/>
      </w:tblGrid>
      <w:tr>
        <w:trPr/>
        <w:tc>
          <w:tcPr>
            <w:tcW w:w="3303"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 xml:space="preserve">Based on unadjusted quoted prices for identical assets or liabilities in an active market.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Based on observable market-based inputs or unobservable inputs that are corroborated by market data.</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Based on unobservable inputs that reflect the entity’s own assumptions about the assumptions that a market participant would use in pricing the asset or liability.</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did not have any Level 3 financial assets or liabilities, nor were there any transfers between levels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48995"/>
                <wp:effectExtent l="0" t="0" r="0" b="0"/>
                <wp:wrapNone/>
                <wp:docPr id="45" name="Frame16"/>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219075" cy="190500"/>
                                                </a:xfrm>
                                                <a:prstGeom prst="rect">
                                                  <a:avLst/>
                                                </a:prstGeom>
                                              </pic:spPr>
                                            </pic:pic>
                                          </a:graphicData>
                                        </a:graphic>
                                      </wp:inline>
                                    </w:drawing>
                                  </w:r>
                                  <w:bookmarkStart w:id="29" w:name="i-16"/>
                                  <w:bookmarkEnd w:id="2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219075" cy="190500"/>
                                          </a:xfrm>
                                          <a:prstGeom prst="rect">
                                            <a:avLst/>
                                          </a:prstGeom>
                                        </pic:spPr>
                                      </pic:pic>
                                    </a:graphicData>
                                  </a:graphic>
                                </wp:inline>
                              </w:drawing>
                            </w:r>
                            <w:bookmarkStart w:id="30" w:name="i-16"/>
                            <w:bookmarkEnd w:id="30"/>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assets and liabilities that were measured at fair value in the Consolidated Balance Sheets on a recurring basis as of June 28, 2026 and December 31, 2025:</w:t>
      </w:r>
    </w:p>
    <w:tbl>
      <w:tblPr>
        <w:tblW w:w="8030" w:type="dxa"/>
        <w:jc w:val="left"/>
        <w:tblInd w:w="0" w:type="dxa"/>
        <w:tblLayout w:type="fixed"/>
        <w:tblCellMar>
          <w:top w:w="28" w:type="dxa"/>
          <w:left w:w="28" w:type="dxa"/>
          <w:bottom w:w="28" w:type="dxa"/>
          <w:right w:w="28" w:type="dxa"/>
        </w:tblCellMar>
      </w:tblPr>
      <w:tblGrid>
        <w:gridCol w:w="1163"/>
        <w:gridCol w:w="1022"/>
        <w:gridCol w:w="1025"/>
        <w:gridCol w:w="109"/>
        <w:gridCol w:w="109"/>
        <w:gridCol w:w="109"/>
        <w:gridCol w:w="317"/>
        <w:gridCol w:w="333"/>
        <w:gridCol w:w="343"/>
        <w:gridCol w:w="109"/>
        <w:gridCol w:w="109"/>
        <w:gridCol w:w="109"/>
        <w:gridCol w:w="317"/>
        <w:gridCol w:w="283"/>
        <w:gridCol w:w="288"/>
        <w:gridCol w:w="109"/>
        <w:gridCol w:w="109"/>
        <w:gridCol w:w="109"/>
        <w:gridCol w:w="317"/>
        <w:gridCol w:w="171"/>
        <w:gridCol w:w="175"/>
        <w:gridCol w:w="109"/>
        <w:gridCol w:w="109"/>
        <w:gridCol w:w="109"/>
        <w:gridCol w:w="247"/>
        <w:gridCol w:w="296"/>
        <w:gridCol w:w="425"/>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 / Liabilities</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derivatives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 futures and options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 futures and options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28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 futures and options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derivatives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Commodities futures and options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20,829</w:t>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fair value of deferred compensation derivatives is based on quoted prices for market interest rates and a broad market equity index.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fair value of commodities futures and options contracts is based on quoted market prices.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Financial Instruments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accounts receivable, accounts payable and short-term debt approximated fair values as of June 28, 2026 and December 31, 2025 because of the relatively short maturity of these instruments.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tbl>
      <w:tblPr>
        <w:tblW w:w="9868" w:type="dxa"/>
        <w:jc w:val="left"/>
        <w:tblInd w:w="0" w:type="dxa"/>
        <w:tblLayout w:type="fixed"/>
        <w:tblCellMar>
          <w:top w:w="28" w:type="dxa"/>
          <w:left w:w="28" w:type="dxa"/>
          <w:bottom w:w="28" w:type="dxa"/>
          <w:right w:w="28" w:type="dxa"/>
        </w:tblCellMar>
      </w:tblPr>
      <w:tblGrid>
        <w:gridCol w:w="1027"/>
        <w:gridCol w:w="900"/>
        <w:gridCol w:w="907"/>
        <w:gridCol w:w="109"/>
        <w:gridCol w:w="109"/>
        <w:gridCol w:w="109"/>
        <w:gridCol w:w="211"/>
        <w:gridCol w:w="976"/>
        <w:gridCol w:w="109"/>
        <w:gridCol w:w="109"/>
        <w:gridCol w:w="109"/>
        <w:gridCol w:w="109"/>
        <w:gridCol w:w="251"/>
        <w:gridCol w:w="1164"/>
        <w:gridCol w:w="130"/>
        <w:gridCol w:w="109"/>
        <w:gridCol w:w="109"/>
        <w:gridCol w:w="109"/>
        <w:gridCol w:w="211"/>
        <w:gridCol w:w="976"/>
        <w:gridCol w:w="109"/>
        <w:gridCol w:w="109"/>
        <w:gridCol w:w="109"/>
        <w:gridCol w:w="109"/>
        <w:gridCol w:w="250"/>
        <w:gridCol w:w="1157"/>
        <w:gridCol w:w="182"/>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503,327</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4,373,815 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4,681,194 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4,830,610 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4,872,603 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5,189,135 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5,184,521 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48995"/>
                <wp:effectExtent l="0" t="0" r="0" b="0"/>
                <wp:wrapNone/>
                <wp:docPr id="48" name="Frame17"/>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219075" cy="190500"/>
                                                </a:xfrm>
                                                <a:prstGeom prst="rect">
                                                  <a:avLst/>
                                                </a:prstGeom>
                                              </pic:spPr>
                                            </pic:pic>
                                          </a:graphicData>
                                        </a:graphic>
                                      </wp:inline>
                                    </w:drawing>
                                  </w:r>
                                  <w:bookmarkStart w:id="31" w:name="i-17"/>
                                  <w:bookmarkEnd w:id="3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219075" cy="190500"/>
                                          </a:xfrm>
                                          <a:prstGeom prst="rect">
                                            <a:avLst/>
                                          </a:prstGeom>
                                        </pic:spPr>
                                      </pic:pic>
                                    </a:graphicData>
                                  </a:graphic>
                                </wp:inline>
                              </w:drawing>
                            </w:r>
                            <w:bookmarkStart w:id="32" w:name="i-17"/>
                            <w:bookmarkEnd w:id="32"/>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Fair Value Measurements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assets and liabilities that are recorded at fair value on a recurring basis, GAAP requires that, under certain circumstances, we also record assets and liabilities at fair value on a nonrecurring basis. </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Activity</w:t>
      </w:r>
    </w:p>
    <w:p>
      <w:pPr>
        <w:pStyle w:val="TextBody"/>
        <w:bidi w:val="0"/>
        <w:spacing w:lineRule="auto" w:line="288" w:before="100" w:after="283"/>
        <w:jc w:val="left"/>
        <w:rPr/>
      </w:pPr>
      <w:r>
        <w:rPr>
          <w:rFonts w:ascii="Times New Roman;serif" w:hAnsi="Times New Roman;serif"/>
          <w:b w:val="false"/>
          <w:color w:val="000000"/>
          <w:sz w:val="20"/>
        </w:rPr>
        <w:t xml:space="preserve">In connection with the acquisition of LesserEvil in 2025, as discussed in </w:t>
      </w:r>
      <w:hyperlink w:anchor="i758a99e56aa5464382aa6843e8af7f88_43">
        <w:r>
          <w:rPr>
            <w:rStyle w:val="InternetLink"/>
            <w:rFonts w:ascii="Times New Roman;serif" w:hAnsi="Times New Roman;serif"/>
            <w:b w:val="false"/>
            <w:color w:val="0000FF"/>
            <w:sz w:val="20"/>
            <w:u w:val="single"/>
          </w:rPr>
          <w:t>Note 2</w:t>
        </w:r>
      </w:hyperlink>
      <w:r>
        <w:rPr>
          <w:rFonts w:ascii="Times New Roman;serif" w:hAnsi="Times New Roman;serif"/>
          <w:b w:val="false"/>
          <w:color w:val="000000"/>
          <w:sz w:val="20"/>
        </w:rPr>
        <w:t xml:space="preserve">,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 Additionally, we estimated the fair value of the contingent consideration using a Monte Carlo simulation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most of our leases do not provide an implicit rate, we use our estimated incremental borrowing rate in determining the present value of lease payments. The estimated incremental borrowing rate is derived from information available at the lease commencement date.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pStyle w:val="TextBody"/>
        <w:bidi w:val="0"/>
        <w:spacing w:lineRule="auto" w:line="288" w:before="180" w:after="1800"/>
        <w:jc w:val="left"/>
        <w:rPr>
          <w:rFonts w:ascii="Times New Roman;serif" w:hAnsi="Times New Roman;serif"/>
          <w:b w:val="false"/>
          <w:color w:val="000000"/>
          <w:sz w:val="20"/>
        </w:rPr>
      </w:pPr>
      <w:r>
        <w:rPr>
          <w:rFonts w:ascii="Times New Roman;serif" w:hAnsi="Times New Roman;serif"/>
          <w:b w:val="false"/>
          <w:color w:val="000000"/>
          <w:sz w:val="20"/>
        </w:rPr>
        <w:t xml:space="preserve">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 </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48995"/>
                <wp:effectExtent l="0" t="0" r="0" b="0"/>
                <wp:wrapNone/>
                <wp:docPr id="51" name="Frame18"/>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219075" cy="190500"/>
                                                </a:xfrm>
                                                <a:prstGeom prst="rect">
                                                  <a:avLst/>
                                                </a:prstGeom>
                                              </pic:spPr>
                                            </pic:pic>
                                          </a:graphicData>
                                        </a:graphic>
                                      </wp:inline>
                                    </w:drawing>
                                  </w:r>
                                  <w:bookmarkStart w:id="33" w:name="i-18"/>
                                  <w:bookmarkEnd w:id="3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219075" cy="190500"/>
                                          </a:xfrm>
                                          <a:prstGeom prst="rect">
                                            <a:avLst/>
                                          </a:prstGeom>
                                        </pic:spPr>
                                      </pic:pic>
                                    </a:graphicData>
                                  </a:graphic>
                                </wp:inline>
                              </w:drawing>
                            </w:r>
                            <w:bookmarkStart w:id="34" w:name="i-18"/>
                            <w:bookmarkEnd w:id="34"/>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60" w:after="160"/>
        <w:jc w:val="left"/>
        <w:rPr/>
      </w:pPr>
      <w:r>
        <w:rPr>
          <w:rFonts w:ascii="Times New Roman;serif" w:hAnsi="Times New Roman;serif"/>
          <w:b w:val="false"/>
          <w:color w:val="000000"/>
          <w:sz w:val="20"/>
        </w:rPr>
        <w:t xml:space="preserve">The components of lease expense for the three months ended June 28, 2026 and June 29, 2025 were as follows: </w:t>
      </w:r>
      <w:r>
        <w:rPr>
          <w:color w:val="000000"/>
        </w:rPr>
        <w:t> </w:t>
      </w:r>
    </w:p>
    <w:tbl>
      <w:tblPr>
        <w:tblW w:w="8555" w:type="dxa"/>
        <w:jc w:val="left"/>
        <w:tblInd w:w="0" w:type="dxa"/>
        <w:tblLayout w:type="fixed"/>
        <w:tblCellMar>
          <w:top w:w="28" w:type="dxa"/>
          <w:left w:w="28" w:type="dxa"/>
          <w:bottom w:w="28" w:type="dxa"/>
          <w:right w:w="28" w:type="dxa"/>
        </w:tblCellMar>
      </w:tblPr>
      <w:tblGrid>
        <w:gridCol w:w="858"/>
        <w:gridCol w:w="752"/>
        <w:gridCol w:w="759"/>
        <w:gridCol w:w="109"/>
        <w:gridCol w:w="109"/>
        <w:gridCol w:w="109"/>
        <w:gridCol w:w="949"/>
        <w:gridCol w:w="949"/>
        <w:gridCol w:w="952"/>
        <w:gridCol w:w="109"/>
        <w:gridCol w:w="109"/>
        <w:gridCol w:w="109"/>
        <w:gridCol w:w="234"/>
        <w:gridCol w:w="800"/>
        <w:gridCol w:w="121"/>
        <w:gridCol w:w="109"/>
        <w:gridCol w:w="109"/>
        <w:gridCol w:w="109"/>
        <w:gridCol w:w="233"/>
        <w:gridCol w:w="797"/>
        <w:gridCol w:w="170"/>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3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or SM&amp;A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cost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19,671 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19,032 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lease expense for the six months ended June 28, 2026 and June 29, 2025 were as follows: </w:t>
      </w:r>
    </w:p>
    <w:tbl>
      <w:tblPr>
        <w:tblW w:w="8555" w:type="dxa"/>
        <w:jc w:val="left"/>
        <w:tblInd w:w="0" w:type="dxa"/>
        <w:tblLayout w:type="fixed"/>
        <w:tblCellMar>
          <w:top w:w="28" w:type="dxa"/>
          <w:left w:w="28" w:type="dxa"/>
          <w:bottom w:w="28" w:type="dxa"/>
          <w:right w:w="28" w:type="dxa"/>
        </w:tblCellMar>
      </w:tblPr>
      <w:tblGrid>
        <w:gridCol w:w="858"/>
        <w:gridCol w:w="752"/>
        <w:gridCol w:w="759"/>
        <w:gridCol w:w="109"/>
        <w:gridCol w:w="109"/>
        <w:gridCol w:w="109"/>
        <w:gridCol w:w="949"/>
        <w:gridCol w:w="949"/>
        <w:gridCol w:w="952"/>
        <w:gridCol w:w="109"/>
        <w:gridCol w:w="109"/>
        <w:gridCol w:w="109"/>
        <w:gridCol w:w="234"/>
        <w:gridCol w:w="800"/>
        <w:gridCol w:w="121"/>
        <w:gridCol w:w="109"/>
        <w:gridCol w:w="109"/>
        <w:gridCol w:w="109"/>
        <w:gridCol w:w="233"/>
        <w:gridCol w:w="797"/>
        <w:gridCol w:w="170"/>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3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or SM&amp;A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30,026 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cost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36,627 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(1)Supply chain-related amounts were included in cost of sales.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(2)Net lease cost does not include short-term leases, variable lease costs or sublease income, all of which are immaterial.</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Information regarding our lease terms and discount rates were as follows:</w:t>
      </w:r>
    </w:p>
    <w:tbl>
      <w:tblPr>
        <w:tblW w:w="7313" w:type="dxa"/>
        <w:jc w:val="left"/>
        <w:tblInd w:w="0" w:type="dxa"/>
        <w:tblLayout w:type="fixed"/>
        <w:tblCellMar>
          <w:top w:w="28" w:type="dxa"/>
          <w:left w:w="28" w:type="dxa"/>
          <w:bottom w:w="28" w:type="dxa"/>
          <w:right w:w="28" w:type="dxa"/>
        </w:tblCellMar>
      </w:tblPr>
      <w:tblGrid>
        <w:gridCol w:w="1419"/>
        <w:gridCol w:w="1246"/>
        <w:gridCol w:w="1250"/>
        <w:gridCol w:w="109"/>
        <w:gridCol w:w="109"/>
        <w:gridCol w:w="109"/>
        <w:gridCol w:w="257"/>
        <w:gridCol w:w="257"/>
        <w:gridCol w:w="640"/>
        <w:gridCol w:w="109"/>
        <w:gridCol w:w="109"/>
        <w:gridCol w:w="109"/>
        <w:gridCol w:w="323"/>
        <w:gridCol w:w="323"/>
        <w:gridCol w:w="94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48995"/>
                <wp:effectExtent l="0" t="0" r="0" b="0"/>
                <wp:wrapNone/>
                <wp:docPr id="54" name="Frame19"/>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219075" cy="190500"/>
                                                </a:xfrm>
                                                <a:prstGeom prst="rect">
                                                  <a:avLst/>
                                                </a:prstGeom>
                                              </pic:spPr>
                                            </pic:pic>
                                          </a:graphicData>
                                        </a:graphic>
                                      </wp:inline>
                                    </w:drawing>
                                  </w:r>
                                  <w:bookmarkStart w:id="35" w:name="i-19"/>
                                  <w:bookmarkEnd w:id="3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219075" cy="190500"/>
                                          </a:xfrm>
                                          <a:prstGeom prst="rect">
                                            <a:avLst/>
                                          </a:prstGeom>
                                        </pic:spPr>
                                      </pic:pic>
                                    </a:graphicData>
                                  </a:graphic>
                                </wp:inline>
                              </w:drawing>
                            </w:r>
                            <w:bookmarkStart w:id="36" w:name="i-19"/>
                            <w:bookmarkEnd w:id="36"/>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were as follows:</w:t>
      </w:r>
    </w:p>
    <w:tbl>
      <w:tblPr>
        <w:tblW w:w="9589" w:type="dxa"/>
        <w:jc w:val="left"/>
        <w:tblInd w:w="0" w:type="dxa"/>
        <w:tblLayout w:type="fixed"/>
        <w:tblCellMar>
          <w:top w:w="28" w:type="dxa"/>
          <w:left w:w="28" w:type="dxa"/>
          <w:bottom w:w="28" w:type="dxa"/>
          <w:right w:w="28" w:type="dxa"/>
        </w:tblCellMar>
      </w:tblPr>
      <w:tblGrid>
        <w:gridCol w:w="1007"/>
        <w:gridCol w:w="887"/>
        <w:gridCol w:w="896"/>
        <w:gridCol w:w="109"/>
        <w:gridCol w:w="109"/>
        <w:gridCol w:w="109"/>
        <w:gridCol w:w="1024"/>
        <w:gridCol w:w="1024"/>
        <w:gridCol w:w="1027"/>
        <w:gridCol w:w="109"/>
        <w:gridCol w:w="109"/>
        <w:gridCol w:w="109"/>
        <w:gridCol w:w="212"/>
        <w:gridCol w:w="833"/>
        <w:gridCol w:w="109"/>
        <w:gridCol w:w="109"/>
        <w:gridCol w:w="109"/>
        <w:gridCol w:w="109"/>
        <w:gridCol w:w="281"/>
        <w:gridCol w:w="1103"/>
        <w:gridCol w:w="205"/>
      </w:tblGrid>
      <w:tr>
        <w:trPr/>
        <w:tc>
          <w:tcPr>
            <w:tcW w:w="100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ROU assets,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ROU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57,641 </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382,986 </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409,018 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maturities of our lease liabilities as of June 28, 2026 were as follows:</w:t>
      </w:r>
    </w:p>
    <w:tbl>
      <w:tblPr>
        <w:tblW w:w="6298" w:type="dxa"/>
        <w:jc w:val="left"/>
        <w:tblInd w:w="0" w:type="dxa"/>
        <w:tblLayout w:type="fixed"/>
        <w:tblCellMar>
          <w:top w:w="28" w:type="dxa"/>
          <w:left w:w="28" w:type="dxa"/>
          <w:bottom w:w="28" w:type="dxa"/>
          <w:right w:w="28" w:type="dxa"/>
        </w:tblCellMar>
      </w:tblPr>
      <w:tblGrid>
        <w:gridCol w:w="690"/>
        <w:gridCol w:w="605"/>
        <w:gridCol w:w="609"/>
        <w:gridCol w:w="251"/>
        <w:gridCol w:w="984"/>
        <w:gridCol w:w="129"/>
        <w:gridCol w:w="109"/>
        <w:gridCol w:w="109"/>
        <w:gridCol w:w="109"/>
        <w:gridCol w:w="240"/>
        <w:gridCol w:w="821"/>
        <w:gridCol w:w="124"/>
        <w:gridCol w:w="109"/>
        <w:gridCol w:w="109"/>
        <w:gridCol w:w="109"/>
        <w:gridCol w:w="211"/>
        <w:gridCol w:w="82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(rest of year)</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190,559 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398,633 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159,580 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84,039 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312,632 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cash flow and other information related to leases were as follows:</w:t>
      </w:r>
    </w:p>
    <w:tbl>
      <w:tblPr>
        <w:tblW w:w="8873"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34"/>
        <w:gridCol w:w="800"/>
        <w:gridCol w:w="121"/>
        <w:gridCol w:w="109"/>
        <w:gridCol w:w="109"/>
        <w:gridCol w:w="109"/>
        <w:gridCol w:w="233"/>
        <w:gridCol w:w="797"/>
        <w:gridCol w:w="170"/>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48995"/>
                <wp:effectExtent l="0" t="0" r="0" b="0"/>
                <wp:wrapNone/>
                <wp:docPr id="57" name="Frame20"/>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219075" cy="190500"/>
                                                </a:xfrm>
                                                <a:prstGeom prst="rect">
                                                  <a:avLst/>
                                                </a:prstGeom>
                                              </pic:spPr>
                                            </pic:pic>
                                          </a:graphicData>
                                        </a:graphic>
                                      </wp:inline>
                                    </w:drawing>
                                  </w:r>
                                  <w:bookmarkStart w:id="37" w:name="i-20"/>
                                  <w:bookmarkEnd w:id="3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19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219075" cy="190500"/>
                                          </a:xfrm>
                                          <a:prstGeom prst="rect">
                                            <a:avLst/>
                                          </a:prstGeom>
                                        </pic:spPr>
                                      </pic:pic>
                                    </a:graphicData>
                                  </a:graphic>
                                </wp:inline>
                              </w:drawing>
                            </w:r>
                            <w:bookmarkStart w:id="38" w:name="i-20"/>
                            <w:bookmarkEnd w:id="38"/>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8. INVESTMENTS IN UNCONSOLIDATED AFFILIATES</w:t>
      </w:r>
    </w:p>
    <w:p>
      <w:pPr>
        <w:pStyle w:val="TextBody"/>
        <w:bidi w:val="0"/>
        <w:spacing w:lineRule="auto" w:line="288" w:before="100" w:after="283"/>
        <w:jc w:val="left"/>
        <w:rPr/>
      </w:pPr>
      <w:r>
        <w:rPr>
          <w:rFonts w:ascii="Times New Roman;serif" w:hAnsi="Times New Roman;serif"/>
          <w:b w:val="false"/>
          <w:color w:val="000000"/>
          <w:sz w:val="20"/>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hyperlink w:anchor="i758a99e56aa5464382aa6843e8af7f88_109">
        <w:r>
          <w:rPr>
            <w:rStyle w:val="InternetLink"/>
            <w:rFonts w:ascii="Times New Roman;serif" w:hAnsi="Times New Roman;serif"/>
            <w:b w:val="false"/>
            <w:color w:val="0000FF"/>
            <w:sz w:val="20"/>
            <w:u w:val="single"/>
          </w:rPr>
          <w:t>Note 17</w:t>
        </w:r>
      </w:hyperlink>
      <w:r>
        <w:rPr>
          <w:rFonts w:ascii="Times New Roman;serif" w:hAnsi="Times New Roman;serif"/>
          <w:b w:val="false"/>
          <w:color w:val="000000"/>
          <w:sz w:val="20"/>
        </w:rPr>
        <w: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Both equity method investments and cost, less impairment,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$174,834 and $176,567 as of June 28,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9. BUSINESS REALIGNMENT ACTIVITIES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undertake business realignment activities designed to increase our efficiency and focus our business in support of our key growth strategies.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Advancing Agility &amp; Automation Initiative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February 2, 2024, the Board of Directors of the Company approved a multi-year productivity initiative (“Advancing Agility &amp; Automation Initiative” or "AAA Initiative") to improve supply chain and manufacturing-related spend, optimize selling, general and administrative expenses, leverage new technology and business models to further simplify and automate processes, and generate long-term savings.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estimates that the AAA Initiative will result in total pre-tax costs of $200,000 to $250,000 from inception through 2026. This estimate primarily includes program office execution and third-party costs supporting the design and implementation of the new organizational structure of $100,000 to $120,000, as well as implementation and technology capability costs of $55,000 to $70,000. Additionally, we expect to incur employee severance and related separation benefits of $45,000 to $60,000 as we facilitate workforce reductions and reallocate resources to further drive the Company’s strategic priorities. The cash portion of the total cost is estimated to be $175,000 to $225,000. At the conclusion of the program in 2026, ongoing annual savings are expected to be approximately $400,000.</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Since inception through June 28, 2026, we recognized total costs associated with the AAA Initiative of $198,655. These charges predominantly included employee severance and related separation benefits related to workforce reductions and third-party costs supporting the design and implementation of the new organizational structure, as well as technology capability costs. The costs and related benefits of the AAA Initiative predominantly relates to the North America Confectionery segment and Corporate. However, segment operating results do not include these business realignment expenses because we evaluate segment performance excluding such costs.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Costs associated with business realignment activities are classified in our Consolidated Statements of Income as follows:</w:t>
      </w:r>
    </w:p>
    <w:tbl>
      <w:tblPr>
        <w:tblW w:w="10205" w:type="dxa"/>
        <w:jc w:val="left"/>
        <w:tblInd w:w="0" w:type="dxa"/>
        <w:tblLayout w:type="fixed"/>
        <w:tblCellMar>
          <w:top w:w="28" w:type="dxa"/>
          <w:left w:w="28" w:type="dxa"/>
          <w:bottom w:w="28" w:type="dxa"/>
          <w:right w:w="28" w:type="dxa"/>
        </w:tblCellMar>
      </w:tblPr>
      <w:tblGrid>
        <w:gridCol w:w="1543"/>
        <w:gridCol w:w="1356"/>
        <w:gridCol w:w="1359"/>
        <w:gridCol w:w="109"/>
        <w:gridCol w:w="109"/>
        <w:gridCol w:w="109"/>
        <w:gridCol w:w="257"/>
        <w:gridCol w:w="753"/>
        <w:gridCol w:w="132"/>
        <w:gridCol w:w="109"/>
        <w:gridCol w:w="109"/>
        <w:gridCol w:w="109"/>
        <w:gridCol w:w="232"/>
        <w:gridCol w:w="796"/>
        <w:gridCol w:w="120"/>
        <w:gridCol w:w="109"/>
        <w:gridCol w:w="109"/>
        <w:gridCol w:w="109"/>
        <w:gridCol w:w="232"/>
        <w:gridCol w:w="796"/>
        <w:gridCol w:w="120"/>
        <w:gridCol w:w="109"/>
        <w:gridCol w:w="109"/>
        <w:gridCol w:w="109"/>
        <w:gridCol w:w="231"/>
        <w:gridCol w:w="793"/>
        <w:gridCol w:w="177"/>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marketing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realignment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business realignment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21,718 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40,992 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48995"/>
                <wp:effectExtent l="0" t="0" r="0" b="0"/>
                <wp:wrapNone/>
                <wp:docPr id="60" name="Frame21"/>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219075" cy="190500"/>
                                                </a:xfrm>
                                                <a:prstGeom prst="rect">
                                                  <a:avLst/>
                                                </a:prstGeom>
                                              </pic:spPr>
                                            </pic:pic>
                                          </a:graphicData>
                                        </a:graphic>
                                      </wp:inline>
                                    </w:drawing>
                                  </w:r>
                                  <w:bookmarkStart w:id="39" w:name="i-21"/>
                                  <w:bookmarkEnd w:id="3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219075" cy="190500"/>
                                          </a:xfrm>
                                          <a:prstGeom prst="rect">
                                            <a:avLst/>
                                          </a:prstGeom>
                                        </pic:spPr>
                                      </pic:pic>
                                    </a:graphicData>
                                  </a:graphic>
                                </wp:inline>
                              </w:drawing>
                            </w:r>
                            <w:bookmarkStart w:id="40" w:name="i-21"/>
                            <w:bookmarkEnd w:id="40"/>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Costs recorded by program during the three and six months ended June 28, 2026 and June 29, 2025 related to these activities were as follows:</w:t>
      </w:r>
    </w:p>
    <w:tbl>
      <w:tblPr>
        <w:tblW w:w="9691" w:type="dxa"/>
        <w:jc w:val="left"/>
        <w:tblInd w:w="0" w:type="dxa"/>
        <w:tblLayout w:type="fixed"/>
        <w:tblCellMar>
          <w:top w:w="28" w:type="dxa"/>
          <w:left w:w="28" w:type="dxa"/>
          <w:bottom w:w="28" w:type="dxa"/>
          <w:right w:w="28" w:type="dxa"/>
        </w:tblCellMar>
      </w:tblPr>
      <w:tblGrid>
        <w:gridCol w:w="1348"/>
        <w:gridCol w:w="1184"/>
        <w:gridCol w:w="1187"/>
        <w:gridCol w:w="109"/>
        <w:gridCol w:w="109"/>
        <w:gridCol w:w="109"/>
        <w:gridCol w:w="260"/>
        <w:gridCol w:w="760"/>
        <w:gridCol w:w="134"/>
        <w:gridCol w:w="109"/>
        <w:gridCol w:w="109"/>
        <w:gridCol w:w="109"/>
        <w:gridCol w:w="234"/>
        <w:gridCol w:w="800"/>
        <w:gridCol w:w="121"/>
        <w:gridCol w:w="109"/>
        <w:gridCol w:w="109"/>
        <w:gridCol w:w="109"/>
        <w:gridCol w:w="234"/>
        <w:gridCol w:w="800"/>
        <w:gridCol w:w="121"/>
        <w:gridCol w:w="109"/>
        <w:gridCol w:w="109"/>
        <w:gridCol w:w="109"/>
        <w:gridCol w:w="233"/>
        <w:gridCol w:w="797"/>
        <w:gridCol w:w="170"/>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Advancing Agility &amp; Automation Initiative: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employee benefit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program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21,718 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40,992 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liability activity for costs qualifying as exit and disposal costs for the six months ended June 28, 2026:</w:t>
      </w:r>
    </w:p>
    <w:tbl>
      <w:tblPr>
        <w:tblW w:w="4685" w:type="dxa"/>
        <w:jc w:val="left"/>
        <w:tblInd w:w="0" w:type="dxa"/>
        <w:tblLayout w:type="fixed"/>
        <w:tblCellMar>
          <w:top w:w="28" w:type="dxa"/>
          <w:left w:w="28" w:type="dxa"/>
          <w:bottom w:w="28" w:type="dxa"/>
          <w:right w:w="28" w:type="dxa"/>
        </w:tblCellMar>
      </w:tblPr>
      <w:tblGrid>
        <w:gridCol w:w="1304"/>
        <w:gridCol w:w="1146"/>
        <w:gridCol w:w="1149"/>
        <w:gridCol w:w="211"/>
        <w:gridCol w:w="721"/>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balance at December 31, 2025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business realignment charges (2)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balance at June 28, 2026 (1)</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liability balances reflected above are reported within accrued liabilities and other long-term liabilities.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costs reflected in the liability roll-forward represent employee-related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taxable income is generated in the United States and taxed at the United States statutory rate of 21%. The effective tax rates for the six months ended June 28, 2026 and June 29, 2025 were 24.4% and 39.3%, respectively. The 2025 effective tax rate was higher due to the impact of tax reserves and foreign rate differentials related to mark-to-market activity. Relative to the statutory rate, the 2026 effective tax rate was primarily impacted by state taxes and foreign rate differential.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Mexico, Canada,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Organization for Economic Cooperation Development</w:t>
      </w:r>
    </w:p>
    <w:p>
      <w:pPr>
        <w:pStyle w:val="TextBody"/>
        <w:bidi w:val="0"/>
        <w:spacing w:lineRule="auto" w:line="288" w:before="180" w:after="283"/>
        <w:jc w:val="left"/>
        <w:rPr/>
      </w:pPr>
      <w:r>
        <w:rPr>
          <w:rFonts w:ascii="Times New Roman;serif" w:hAnsi="Times New Roman;serif"/>
          <w:b w:val="false"/>
          <w:color w:val="000000"/>
          <w:sz w:val="20"/>
        </w:rPr>
        <w:t>In December 2021, the Organization for Economic Cooperation and Development (“OECD”) introduced Global Anti-Base Erosion and Profit Shifting Pillar Two regulations which aim to ensure that multi-national entities that exceed the threshold revenue levels are subject to a minimum effective tax rate of 15% in jurisdictions where they operate. The Company is subject to OECD Pillar Two regulations, in certain jurisdictions which have enacted legislation. The existing legislation does not have a material impact on the Company’s effective tax rate.</w:t>
      </w:r>
      <w:r>
        <w:rPr>
          <w:color w:val="000000"/>
        </w:rPr>
        <w:t xml:space="preserve"> </w:t>
      </w:r>
      <w:r>
        <w:rPr>
          <w:rFonts w:ascii="Times New Roman;serif" w:hAnsi="Times New Roman;serif"/>
          <w:b w:val="false"/>
          <w:color w:val="000000"/>
          <w:sz w:val="20"/>
        </w:rPr>
        <w:t>The Company will continue to monitor impact as additional legislation is enacted, including the “side by side” administrative guidance released by the OECD in January 2026 which would exempt U.S.-parented companies from certain aspects of the global minimum tax regime.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48995"/>
                <wp:effectExtent l="0" t="0" r="0" b="0"/>
                <wp:wrapNone/>
                <wp:docPr id="63" name="Frame22"/>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219075" cy="190500"/>
                                                </a:xfrm>
                                                <a:prstGeom prst="rect">
                                                  <a:avLst/>
                                                </a:prstGeom>
                                              </pic:spPr>
                                            </pic:pic>
                                          </a:graphicData>
                                        </a:graphic>
                                      </wp:inline>
                                    </w:drawing>
                                  </w:r>
                                  <w:bookmarkStart w:id="41" w:name="i-22"/>
                                  <w:bookmarkEnd w:id="4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219075" cy="190500"/>
                                          </a:xfrm>
                                          <a:prstGeom prst="rect">
                                            <a:avLst/>
                                          </a:prstGeom>
                                        </pic:spPr>
                                      </pic:pic>
                                    </a:graphicData>
                                  </a:graphic>
                                </wp:inline>
                              </w:drawing>
                            </w:r>
                            <w:bookmarkStart w:id="42" w:name="i-22"/>
                            <w:bookmarkEnd w:id="42"/>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11. PENSION AND OTHER POST-RETIREMENT BENEFIT PLANS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Net Periodic Benefit Cost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net periodic benefit cost for the three months ended June 28, 2026 and June 29, 2025 were as follows: </w:t>
      </w:r>
    </w:p>
    <w:tbl>
      <w:tblPr>
        <w:tblW w:w="8940" w:type="dxa"/>
        <w:jc w:val="left"/>
        <w:tblInd w:w="0" w:type="dxa"/>
        <w:tblLayout w:type="fixed"/>
        <w:tblCellMar>
          <w:top w:w="28" w:type="dxa"/>
          <w:left w:w="28" w:type="dxa"/>
          <w:bottom w:w="28" w:type="dxa"/>
          <w:right w:w="28" w:type="dxa"/>
        </w:tblCellMar>
      </w:tblPr>
      <w:tblGrid>
        <w:gridCol w:w="1074"/>
        <w:gridCol w:w="944"/>
        <w:gridCol w:w="952"/>
        <w:gridCol w:w="109"/>
        <w:gridCol w:w="109"/>
        <w:gridCol w:w="109"/>
        <w:gridCol w:w="260"/>
        <w:gridCol w:w="760"/>
        <w:gridCol w:w="134"/>
        <w:gridCol w:w="109"/>
        <w:gridCol w:w="109"/>
        <w:gridCol w:w="109"/>
        <w:gridCol w:w="260"/>
        <w:gridCol w:w="760"/>
        <w:gridCol w:w="134"/>
        <w:gridCol w:w="109"/>
        <w:gridCol w:w="109"/>
        <w:gridCol w:w="109"/>
        <w:gridCol w:w="260"/>
        <w:gridCol w:w="760"/>
        <w:gridCol w:w="134"/>
        <w:gridCol w:w="109"/>
        <w:gridCol w:w="109"/>
        <w:gridCol w:w="109"/>
        <w:gridCol w:w="258"/>
        <w:gridCol w:w="754"/>
        <w:gridCol w:w="188"/>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Benefits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made contributions of $209 and $2,624 to our pension plans and other benefits plans, respectively, during the second quarter of 2026. In the second quarter of 2025, we made contributions of $423 and $2,994 to our pension plans and other benefit plans, respectively. The contributions in 2026 and 2025 also included benefit payments from our non-qualified pension plans and post-retirement benefit plans.</w:t>
      </w:r>
    </w:p>
    <w:p>
      <w:pPr>
        <w:pStyle w:val="TextBody"/>
        <w:bidi w:val="0"/>
        <w:spacing w:lineRule="auto" w:line="288" w:before="180" w:after="283"/>
        <w:jc w:val="left"/>
        <w:rPr/>
      </w:pPr>
      <w:r>
        <w:rPr>
          <w:rFonts w:ascii="Times New Roman;serif" w:hAnsi="Times New Roman;serif"/>
          <w:b w:val="false"/>
          <w:color w:val="000000"/>
          <w:sz w:val="20"/>
        </w:rPr>
        <w:t xml:space="preserve">The components of net periodic benefit cost for the six months ended June 28, 2026 and June 29, 2025 were as follows: </w:t>
      </w:r>
      <w:r>
        <w:rPr>
          <w:color w:val="000000"/>
        </w:rPr>
        <w:t> </w:t>
      </w:r>
    </w:p>
    <w:tbl>
      <w:tblPr>
        <w:tblW w:w="8940" w:type="dxa"/>
        <w:jc w:val="left"/>
        <w:tblInd w:w="0" w:type="dxa"/>
        <w:tblLayout w:type="fixed"/>
        <w:tblCellMar>
          <w:top w:w="28" w:type="dxa"/>
          <w:left w:w="28" w:type="dxa"/>
          <w:bottom w:w="28" w:type="dxa"/>
          <w:right w:w="28" w:type="dxa"/>
        </w:tblCellMar>
      </w:tblPr>
      <w:tblGrid>
        <w:gridCol w:w="1074"/>
        <w:gridCol w:w="944"/>
        <w:gridCol w:w="952"/>
        <w:gridCol w:w="109"/>
        <w:gridCol w:w="109"/>
        <w:gridCol w:w="109"/>
        <w:gridCol w:w="260"/>
        <w:gridCol w:w="760"/>
        <w:gridCol w:w="134"/>
        <w:gridCol w:w="109"/>
        <w:gridCol w:w="109"/>
        <w:gridCol w:w="109"/>
        <w:gridCol w:w="260"/>
        <w:gridCol w:w="760"/>
        <w:gridCol w:w="134"/>
        <w:gridCol w:w="109"/>
        <w:gridCol w:w="109"/>
        <w:gridCol w:w="109"/>
        <w:gridCol w:w="260"/>
        <w:gridCol w:w="760"/>
        <w:gridCol w:w="134"/>
        <w:gridCol w:w="109"/>
        <w:gridCol w:w="109"/>
        <w:gridCol w:w="109"/>
        <w:gridCol w:w="258"/>
        <w:gridCol w:w="754"/>
        <w:gridCol w:w="188"/>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Benefits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made contributions of $674 and $5,496 to our pension plans and other benefits plans, respectively, during the first six months of 2026. In the first six months of 2025, we made contributions of $1,112 and $5,431 to our pension plans and other benefit plans, respectively. The contributions in 2026 and 2025 also included benefit payments from our non-qualified pension plans and post-retirement benefit plans.</w:t>
      </w:r>
    </w:p>
    <w:p>
      <w:pPr>
        <w:pStyle w:val="TextBody"/>
        <w:bidi w:val="0"/>
        <w:spacing w:lineRule="auto" w:line="288" w:before="180" w:after="283"/>
        <w:jc w:val="left"/>
        <w:rPr/>
      </w:pPr>
      <w:r>
        <w:rPr>
          <w:rFonts w:ascii="Times New Roman;serif" w:hAnsi="Times New Roman;serif"/>
          <w:b w:val="false"/>
          <w:color w:val="000000"/>
          <w:sz w:val="20"/>
        </w:rPr>
        <w:t xml:space="preserve">The non-service cost components of net periodic benefit cost relating to pension and other post-retirement benefit plans are reflected within other (income) expense, net in the Consolidated Statements of Income (see </w:t>
      </w:r>
      <w:hyperlink w:anchor="i758a99e56aa5464382aa6843e8af7f88_109">
        <w:r>
          <w:rPr>
            <w:rStyle w:val="InternetLink"/>
            <w:rFonts w:ascii="Times New Roman;serif" w:hAnsi="Times New Roman;serif"/>
            <w:b w:val="false"/>
            <w:color w:val="0000FF"/>
            <w:sz w:val="20"/>
            <w:u w:val="single"/>
          </w:rPr>
          <w:t>Note 17</w:t>
        </w:r>
      </w:hyperlink>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48995"/>
                <wp:effectExtent l="0" t="0" r="0" b="0"/>
                <wp:wrapNone/>
                <wp:docPr id="66" name="Frame23"/>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219075" cy="190500"/>
                                                </a:xfrm>
                                                <a:prstGeom prst="rect">
                                                  <a:avLst/>
                                                </a:prstGeom>
                                              </pic:spPr>
                                            </pic:pic>
                                          </a:graphicData>
                                        </a:graphic>
                                      </wp:inline>
                                    </w:drawing>
                                  </w:r>
                                  <w:bookmarkStart w:id="43" w:name="i-23"/>
                                  <w:bookmarkEnd w:id="4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219075" cy="190500"/>
                                          </a:xfrm>
                                          <a:prstGeom prst="rect">
                                            <a:avLst/>
                                          </a:prstGeom>
                                        </pic:spPr>
                                      </pic:pic>
                                    </a:graphicData>
                                  </a:graphic>
                                </wp:inline>
                              </w:drawing>
                            </w:r>
                            <w:bookmarkStart w:id="44" w:name="i-23"/>
                            <w:bookmarkEnd w:id="44"/>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we recognized pension settlement charges in The Hershey Retirement Plan for Salaried and Hourly Employees due to lump sum withdrawals by employees retiring or leaving the Company.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second quarter 2026 settlements, the related plan assets and liabilities were remeasured using a discount rate as of the remeasurement date that was 25 basis points higher than the rate as of December 31, 2025 and an expected rate of return on plan assets of 7.0%, which was consistent with the rate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12. STOCK COMPENSATION PLANS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Non-qualified stock options (“stock options”);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 stock units (“PSUs”) and performance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Stock appreciation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Restricted stock units (“RSUs”) and restricted stock;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stock-based awards.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periods presented, compensation expense for all types of stock-based compensation programs and the related income tax benefit recognized were as follows:</w:t>
      </w:r>
    </w:p>
    <w:tbl>
      <w:tblPr>
        <w:tblW w:w="8553" w:type="dxa"/>
        <w:jc w:val="left"/>
        <w:tblInd w:w="0" w:type="dxa"/>
        <w:tblLayout w:type="fixed"/>
        <w:tblCellMar>
          <w:top w:w="28" w:type="dxa"/>
          <w:left w:w="28" w:type="dxa"/>
          <w:bottom w:w="28" w:type="dxa"/>
          <w:right w:w="28" w:type="dxa"/>
        </w:tblCellMar>
      </w:tblPr>
      <w:tblGrid>
        <w:gridCol w:w="933"/>
        <w:gridCol w:w="821"/>
        <w:gridCol w:w="826"/>
        <w:gridCol w:w="109"/>
        <w:gridCol w:w="109"/>
        <w:gridCol w:w="109"/>
        <w:gridCol w:w="234"/>
        <w:gridCol w:w="800"/>
        <w:gridCol w:w="121"/>
        <w:gridCol w:w="109"/>
        <w:gridCol w:w="109"/>
        <w:gridCol w:w="109"/>
        <w:gridCol w:w="234"/>
        <w:gridCol w:w="800"/>
        <w:gridCol w:w="121"/>
        <w:gridCol w:w="109"/>
        <w:gridCol w:w="109"/>
        <w:gridCol w:w="109"/>
        <w:gridCol w:w="234"/>
        <w:gridCol w:w="800"/>
        <w:gridCol w:w="121"/>
        <w:gridCol w:w="109"/>
        <w:gridCol w:w="109"/>
        <w:gridCol w:w="109"/>
        <w:gridCol w:w="233"/>
        <w:gridCol w:w="797"/>
        <w:gridCol w:w="170"/>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Pre-tax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Compensation expenses for stock compensation plans are primarily included in SM&amp;A expense. As of June 28, 2026, total stock-based compensation expense related to non-vested awards not yet recognized was $107,265 and the weighted-average period over which this amount is expected to be recognized was approximately 1.8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48995"/>
                <wp:effectExtent l="0" t="0" r="0" b="0"/>
                <wp:wrapNone/>
                <wp:docPr id="69" name="Frame2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219075" cy="190500"/>
                                                </a:xfrm>
                                                <a:prstGeom prst="rect">
                                                  <a:avLst/>
                                                </a:prstGeom>
                                              </pic:spPr>
                                            </pic:pic>
                                          </a:graphicData>
                                        </a:graphic>
                                      </wp:inline>
                                    </w:drawing>
                                  </w:r>
                                  <w:bookmarkStart w:id="45" w:name="i-24"/>
                                  <w:bookmarkEnd w:id="4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219075" cy="190500"/>
                                          </a:xfrm>
                                          <a:prstGeom prst="rect">
                                            <a:avLst/>
                                          </a:prstGeom>
                                        </pic:spPr>
                                      </pic:pic>
                                    </a:graphicData>
                                  </a:graphic>
                                </wp:inline>
                              </w:drawing>
                            </w:r>
                            <w:bookmarkStart w:id="46" w:name="i-24"/>
                            <w:bookmarkEnd w:id="46"/>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Stock Options </w:t>
      </w:r>
    </w:p>
    <w:p>
      <w:pPr>
        <w:pStyle w:val="TextBody"/>
        <w:bidi w:val="0"/>
        <w:spacing w:lineRule="auto" w:line="288" w:before="180" w:after="283"/>
        <w:jc w:val="left"/>
        <w:rPr/>
      </w:pPr>
      <w:r>
        <w:rPr>
          <w:rFonts w:ascii="Times New Roman;serif" w:hAnsi="Times New Roman;serif"/>
          <w:b w:val="false"/>
          <w:color w:val="000000"/>
          <w:sz w:val="20"/>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w:t>
      </w:r>
      <w:r>
        <w:rPr>
          <w:color w:val="000000"/>
        </w:rPr>
        <w:t xml:space="preserve"> </w:t>
      </w:r>
      <w:r>
        <w:rPr>
          <w:rFonts w:ascii="Times New Roman;serif" w:hAnsi="Times New Roman;serif"/>
          <w:b w:val="false"/>
          <w:color w:val="000000"/>
          <w:sz w:val="20"/>
        </w:rPr>
        <w:t>Expense for stock options is based on grant date fair value and recognized on a straight-line method over the vesting period, net of estimated forfeitures.</w:t>
      </w:r>
    </w:p>
    <w:p>
      <w:pPr>
        <w:pStyle w:val="TextBody"/>
        <w:bidi w:val="0"/>
        <w:spacing w:before="80" w:after="1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activity relating to grants of stock options for the period ended June 28, 2026 is as follows: </w:t>
      </w:r>
    </w:p>
    <w:tbl>
      <w:tblPr>
        <w:tblW w:w="10205" w:type="dxa"/>
        <w:jc w:val="left"/>
        <w:tblInd w:w="0" w:type="dxa"/>
        <w:tblLayout w:type="fixed"/>
        <w:tblCellMar>
          <w:top w:w="28" w:type="dxa"/>
          <w:left w:w="28" w:type="dxa"/>
          <w:bottom w:w="28" w:type="dxa"/>
          <w:right w:w="28" w:type="dxa"/>
        </w:tblCellMar>
      </w:tblPr>
      <w:tblGrid>
        <w:gridCol w:w="980"/>
        <w:gridCol w:w="858"/>
        <w:gridCol w:w="817"/>
        <w:gridCol w:w="440"/>
        <w:gridCol w:w="441"/>
        <w:gridCol w:w="226"/>
        <w:gridCol w:w="703"/>
        <w:gridCol w:w="703"/>
        <w:gridCol w:w="704"/>
        <w:gridCol w:w="790"/>
        <w:gridCol w:w="790"/>
        <w:gridCol w:w="791"/>
        <w:gridCol w:w="379"/>
        <w:gridCol w:w="1299"/>
        <w:gridCol w:w="284"/>
      </w:tblGrid>
      <w:tr>
        <w:trPr/>
        <w:tc>
          <w:tcPr>
            <w:tcW w:w="98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 Options</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Weighted-Average </w:t>
              <w:br/>
              <w:t>Exercise Price (per share)</w:t>
            </w:r>
          </w:p>
        </w:tc>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w:t>
              <w:br/>
              <w:t>Contractual Term</w:t>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year</w:t>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368,560 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w:t>
            </w:r>
          </w:p>
        </w:tc>
        <w:tc>
          <w:tcPr>
            <w:tcW w:w="23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 years</w:t>
            </w:r>
          </w:p>
        </w:tc>
        <w:tc>
          <w:tcPr>
            <w:tcW w:w="1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$208.99</w:t>
            </w:r>
          </w:p>
        </w:tc>
        <w:tc>
          <w:tcPr>
            <w:tcW w:w="2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(166,810)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w:t>
            </w:r>
          </w:p>
        </w:tc>
        <w:tc>
          <w:tcPr>
            <w:tcW w:w="2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$220.19</w:t>
            </w:r>
          </w:p>
        </w:tc>
        <w:tc>
          <w:tcPr>
            <w:tcW w:w="2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$125.05</w:t>
            </w:r>
          </w:p>
        </w:tc>
        <w:tc>
          <w:tcPr>
            <w:tcW w:w="2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as of June 28, 2026</w:t>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200,056 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w:t>
            </w:r>
          </w:p>
        </w:tc>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 years</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 as of June 28, 2026</w:t>
            </w:r>
          </w:p>
        </w:tc>
        <w:tc>
          <w:tcPr>
            <w:tcW w:w="8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195,379 </w:t>
            </w:r>
          </w:p>
        </w:tc>
        <w:tc>
          <w:tcPr>
            <w:tcW w:w="2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$116.09</w:t>
            </w:r>
          </w:p>
        </w:tc>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years</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00"/>
        <w:jc w:val="left"/>
        <w:rPr>
          <w:rFonts w:ascii="Times New Roman;serif" w:hAnsi="Times New Roman;serif"/>
          <w:b w:val="false"/>
          <w:color w:val="000000"/>
          <w:sz w:val="20"/>
        </w:rPr>
      </w:pPr>
      <w:r>
        <w:rPr>
          <w:rFonts w:ascii="Times New Roman;serif" w:hAnsi="Times New Roman;serif"/>
          <w:b w:val="false"/>
          <w:color w:val="000000"/>
          <w:sz w:val="20"/>
        </w:rPr>
        <w:t>The weighted-average fair value of options granted was $46.01 and $33.91 per share for the periods ended June 28, 2026 and June 29, 2025 respectively. The fair value was estimated on the date of grant using a Black-Scholes option-pricing model and the following weighted-average assumptions:</w:t>
      </w:r>
    </w:p>
    <w:tbl>
      <w:tblPr>
        <w:tblW w:w="5150" w:type="dxa"/>
        <w:jc w:val="left"/>
        <w:tblInd w:w="0" w:type="dxa"/>
        <w:tblLayout w:type="fixed"/>
        <w:tblCellMar>
          <w:top w:w="28" w:type="dxa"/>
          <w:left w:w="28" w:type="dxa"/>
          <w:bottom w:w="28" w:type="dxa"/>
          <w:right w:w="28" w:type="dxa"/>
        </w:tblCellMar>
      </w:tblPr>
      <w:tblGrid>
        <w:gridCol w:w="710"/>
        <w:gridCol w:w="626"/>
        <w:gridCol w:w="628"/>
        <w:gridCol w:w="109"/>
        <w:gridCol w:w="109"/>
        <w:gridCol w:w="109"/>
        <w:gridCol w:w="257"/>
        <w:gridCol w:w="257"/>
        <w:gridCol w:w="641"/>
        <w:gridCol w:w="128"/>
        <w:gridCol w:w="128"/>
        <w:gridCol w:w="128"/>
        <w:gridCol w:w="269"/>
        <w:gridCol w:w="269"/>
        <w:gridCol w:w="782"/>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 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Risk-free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total intrinsic value of options exercised was $18,550 and $4,866 for the periods ended June 28, 2026 and June 29, 2025, respectively.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Performance Stock Units and Restricted Stock Units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six months ended June 28, 2026 and June 29, 2025 can range from 0% to 250% of the targeted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48995"/>
                <wp:effectExtent l="0" t="0" r="0" b="0"/>
                <wp:wrapNone/>
                <wp:docPr id="72" name="Frame25"/>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219075" cy="190500"/>
                                                </a:xfrm>
                                                <a:prstGeom prst="rect">
                                                  <a:avLst/>
                                                </a:prstGeom>
                                              </pic:spPr>
                                            </pic:pic>
                                          </a:graphicData>
                                        </a:graphic>
                                      </wp:inline>
                                    </w:drawing>
                                  </w:r>
                                  <w:bookmarkStart w:id="47" w:name="i-25"/>
                                  <w:bookmarkEnd w:id="4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219075" cy="190500"/>
                                          </a:xfrm>
                                          <a:prstGeom prst="rect">
                                            <a:avLst/>
                                          </a:prstGeom>
                                        </pic:spPr>
                                      </pic:pic>
                                    </a:graphicData>
                                  </a:graphic>
                                </wp:inline>
                              </w:drawing>
                            </w:r>
                            <w:bookmarkStart w:id="48" w:name="i-25"/>
                            <w:bookmarkEnd w:id="48"/>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28, 2026 and June 29, 2025, we awarded RSUs to certain executive officers and other key employees under the EICP. We also awarded RSUs to non-employee directors.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recognize the compensation expenses associated with employee RSUs over a specified award vesting period based on the grant date fair value of our Common Stock. We recognize expense for employee RSUs based on the straight-line method. The compensation expenses associated with non-employee director RSUs is recognized ratably over the vesting period, net of estimated forfeitures.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activity relating to grants of PSUs and RSUs for the period ended June 28, 2026 is as follows: </w:t>
      </w:r>
    </w:p>
    <w:tbl>
      <w:tblPr>
        <w:tblW w:w="10205" w:type="dxa"/>
        <w:jc w:val="left"/>
        <w:tblInd w:w="0" w:type="dxa"/>
        <w:tblLayout w:type="fixed"/>
        <w:tblCellMar>
          <w:top w:w="28" w:type="dxa"/>
          <w:left w:w="28" w:type="dxa"/>
          <w:bottom w:w="28" w:type="dxa"/>
          <w:right w:w="28" w:type="dxa"/>
        </w:tblCellMar>
      </w:tblPr>
      <w:tblGrid>
        <w:gridCol w:w="1289"/>
        <w:gridCol w:w="1125"/>
        <w:gridCol w:w="1132"/>
        <w:gridCol w:w="109"/>
        <w:gridCol w:w="109"/>
        <w:gridCol w:w="109"/>
        <w:gridCol w:w="488"/>
        <w:gridCol w:w="488"/>
        <w:gridCol w:w="421"/>
        <w:gridCol w:w="109"/>
        <w:gridCol w:w="109"/>
        <w:gridCol w:w="109"/>
        <w:gridCol w:w="1347"/>
        <w:gridCol w:w="1347"/>
        <w:gridCol w:w="1914"/>
      </w:tblGrid>
      <w:tr>
        <w:trPr/>
        <w:tc>
          <w:tcPr>
            <w:tcW w:w="128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Performance Stock Units and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for equity awards (per unit)</w:t>
            </w:r>
          </w:p>
        </w:tc>
      </w:tr>
      <w:tr>
        <w:trPr/>
        <w:tc>
          <w:tcPr>
            <w:tcW w:w="35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1,038,893 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315,945 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$234.37</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Performance assumption change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(233,336)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$224.10</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(84,535)</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$184.42</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as of 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1,024,747 </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$203.18</w:t>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(1)Reflects the net number of PSUs above and below target levels based on the performance metrics.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fair value of the PSUs and RSUs granted for potential future distribution to employees and non-employee directors. In addition, the table provides weighted average assumptions used to determine the fair value of the market-based total shareholder return component using the Monte Carlo simulation model on the date of grant.</w:t>
      </w:r>
    </w:p>
    <w:tbl>
      <w:tblPr>
        <w:tblW w:w="6689" w:type="dxa"/>
        <w:jc w:val="left"/>
        <w:tblInd w:w="0" w:type="dxa"/>
        <w:tblLayout w:type="fixed"/>
        <w:tblCellMar>
          <w:top w:w="28" w:type="dxa"/>
          <w:left w:w="28" w:type="dxa"/>
          <w:bottom w:w="28" w:type="dxa"/>
          <w:right w:w="28" w:type="dxa"/>
        </w:tblCellMar>
      </w:tblPr>
      <w:tblGrid>
        <w:gridCol w:w="1327"/>
        <w:gridCol w:w="1167"/>
        <w:gridCol w:w="1180"/>
        <w:gridCol w:w="109"/>
        <w:gridCol w:w="109"/>
        <w:gridCol w:w="109"/>
        <w:gridCol w:w="413"/>
        <w:gridCol w:w="212"/>
        <w:gridCol w:w="530"/>
        <w:gridCol w:w="111"/>
        <w:gridCol w:w="111"/>
        <w:gridCol w:w="111"/>
        <w:gridCol w:w="399"/>
        <w:gridCol w:w="205"/>
        <w:gridCol w:w="596"/>
      </w:tblGrid>
      <w:tr>
        <w:trPr/>
        <w:tc>
          <w:tcPr>
            <w:tcW w:w="132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315,945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533,212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fair value at 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234.37</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Monte Carlo simulation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5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shares vested totaled $51,027 and $49,576 for the periods ended June 28, 2026 and June 29, 2025, respectively.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Deferred PSUs, deferred RSUs and deferred stock units representing directors’ fees totaled 238,654 units as of June 28, 2026. Each unit is equivalent to one share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48995"/>
                <wp:effectExtent l="0" t="0" r="0" b="0"/>
                <wp:wrapNone/>
                <wp:docPr id="75" name="Frame26"/>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219075" cy="190500"/>
                                                </a:xfrm>
                                                <a:prstGeom prst="rect">
                                                  <a:avLst/>
                                                </a:prstGeom>
                                              </pic:spPr>
                                            </pic:pic>
                                          </a:graphicData>
                                        </a:graphic>
                                      </wp:inline>
                                    </w:drawing>
                                  </w:r>
                                  <w:bookmarkStart w:id="49" w:name="i-26"/>
                                  <w:bookmarkEnd w:id="4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219075" cy="190500"/>
                                          </a:xfrm>
                                          <a:prstGeom prst="rect">
                                            <a:avLst/>
                                          </a:prstGeom>
                                        </pic:spPr>
                                      </pic:pic>
                                    </a:graphicData>
                                  </a:graphic>
                                </wp:inline>
                              </w:drawing>
                            </w:r>
                            <w:bookmarkStart w:id="50" w:name="i-26"/>
                            <w:bookmarkEnd w:id="50"/>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13. SEGMENT INFORMATION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its operations through three segments: (i) North America Confectionery, (ii) North America Salty Snacks and (iii) International. This organizational structure aligns with how our Chief Operating Decision Maker (“CODM”), Kirk Tanner, President and Chief Executive Officer, manages our business, including resource allocation and performance assessment, and further aligns with our product categories and the key markets we serve. </w:t>
      </w:r>
    </w:p>
    <w:p>
      <w:pPr>
        <w:pStyle w:val="TextBody"/>
        <w:bidi w:val="0"/>
        <w:spacing w:lineRule="auto" w:line="288" w:before="180" w:after="283"/>
        <w:ind w:left="0" w:right="0" w:hanging="360"/>
        <w:jc w:val="left"/>
        <w:rPr/>
      </w:pPr>
      <w:r>
        <w:rPr>
          <w:color w:val="000000"/>
        </w:rPr>
        <w:t>•</w:t>
      </w:r>
      <w:r>
        <w:rPr>
          <w:rFonts w:ascii="Times New Roman;serif" w:hAnsi="Times New Roman;serif"/>
          <w:b/>
          <w:i/>
          <w:color w:val="000000"/>
          <w:sz w:val="20"/>
        </w:rPr>
        <w:t>North America Confectionery</w:t>
      </w:r>
      <w:r>
        <w:rPr>
          <w:color w:val="000000"/>
        </w:rPr>
        <w:t xml:space="preserve"> – </w:t>
      </w:r>
      <w:r>
        <w:rPr>
          <w:rFonts w:ascii="Times New Roman;serif" w:hAnsi="Times New Roman;serif"/>
          <w:b w:val="false"/>
          <w:color w:val="000000"/>
          <w:sz w:val="20"/>
        </w:rPr>
        <w:t>This segment is responsible for our traditional chocolate and non-chocolate confectionery market position in the United 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New York; Las Vegas, Nevada; Niagara Falls (Ontario) and Singapore, as well as operations associated with licensing the use of certain of the Company’s trademarks and products to third parties around the world.</w:t>
      </w:r>
    </w:p>
    <w:p>
      <w:pPr>
        <w:pStyle w:val="TextBody"/>
        <w:bidi w:val="0"/>
        <w:spacing w:lineRule="auto" w:line="288" w:before="180" w:after="283"/>
        <w:ind w:left="0" w:right="0" w:hanging="360"/>
        <w:jc w:val="left"/>
        <w:rPr/>
      </w:pPr>
      <w:r>
        <w:rPr>
          <w:color w:val="000000"/>
        </w:rPr>
        <w:t>•</w:t>
      </w:r>
      <w:r>
        <w:rPr>
          <w:rFonts w:ascii="Times New Roman;serif" w:hAnsi="Times New Roman;serif"/>
          <w:b/>
          <w:i/>
          <w:color w:val="000000"/>
          <w:sz w:val="20"/>
        </w:rPr>
        <w:t>North America Salty Snacks</w:t>
      </w:r>
      <w:r>
        <w:rPr>
          <w:color w:val="000000"/>
        </w:rPr>
        <w:t xml:space="preserve"> – </w:t>
      </w:r>
      <w:r>
        <w:rPr>
          <w:rFonts w:ascii="Times New Roman;serif" w:hAnsi="Times New Roman;serif"/>
          <w:b w:val="false"/>
          <w:color w:val="000000"/>
          <w:sz w:val="20"/>
        </w:rPr>
        <w:t>This segment is responsible for our salty snacking products in the United States. This includes ready-to-eat popcorn, baked and trans fat free snacks, pretzels and other snacks.</w:t>
      </w:r>
    </w:p>
    <w:p>
      <w:pPr>
        <w:pStyle w:val="TextBody"/>
        <w:bidi w:val="0"/>
        <w:spacing w:lineRule="auto" w:line="288" w:before="180" w:after="283"/>
        <w:ind w:left="0" w:right="0" w:hanging="360"/>
        <w:jc w:val="left"/>
        <w:rPr/>
      </w:pPr>
      <w:r>
        <w:rPr>
          <w:color w:val="000000"/>
        </w:rPr>
        <w:t>•</w:t>
      </w:r>
      <w:r>
        <w:rPr>
          <w:rFonts w:ascii="Times New Roman;serif" w:hAnsi="Times New Roman;serif"/>
          <w:b/>
          <w:i/>
          <w:color w:val="000000"/>
          <w:sz w:val="20"/>
        </w:rPr>
        <w:t>International</w:t>
      </w:r>
      <w:r>
        <w:rPr>
          <w:color w:val="000000"/>
        </w:rPr>
        <w:t xml:space="preserve"> – </w:t>
      </w:r>
      <w:r>
        <w:rPr>
          <w:rFonts w:ascii="Times New Roman;serif" w:hAnsi="Times New Roman;serif"/>
          <w:b w:val="false"/>
          <w:color w:val="000000"/>
          <w:sz w:val="20"/>
        </w:rPr>
        <w:t>International is a combination of all other operating segments that are not individually material, including those geographic regions where 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segment reporting purposes, the CODM uses “segment income” to evaluate segment performance and allocate resources, including considering budget-to-actual variances and prior year-to-actual variances on a monthly basis.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profit are managed centrally at the corporate level and are excluded from the measure of segment income reviewed by the CODM as well as the measure of segment performance used for incentive compensation purposes.</w:t>
      </w:r>
    </w:p>
    <w:p>
      <w:pPr>
        <w:pStyle w:val="TextBody"/>
        <w:bidi w:val="0"/>
        <w:spacing w:lineRule="auto" w:line="288" w:before="180" w:after="283"/>
        <w:jc w:val="left"/>
        <w:rPr/>
      </w:pPr>
      <w:r>
        <w:rPr>
          <w:rFonts w:ascii="Times New Roman;serif" w:hAnsi="Times New Roman;serif"/>
          <w:b w:val="false"/>
          <w:color w:val="000000"/>
          <w:sz w:val="20"/>
        </w:rPr>
        <w:t xml:space="preserve">As discussed in </w:t>
      </w:r>
      <w:hyperlink w:anchor="i758a99e56aa5464382aa6843e8af7f88_55">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48995"/>
                <wp:effectExtent l="0" t="0" r="0" b="0"/>
                <wp:wrapNone/>
                <wp:docPr id="78" name="Frame27"/>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219075" cy="190500"/>
                                                </a:xfrm>
                                                <a:prstGeom prst="rect">
                                                  <a:avLst/>
                                                </a:prstGeom>
                                              </pic:spPr>
                                            </pic:pic>
                                          </a:graphicData>
                                        </a:graphic>
                                      </wp:inline>
                                    </w:drawing>
                                  </w:r>
                                  <w:bookmarkStart w:id="51" w:name="i-27"/>
                                  <w:bookmarkEnd w:id="5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219075" cy="190500"/>
                                          </a:xfrm>
                                          <a:prstGeom prst="rect">
                                            <a:avLst/>
                                          </a:prstGeom>
                                        </pic:spPr>
                                      </pic:pic>
                                    </a:graphicData>
                                  </a:graphic>
                                </wp:inline>
                              </w:drawing>
                            </w:r>
                            <w:bookmarkStart w:id="52" w:name="i-27"/>
                            <w:bookmarkEnd w:id="52"/>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segment net sales and earnings for the three months ended June 28, 2026 and June 29, 2025 were as follows:</w:t>
      </w:r>
    </w:p>
    <w:tbl>
      <w:tblPr>
        <w:tblW w:w="10205" w:type="dxa"/>
        <w:jc w:val="left"/>
        <w:tblInd w:w="0" w:type="dxa"/>
        <w:tblLayout w:type="fixed"/>
        <w:tblCellMar>
          <w:top w:w="28" w:type="dxa"/>
          <w:left w:w="28" w:type="dxa"/>
          <w:bottom w:w="28" w:type="dxa"/>
          <w:right w:w="28" w:type="dxa"/>
        </w:tblCellMar>
      </w:tblPr>
      <w:tblGrid>
        <w:gridCol w:w="973"/>
        <w:gridCol w:w="739"/>
        <w:gridCol w:w="741"/>
        <w:gridCol w:w="109"/>
        <w:gridCol w:w="109"/>
        <w:gridCol w:w="109"/>
        <w:gridCol w:w="326"/>
        <w:gridCol w:w="1512"/>
        <w:gridCol w:w="170"/>
        <w:gridCol w:w="109"/>
        <w:gridCol w:w="109"/>
        <w:gridCol w:w="109"/>
        <w:gridCol w:w="342"/>
        <w:gridCol w:w="1342"/>
        <w:gridCol w:w="176"/>
        <w:gridCol w:w="109"/>
        <w:gridCol w:w="109"/>
        <w:gridCol w:w="109"/>
        <w:gridCol w:w="226"/>
        <w:gridCol w:w="887"/>
        <w:gridCol w:w="118"/>
        <w:gridCol w:w="109"/>
        <w:gridCol w:w="109"/>
        <w:gridCol w:w="109"/>
        <w:gridCol w:w="211"/>
        <w:gridCol w:w="976"/>
        <w:gridCol w:w="158"/>
      </w:tblGrid>
      <w:tr>
        <w:trPr/>
        <w:tc>
          <w:tcPr>
            <w:tcW w:w="97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 Confectionery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 Salty Snacks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2,173,570 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387,845 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2,787,306 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SM&amp;A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705,785 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62,578 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763,218 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215,122 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mark-to-market gains on commodity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Costs associated with business realignment activities (see </w:t>
            </w:r>
            <w:hyperlink w:anchor="i758a99e56aa5464382aa6843e8af7f88_73">
              <w:r>
                <w:rPr>
                  <w:rStyle w:val="InternetLink"/>
                  <w:rFonts w:ascii="Times New Roman;serif" w:hAnsi="Times New Roman;serif"/>
                  <w:b w:val="false"/>
                  <w:color w:val="0000FF"/>
                  <w:sz w:val="20"/>
                  <w:u w:val="single"/>
                </w:rPr>
                <w:t>Note 9</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642,641 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net (see </w:t>
            </w:r>
            <w:hyperlink w:anchor="i758a99e56aa5464382aa6843e8af7f88_49">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(see </w:t>
            </w:r>
            <w:hyperlink w:anchor="i758a99e56aa5464382aa6843e8af7f88_109">
              <w:r>
                <w:rPr>
                  <w:rStyle w:val="InternetLink"/>
                  <w:rFonts w:ascii="Times New Roman;serif" w:hAnsi="Times New Roman;serif"/>
                  <w:b w:val="false"/>
                  <w:color w:val="0000FF"/>
                  <w:sz w:val="20"/>
                  <w:u w:val="single"/>
                </w:rPr>
                <w:t>Note 17</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588,280 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3"/>
        <w:gridCol w:w="739"/>
        <w:gridCol w:w="741"/>
        <w:gridCol w:w="109"/>
        <w:gridCol w:w="109"/>
        <w:gridCol w:w="109"/>
        <w:gridCol w:w="326"/>
        <w:gridCol w:w="1512"/>
        <w:gridCol w:w="170"/>
        <w:gridCol w:w="109"/>
        <w:gridCol w:w="109"/>
        <w:gridCol w:w="109"/>
        <w:gridCol w:w="342"/>
        <w:gridCol w:w="1342"/>
        <w:gridCol w:w="176"/>
        <w:gridCol w:w="109"/>
        <w:gridCol w:w="109"/>
        <w:gridCol w:w="109"/>
        <w:gridCol w:w="226"/>
        <w:gridCol w:w="887"/>
        <w:gridCol w:w="118"/>
        <w:gridCol w:w="109"/>
        <w:gridCol w:w="109"/>
        <w:gridCol w:w="109"/>
        <w:gridCol w:w="211"/>
        <w:gridCol w:w="976"/>
        <w:gridCol w:w="158"/>
      </w:tblGrid>
      <w:tr>
        <w:trPr/>
        <w:tc>
          <w:tcPr>
            <w:tcW w:w="97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 Confectionery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 Salty Snacks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2,085,468 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315,519 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213,731 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2,614,718 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SM&amp;A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503,929 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66,480 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590,204 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181,527 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mark-to-market losses on commodity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Costs associated with business realignment activities (see </w:t>
            </w:r>
            <w:hyperlink w:anchor="i758a99e56aa5464382aa6843e8af7f88_73">
              <w:r>
                <w:rPr>
                  <w:rStyle w:val="InternetLink"/>
                  <w:rFonts w:ascii="Times New Roman;serif" w:hAnsi="Times New Roman;serif"/>
                  <w:b w:val="false"/>
                  <w:color w:val="0000FF"/>
                  <w:sz w:val="20"/>
                  <w:u w:val="single"/>
                </w:rPr>
                <w:t>Note 9</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192,811 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net (see </w:t>
            </w:r>
            <w:hyperlink w:anchor="i758a99e56aa5464382aa6843e8af7f88_49">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(see </w:t>
            </w:r>
            <w:hyperlink w:anchor="i758a99e56aa5464382aa6843e8af7f88_109">
              <w:r>
                <w:rPr>
                  <w:rStyle w:val="InternetLink"/>
                  <w:rFonts w:ascii="Times New Roman;serif" w:hAnsi="Times New Roman;serif"/>
                  <w:b w:val="false"/>
                  <w:color w:val="0000FF"/>
                  <w:sz w:val="20"/>
                  <w:u w:val="single"/>
                </w:rPr>
                <w:t>Note 17</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48995"/>
                <wp:effectExtent l="0" t="0" r="0" b="0"/>
                <wp:wrapNone/>
                <wp:docPr id="81" name="Frame28"/>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219075" cy="190500"/>
                                                </a:xfrm>
                                                <a:prstGeom prst="rect">
                                                  <a:avLst/>
                                                </a:prstGeom>
                                              </pic:spPr>
                                            </pic:pic>
                                          </a:graphicData>
                                        </a:graphic>
                                      </wp:inline>
                                    </w:drawing>
                                  </w:r>
                                  <w:bookmarkStart w:id="53" w:name="i-28"/>
                                  <w:bookmarkEnd w:id="5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219075" cy="190500"/>
                                          </a:xfrm>
                                          <a:prstGeom prst="rect">
                                            <a:avLst/>
                                          </a:prstGeom>
                                        </pic:spPr>
                                      </pic:pic>
                                    </a:graphicData>
                                  </a:graphic>
                                </wp:inline>
                              </w:drawing>
                            </w:r>
                            <w:bookmarkStart w:id="54" w:name="i-28"/>
                            <w:bookmarkEnd w:id="54"/>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Our segment net sales and earnings for the six months ended June 28, 2026 and June 29, 2025 were as follows:</w:t>
      </w:r>
    </w:p>
    <w:tbl>
      <w:tblPr>
        <w:tblW w:w="10205" w:type="dxa"/>
        <w:jc w:val="center"/>
        <w:tblInd w:w="0" w:type="dxa"/>
        <w:tblLayout w:type="fixed"/>
        <w:tblCellMar>
          <w:top w:w="28" w:type="dxa"/>
          <w:left w:w="28" w:type="dxa"/>
          <w:bottom w:w="28" w:type="dxa"/>
          <w:right w:w="28" w:type="dxa"/>
        </w:tblCellMar>
      </w:tblPr>
      <w:tblGrid>
        <w:gridCol w:w="973"/>
        <w:gridCol w:w="747"/>
        <w:gridCol w:w="753"/>
        <w:gridCol w:w="109"/>
        <w:gridCol w:w="109"/>
        <w:gridCol w:w="109"/>
        <w:gridCol w:w="330"/>
        <w:gridCol w:w="1532"/>
        <w:gridCol w:w="170"/>
        <w:gridCol w:w="109"/>
        <w:gridCol w:w="109"/>
        <w:gridCol w:w="109"/>
        <w:gridCol w:w="348"/>
        <w:gridCol w:w="1364"/>
        <w:gridCol w:w="179"/>
        <w:gridCol w:w="109"/>
        <w:gridCol w:w="109"/>
        <w:gridCol w:w="109"/>
        <w:gridCol w:w="212"/>
        <w:gridCol w:w="833"/>
        <w:gridCol w:w="111"/>
        <w:gridCol w:w="109"/>
        <w:gridCol w:w="109"/>
        <w:gridCol w:w="109"/>
        <w:gridCol w:w="211"/>
        <w:gridCol w:w="976"/>
        <w:gridCol w:w="158"/>
      </w:tblGrid>
      <w:tr>
        <w:trPr/>
        <w:tc>
          <w:tcPr>
            <w:tcW w:w="97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 Confectionery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 Salty Snacks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4,663,488 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737,915 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490,070 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5,891,473 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2,587,277 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SM&amp;A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578,048 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1,498,163 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96,880 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1,605,157 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372,828 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mark-to-market gains on commodity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Costs associated with business realignment activities (see </w:t>
            </w:r>
            <w:hyperlink w:anchor="i758a99e56aa5464382aa6843e8af7f88_73">
              <w:r>
                <w:rPr>
                  <w:rStyle w:val="InternetLink"/>
                  <w:rFonts w:ascii="Times New Roman;serif" w:hAnsi="Times New Roman;serif"/>
                  <w:b w:val="false"/>
                  <w:strike w:val="false"/>
                  <w:dstrike w:val="false"/>
                  <w:color w:val="000000"/>
                  <w:sz w:val="20"/>
                  <w:u w:val="none"/>
                  <w:effect w:val="none"/>
                </w:rPr>
                <w:t>Note 9</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1,283,334 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net (see </w:t>
            </w:r>
            <w:hyperlink w:anchor="i758a99e56aa5464382aa6843e8af7f88_49">
              <w:r>
                <w:rPr>
                  <w:rStyle w:val="InternetLink"/>
                  <w:rFonts w:ascii="Times New Roman;serif" w:hAnsi="Times New Roman;serif"/>
                  <w:b w:val="false"/>
                  <w:strike w:val="false"/>
                  <w:dstrike w:val="false"/>
                  <w:color w:val="000000"/>
                  <w:sz w:val="20"/>
                  <w:u w:val="none"/>
                  <w:effect w:val="none"/>
                </w:rPr>
                <w:t>Note 4</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(see </w:t>
            </w:r>
            <w:hyperlink w:anchor="i758a99e56aa5464382aa6843e8af7f88_109">
              <w:r>
                <w:rPr>
                  <w:rStyle w:val="InternetLink"/>
                  <w:rFonts w:ascii="Times New Roman;serif" w:hAnsi="Times New Roman;serif"/>
                  <w:b w:val="false"/>
                  <w:strike w:val="false"/>
                  <w:dstrike w:val="false"/>
                  <w:color w:val="000000"/>
                  <w:sz w:val="20"/>
                  <w:u w:val="none"/>
                  <w:effect w:val="none"/>
                </w:rPr>
                <w:t>Note 17</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1,180,975 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9"/>
        <w:gridCol w:w="723"/>
        <w:gridCol w:w="725"/>
        <w:gridCol w:w="109"/>
        <w:gridCol w:w="109"/>
        <w:gridCol w:w="109"/>
        <w:gridCol w:w="330"/>
        <w:gridCol w:w="1533"/>
        <w:gridCol w:w="173"/>
        <w:gridCol w:w="109"/>
        <w:gridCol w:w="109"/>
        <w:gridCol w:w="109"/>
        <w:gridCol w:w="347"/>
        <w:gridCol w:w="1362"/>
        <w:gridCol w:w="179"/>
        <w:gridCol w:w="109"/>
        <w:gridCol w:w="109"/>
        <w:gridCol w:w="109"/>
        <w:gridCol w:w="226"/>
        <w:gridCol w:w="887"/>
        <w:gridCol w:w="118"/>
        <w:gridCol w:w="109"/>
        <w:gridCol w:w="109"/>
        <w:gridCol w:w="109"/>
        <w:gridCol w:w="211"/>
        <w:gridCol w:w="976"/>
        <w:gridCol w:w="158"/>
      </w:tblGrid>
      <w:tr>
        <w:trPr/>
        <w:tc>
          <w:tcPr>
            <w:tcW w:w="94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six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 Confectionery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America Salty Snacks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4,385,608 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593,317 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441,212 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5,420,137 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2,589,848 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SM&amp;A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1,200,303 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1,357,157 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341,952 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mark-to-market losses on commodity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Costs associated with business realignment activities (see </w:t>
            </w:r>
            <w:hyperlink w:anchor="i758a99e56aa5464382aa6843e8af7f88_73">
              <w:r>
                <w:rPr>
                  <w:rStyle w:val="InternetLink"/>
                  <w:rFonts w:ascii="Times New Roman;serif" w:hAnsi="Times New Roman;serif"/>
                  <w:b w:val="false"/>
                  <w:color w:val="0000FF"/>
                  <w:sz w:val="20"/>
                  <w:u w:val="single"/>
                </w:rPr>
                <w:t>Note 9</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562,032 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net (see </w:t>
            </w:r>
            <w:hyperlink w:anchor="i758a99e56aa5464382aa6843e8af7f88_49">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(see </w:t>
            </w:r>
            <w:hyperlink w:anchor="i758a99e56aa5464382aa6843e8af7f88_109">
              <w:r>
                <w:rPr>
                  <w:rStyle w:val="InternetLink"/>
                  <w:rFonts w:ascii="Times New Roman;serif" w:hAnsi="Times New Roman;serif"/>
                  <w:b w:val="false"/>
                  <w:color w:val="0000FF"/>
                  <w:sz w:val="20"/>
                  <w:u w:val="single"/>
                </w:rPr>
                <w:t>Note 17</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472,766 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Activity within the unallocated mark-to-market adjustment for commodity derivatives is as follows:</w:t>
      </w:r>
    </w:p>
    <w:tbl>
      <w:tblPr>
        <w:tblW w:w="10205" w:type="dxa"/>
        <w:jc w:val="left"/>
        <w:tblInd w:w="0" w:type="dxa"/>
        <w:tblLayout w:type="fixed"/>
        <w:tblCellMar>
          <w:top w:w="28" w:type="dxa"/>
          <w:left w:w="28" w:type="dxa"/>
          <w:bottom w:w="28" w:type="dxa"/>
          <w:right w:w="28" w:type="dxa"/>
        </w:tblCellMar>
      </w:tblPr>
      <w:tblGrid>
        <w:gridCol w:w="1554"/>
        <w:gridCol w:w="1366"/>
        <w:gridCol w:w="1369"/>
        <w:gridCol w:w="109"/>
        <w:gridCol w:w="109"/>
        <w:gridCol w:w="109"/>
        <w:gridCol w:w="211"/>
        <w:gridCol w:w="859"/>
        <w:gridCol w:w="109"/>
        <w:gridCol w:w="109"/>
        <w:gridCol w:w="109"/>
        <w:gridCol w:w="109"/>
        <w:gridCol w:w="211"/>
        <w:gridCol w:w="828"/>
        <w:gridCol w:w="109"/>
        <w:gridCol w:w="109"/>
        <w:gridCol w:w="109"/>
        <w:gridCol w:w="109"/>
        <w:gridCol w:w="213"/>
        <w:gridCol w:w="762"/>
        <w:gridCol w:w="109"/>
        <w:gridCol w:w="109"/>
        <w:gridCol w:w="109"/>
        <w:gridCol w:w="109"/>
        <w:gridCol w:w="211"/>
        <w:gridCol w:w="827"/>
        <w:gridCol w:w="159"/>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on mark-to-market valuation of commodity derivative positions recognized in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(losses) gains on commodity derivative positions reclassified from unallocated to segment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326,779 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on mark-to-market valuation of commodity derivative positions recognized in unallocated derivative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412,181 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48995"/>
                <wp:effectExtent l="0" t="0" r="0" b="0"/>
                <wp:wrapNone/>
                <wp:docPr id="84" name="Frame29"/>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219075" cy="190500"/>
                                                </a:xfrm>
                                                <a:prstGeom prst="rect">
                                                  <a:avLst/>
                                                </a:prstGeom>
                                              </pic:spPr>
                                            </pic:pic>
                                          </a:graphicData>
                                        </a:graphic>
                                      </wp:inline>
                                    </w:drawing>
                                  </w:r>
                                  <w:bookmarkStart w:id="55" w:name="i-29"/>
                                  <w:bookmarkEnd w:id="5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219075" cy="190500"/>
                                          </a:xfrm>
                                          <a:prstGeom prst="rect">
                                            <a:avLst/>
                                          </a:prstGeom>
                                        </pic:spPr>
                                      </pic:pic>
                                    </a:graphicData>
                                  </a:graphic>
                                </wp:inline>
                              </w:drawing>
                            </w:r>
                            <w:bookmarkStart w:id="56" w:name="i-29"/>
                            <w:bookmarkEnd w:id="56"/>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28, 2026, the cumulative amount of mark-to-market gains on commodity derivatives that have been recognized in our consolidated cost of sales and not yet allocated to reportable segments was $482,954. Based on our forecasts of the timing of the recognition of the underlying hedged items, we expect to reclassify net pre-tax gains on commodity derivatives of $283,942 to segment operating results in the next twelve months.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included within segment income presented above is as follows:</w:t>
      </w:r>
    </w:p>
    <w:tbl>
      <w:tblPr>
        <w:tblW w:w="8488" w:type="dxa"/>
        <w:jc w:val="left"/>
        <w:tblInd w:w="0" w:type="dxa"/>
        <w:tblLayout w:type="fixed"/>
        <w:tblCellMar>
          <w:top w:w="28" w:type="dxa"/>
          <w:left w:w="28" w:type="dxa"/>
          <w:bottom w:w="28" w:type="dxa"/>
          <w:right w:w="28" w:type="dxa"/>
        </w:tblCellMar>
      </w:tblPr>
      <w:tblGrid>
        <w:gridCol w:w="913"/>
        <w:gridCol w:w="802"/>
        <w:gridCol w:w="804"/>
        <w:gridCol w:w="109"/>
        <w:gridCol w:w="109"/>
        <w:gridCol w:w="109"/>
        <w:gridCol w:w="212"/>
        <w:gridCol w:w="833"/>
        <w:gridCol w:w="109"/>
        <w:gridCol w:w="109"/>
        <w:gridCol w:w="109"/>
        <w:gridCol w:w="109"/>
        <w:gridCol w:w="212"/>
        <w:gridCol w:w="833"/>
        <w:gridCol w:w="109"/>
        <w:gridCol w:w="109"/>
        <w:gridCol w:w="109"/>
        <w:gridCol w:w="109"/>
        <w:gridCol w:w="212"/>
        <w:gridCol w:w="833"/>
        <w:gridCol w:w="109"/>
        <w:gridCol w:w="109"/>
        <w:gridCol w:w="109"/>
        <w:gridCol w:w="109"/>
        <w:gridCol w:w="212"/>
        <w:gridCol w:w="832"/>
        <w:gridCol w:w="155"/>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Confectionery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Salty Snacks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243,397 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our net sales disaggregated by geographical region is as follows:</w:t>
      </w:r>
    </w:p>
    <w:tbl>
      <w:tblPr>
        <w:tblW w:w="8172" w:type="dxa"/>
        <w:jc w:val="left"/>
        <w:tblInd w:w="0" w:type="dxa"/>
        <w:tblLayout w:type="fixed"/>
        <w:tblCellMar>
          <w:top w:w="28" w:type="dxa"/>
          <w:left w:w="28" w:type="dxa"/>
          <w:bottom w:w="28" w:type="dxa"/>
          <w:right w:w="28" w:type="dxa"/>
        </w:tblCellMar>
      </w:tblPr>
      <w:tblGrid>
        <w:gridCol w:w="593"/>
        <w:gridCol w:w="518"/>
        <w:gridCol w:w="524"/>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4,752,984 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2,787,306 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2,614,718 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5,891,473 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5,420,137 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14. TREASURY STOCK ACTIVITY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treasury stock activity is as follows:</w:t>
      </w:r>
    </w:p>
    <w:tbl>
      <w:tblPr>
        <w:tblW w:w="10205" w:type="dxa"/>
        <w:jc w:val="left"/>
        <w:tblInd w:w="0" w:type="dxa"/>
        <w:tblLayout w:type="fixed"/>
        <w:tblCellMar>
          <w:top w:w="28" w:type="dxa"/>
          <w:left w:w="28" w:type="dxa"/>
          <w:bottom w:w="28" w:type="dxa"/>
          <w:right w:w="28" w:type="dxa"/>
        </w:tblCellMar>
      </w:tblPr>
      <w:tblGrid>
        <w:gridCol w:w="2337"/>
        <w:gridCol w:w="2031"/>
        <w:gridCol w:w="2043"/>
        <w:gridCol w:w="488"/>
        <w:gridCol w:w="488"/>
        <w:gridCol w:w="226"/>
        <w:gridCol w:w="147"/>
        <w:gridCol w:w="147"/>
        <w:gridCol w:w="147"/>
        <w:gridCol w:w="286"/>
        <w:gridCol w:w="1122"/>
        <w:gridCol w:w="147"/>
        <w:gridCol w:w="109"/>
        <w:gridCol w:w="109"/>
        <w:gridCol w:w="109"/>
        <w:gridCol w:w="109"/>
        <w:gridCol w:w="160"/>
      </w:tblGrid>
      <w:tr>
        <w:trPr/>
        <w:tc>
          <w:tcPr>
            <w:tcW w:w="233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28,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in the open market under pre-approved share repurchase programs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in the open market to replace Treasury Stock issued for stock options and incentive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1,215,696 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 repurchases</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2,246,310 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439,354 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stock options and incentive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share repurchases</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1,924,148 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425,949 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associated with net share repurchases (1)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1,924,148 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430,208 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 corresponding liability for excise tax associated with net share repurchases is classified on our Consolidated Balance Sheets within accrued liabilities.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our Board of Directors approved a $500 million share repurchase authorization. As a result of the share repurchase authorization, approximately $270 million remains available for repurchases under our December 2023 share repurchase authorization. In June 2026, our Board of Directors approved an additional $500 million share repurchase authorization. This program is to commence after the existing 2023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48995"/>
                <wp:effectExtent l="0" t="0" r="0" b="0"/>
                <wp:wrapNone/>
                <wp:docPr id="87" name="Frame30"/>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219075" cy="190500"/>
                                                </a:xfrm>
                                                <a:prstGeom prst="rect">
                                                  <a:avLst/>
                                                </a:prstGeom>
                                              </pic:spPr>
                                            </pic:pic>
                                          </a:graphicData>
                                        </a:graphic>
                                      </wp:inline>
                                    </w:drawing>
                                  </w:r>
                                  <w:bookmarkStart w:id="57" w:name="i-30"/>
                                  <w:bookmarkEnd w:id="5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29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219075" cy="190500"/>
                                          </a:xfrm>
                                          <a:prstGeom prst="rect">
                                            <a:avLst/>
                                          </a:prstGeom>
                                        </pic:spPr>
                                      </pic:pic>
                                    </a:graphicData>
                                  </a:graphic>
                                </wp:inline>
                              </w:drawing>
                            </w:r>
                            <w:bookmarkStart w:id="58" w:name="i-30"/>
                            <w:bookmarkEnd w:id="58"/>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15. CONTINGENCIES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48995"/>
                <wp:effectExtent l="0" t="0" r="0" b="0"/>
                <wp:wrapNone/>
                <wp:docPr id="90" name="Frame31"/>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219075" cy="190500"/>
                                                </a:xfrm>
                                                <a:prstGeom prst="rect">
                                                  <a:avLst/>
                                                </a:prstGeom>
                                              </pic:spPr>
                                            </pic:pic>
                                          </a:graphicData>
                                        </a:graphic>
                                      </wp:inline>
                                    </w:drawing>
                                  </w:r>
                                  <w:bookmarkStart w:id="59" w:name="i-31"/>
                                  <w:bookmarkEnd w:id="5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219075" cy="190500"/>
                                          </a:xfrm>
                                          <a:prstGeom prst="rect">
                                            <a:avLst/>
                                          </a:prstGeom>
                                        </pic:spPr>
                                      </pic:pic>
                                    </a:graphicData>
                                  </a:graphic>
                                </wp:inline>
                              </w:drawing>
                            </w:r>
                            <w:bookmarkStart w:id="60" w:name="i-31"/>
                            <w:bookmarkEnd w:id="60"/>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16. EARNINGS PER SHARE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 </w:t>
      </w:r>
    </w:p>
    <w:tbl>
      <w:tblPr>
        <w:tblW w:w="10205" w:type="dxa"/>
        <w:jc w:val="left"/>
        <w:tblInd w:w="0" w:type="dxa"/>
        <w:tblLayout w:type="fixed"/>
        <w:tblCellMar>
          <w:top w:w="28" w:type="dxa"/>
          <w:left w:w="28" w:type="dxa"/>
          <w:bottom w:w="28" w:type="dxa"/>
          <w:right w:w="28" w:type="dxa"/>
        </w:tblCellMar>
      </w:tblPr>
      <w:tblGrid>
        <w:gridCol w:w="1619"/>
        <w:gridCol w:w="1075"/>
        <w:gridCol w:w="1084"/>
        <w:gridCol w:w="109"/>
        <w:gridCol w:w="109"/>
        <w:gridCol w:w="109"/>
        <w:gridCol w:w="216"/>
        <w:gridCol w:w="813"/>
        <w:gridCol w:w="120"/>
        <w:gridCol w:w="109"/>
        <w:gridCol w:w="109"/>
        <w:gridCol w:w="109"/>
        <w:gridCol w:w="265"/>
        <w:gridCol w:w="998"/>
        <w:gridCol w:w="147"/>
        <w:gridCol w:w="109"/>
        <w:gridCol w:w="109"/>
        <w:gridCol w:w="109"/>
        <w:gridCol w:w="216"/>
        <w:gridCol w:w="813"/>
        <w:gridCol w:w="120"/>
        <w:gridCol w:w="109"/>
        <w:gridCol w:w="109"/>
        <w:gridCol w:w="109"/>
        <w:gridCol w:w="276"/>
        <w:gridCol w:w="911"/>
        <w:gridCol w:w="224"/>
      </w:tblGrid>
      <w:tr>
        <w:trPr/>
        <w:tc>
          <w:tcPr>
            <w:tcW w:w="161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 Common Stock</w:t>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distributed earnings (cash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undistributed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128,154 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(52,298)</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earnings—basic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342,460 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115,205 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15,696 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weighted-average shares—basic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147,573 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148,247 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total earnings used in basic computation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342,460 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115,205 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total earnings as a result of conversion of Class B common stock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undistributed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earnings—diluted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457,665 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115,083 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15,782 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used in basic computation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147,573 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148,247 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and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weighted-average shares—diluted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202,745 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203,188 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earnings per share calculations for the three months ended June 28, 2026 and June 29, 2025 excluded 14 and 17 stock options (in thousands), respectively, that would have been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48995"/>
                <wp:effectExtent l="0" t="0" r="0" b="0"/>
                <wp:wrapNone/>
                <wp:docPr id="93" name="Frame32"/>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219075" cy="190500"/>
                                                </a:xfrm>
                                                <a:prstGeom prst="rect">
                                                  <a:avLst/>
                                                </a:prstGeom>
                                              </pic:spPr>
                                            </pic:pic>
                                          </a:graphicData>
                                        </a:graphic>
                                      </wp:inline>
                                    </w:drawing>
                                  </w:r>
                                  <w:bookmarkStart w:id="61" w:name="i-32"/>
                                  <w:bookmarkEnd w:id="6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4"/>
                                          <a:stretch>
                                            <a:fillRect/>
                                          </a:stretch>
                                        </pic:blipFill>
                                        <pic:spPr bwMode="auto">
                                          <a:xfrm>
                                            <a:off x="0" y="0"/>
                                            <a:ext cx="219075" cy="190500"/>
                                          </a:xfrm>
                                          <a:prstGeom prst="rect">
                                            <a:avLst/>
                                          </a:prstGeom>
                                        </pic:spPr>
                                      </pic:pic>
                                    </a:graphicData>
                                  </a:graphic>
                                </wp:inline>
                              </w:drawing>
                            </w:r>
                            <w:bookmarkStart w:id="62" w:name="i-32"/>
                            <w:bookmarkEnd w:id="62"/>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9"/>
        <w:gridCol w:w="1061"/>
        <w:gridCol w:w="1070"/>
        <w:gridCol w:w="109"/>
        <w:gridCol w:w="109"/>
        <w:gridCol w:w="109"/>
        <w:gridCol w:w="216"/>
        <w:gridCol w:w="812"/>
        <w:gridCol w:w="120"/>
        <w:gridCol w:w="109"/>
        <w:gridCol w:w="109"/>
        <w:gridCol w:w="109"/>
        <w:gridCol w:w="264"/>
        <w:gridCol w:w="994"/>
        <w:gridCol w:w="147"/>
        <w:gridCol w:w="109"/>
        <w:gridCol w:w="109"/>
        <w:gridCol w:w="109"/>
        <w:gridCol w:w="216"/>
        <w:gridCol w:w="812"/>
        <w:gridCol w:w="120"/>
        <w:gridCol w:w="109"/>
        <w:gridCol w:w="109"/>
        <w:gridCol w:w="109"/>
        <w:gridCol w:w="261"/>
        <w:gridCol w:w="984"/>
        <w:gridCol w:w="211"/>
      </w:tblGrid>
      <w:tr>
        <w:trPr/>
        <w:tc>
          <w:tcPr>
            <w:tcW w:w="16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 Common Stock</w:t>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distributed earnings (cash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135,988 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undistributed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238,403 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(191,695)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earnings—basic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668,615 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224,155 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215,142 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weighted-average shares—basic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148,001 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148,175 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total earnings used in basic computation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668,615 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224,155 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215,142 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total earnings as a result of conversion of Class B common stock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undistributed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earnings—diluted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892,770 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223,899 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286,922 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71,903 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used in basic computation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148,001 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148,175 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and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weighted-average shares—diluted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203,250 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203,168 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54,614 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earnings per share calculations for the six months ended June 28, 2026 and June 29, 2025 excluded 14 and 27 stock options (in thousands), respectively, that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48995"/>
                <wp:effectExtent l="0" t="0" r="0" b="0"/>
                <wp:wrapNone/>
                <wp:docPr id="96" name="Frame33"/>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219075" cy="190500"/>
                                                </a:xfrm>
                                                <a:prstGeom prst="rect">
                                                  <a:avLst/>
                                                </a:prstGeom>
                                              </pic:spPr>
                                            </pic:pic>
                                          </a:graphicData>
                                        </a:graphic>
                                      </wp:inline>
                                    </w:drawing>
                                  </w:r>
                                  <w:bookmarkStart w:id="63" w:name="i-33"/>
                                  <w:bookmarkEnd w:id="6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6"/>
                                          <a:stretch>
                                            <a:fillRect/>
                                          </a:stretch>
                                        </pic:blipFill>
                                        <pic:spPr bwMode="auto">
                                          <a:xfrm>
                                            <a:off x="0" y="0"/>
                                            <a:ext cx="219075" cy="190500"/>
                                          </a:xfrm>
                                          <a:prstGeom prst="rect">
                                            <a:avLst/>
                                          </a:prstGeom>
                                        </pic:spPr>
                                      </pic:pic>
                                    </a:graphicData>
                                  </a:graphic>
                                </wp:inline>
                              </w:drawing>
                            </w:r>
                            <w:bookmarkStart w:id="64" w:name="i-33"/>
                            <w:bookmarkEnd w:id="64"/>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17. OTHER (INCOME) EXPENSE, NET</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reports certain gains and losses associated with activities not directly related to our core operations. A summary of the components of other (income) expense, net is as follows: </w:t>
      </w:r>
    </w:p>
    <w:tbl>
      <w:tblPr>
        <w:tblW w:w="10205" w:type="dxa"/>
        <w:jc w:val="left"/>
        <w:tblInd w:w="0" w:type="dxa"/>
        <w:tblLayout w:type="fixed"/>
        <w:tblCellMar>
          <w:top w:w="28" w:type="dxa"/>
          <w:left w:w="28" w:type="dxa"/>
          <w:bottom w:w="28" w:type="dxa"/>
          <w:right w:w="28" w:type="dxa"/>
        </w:tblCellMar>
      </w:tblPr>
      <w:tblGrid>
        <w:gridCol w:w="1833"/>
        <w:gridCol w:w="1612"/>
        <w:gridCol w:w="1619"/>
        <w:gridCol w:w="230"/>
        <w:gridCol w:w="673"/>
        <w:gridCol w:w="119"/>
        <w:gridCol w:w="109"/>
        <w:gridCol w:w="109"/>
        <w:gridCol w:w="109"/>
        <w:gridCol w:w="223"/>
        <w:gridCol w:w="694"/>
        <w:gridCol w:w="115"/>
        <w:gridCol w:w="109"/>
        <w:gridCol w:w="109"/>
        <w:gridCol w:w="109"/>
        <w:gridCol w:w="230"/>
        <w:gridCol w:w="673"/>
        <w:gridCol w:w="119"/>
        <w:gridCol w:w="109"/>
        <w:gridCol w:w="109"/>
        <w:gridCol w:w="109"/>
        <w:gridCol w:w="222"/>
        <w:gridCol w:w="692"/>
        <w:gridCol w:w="170"/>
      </w:tblGrid>
      <w:tr>
        <w:trPr/>
        <w:tc>
          <w:tcPr>
            <w:tcW w:w="18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506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Non-service cost components of net periodic benefit cost relating to pension and other post-retirement benefit plans (see </w:t>
            </w:r>
            <w:hyperlink w:anchor="i758a99e56aa5464382aa6843e8af7f88_79">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5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48995"/>
                <wp:effectExtent l="0" t="0" r="0" b="0"/>
                <wp:wrapNone/>
                <wp:docPr id="99" name="Frame3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219075" cy="190500"/>
                                                </a:xfrm>
                                                <a:prstGeom prst="rect">
                                                  <a:avLst/>
                                                </a:prstGeom>
                                              </pic:spPr>
                                            </pic:pic>
                                          </a:graphicData>
                                        </a:graphic>
                                      </wp:inline>
                                    </w:drawing>
                                  </w:r>
                                  <w:bookmarkStart w:id="65" w:name="i-34"/>
                                  <w:bookmarkEnd w:id="6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8"/>
                                          <a:stretch>
                                            <a:fillRect/>
                                          </a:stretch>
                                        </pic:blipFill>
                                        <pic:spPr bwMode="auto">
                                          <a:xfrm>
                                            <a:off x="0" y="0"/>
                                            <a:ext cx="219075" cy="190500"/>
                                          </a:xfrm>
                                          <a:prstGeom prst="rect">
                                            <a:avLst/>
                                          </a:prstGeom>
                                        </pic:spPr>
                                      </pic:pic>
                                    </a:graphicData>
                                  </a:graphic>
                                </wp:inline>
                              </w:drawing>
                            </w:r>
                            <w:bookmarkStart w:id="66" w:name="i-34"/>
                            <w:bookmarkEnd w:id="66"/>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18. SUPPLEMENTAL BALANCE SHEET INFORMATION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certain asset accounts included within our Consolidated Balance Sheets are as follows:</w:t>
      </w:r>
    </w:p>
    <w:tbl>
      <w:tblPr>
        <w:tblW w:w="7188" w:type="dxa"/>
        <w:jc w:val="left"/>
        <w:tblInd w:w="0" w:type="dxa"/>
        <w:tblLayout w:type="fixed"/>
        <w:tblCellMar>
          <w:top w:w="28" w:type="dxa"/>
          <w:left w:w="28" w:type="dxa"/>
          <w:bottom w:w="28" w:type="dxa"/>
          <w:right w:w="28" w:type="dxa"/>
        </w:tblCellMar>
      </w:tblPr>
      <w:tblGrid>
        <w:gridCol w:w="1215"/>
        <w:gridCol w:w="1070"/>
        <w:gridCol w:w="1074"/>
        <w:gridCol w:w="109"/>
        <w:gridCol w:w="109"/>
        <w:gridCol w:w="109"/>
        <w:gridCol w:w="211"/>
        <w:gridCol w:w="976"/>
        <w:gridCol w:w="109"/>
        <w:gridCol w:w="109"/>
        <w:gridCol w:w="109"/>
        <w:gridCol w:w="109"/>
        <w:gridCol w:w="281"/>
        <w:gridCol w:w="1299"/>
        <w:gridCol w:w="145"/>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at First In First 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2,131,455 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Last In First 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(702,201)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1,429,254 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504,239 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2,102,794 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4,515,447 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7,221,936 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7,142,798 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(3,613,190)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3,529,608 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1,123,285 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48995"/>
                <wp:effectExtent l="0" t="0" r="0" b="0"/>
                <wp:wrapNone/>
                <wp:docPr id="102" name="Frame35"/>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219075" cy="190500"/>
                                                </a:xfrm>
                                                <a:prstGeom prst="rect">
                                                  <a:avLst/>
                                                </a:prstGeom>
                                              </pic:spPr>
                                            </pic:pic>
                                          </a:graphicData>
                                        </a:graphic>
                                      </wp:inline>
                                    </w:drawing>
                                  </w:r>
                                  <w:bookmarkStart w:id="67" w:name="i-35"/>
                                  <w:bookmarkEnd w:id="6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70"/>
                                          <a:stretch>
                                            <a:fillRect/>
                                          </a:stretch>
                                        </pic:blipFill>
                                        <pic:spPr bwMode="auto">
                                          <a:xfrm>
                                            <a:off x="0" y="0"/>
                                            <a:ext cx="219075" cy="190500"/>
                                          </a:xfrm>
                                          <a:prstGeom prst="rect">
                                            <a:avLst/>
                                          </a:prstGeom>
                                        </pic:spPr>
                                      </pic:pic>
                                    </a:graphicData>
                                  </a:graphic>
                                </wp:inline>
                              </w:drawing>
                            </w:r>
                            <w:bookmarkStart w:id="68" w:name="i-35"/>
                            <w:bookmarkEnd w:id="68"/>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HERSHEY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(amounts in thousands, except share data or if otherwise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0"/>
        <w:gridCol w:w="918"/>
        <w:gridCol w:w="844"/>
        <w:gridCol w:w="235"/>
        <w:gridCol w:w="235"/>
        <w:gridCol w:w="235"/>
        <w:gridCol w:w="456"/>
        <w:gridCol w:w="2110"/>
        <w:gridCol w:w="235"/>
        <w:gridCol w:w="235"/>
        <w:gridCol w:w="235"/>
        <w:gridCol w:w="235"/>
        <w:gridCol w:w="456"/>
        <w:gridCol w:w="2110"/>
        <w:gridCol w:w="235"/>
        <w:gridCol w:w="161"/>
      </w:tblGrid>
      <w:tr>
        <w:trPr/>
        <w:tc>
          <w:tcPr>
            <w:tcW w:w="127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5"/>
            <w:tcBorders/>
            <w:shd w:fill="FFFFFF" w:val="clear"/>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certain liability and stockholders’ equity accounts included within our Consolidated Balance Sheets are as follows: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payable—trade</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946,720 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finance program obligations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332,736 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300,332 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121,366 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1,400,822 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1,255,701 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liabilities: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compensation and benefits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200,851 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311,241 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promotion and product allowances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440,978 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2801"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273,717 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235,833 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966,336 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970,597 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long-term liabilities: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benefits liabilities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 liabilities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261,842 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285,925 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257,344 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304,904 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652,135 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731,917 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plans, net of tax</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 net of tax</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loss</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(230,549)</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(247,350)</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48995"/>
                <wp:effectExtent l="0" t="0" r="0" b="0"/>
                <wp:wrapNone/>
                <wp:docPr id="105" name="Frame36"/>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1"/>
                                                <a:stretch>
                                                  <a:fillRect/>
                                                </a:stretch>
                                              </pic:blipFill>
                                              <pic:spPr bwMode="auto">
                                                <a:xfrm>
                                                  <a:off x="0" y="0"/>
                                                  <a:ext cx="219075" cy="190500"/>
                                                </a:xfrm>
                                                <a:prstGeom prst="rect">
                                                  <a:avLst/>
                                                </a:prstGeom>
                                              </pic:spPr>
                                            </pic:pic>
                                          </a:graphicData>
                                        </a:graphic>
                                      </wp:inline>
                                    </w:drawing>
                                  </w:r>
                                  <w:bookmarkStart w:id="69" w:name="i-36"/>
                                  <w:bookmarkEnd w:id="6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2"/>
                                          <a:stretch>
                                            <a:fillRect/>
                                          </a:stretch>
                                        </pic:blipFill>
                                        <pic:spPr bwMode="auto">
                                          <a:xfrm>
                                            <a:off x="0" y="0"/>
                                            <a:ext cx="219075" cy="190500"/>
                                          </a:xfrm>
                                          <a:prstGeom prst="rect">
                                            <a:avLst/>
                                          </a:prstGeom>
                                        </pic:spPr>
                                      </pic:pic>
                                    </a:graphicData>
                                  </a:graphic>
                                </wp:inline>
                              </w:drawing>
                            </w:r>
                            <w:bookmarkStart w:id="70" w:name="i-36"/>
                            <w:bookmarkEnd w:id="7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99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(“MD&amp;A”) is intended to provide an understanding of Hershey’s financial condition, results of operations and cash flows by focusing on changes in certain key measures from year to year. This MD&amp;A should be read in conjunction with our Unaudited Consolidated Financial Statements and accompanying notes included in this Quarterly Report on Form 10-Q for the quarterly period ended June 28, 2026 (“this Quarterly Report on Form 10-Q”). This discussion contains a number of forward-looking statements, all of which are based on current expectations. Actual results may differ materially. Refer to the Safe Harbor Statement below as well as the Risk Factors and other information contained in our 2025 Annual Report on Form 10-K for information concerning the key risks to achieving future performance goals.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MD&amp;A is organized in the following sections:</w:t>
      </w:r>
    </w:p>
    <w:p>
      <w:pPr>
        <w:pStyle w:val="TextBody"/>
        <w:bidi w:val="0"/>
        <w:spacing w:lineRule="auto" w:line="288" w:before="60" w:after="283"/>
        <w:ind w:left="0" w:right="0" w:hanging="360"/>
        <w:jc w:val="left"/>
        <w:rPr/>
      </w:pPr>
      <w:r>
        <w:rPr>
          <w:color w:val="000000"/>
        </w:rPr>
        <w:t>•</w:t>
      </w:r>
      <w:hyperlink w:anchor="i758a99e56aa5464382aa6843e8af7f88_121">
        <w:r>
          <w:rPr>
            <w:rStyle w:val="InternetLink"/>
            <w:rFonts w:ascii="Times New Roman;serif" w:hAnsi="Times New Roman;serif"/>
            <w:b w:val="false"/>
            <w:color w:val="0000FF"/>
            <w:sz w:val="20"/>
            <w:u w:val="single"/>
          </w:rPr>
          <w:t>Overview</w:t>
        </w:r>
      </w:hyperlink>
    </w:p>
    <w:p>
      <w:pPr>
        <w:pStyle w:val="TextBody"/>
        <w:bidi w:val="0"/>
        <w:spacing w:lineRule="auto" w:line="288" w:before="60" w:after="283"/>
        <w:ind w:left="0" w:right="0" w:hanging="360"/>
        <w:jc w:val="left"/>
        <w:rPr/>
      </w:pPr>
      <w:r>
        <w:rPr>
          <w:color w:val="000000"/>
        </w:rPr>
        <w:t>•</w:t>
      </w:r>
      <w:hyperlink w:anchor="i758a99e56aa5464382aa6843e8af7f88_124">
        <w:r>
          <w:rPr>
            <w:rStyle w:val="InternetLink"/>
            <w:rFonts w:ascii="Times New Roman;serif" w:hAnsi="Times New Roman;serif"/>
            <w:b w:val="false"/>
            <w:color w:val="0000FF"/>
            <w:sz w:val="20"/>
            <w:u w:val="single"/>
          </w:rPr>
          <w:t>Trends Affecting Our Business</w:t>
        </w:r>
      </w:hyperlink>
    </w:p>
    <w:p>
      <w:pPr>
        <w:pStyle w:val="TextBody"/>
        <w:bidi w:val="0"/>
        <w:spacing w:lineRule="auto" w:line="288" w:before="60" w:after="283"/>
        <w:ind w:left="0" w:right="0" w:hanging="360"/>
        <w:jc w:val="left"/>
        <w:rPr/>
      </w:pPr>
      <w:r>
        <w:rPr>
          <w:color w:val="000000"/>
        </w:rPr>
        <w:t>•</w:t>
      </w:r>
      <w:hyperlink w:anchor="i758a99e56aa5464382aa6843e8af7f88_127">
        <w:r>
          <w:rPr>
            <w:rStyle w:val="InternetLink"/>
            <w:rFonts w:ascii="Times New Roman;serif" w:hAnsi="Times New Roman;serif"/>
            <w:b w:val="false"/>
            <w:color w:val="0000FF"/>
            <w:sz w:val="20"/>
            <w:u w:val="single"/>
          </w:rPr>
          <w:t>Consolidated Results of Operations</w:t>
        </w:r>
      </w:hyperlink>
    </w:p>
    <w:p>
      <w:pPr>
        <w:pStyle w:val="TextBody"/>
        <w:bidi w:val="0"/>
        <w:spacing w:lineRule="auto" w:line="288" w:before="60" w:after="283"/>
        <w:ind w:left="0" w:right="0" w:hanging="360"/>
        <w:jc w:val="left"/>
        <w:rPr/>
      </w:pPr>
      <w:r>
        <w:rPr>
          <w:color w:val="000000"/>
        </w:rPr>
        <w:t>•</w:t>
      </w:r>
      <w:hyperlink w:anchor="i758a99e56aa5464382aa6843e8af7f88_133">
        <w:r>
          <w:rPr>
            <w:rStyle w:val="InternetLink"/>
            <w:rFonts w:ascii="Times New Roman;serif" w:hAnsi="Times New Roman;serif"/>
            <w:b w:val="false"/>
            <w:color w:val="0000FF"/>
            <w:sz w:val="20"/>
            <w:u w:val="single"/>
          </w:rPr>
          <w:t>Segment Results</w:t>
        </w:r>
      </w:hyperlink>
    </w:p>
    <w:p>
      <w:pPr>
        <w:pStyle w:val="TextBody"/>
        <w:bidi w:val="0"/>
        <w:spacing w:lineRule="auto" w:line="288" w:before="60" w:after="283"/>
        <w:ind w:left="0" w:right="0" w:hanging="360"/>
        <w:jc w:val="left"/>
        <w:rPr/>
      </w:pPr>
      <w:r>
        <w:rPr>
          <w:color w:val="000000"/>
        </w:rPr>
        <w:t>•</w:t>
      </w:r>
      <w:hyperlink w:anchor="i758a99e56aa5464382aa6843e8af7f88_139">
        <w:r>
          <w:rPr>
            <w:rStyle w:val="InternetLink"/>
            <w:rFonts w:ascii="Times New Roman;serif" w:hAnsi="Times New Roman;serif"/>
            <w:b w:val="false"/>
            <w:color w:val="0000FF"/>
            <w:sz w:val="20"/>
            <w:u w:val="single"/>
          </w:rPr>
          <w:t>Liquidity and Capital Resources</w:t>
        </w:r>
      </w:hyperlink>
    </w:p>
    <w:p>
      <w:pPr>
        <w:pStyle w:val="TextBody"/>
        <w:bidi w:val="0"/>
        <w:spacing w:lineRule="auto" w:line="288" w:before="60" w:after="283"/>
        <w:ind w:left="0" w:right="0" w:hanging="360"/>
        <w:jc w:val="left"/>
        <w:rPr/>
      </w:pPr>
      <w:r>
        <w:rPr>
          <w:color w:val="000000"/>
        </w:rPr>
        <w:t>•</w:t>
      </w:r>
      <w:hyperlink w:anchor="i758a99e56aa5464382aa6843e8af7f88_145">
        <w:r>
          <w:rPr>
            <w:rStyle w:val="InternetLink"/>
            <w:rFonts w:ascii="Times New Roman;serif" w:hAnsi="Times New Roman;serif"/>
            <w:b w:val="false"/>
            <w:color w:val="0000FF"/>
            <w:sz w:val="20"/>
            <w:u w:val="single"/>
          </w:rPr>
          <w:t>Safe Harbor Statement</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85 brand names in approximately 65 countries worldwide.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and pretzels.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Business Acquisition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November 18, 2025, we completed the acquisition of LesserEvil, LLC (“LesserEvil”), previously a privately held company that produces and sells organic popcorn and puffed snack products to retailers and distributors in the United States and Canada. The acquisition complements Hershey’s existing portfolio and increases manufacturing capacity.</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48995"/>
                <wp:effectExtent l="0" t="0" r="0" b="0"/>
                <wp:wrapNone/>
                <wp:docPr id="108" name="Frame37"/>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3"/>
                                                <a:stretch>
                                                  <a:fillRect/>
                                                </a:stretch>
                                              </pic:blipFill>
                                              <pic:spPr bwMode="auto">
                                                <a:xfrm>
                                                  <a:off x="0" y="0"/>
                                                  <a:ext cx="219075" cy="190500"/>
                                                </a:xfrm>
                                                <a:prstGeom prst="rect">
                                                  <a:avLst/>
                                                </a:prstGeom>
                                              </pic:spPr>
                                            </pic:pic>
                                          </a:graphicData>
                                        </a:graphic>
                                      </wp:inline>
                                    </w:drawing>
                                  </w:r>
                                  <w:bookmarkStart w:id="71" w:name="i-37"/>
                                  <w:bookmarkEnd w:id="7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4"/>
                                          <a:stretch>
                                            <a:fillRect/>
                                          </a:stretch>
                                        </pic:blipFill>
                                        <pic:spPr bwMode="auto">
                                          <a:xfrm>
                                            <a:off x="0" y="0"/>
                                            <a:ext cx="219075" cy="190500"/>
                                          </a:xfrm>
                                          <a:prstGeom prst="rect">
                                            <a:avLst/>
                                          </a:prstGeom>
                                        </pic:spPr>
                                      </pic:pic>
                                    </a:graphicData>
                                  </a:graphic>
                                </wp:inline>
                              </w:drawing>
                            </w:r>
                            <w:bookmarkStart w:id="72" w:name="i-37"/>
                            <w:bookmarkEnd w:id="7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TRENDS AFFECTING OUR BUSINESS</w:t>
      </w:r>
    </w:p>
    <w:p>
      <w:pPr>
        <w:pStyle w:val="TextBody"/>
        <w:bidi w:val="0"/>
        <w:spacing w:lineRule="auto" w:line="288" w:before="180" w:after="283"/>
        <w:jc w:val="left"/>
        <w:rPr/>
      </w:pPr>
      <w:r>
        <w:rPr>
          <w:rFonts w:ascii="Times New Roman;serif" w:hAnsi="Times New Roman;serif"/>
          <w:b w:val="false"/>
          <w:color w:val="000000"/>
          <w:sz w:val="20"/>
        </w:rPr>
        <w:t xml:space="preserve">Throughout the first six months of 2026, we experienced net sales growth, driven primarily by pricing actions, and continued consumer demand for our brands, despite the persistent dynamic macroeconomic environment and ongoing pressures on our business. Higher manufacturing, logistics, and supply chain costs continue to challenge the business and drive incremental costs (see </w:t>
      </w:r>
      <w:hyperlink w:anchor="i758a99e56aa5464382aa6843e8af7f88_127">
        <w:r>
          <w:rPr>
            <w:rStyle w:val="InternetLink"/>
          </w:rPr>
          <w:t>Consolidated</w:t>
        </w:r>
      </w:hyperlink>
      <w:hyperlink w:anchor="i758a99e56aa5464382aa6843e8af7f88_127">
        <w:r>
          <w:rPr>
            <w:rStyle w:val="InternetLink"/>
          </w:rPr>
          <w:t xml:space="preserve"> Results of Operations</w:t>
        </w:r>
      </w:hyperlink>
      <w:r>
        <w:rPr>
          <w:color w:val="000000"/>
        </w:rPr>
        <w:t xml:space="preserve"> </w:t>
      </w:r>
      <w:r>
        <w:rPr>
          <w:rFonts w:ascii="Times New Roman;serif" w:hAnsi="Times New Roman;serif"/>
          <w:b w:val="false"/>
          <w:color w:val="000000"/>
          <w:sz w:val="20"/>
        </w:rPr>
        <w:t xml:space="preserve">included in this MD&amp;A). Additionally, we utilize many exchange traded commodities for our business that are subject to price volatility, specifically cocoa products, which has continued to improve during the first six months of 2026 (see </w:t>
      </w:r>
      <w:hyperlink w:anchor="i758a99e56aa5464382aa6843e8af7f88_148">
        <w:r>
          <w:rPr>
            <w:rStyle w:val="InternetLink"/>
            <w:rFonts w:ascii="Times New Roman;serif" w:hAnsi="Times New Roman;serif"/>
            <w:b w:val="false"/>
            <w:color w:val="0000FF"/>
            <w:sz w:val="20"/>
            <w:u w:val="single"/>
          </w:rPr>
          <w:t>Part I, Item 3 - Quantitative and Qualitative Disclosures about Market Risk</w:t>
        </w:r>
      </w:hyperlink>
      <w:r>
        <w:rPr>
          <w:color w:val="000000"/>
        </w:rPr>
        <w:t xml:space="preserve"> </w:t>
      </w:r>
      <w:r>
        <w:rPr>
          <w:rFonts w:ascii="Times New Roman;serif" w:hAnsi="Times New Roman;serif"/>
          <w:b w:val="false"/>
          <w:color w:val="000000"/>
          <w:sz w:val="20"/>
        </w:rPr>
        <w:t xml:space="preserve">included in this Quarterly Report on Form 10-Q).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Furthermore, changes in global trade policies, including tariffs on U.S. imports, and certain geopolitical events, specifically the conflict in the Middle East, continue to increase global economic and political uncertainty. We are continuing to monitor the ongoing regulations related to tariffs, specifically, goods imported into the U.S. from Canada, Mexico and other countries, as well as export markets, and the impact of tariff refunds on our business. As such, the scope and length of tariffs, including their effects on the broader economy and our business, continues to evolve. Additionally, we are actively monitoring the ongoing conflict in the Middle East and the potential impact on our business. For the first six months of 2026,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pStyle w:val="TextBody"/>
        <w:bidi w:val="0"/>
        <w:spacing w:lineRule="auto" w:line="288" w:before="180" w:after="283"/>
        <w:jc w:val="left"/>
        <w:rPr/>
      </w:pPr>
      <w:r>
        <w:rPr>
          <w:rFonts w:ascii="Times New Roman;serif" w:hAnsi="Times New Roman;serif"/>
          <w:b w:val="false"/>
          <w:color w:val="000000"/>
          <w:sz w:val="20"/>
        </w:rPr>
        <w:t xml:space="preserve">As of June 28, 2026, we believe we have sufficient liquidity to satisfy our key strategic initiatives and other material cash requirements in both the short-term and in the long-term; however, we continue to evaluate and take action, as necessary, to preserve adequate liquidity and ensure that our business can operate effectively during the current economic environment. We continue to monitor our discretionary spending across the organization (see </w:t>
      </w:r>
      <w:hyperlink w:anchor="i758a99e56aa5464382aa6843e8af7f88_139">
        <w:r>
          <w:rPr>
            <w:rStyle w:val="InternetLink"/>
            <w:rFonts w:ascii="Times New Roman;serif" w:hAnsi="Times New Roman;serif"/>
            <w:b w:val="false"/>
            <w:color w:val="0000FF"/>
            <w:sz w:val="20"/>
            <w:u w:val="single"/>
          </w:rPr>
          <w:t>Liquidity and Capital Resources</w:t>
        </w:r>
      </w:hyperlink>
      <w:r>
        <w:rPr>
          <w:color w:val="000000"/>
        </w:rPr>
        <w:t xml:space="preserve"> </w:t>
      </w:r>
      <w:r>
        <w:rPr>
          <w:rFonts w:ascii="Times New Roman;serif" w:hAnsi="Times New Roman;serif"/>
          <w:b w:val="false"/>
          <w:color w:val="000000"/>
          <w:sz w:val="20"/>
        </w:rPr>
        <w:t>included in this MD&amp;A).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Based on the length and severity of the fluctuating macroeconomic environment, including price volatility for our commodities, fluctuations in consumer shopping and consumption behavior, and ongoing changes in geopolitical events, including the imposition of tariffs, retaliatory tariffs and tariff refunds, as well as the conflict in the Middle East, we may continue to experience increasing supply chain costs, higher inflation and other impacts to our business. We will continue to evaluate the nature and extent of these evolving impacts on our business, consolidated results of operations, segment results, 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48995"/>
                <wp:effectExtent l="0" t="0" r="0" b="0"/>
                <wp:wrapNone/>
                <wp:docPr id="111" name="Frame38"/>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5"/>
                                                <a:stretch>
                                                  <a:fillRect/>
                                                </a:stretch>
                                              </pic:blipFill>
                                              <pic:spPr bwMode="auto">
                                                <a:xfrm>
                                                  <a:off x="0" y="0"/>
                                                  <a:ext cx="219075" cy="190500"/>
                                                </a:xfrm>
                                                <a:prstGeom prst="rect">
                                                  <a:avLst/>
                                                </a:prstGeom>
                                              </pic:spPr>
                                            </pic:pic>
                                          </a:graphicData>
                                        </a:graphic>
                                      </wp:inline>
                                    </w:drawing>
                                  </w:r>
                                  <w:bookmarkStart w:id="73" w:name="i-38"/>
                                  <w:bookmarkEnd w:id="7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6"/>
                                          <a:stretch>
                                            <a:fillRect/>
                                          </a:stretch>
                                        </pic:blipFill>
                                        <pic:spPr bwMode="auto">
                                          <a:xfrm>
                                            <a:off x="0" y="0"/>
                                            <a:ext cx="219075" cy="190500"/>
                                          </a:xfrm>
                                          <a:prstGeom prst="rect">
                                            <a:avLst/>
                                          </a:prstGeom>
                                        </pic:spPr>
                                      </pic:pic>
                                    </a:graphicData>
                                  </a:graphic>
                                </wp:inline>
                              </w:drawing>
                            </w:r>
                            <w:bookmarkStart w:id="74" w:name="i-38"/>
                            <w:bookmarkEnd w:id="7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tbl>
      <w:tblPr>
        <w:tblW w:w="10205" w:type="dxa"/>
        <w:jc w:val="left"/>
        <w:tblInd w:w="0" w:type="dxa"/>
        <w:tblLayout w:type="fixed"/>
        <w:tblCellMar>
          <w:top w:w="28" w:type="dxa"/>
          <w:left w:w="28" w:type="dxa"/>
          <w:bottom w:w="28" w:type="dxa"/>
          <w:right w:w="28" w:type="dxa"/>
        </w:tblCellMar>
      </w:tblPr>
      <w:tblGrid>
        <w:gridCol w:w="1105"/>
        <w:gridCol w:w="518"/>
        <w:gridCol w:w="521"/>
        <w:gridCol w:w="109"/>
        <w:gridCol w:w="109"/>
        <w:gridCol w:w="109"/>
        <w:gridCol w:w="289"/>
        <w:gridCol w:w="224"/>
        <w:gridCol w:w="453"/>
        <w:gridCol w:w="115"/>
        <w:gridCol w:w="115"/>
        <w:gridCol w:w="115"/>
        <w:gridCol w:w="289"/>
        <w:gridCol w:w="224"/>
        <w:gridCol w:w="453"/>
        <w:gridCol w:w="109"/>
        <w:gridCol w:w="109"/>
        <w:gridCol w:w="109"/>
        <w:gridCol w:w="306"/>
        <w:gridCol w:w="281"/>
        <w:gridCol w:w="480"/>
        <w:gridCol w:w="109"/>
        <w:gridCol w:w="109"/>
        <w:gridCol w:w="109"/>
        <w:gridCol w:w="290"/>
        <w:gridCol w:w="224"/>
        <w:gridCol w:w="453"/>
        <w:gridCol w:w="111"/>
        <w:gridCol w:w="111"/>
        <w:gridCol w:w="111"/>
        <w:gridCol w:w="290"/>
        <w:gridCol w:w="224"/>
        <w:gridCol w:w="453"/>
        <w:gridCol w:w="109"/>
        <w:gridCol w:w="109"/>
        <w:gridCol w:w="109"/>
        <w:gridCol w:w="300"/>
        <w:gridCol w:w="288"/>
        <w:gridCol w:w="554"/>
      </w:tblGrid>
      <w:tr>
        <w:trPr/>
        <w:tc>
          <w:tcPr>
            <w:tcW w:w="110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In millions of dollars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5,891.5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45.3 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30.5 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42.2 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32.1 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marketing &amp; administrative (“SM&amp;A”)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SM&amp;A expense as a percent of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22.3 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23.1 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20.3 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21.4 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realignment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23.1 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7.4 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21.8 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10.4 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Effective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629.7 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629.0 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Percentage changes may not compute directly as shown due to rounding of amounts presented above.</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TextBody"/>
        <w:bidi w:val="0"/>
        <w:spacing w:lineRule="auto" w:line="288" w:before="280" w:after="283"/>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 - Second Quarter 2026 vs. Second Quarter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Net Sales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sales were $2,787.3 million in the second quarter of 2026 compared to $2,614.7 million in the same period of 2025, an increase of $172.6 million, or 6.6%. The net sales increase reflects a favorable price realization of approximately 12%, primarily related to pricing actions within the North America Confectionery and International segments. Additionally, the 2025 acquisition of LesserEvil contributed approximately a 3% benefit. The increase was partially offset by a volume decrease of approximately 8%, primarily driven by volume declines in North America Confectionery and International segments, which more than offset the volume growth in the North America Salty Snacks segment. There was minimal impact from foreign currency exchange rates.</w:t>
      </w:r>
    </w:p>
    <w:p>
      <w:pPr>
        <w:pStyle w:val="TextBody"/>
        <w:bidi w:val="0"/>
        <w:spacing w:lineRule="auto" w:line="288" w:before="180" w:after="283"/>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Key U.S. Marketplace Metrics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our total U.S. retail takeaway decreased 5.4% in the expanded multi-outlet combined plus convenience store channels (MULO+ w/ Convenience), which includes candy, mint, gum, salty snacks and grocery items. Our U.S. candy, mint and gum (“CMG”) consumer takeaway decreased 8.6% and experienced a CMG market share decline. Our Salty consumer takeaway, excluding LesserEvil, increased 6.5% in the second quarter of 2026 and experienced a Salty, excluding LesserEvil, market share increase.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consumer takeaway and market share information reflect measured channels of distribution accounting for approximately 90% of our U.S. confectionery and salty snack retail businesses. These channels of distribution primarily include food, drug, mass merchandisers and convenience store channels, partial dollar, club and military channels. These metrics are based on measured market scanned purchases as reported by Circana, the Company’s market insights and analytics provider, and provide a means to assess our retail takeaway and market position relative to the overall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48995"/>
                <wp:effectExtent l="0" t="0" r="0" b="0"/>
                <wp:wrapNone/>
                <wp:docPr id="114" name="Frame39"/>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7"/>
                                                <a:stretch>
                                                  <a:fillRect/>
                                                </a:stretch>
                                              </pic:blipFill>
                                              <pic:spPr bwMode="auto">
                                                <a:xfrm>
                                                  <a:off x="0" y="0"/>
                                                  <a:ext cx="219075" cy="190500"/>
                                                </a:xfrm>
                                                <a:prstGeom prst="rect">
                                                  <a:avLst/>
                                                </a:prstGeom>
                                              </pic:spPr>
                                            </pic:pic>
                                          </a:graphicData>
                                        </a:graphic>
                                      </wp:inline>
                                    </w:drawing>
                                  </w:r>
                                  <w:bookmarkStart w:id="75" w:name="i-39"/>
                                  <w:bookmarkEnd w:id="7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 descr=""/>
                                          <pic:cNvPicPr>
                                            <a:picLocks noChangeAspect="1" noChangeArrowheads="1"/>
                                          </pic:cNvPicPr>
                                        </pic:nvPicPr>
                                        <pic:blipFill>
                                          <a:blip r:embed="rId78"/>
                                          <a:stretch>
                                            <a:fillRect/>
                                          </a:stretch>
                                        </pic:blipFill>
                                        <pic:spPr bwMode="auto">
                                          <a:xfrm>
                                            <a:off x="0" y="0"/>
                                            <a:ext cx="219075" cy="190500"/>
                                          </a:xfrm>
                                          <a:prstGeom prst="rect">
                                            <a:avLst/>
                                          </a:prstGeom>
                                        </pic:spPr>
                                      </pic:pic>
                                    </a:graphicData>
                                  </a:graphic>
                                </wp:inline>
                              </w:drawing>
                            </w:r>
                            <w:bookmarkStart w:id="76" w:name="i-39"/>
                            <w:bookmarkEnd w:id="7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Cost of Sales and Gross Margin </w:t>
      </w:r>
    </w:p>
    <w:p>
      <w:pPr>
        <w:pStyle w:val="TextBody"/>
        <w:bidi w:val="0"/>
        <w:spacing w:lineRule="auto" w:line="288" w:before="100" w:after="283"/>
        <w:jc w:val="left"/>
        <w:rPr/>
      </w:pPr>
      <w:r>
        <w:rPr>
          <w:rFonts w:ascii="Times New Roman;serif" w:hAnsi="Times New Roman;serif"/>
          <w:b w:val="false"/>
          <w:color w:val="000000"/>
          <w:sz w:val="20"/>
        </w:rPr>
        <w:t xml:space="preserve">Cost of sales were $1,524.0 million in the second quarter 2026 compared to $1,818.4 million in the same period of 2025, a decrease of $294.4 million, or 16.2%. The decrease was driven by $523.7 million, primarily due to lower sales volume, transformation program net savings and $117.4 million of favorable mark-to-market activity on our commodity derivative instruments intended to economically hedge future years’ commodity purchases (See </w:t>
      </w:r>
      <w:hyperlink w:anchor="i758a99e56aa5464382aa6843e8af7f88_148">
        <w:r>
          <w:rPr>
            <w:rStyle w:val="InternetLink"/>
            <w:rFonts w:ascii="Times New Roman;serif" w:hAnsi="Times New Roman;serif"/>
            <w:b w:val="false"/>
            <w:color w:val="0000FF"/>
            <w:sz w:val="20"/>
            <w:u w:val="single"/>
          </w:rPr>
          <w:t>Part I, Item 3 - Quantitative and Qualitative Disclosures About Market Risk</w:t>
        </w:r>
      </w:hyperlink>
      <w:r>
        <w:rPr>
          <w:color w:val="000000"/>
        </w:rPr>
        <w:t xml:space="preserve"> </w:t>
      </w:r>
      <w:r>
        <w:rPr>
          <w:rFonts w:ascii="Times New Roman;serif" w:hAnsi="Times New Roman;serif"/>
          <w:b w:val="false"/>
          <w:color w:val="000000"/>
          <w:sz w:val="20"/>
        </w:rPr>
        <w:t>included in this Quarterly Report on Form 10-Q for more information). The decrease was partially offset by $229.3 million of higher costs, predominantly due to unfavorable supply chain costs and unfavorable mix.</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Gross margin was 45.3% in the second quarter of 2026 compared to 30.5% in the same period of 2025, an increase of 1,490 basis points. The increase was driven by favorable net price realization and net savings related to our AAA Initiative, partially offset by unfavorable supply chain costs and volume declines.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SM&amp;A Expenses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SM&amp;A expenses were $620.6 million in the second quarter of 2026 compared to $603.2 million in the same period of 2025, an increase of $17.4 million, or 2.9%. SM&amp;A expenses, excluding advertising and related consumer marketing, increased 6.0% in the second quarter of 2026, driven by higher capability and technology investments, partially offset by lower compensation and benefit costs, as well as net savings related to our AAA Initiative versus the prior year. Advertising and related consumer marketing expenses decreased 3.3%, driven by efficiencies and timing of non-working media investment in the North America Confectionery segment. </w:t>
      </w:r>
    </w:p>
    <w:p>
      <w:pPr>
        <w:pStyle w:val="TextBody"/>
        <w:bidi w:val="0"/>
        <w:spacing w:lineRule="auto" w:line="276" w:before="180" w:after="283"/>
        <w:jc w:val="left"/>
        <w:rPr>
          <w:rFonts w:ascii="Times New Roman;serif" w:hAnsi="Times New Roman;serif"/>
          <w:b/>
          <w:color w:val="000000"/>
          <w:sz w:val="20"/>
        </w:rPr>
      </w:pPr>
      <w:r>
        <w:rPr>
          <w:rFonts w:ascii="Times New Roman;serif" w:hAnsi="Times New Roman;serif"/>
          <w:b/>
          <w:color w:val="000000"/>
          <w:sz w:val="20"/>
        </w:rPr>
        <w:t>Business Realignment Activities</w:t>
      </w:r>
    </w:p>
    <w:p>
      <w:pPr>
        <w:pStyle w:val="TextBody"/>
        <w:bidi w:val="0"/>
        <w:spacing w:lineRule="auto" w:line="288" w:before="100" w:after="283"/>
        <w:jc w:val="left"/>
        <w:rPr/>
      </w:pPr>
      <w:r>
        <w:rPr>
          <w:rFonts w:ascii="Times New Roman;serif" w:hAnsi="Times New Roman;serif"/>
          <w:b w:val="false"/>
          <w:color w:val="000000"/>
          <w:sz w:val="20"/>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business realignment costs of $0.1 million during the second quarter of 2026 versus $0.3 million in the second quarter of 2025. The costs related to the AAA Initiative, which commenced in 2024, focused on leveraging new technology to improve supply chain and manufacturing-related spend, and optimize selling, general and administrative expenses. Costs associated with business realignment activities are classified in our Consolidated Statements of Income as described in </w:t>
      </w:r>
      <w:hyperlink w:anchor="i758a99e56aa5464382aa6843e8af7f88_73">
        <w:r>
          <w:rPr>
            <w:rStyle w:val="InternetLink"/>
            <w:rFonts w:ascii="Times New Roman;serif" w:hAnsi="Times New Roman;serif"/>
            <w:b w:val="false"/>
            <w:color w:val="0000FF"/>
            <w:sz w:val="20"/>
            <w:u w:val="single"/>
          </w:rPr>
          <w:t>Note 9</w:t>
        </w:r>
      </w:hyperlink>
      <w:r>
        <w:rPr>
          <w:color w:val="000000"/>
        </w:rPr>
        <w:t xml:space="preserve"> </w:t>
      </w:r>
      <w:r>
        <w:rPr>
          <w:rFonts w:ascii="Times New Roman;serif" w:hAnsi="Times New Roman;serif"/>
          <w:b w:val="false"/>
          <w:color w:val="000000"/>
          <w:sz w:val="20"/>
        </w:rPr>
        <w:t xml:space="preserve">to the Unaudited Consolidated Financial Statements.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Operating Profit and Operating Profit Margin </w:t>
      </w:r>
    </w:p>
    <w:p>
      <w:pPr>
        <w:pStyle w:val="TextBody"/>
        <w:bidi w:val="0"/>
        <w:spacing w:lineRule="auto" w:line="288" w:before="100" w:after="283"/>
        <w:jc w:val="left"/>
        <w:rPr/>
      </w:pPr>
      <w:r>
        <w:rPr>
          <w:rFonts w:ascii="Times New Roman;serif" w:hAnsi="Times New Roman;serif"/>
          <w:b w:val="false"/>
          <w:color w:val="000000"/>
          <w:sz w:val="20"/>
        </w:rPr>
        <w:t>Operating profit was $642.6 million in the second quarter of 2026 compared to $192.8 million in the same period of 2025, an increase of $449.8 million, or 233.3%. The increase was primarily due to higher gross profit, as well as lower business realignment expenses, partially offset by increased SM&amp;A expenses, as noted above. O</w:t>
      </w:r>
      <w:r>
        <w:rPr>
          <w:rFonts w:ascii="Times New Roman;serif" w:hAnsi="Times New Roman;serif"/>
          <w:b w:val="false"/>
          <w:color w:val="000000"/>
          <w:sz w:val="20"/>
          <w:shd w:fill="FFFFFF" w:val="clear"/>
        </w:rPr>
        <w:t xml:space="preserve">perating profit margin increased to 23.1% in 2026 from 7.4% in 2025, </w:t>
      </w:r>
      <w:r>
        <w:rPr>
          <w:rFonts w:ascii="Times New Roman;serif" w:hAnsi="Times New Roman;serif"/>
          <w:b w:val="false"/>
          <w:color w:val="000000"/>
          <w:sz w:val="20"/>
        </w:rPr>
        <w:t>driven by the same factors noted above that resulted in higher gross margin for the period.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was $50.0 million in the second quarter of 2026 compared to $46.0 million in the same period of 2025, an increase of $4.0 million, or 8.5%. The increase was primarily due to an increase in short-term debt, slightly offset by lower long-term debt balances.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Other (Income) Expense, Net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was expense of $4.4 million in the second quarter of 2026 versus income of $2.3 million in the second quarter of 2025, a change of $6.7 million. The increase in net expense was predominantly driven by an increase of $3.4 million of non-service cost components of net periodic benefit cost relating to pension and other post-retirement benefit plans in the second quarter of 2026 versus the same period of 2025 and a decrease in other corporate income of $3.3 million.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Income Taxes and Effective Tax Rate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was 22.2% for the second quarter of 2026 compared with 57.9% for the second quarter of 2025. The 2025 effective tax rate was higher due to the impact of tax reserves and foreign rate differentials related to mark-to-market activity. Relative to the 21% statutory rate, the 2026 effective tax rate was primarily impacted by state taxes and foreign rate differential. Relative to the 21% statutory rate, the 2025 effective tax rate was primarily impacted by state taxes, foreign rate differentials and tax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48995"/>
                <wp:effectExtent l="0" t="0" r="0" b="0"/>
                <wp:wrapNone/>
                <wp:docPr id="117" name="Frame40"/>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0" descr=""/>
                                                <pic:cNvPicPr>
                                                  <a:picLocks noChangeAspect="1" noChangeArrowheads="1"/>
                                                </pic:cNvPicPr>
                                              </pic:nvPicPr>
                                              <pic:blipFill>
                                                <a:blip r:embed="rId79"/>
                                                <a:stretch>
                                                  <a:fillRect/>
                                                </a:stretch>
                                              </pic:blipFill>
                                              <pic:spPr bwMode="auto">
                                                <a:xfrm>
                                                  <a:off x="0" y="0"/>
                                                  <a:ext cx="219075" cy="190500"/>
                                                </a:xfrm>
                                                <a:prstGeom prst="rect">
                                                  <a:avLst/>
                                                </a:prstGeom>
                                              </pic:spPr>
                                            </pic:pic>
                                          </a:graphicData>
                                        </a:graphic>
                                      </wp:inline>
                                    </w:drawing>
                                  </w:r>
                                  <w:bookmarkStart w:id="77" w:name="i-40"/>
                                  <w:bookmarkEnd w:id="7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39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80"/>
                                          <a:stretch>
                                            <a:fillRect/>
                                          </a:stretch>
                                        </pic:blipFill>
                                        <pic:spPr bwMode="auto">
                                          <a:xfrm>
                                            <a:off x="0" y="0"/>
                                            <a:ext cx="219075" cy="190500"/>
                                          </a:xfrm>
                                          <a:prstGeom prst="rect">
                                            <a:avLst/>
                                          </a:prstGeom>
                                        </pic:spPr>
                                      </pic:pic>
                                    </a:graphicData>
                                  </a:graphic>
                                </wp:inline>
                              </w:drawing>
                            </w:r>
                            <w:bookmarkStart w:id="78" w:name="i-40"/>
                            <w:bookmarkEnd w:id="7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Net Income and Earnings Per Share-diluted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income was $457.7 million in the second quarter of 2026 compared to $62.7 million in the same period of 2025, an increase of $395.0 million, or 629.7%. EPS-diluted was $2.26 in the second quarter of 2026 compared to $0.31 in the second quarter of 2025, an increase of $1.95, or 629.0%. The increase in both net income and EPS-diluted was driven by higher gross profit and lower business realignment costs, partially offset by higher SM&amp;A expenses, higher other (income) expense, higher interest expense, and higher income taxes. Higher income taxes were driven by higher income before income taxes, partially offset by a lower effective tax rate.</w:t>
      </w:r>
    </w:p>
    <w:p>
      <w:pPr>
        <w:pStyle w:val="TextBody"/>
        <w:bidi w:val="0"/>
        <w:spacing w:lineRule="auto" w:line="288" w:before="280" w:after="283"/>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 - First Six Months 2026 vs. First Six Months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Net Sales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sales were $5,891.5 million in the first six months of 2026 compared to $5,420.1 million during the same period of 2025, an increase of $471.4 million, or 8.7%. The net sales increase was driven by favorable price realization of approximately 11% within our North America Confectionery and International segments. Additionally, the 2025 acquisition of LesserEvil contributed approximately a 2% benefit. Further, there was a favorable foreign currency exchange impact of less than 1%. The net sales increase was partially offset by a volume decrease of approximately 5%, driven by volume declines in North America Confectionery and International segments, which more than offset the volume growth in the North America Salty Snacks segment.</w:t>
      </w:r>
    </w:p>
    <w:p>
      <w:pPr>
        <w:pStyle w:val="TextBody"/>
        <w:bidi w:val="0"/>
        <w:spacing w:lineRule="auto" w:line="288" w:before="180" w:after="283"/>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Key U.S. Marketplace Metrics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first six months of 2026, our total U.S. retail takeaway increased 4.4% in the expanded multi-outlet combined plus convenience store channels (IRI MULO + C-Stores), which includes candy, mint, gum, salty snacks and grocery items. Our U.S. CMG consumer takeaway increased 2.7%, despite a CMG market share decline. Our Salty consumer takeaway increased 8.5% and experienced a Salty market share increase.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Cost of Sales and Gross Margin </w:t>
      </w:r>
    </w:p>
    <w:p>
      <w:pPr>
        <w:pStyle w:val="TextBody"/>
        <w:bidi w:val="0"/>
        <w:spacing w:lineRule="auto" w:line="288" w:before="100" w:after="283"/>
        <w:jc w:val="left"/>
        <w:rPr/>
      </w:pPr>
      <w:r>
        <w:rPr>
          <w:rFonts w:ascii="Times New Roman;serif" w:hAnsi="Times New Roman;serif"/>
          <w:b w:val="false"/>
          <w:color w:val="000000"/>
          <w:sz w:val="20"/>
        </w:rPr>
        <w:t xml:space="preserve">Cost of sales were $3,405.4 million in the first six months of 2026 compared to $3,679.6 million in the same period of 2025, a decrease of $274.2 million, or 7.5%. The decrease was driven by $762.9 million of lower costs, primarily related to $142.4 million of favorable mark-to-market activity on our commodity derivative instruments intended to economically hedge future years’ commodity purchases (See </w:t>
      </w:r>
      <w:hyperlink w:anchor="i758a99e56aa5464382aa6843e8af7f88_148">
        <w:r>
          <w:rPr>
            <w:rStyle w:val="InternetLink"/>
            <w:rFonts w:ascii="Times New Roman;serif" w:hAnsi="Times New Roman;serif"/>
            <w:b w:val="false"/>
            <w:color w:val="0000FF"/>
            <w:sz w:val="20"/>
            <w:u w:val="single"/>
          </w:rPr>
          <w:t>Part I, Item 3 - Quantitative and Qualitative Disclosures About Market Risk</w:t>
        </w:r>
      </w:hyperlink>
      <w:r>
        <w:rPr>
          <w:color w:val="000000"/>
        </w:rPr>
        <w:t xml:space="preserve"> </w:t>
      </w:r>
      <w:r>
        <w:rPr>
          <w:rFonts w:ascii="Times New Roman;serif" w:hAnsi="Times New Roman;serif"/>
          <w:b w:val="false"/>
          <w:color w:val="000000"/>
          <w:sz w:val="20"/>
        </w:rPr>
        <w:t>included in this Quarterly Report on Form 10-Q for more information), lower commodity costs and lower sales volume. The decrease was partially offset by $488.8 million, primarily related to increased supply chain costs and unfavorable mix.</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margin was 42.2% in the first six months of 2026 compared to 32.1% in the same period of 2025, an increase of 1,010 basis points. The increase was driven by favorable net price realization and net savings related to our AAA Initiative, partially offset by unfavorable supply chain costs and volume declines.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SM&amp;A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SM&amp;A expenses were $1,196.6 million in the first six months of 2026 compared to $1,161.9 million in the same period of 2025, an increase of $34.7 million, or 3.0%. SM&amp;A expenses, excluding advertising and related consumer marketing, increased 1.1% in the first six months of 2026 as compared to the first six months of 2025. Advertising and related consumer marketing expenses increased 4.0%, driven by increased spending in the North America Salty Snacks and International segments, partially offset by decreased spending in the North America Confectionery segment.</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48995"/>
                <wp:effectExtent l="0" t="0" r="0" b="0"/>
                <wp:wrapNone/>
                <wp:docPr id="120" name="Frame41"/>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81"/>
                                                <a:stretch>
                                                  <a:fillRect/>
                                                </a:stretch>
                                              </pic:blipFill>
                                              <pic:spPr bwMode="auto">
                                                <a:xfrm>
                                                  <a:off x="0" y="0"/>
                                                  <a:ext cx="219075" cy="190500"/>
                                                </a:xfrm>
                                                <a:prstGeom prst="rect">
                                                  <a:avLst/>
                                                </a:prstGeom>
                                              </pic:spPr>
                                            </pic:pic>
                                          </a:graphicData>
                                        </a:graphic>
                                      </wp:inline>
                                    </w:drawing>
                                  </w:r>
                                  <w:bookmarkStart w:id="79" w:name="i-41"/>
                                  <w:bookmarkEnd w:id="7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82"/>
                                          <a:stretch>
                                            <a:fillRect/>
                                          </a:stretch>
                                        </pic:blipFill>
                                        <pic:spPr bwMode="auto">
                                          <a:xfrm>
                                            <a:off x="0" y="0"/>
                                            <a:ext cx="219075" cy="190500"/>
                                          </a:xfrm>
                                          <a:prstGeom prst="rect">
                                            <a:avLst/>
                                          </a:prstGeom>
                                        </pic:spPr>
                                      </pic:pic>
                                    </a:graphicData>
                                  </a:graphic>
                                </wp:inline>
                              </w:drawing>
                            </w:r>
                            <w:bookmarkStart w:id="80" w:name="i-41"/>
                            <w:bookmarkEnd w:id="8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Business Realignment Activities</w:t>
      </w:r>
    </w:p>
    <w:p>
      <w:pPr>
        <w:pStyle w:val="TextBody"/>
        <w:bidi w:val="0"/>
        <w:spacing w:lineRule="auto" w:line="288" w:before="100" w:after="283"/>
        <w:jc w:val="left"/>
        <w:rPr/>
      </w:pPr>
      <w:r>
        <w:rPr>
          <w:rFonts w:ascii="Times New Roman;serif" w:hAnsi="Times New Roman;serif"/>
          <w:b w:val="false"/>
          <w:color w:val="000000"/>
          <w:sz w:val="20"/>
        </w:rPr>
        <w:t xml:space="preserve">We periodically undertake business realignment activities designed to increase our efficiency and focus our business in support of our key growth strategies. Excluding the portion recorded within Cost of Sales and SM&amp;A expenses (as noted above), we recorded business realignment costs of $6.1 million during the first six months of 2026 versus $16.6 million in the first six months of 2025. The costs related to the AAA Initiative, which commenced in 2024, focused on leveraging new technology to improve supply chain and manufacturing-related spend, and optimize selling, general and administrative expenses. Costs associated with business realignment activities are classified in our Consolidated Statements of Income as described in </w:t>
      </w:r>
      <w:hyperlink w:anchor="i758a99e56aa5464382aa6843e8af7f88_73">
        <w:r>
          <w:rPr>
            <w:rStyle w:val="InternetLink"/>
            <w:rFonts w:ascii="Times New Roman;serif" w:hAnsi="Times New Roman;serif"/>
            <w:b w:val="false"/>
            <w:color w:val="0000FF"/>
            <w:sz w:val="20"/>
            <w:u w:val="single"/>
          </w:rPr>
          <w:t>Note 9</w:t>
        </w:r>
      </w:hyperlink>
      <w:r>
        <w:rPr>
          <w:color w:val="000000"/>
        </w:rPr>
        <w:t xml:space="preserve"> </w:t>
      </w:r>
      <w:r>
        <w:rPr>
          <w:rFonts w:ascii="Times New Roman;serif" w:hAnsi="Times New Roman;serif"/>
          <w:b w:val="false"/>
          <w:color w:val="000000"/>
          <w:sz w:val="20"/>
        </w:rPr>
        <w:t>to the Unaudited Consolidated Financial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Operating Profit and Operating Profit Margin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was $1,283.4 million in the first six months of 2026 compared to $562.0 million in the same period of 2025, an increase of $721.4 million, or 128.3%. The increase was driven by higher gross profit and lower business realignment activities, partially offset by higher SM&amp;A expense, as noted above. Operating profit margin increased to 21.8% in the first six months of 2026 from 10.4% in the same period in 2025, driven by the same factors that resulted in higher gross margin for the period.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Interest Expense, Net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was $99.8 million in the first six months of 2026 compared to $90.7 million in the same period of 2025, an increase of $9.1 million, or 10.1%. The increase was primarily due to an increase in short-term debt, slightly offset by lower long-term debt balances.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Other (Income) Expense, Net </w:t>
      </w:r>
    </w:p>
    <w:p>
      <w:pPr>
        <w:pStyle w:val="TextBody"/>
        <w:bidi w:val="0"/>
        <w:spacing w:lineRule="auto" w:line="288" w:before="100" w:after="283"/>
        <w:jc w:val="left"/>
        <w:rPr/>
      </w:pPr>
      <w:r>
        <w:rPr>
          <w:rFonts w:ascii="Times New Roman;serif" w:hAnsi="Times New Roman;serif"/>
          <w:b w:val="false"/>
          <w:color w:val="000000"/>
          <w:sz w:val="20"/>
        </w:rPr>
        <w:t xml:space="preserve">Other (income) expense, net was expense of $2.6 million in the first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of 2026 versus income of $1.4 million in the first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months of 2025, a change of $4.0 million. The increase in net expense was predominantly driven by a decrease in other corporate income of $3.0 million and an increase of $1.0 million of non-service cost components of net periodic benefit costs relating to pension and other post-retirement benefit plans.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Income Taxes and Effective Tax Rate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income tax rate was 24.4% for the first six months of 2026 compared with 39.3% for the first six months of 2025. The 2025 effective tax rate was higher due to the impact of tax reserves and foreign rate differentials related to mark-to-market activity. Relative to the 21% statutory rate, the 2026 effective tax rate was primarily impacted by state taxes and foreign rate differential. Relative to the 21% statutory rate, the 2025 effective tax rate was primarily impacted by state taxes, foreign rate differentials and tax reserves.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Net Income and Earnings Per Share-diluted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income was $892.8 million in the first six months of 2026 compared to $286.9 million in the same period of 2025, an increase of $605.9 million, or 211.2%. EPS-diluted was $4.39 in the first six months of 2026 compared to $1.41 in the same period of 2025, an increase of $2.98, or 211.3%. The increase in both net income and EPS-diluted was driven by higher gross profit, lower business realignment costs, partially offset by higher SM&amp;A expenses, higher interest expense, higher other (income) expense, and higher income taxes. Higher income taxes were driven by higher income before income taxes, partially offset by a lower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48995"/>
                <wp:effectExtent l="0" t="0" r="0" b="0"/>
                <wp:wrapNone/>
                <wp:docPr id="123" name="Frame42"/>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2" descr=""/>
                                                <pic:cNvPicPr>
                                                  <a:picLocks noChangeAspect="1" noChangeArrowheads="1"/>
                                                </pic:cNvPicPr>
                                              </pic:nvPicPr>
                                              <pic:blipFill>
                                                <a:blip r:embed="rId83"/>
                                                <a:stretch>
                                                  <a:fillRect/>
                                                </a:stretch>
                                              </pic:blipFill>
                                              <pic:spPr bwMode="auto">
                                                <a:xfrm>
                                                  <a:off x="0" y="0"/>
                                                  <a:ext cx="219075" cy="190500"/>
                                                </a:xfrm>
                                                <a:prstGeom prst="rect">
                                                  <a:avLst/>
                                                </a:prstGeom>
                                              </pic:spPr>
                                            </pic:pic>
                                          </a:graphicData>
                                        </a:graphic>
                                      </wp:inline>
                                    </w:drawing>
                                  </w:r>
                                  <w:bookmarkStart w:id="81" w:name="i-42"/>
                                  <w:bookmarkEnd w:id="8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2" descr=""/>
                                          <pic:cNvPicPr>
                                            <a:picLocks noChangeAspect="1" noChangeArrowheads="1"/>
                                          </pic:cNvPicPr>
                                        </pic:nvPicPr>
                                        <pic:blipFill>
                                          <a:blip r:embed="rId84"/>
                                          <a:stretch>
                                            <a:fillRect/>
                                          </a:stretch>
                                        </pic:blipFill>
                                        <pic:spPr bwMode="auto">
                                          <a:xfrm>
                                            <a:off x="0" y="0"/>
                                            <a:ext cx="219075" cy="190500"/>
                                          </a:xfrm>
                                          <a:prstGeom prst="rect">
                                            <a:avLst/>
                                          </a:prstGeom>
                                        </pic:spPr>
                                      </pic:pic>
                                    </a:graphicData>
                                  </a:graphic>
                                </wp:inline>
                              </w:drawing>
                            </w:r>
                            <w:bookmarkStart w:id="82" w:name="i-42"/>
                            <w:bookmarkEnd w:id="8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SEGMENT RESULTS </w:t>
      </w:r>
    </w:p>
    <w:p>
      <w:pPr>
        <w:pStyle w:val="TextBody"/>
        <w:bidi w:val="0"/>
        <w:spacing w:lineRule="auto" w:line="288" w:before="100" w:after="283"/>
        <w:jc w:val="left"/>
        <w:rPr/>
      </w:pPr>
      <w:r>
        <w:rPr>
          <w:rFonts w:ascii="Times New Roman;serif" w:hAnsi="Times New Roman;serif"/>
          <w:b w:val="false"/>
          <w:color w:val="000000"/>
          <w:sz w:val="20"/>
        </w:rPr>
        <w:t xml:space="preserve">The summary that follows provides a discussion of the results of operations of our three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our Chief Operating Decision Maker, Kirk Tanner, President and Chief Executive Officer.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 Refer to </w:t>
      </w:r>
      <w:hyperlink w:anchor="i758a99e56aa5464382aa6843e8af7f88_91">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color w:val="000000"/>
          <w:sz w:val="20"/>
        </w:rPr>
        <w:t>Segment Information in our unaudited consolidated financial statements for reconciliations of net sales for our reportable segments to consolidated total net sales and of segment operating income to consolidated income before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segment results, including a reconciliation to our consolidated results, were as follows:</w:t>
      </w:r>
    </w:p>
    <w:tbl>
      <w:tblPr>
        <w:tblW w:w="10205" w:type="dxa"/>
        <w:jc w:val="left"/>
        <w:tblInd w:w="0" w:type="dxa"/>
        <w:tblLayout w:type="fixed"/>
        <w:tblCellMar>
          <w:top w:w="28" w:type="dxa"/>
          <w:left w:w="28" w:type="dxa"/>
          <w:bottom w:w="28" w:type="dxa"/>
          <w:right w:w="28" w:type="dxa"/>
        </w:tblCellMar>
      </w:tblPr>
      <w:tblGrid>
        <w:gridCol w:w="1628"/>
        <w:gridCol w:w="1397"/>
        <w:gridCol w:w="1304"/>
        <w:gridCol w:w="109"/>
        <w:gridCol w:w="109"/>
        <w:gridCol w:w="109"/>
        <w:gridCol w:w="219"/>
        <w:gridCol w:w="797"/>
        <w:gridCol w:w="113"/>
        <w:gridCol w:w="109"/>
        <w:gridCol w:w="109"/>
        <w:gridCol w:w="109"/>
        <w:gridCol w:w="219"/>
        <w:gridCol w:w="797"/>
        <w:gridCol w:w="113"/>
        <w:gridCol w:w="109"/>
        <w:gridCol w:w="109"/>
        <w:gridCol w:w="109"/>
        <w:gridCol w:w="219"/>
        <w:gridCol w:w="797"/>
        <w:gridCol w:w="113"/>
        <w:gridCol w:w="109"/>
        <w:gridCol w:w="109"/>
        <w:gridCol w:w="109"/>
        <w:gridCol w:w="219"/>
        <w:gridCol w:w="796"/>
        <w:gridCol w:w="166"/>
      </w:tblGrid>
      <w:tr>
        <w:trPr/>
        <w:tc>
          <w:tcPr>
            <w:tcW w:w="162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Confectionery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Salty Snacks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Confectionery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Salty Snacks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mark-to-market (gains) losses on commodity derivatives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associated with business realignment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w:t>
      </w:r>
    </w:p>
    <w:p>
      <w:pPr>
        <w:pStyle w:val="TextBody"/>
        <w:bidi w:val="0"/>
        <w:spacing w:lineRule="auto" w:line="288" w:before="100" w:after="283"/>
        <w:ind w:left="0" w:right="0" w:hanging="360"/>
        <w:jc w:val="left"/>
        <w:rPr/>
      </w:pPr>
      <w:r>
        <w:rPr>
          <w:rFonts w:ascii="Times New Roman;serif" w:hAnsi="Times New Roman;serif"/>
          <w:b w:val="false"/>
          <w:color w:val="000000"/>
          <w:sz w:val="18"/>
        </w:rPr>
        <w:t xml:space="preserve">(2)Net losses (gains) on mark-to-market valuation of commodity derivative positions recognized in unallocated derivative losses (gains). See </w:t>
      </w:r>
      <w:hyperlink w:anchor="i758a99e56aa5464382aa6843e8af7f88_91">
        <w:r>
          <w:rPr>
            <w:rStyle w:val="InternetLink"/>
            <w:rFonts w:ascii="Times New Roman;serif" w:hAnsi="Times New Roman;serif"/>
            <w:b w:val="false"/>
            <w:color w:val="0000FF"/>
            <w:sz w:val="18"/>
            <w:u w:val="single"/>
          </w:rPr>
          <w:t>Note 13</w:t>
        </w:r>
      </w:hyperlink>
      <w:r>
        <w:rPr>
          <w:color w:val="000000"/>
        </w:rPr>
        <w:t xml:space="preserve"> </w:t>
      </w:r>
      <w:r>
        <w:rPr>
          <w:rFonts w:ascii="Times New Roman;serif" w:hAnsi="Times New Roman;serif"/>
          <w:b w:val="false"/>
          <w:color w:val="000000"/>
          <w:sz w:val="18"/>
        </w:rPr>
        <w:t>to the Unaudited Consolidated Financial Statements.</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North America Confectionery</w:t>
      </w:r>
    </w:p>
    <w:p>
      <w:pPr>
        <w:pStyle w:val="TextBody"/>
        <w:bidi w:val="0"/>
        <w:spacing w:lineRule="auto" w:line="288" w:before="100" w:after="160"/>
        <w:jc w:val="left"/>
        <w:rPr>
          <w:rFonts w:ascii="Times New Roman;serif" w:hAnsi="Times New Roman;serif"/>
          <w:b w:val="false"/>
          <w:color w:val="000000"/>
          <w:sz w:val="20"/>
        </w:rPr>
      </w:pPr>
      <w:r>
        <w:rPr>
          <w:rFonts w:ascii="Times New Roman;serif" w:hAnsi="Times New Roman;serif"/>
          <w:b w:val="false"/>
          <w:color w:val="000000"/>
          <w:sz w:val="20"/>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78.0% and 79.8% of our net sales for the three months ended June 28, 2026 and June 29, 2025, respectively, were as follows:</w:t>
      </w:r>
    </w:p>
    <w:tbl>
      <w:tblPr>
        <w:tblW w:w="10205" w:type="dxa"/>
        <w:jc w:val="left"/>
        <w:tblInd w:w="0" w:type="dxa"/>
        <w:tblLayout w:type="fixed"/>
        <w:tblCellMar>
          <w:top w:w="28" w:type="dxa"/>
          <w:left w:w="28" w:type="dxa"/>
          <w:bottom w:w="28" w:type="dxa"/>
          <w:right w:w="28" w:type="dxa"/>
        </w:tblCellMar>
      </w:tblPr>
      <w:tblGrid>
        <w:gridCol w:w="460"/>
        <w:gridCol w:w="319"/>
        <w:gridCol w:w="320"/>
        <w:gridCol w:w="109"/>
        <w:gridCol w:w="109"/>
        <w:gridCol w:w="109"/>
        <w:gridCol w:w="211"/>
        <w:gridCol w:w="766"/>
        <w:gridCol w:w="271"/>
        <w:gridCol w:w="109"/>
        <w:gridCol w:w="109"/>
        <w:gridCol w:w="109"/>
        <w:gridCol w:w="211"/>
        <w:gridCol w:w="766"/>
        <w:gridCol w:w="271"/>
        <w:gridCol w:w="109"/>
        <w:gridCol w:w="109"/>
        <w:gridCol w:w="109"/>
        <w:gridCol w:w="293"/>
        <w:gridCol w:w="244"/>
        <w:gridCol w:w="512"/>
        <w:gridCol w:w="109"/>
        <w:gridCol w:w="109"/>
        <w:gridCol w:w="109"/>
        <w:gridCol w:w="211"/>
        <w:gridCol w:w="766"/>
        <w:gridCol w:w="271"/>
        <w:gridCol w:w="109"/>
        <w:gridCol w:w="109"/>
        <w:gridCol w:w="109"/>
        <w:gridCol w:w="211"/>
        <w:gridCol w:w="766"/>
        <w:gridCol w:w="271"/>
        <w:gridCol w:w="109"/>
        <w:gridCol w:w="109"/>
        <w:gridCol w:w="109"/>
        <w:gridCol w:w="278"/>
        <w:gridCol w:w="248"/>
        <w:gridCol w:w="577"/>
      </w:tblGrid>
      <w:tr>
        <w:trPr/>
        <w:tc>
          <w:tcPr>
            <w:tcW w:w="4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5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 Percentage changes may not compute directly as shown due to rounding of amounts presented above.</w:t>
            </w:r>
          </w:p>
        </w:tc>
      </w:tr>
    </w:tbl>
    <w:p>
      <w:pPr>
        <w:pStyle w:val="TextBody"/>
        <w:bidi w:val="0"/>
        <w:spacing w:lineRule="auto" w:line="288" w:before="180" w:after="16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 - Second Quarter 2026 vs. Second Quarter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of our North America Confectionery segment were $2,173.6 million in the second quarter of 2026 compared to $2,085.5 million in the same period of 2025, an increase of $88.1 million, or 4.2%. The increase was driven by favorable price realization of approximately 14%, primarily due to the pricing action announced in 2025. Volume declined approximately 10%, driven primarily by price elasticity. Additionally, there was no impact from foreign currency exchange rates.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North America Confectionery segment income was $705.8 million in the second quarter of 2026 compared to $503.9 million in the same period of 2025, an increase of $201.9 million, or 40.1%. The increase was driven primarily by net price realization, supply chain productivity, net savings related to our AAA Initiative, lower commodity costs and tariff refunds, partially offset by higher logistic expenses.</w:t>
      </w:r>
    </w:p>
    <w:p>
      <w:pPr>
        <w:pStyle w:val="TextBody"/>
        <w:bidi w:val="0"/>
        <w:spacing w:lineRule="auto" w:line="288" w:before="180" w:after="16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 - First Six Months 2026 vs. First Six Months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of our North America Confectionery segment were $4,663.5 million in the first six months of 2026 compared to $4,385.6 million in the same period of 2025, an increase of $277.9 million, or 6.3%. The increase was driven by favorable price realization of approximately 13%, primarily due to the pricing action announced in 2025. Volume declined approximately 7%, driven primarily by price elasticity. Additionally, there was no impact from foreign currency exchange rates.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North America Confectionery segment income was $1,498.2 million in the first six months of 2026 compared to $1,200.3 million in the same period of 2025, an increase of $297.9 million or 24.8%. The increase was driven primarily by net price realization, supply chain productivity, net savings related to our AAA Initiative, and lower commodity costs, partially offset by higher logistic expenses.</w:t>
      </w:r>
    </w:p>
    <w:p>
      <w:pPr>
        <w:pStyle w:val="TextBody"/>
        <w:bidi w:val="0"/>
        <w:spacing w:lineRule="auto" w:line="288" w:before="100" w:after="160"/>
        <w:jc w:val="left"/>
        <w:rPr>
          <w:rFonts w:ascii="Times New Roman;serif" w:hAnsi="Times New Roman;serif"/>
          <w:b/>
          <w:color w:val="000000"/>
          <w:sz w:val="20"/>
        </w:rPr>
      </w:pPr>
      <w:r>
        <w:rPr>
          <w:rFonts w:ascii="Times New Roman;serif" w:hAnsi="Times New Roman;serif"/>
          <w:b/>
          <w:color w:val="000000"/>
          <w:sz w:val="20"/>
        </w:rPr>
        <w:t>North America Salty Snacks</w:t>
      </w:r>
    </w:p>
    <w:p>
      <w:pPr>
        <w:pStyle w:val="TextBody"/>
        <w:bidi w:val="0"/>
        <w:spacing w:lineRule="auto" w:line="288" w:before="180" w:after="160"/>
        <w:jc w:val="left"/>
        <w:rPr>
          <w:rFonts w:ascii="Times New Roman;serif" w:hAnsi="Times New Roman;serif"/>
          <w:b w:val="false"/>
          <w:color w:val="000000"/>
          <w:sz w:val="20"/>
        </w:rPr>
      </w:pPr>
      <w:r>
        <w:rPr>
          <w:rFonts w:ascii="Times New Roman;serif" w:hAnsi="Times New Roman;serif"/>
          <w:b w:val="false"/>
          <w:color w:val="000000"/>
          <w:sz w:val="20"/>
        </w:rPr>
        <w:t>The North America Salty Snacks segment is responsible for our grocery and snacks market positions, including our salty snacking products. North America Salty Snacks results, which accounted for 13.9% and 12.1% of our net sales for the three months ended June 28, 2026 and June 29, 2025, respectively, were as follows:</w:t>
      </w:r>
    </w:p>
    <w:tbl>
      <w:tblPr>
        <w:tblW w:w="10205" w:type="dxa"/>
        <w:jc w:val="left"/>
        <w:tblInd w:w="0" w:type="dxa"/>
        <w:tblLayout w:type="fixed"/>
        <w:tblCellMar>
          <w:top w:w="28" w:type="dxa"/>
          <w:left w:w="28" w:type="dxa"/>
          <w:bottom w:w="28" w:type="dxa"/>
          <w:right w:w="28" w:type="dxa"/>
        </w:tblCellMar>
      </w:tblPr>
      <w:tblGrid>
        <w:gridCol w:w="511"/>
        <w:gridCol w:w="398"/>
        <w:gridCol w:w="401"/>
        <w:gridCol w:w="109"/>
        <w:gridCol w:w="109"/>
        <w:gridCol w:w="109"/>
        <w:gridCol w:w="217"/>
        <w:gridCol w:w="635"/>
        <w:gridCol w:w="279"/>
        <w:gridCol w:w="109"/>
        <w:gridCol w:w="109"/>
        <w:gridCol w:w="109"/>
        <w:gridCol w:w="217"/>
        <w:gridCol w:w="635"/>
        <w:gridCol w:w="279"/>
        <w:gridCol w:w="109"/>
        <w:gridCol w:w="109"/>
        <w:gridCol w:w="109"/>
        <w:gridCol w:w="293"/>
        <w:gridCol w:w="264"/>
        <w:gridCol w:w="604"/>
        <w:gridCol w:w="109"/>
        <w:gridCol w:w="109"/>
        <w:gridCol w:w="109"/>
        <w:gridCol w:w="217"/>
        <w:gridCol w:w="635"/>
        <w:gridCol w:w="279"/>
        <w:gridCol w:w="109"/>
        <w:gridCol w:w="109"/>
        <w:gridCol w:w="109"/>
        <w:gridCol w:w="217"/>
        <w:gridCol w:w="635"/>
        <w:gridCol w:w="279"/>
        <w:gridCol w:w="109"/>
        <w:gridCol w:w="109"/>
        <w:gridCol w:w="109"/>
        <w:gridCol w:w="287"/>
        <w:gridCol w:w="276"/>
        <w:gridCol w:w="685"/>
      </w:tblGrid>
      <w:tr>
        <w:trPr/>
        <w:tc>
          <w:tcPr>
            <w:tcW w:w="5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16.1 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21.1 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13.1 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18.3 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 Percentage changes may not compute directly as shown due to rounding of amounts presented above.</w:t>
            </w:r>
          </w:p>
        </w:tc>
      </w:tr>
    </w:tbl>
    <w:p>
      <w:pPr>
        <w:pStyle w:val="TextBody"/>
        <w:bidi w:val="0"/>
        <w:spacing w:lineRule="auto" w:line="288" w:before="240" w:after="16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 - Second Quarter 2026 vs. Second Quarter 2025</w:t>
      </w:r>
    </w:p>
    <w:p>
      <w:pPr>
        <w:pStyle w:val="TextBody"/>
        <w:bidi w:val="0"/>
        <w:spacing w:lineRule="auto" w:line="288" w:before="100" w:after="283"/>
        <w:jc w:val="left"/>
        <w:rPr/>
      </w:pPr>
      <w:r>
        <w:rPr>
          <w:rFonts w:ascii="Times New Roman;serif" w:hAnsi="Times New Roman;serif"/>
          <w:b w:val="false"/>
          <w:color w:val="000000"/>
          <w:sz w:val="20"/>
        </w:rPr>
        <w:t xml:space="preserve">Net sales of our North America Salty Snacks segment were $387.8 million in the second quarter of 2026 compared to $315.5 million in the same period of 2025, an increase of $72.3 million, or 22.9%. The increase was predominantly due to the acquisition of LesserEvil in November 2025, which provided a benefit of approximately 22%. Further, volume increased approximately 4%, primarily driven by </w:t>
      </w:r>
      <w:r>
        <w:rPr>
          <w:rFonts w:ascii="Times New Roman;serif" w:hAnsi="Times New Roman;serif"/>
          <w:b w:val="false"/>
          <w:i/>
          <w:color w:val="000000"/>
          <w:sz w:val="20"/>
        </w:rPr>
        <w:t>Dot’s Homestyle Pretzel</w:t>
      </w:r>
      <w:r>
        <w:rPr>
          <w:rFonts w:ascii="Times New Roman;serif" w:hAnsi="Times New Roman;serif"/>
          <w:b w:val="false"/>
          <w:color w:val="000000"/>
          <w:sz w:val="20"/>
        </w:rPr>
        <w:t xml:space="preserve">s. Price realization declined approximately 3% primarily driven by higher trade promotional activities for </w:t>
      </w:r>
      <w:r>
        <w:rPr>
          <w:rFonts w:ascii="Times New Roman;serif" w:hAnsi="Times New Roman;serif"/>
          <w:b w:val="false"/>
          <w:i/>
          <w:color w:val="000000"/>
          <w:sz w:val="20"/>
        </w:rPr>
        <w:t>Dot’s Homestyle Pretzels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SkinnyPop.</w:t>
      </w:r>
    </w:p>
    <w:p>
      <w:pPr>
        <w:pStyle w:val="TextBody"/>
        <w:bidi w:val="0"/>
        <w:spacing w:lineRule="auto" w:line="288" w:before="100" w:after="283"/>
        <w:jc w:val="left"/>
        <w:rPr/>
      </w:pPr>
      <w:r>
        <w:rPr>
          <w:rFonts w:ascii="Times New Roman;serif" w:hAnsi="Times New Roman;serif"/>
          <w:b w:val="false"/>
          <w:color w:val="000000"/>
          <w:sz w:val="20"/>
        </w:rPr>
        <w:t>Our North America Salty Snacks segment income was $62.6 million in the second quarter of 2026</w:t>
      </w:r>
      <w:r>
        <w:rPr>
          <w:color w:val="000000"/>
          <w:shd w:fill="FFFFFF" w:val="clear"/>
        </w:rPr>
        <w:t xml:space="preserve"> </w:t>
      </w:r>
      <w:r>
        <w:rPr>
          <w:rFonts w:ascii="Times New Roman;serif" w:hAnsi="Times New Roman;serif"/>
          <w:b w:val="false"/>
          <w:color w:val="000000"/>
          <w:sz w:val="20"/>
          <w:shd w:fill="FFFFFF" w:val="clear"/>
        </w:rPr>
        <w:t>compared to $66.5 million in the same period of 2025, a decrease</w:t>
      </w:r>
      <w:r>
        <w:rPr>
          <w:color w:val="000000"/>
        </w:rPr>
        <w:t xml:space="preserve"> </w:t>
      </w:r>
      <w:r>
        <w:rPr>
          <w:rFonts w:ascii="Times New Roman;serif" w:hAnsi="Times New Roman;serif"/>
          <w:b w:val="false"/>
          <w:color w:val="000000"/>
          <w:sz w:val="20"/>
        </w:rPr>
        <w:t>of $3.9 million, or 5.9%. The decrease was driven by higher logistic costs, lower net price realization, unfavorable mix, and increased SM&amp;A, partially offset by higher volume and supply chain productivity.</w:t>
      </w:r>
    </w:p>
    <w:p>
      <w:pPr>
        <w:pStyle w:val="TextBody"/>
        <w:bidi w:val="0"/>
        <w:spacing w:lineRule="auto" w:line="288" w:before="180" w:after="16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 - First Six Months 2026 vs. First Six Months 2025</w:t>
      </w:r>
    </w:p>
    <w:p>
      <w:pPr>
        <w:pStyle w:val="TextBody"/>
        <w:bidi w:val="0"/>
        <w:spacing w:lineRule="auto" w:line="288" w:before="100" w:after="283"/>
        <w:jc w:val="left"/>
        <w:rPr/>
      </w:pPr>
      <w:r>
        <w:rPr>
          <w:rFonts w:ascii="Times New Roman;serif" w:hAnsi="Times New Roman;serif"/>
          <w:b w:val="false"/>
          <w:color w:val="000000"/>
          <w:sz w:val="20"/>
        </w:rPr>
        <w:t xml:space="preserve">Net sales of our North America Salty Snacks segment were $737.9 million in the first six months of 2026 compared to $593.3 million in the same period of 2025, an increase of $144.6 million, or 24.4%. The increase was predominantly due to the acquisition of LesserEvil in November 2025, which provided a benefit of approximately 21%. Further, volume increased approximately 4%, primarily related to </w:t>
      </w:r>
      <w:r>
        <w:rPr>
          <w:rFonts w:ascii="Times New Roman;serif" w:hAnsi="Times New Roman;serif"/>
          <w:b w:val="false"/>
          <w:i/>
          <w:color w:val="000000"/>
          <w:sz w:val="20"/>
        </w:rPr>
        <w:t>Dot’s Homestyle Pretzels.</w:t>
      </w:r>
      <w:r>
        <w:rPr>
          <w:color w:val="000000"/>
        </w:rPr>
        <w:t xml:space="preserve"> </w:t>
      </w:r>
      <w:r>
        <w:rPr>
          <w:rFonts w:ascii="Times New Roman;serif" w:hAnsi="Times New Roman;serif"/>
          <w:b w:val="false"/>
          <w:color w:val="000000"/>
          <w:sz w:val="20"/>
        </w:rPr>
        <w:t xml:space="preserve">The net sales increase was partially offset by price realization declines of approximately 1%, primarily driven by higher trade promotional activities for </w:t>
      </w:r>
      <w:r>
        <w:rPr>
          <w:rFonts w:ascii="Times New Roman;serif" w:hAnsi="Times New Roman;serif"/>
          <w:b w:val="false"/>
          <w:i/>
          <w:color w:val="000000"/>
          <w:sz w:val="20"/>
        </w:rPr>
        <w:t>SkinnyPop</w:t>
      </w:r>
      <w:r>
        <w:rPr>
          <w:rFonts w:ascii="Times New Roman;serif" w:hAnsi="Times New Roman;serif"/>
          <w:b w:val="false"/>
          <w:color w:val="000000"/>
          <w:sz w:val="20"/>
        </w:rPr>
        <w:t>.</w:t>
      </w:r>
      <w:r>
        <w:rPr>
          <w:color w:val="000000"/>
        </w:rPr>
        <w:t xml:space="preserve"> </w:t>
      </w:r>
    </w:p>
    <w:p>
      <w:pPr>
        <w:pStyle w:val="TextBody"/>
        <w:bidi w:val="0"/>
        <w:spacing w:lineRule="auto" w:line="288" w:before="100" w:after="283"/>
        <w:jc w:val="left"/>
        <w:rPr/>
      </w:pPr>
      <w:r>
        <w:rPr>
          <w:rFonts w:ascii="Times New Roman;serif" w:hAnsi="Times New Roman;serif"/>
          <w:b w:val="false"/>
          <w:color w:val="000000"/>
          <w:sz w:val="20"/>
        </w:rPr>
        <w:t xml:space="preserve">Our North America Salty Snacks segment income was $96.9 million in the first six months of 2026 compared to $108.3 million in </w:t>
      </w:r>
      <w:r>
        <w:rPr>
          <w:rFonts w:ascii="Times New Roman;serif" w:hAnsi="Times New Roman;serif"/>
          <w:b w:val="false"/>
          <w:color w:val="000000"/>
          <w:sz w:val="20"/>
          <w:shd w:fill="FFFFFF" w:val="clear"/>
        </w:rPr>
        <w:t>the same period of 2025, a decrease of $11.5 million, or 10.6%. The decrease was</w:t>
      </w:r>
      <w:r>
        <w:rPr>
          <w:color w:val="000000"/>
        </w:rPr>
        <w:t xml:space="preserve"> </w:t>
      </w:r>
      <w:r>
        <w:rPr>
          <w:rFonts w:ascii="Times New Roman;serif" w:hAnsi="Times New Roman;serif"/>
          <w:b w:val="false"/>
          <w:color w:val="000000"/>
          <w:sz w:val="20"/>
        </w:rPr>
        <w:t>primarily due to higher supply chain costs, including costs related to a voluntary temporary product withdrawal, and increased SM&amp;A expenses.</w:t>
      </w:r>
    </w:p>
    <w:p>
      <w:pPr>
        <w:pStyle w:val="TextBody"/>
        <w:bidi w:val="0"/>
        <w:spacing w:before="100" w:after="283"/>
        <w:jc w:val="left"/>
        <w:rPr/>
      </w:pPr>
      <w:r>
        <w:rPr/>
      </w:r>
    </w:p>
    <w:p>
      <w:pPr>
        <w:pStyle w:val="TextBody"/>
        <w:bidi w:val="0"/>
        <w:spacing w:lineRule="auto" w:line="268" w:before="100" w:after="160"/>
        <w:jc w:val="left"/>
        <w:rPr>
          <w:rFonts w:ascii="Times New Roman;serif" w:hAnsi="Times New Roman;serif"/>
          <w:b/>
          <w:color w:val="000000"/>
          <w:sz w:val="20"/>
        </w:rPr>
      </w:pPr>
      <w:r>
        <w:rPr>
          <w:rFonts w:ascii="Times New Roman;serif" w:hAnsi="Times New Roman;serif"/>
          <w:b/>
          <w:color w:val="000000"/>
          <w:sz w:val="20"/>
        </w:rPr>
        <w:t>International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International segment includes all other countries where we currently manufacture, import, market, sell or distribute chocolate and non-chocolate confectionery and other products. We currently have operations and manufacture product in Mexico, Brazil, India and Malaysia, primarily for consumers in these regions, and also distribute and sell confectionery products in export markets of Latin America, as well as Europe, Asia-Pacific (“APAC”), the Middle East and Africa (“MEA”) and other regions. International results, which accounted for 8.1% and 8.2% of our net sales for the three months ended June 28, 2026 and June 29, 2025, respectively, were as follows:</w:t>
      </w:r>
    </w:p>
    <w:tbl>
      <w:tblPr>
        <w:tblW w:w="10205" w:type="dxa"/>
        <w:jc w:val="left"/>
        <w:tblInd w:w="0" w:type="dxa"/>
        <w:tblLayout w:type="fixed"/>
        <w:tblCellMar>
          <w:top w:w="28" w:type="dxa"/>
          <w:left w:w="28" w:type="dxa"/>
          <w:bottom w:w="28" w:type="dxa"/>
          <w:right w:w="28" w:type="dxa"/>
        </w:tblCellMar>
      </w:tblPr>
      <w:tblGrid>
        <w:gridCol w:w="542"/>
        <w:gridCol w:w="406"/>
        <w:gridCol w:w="408"/>
        <w:gridCol w:w="109"/>
        <w:gridCol w:w="109"/>
        <w:gridCol w:w="109"/>
        <w:gridCol w:w="216"/>
        <w:gridCol w:w="631"/>
        <w:gridCol w:w="277"/>
        <w:gridCol w:w="109"/>
        <w:gridCol w:w="109"/>
        <w:gridCol w:w="109"/>
        <w:gridCol w:w="216"/>
        <w:gridCol w:w="631"/>
        <w:gridCol w:w="277"/>
        <w:gridCol w:w="109"/>
        <w:gridCol w:w="109"/>
        <w:gridCol w:w="109"/>
        <w:gridCol w:w="388"/>
        <w:gridCol w:w="270"/>
        <w:gridCol w:w="553"/>
        <w:gridCol w:w="109"/>
        <w:gridCol w:w="109"/>
        <w:gridCol w:w="109"/>
        <w:gridCol w:w="216"/>
        <w:gridCol w:w="631"/>
        <w:gridCol w:w="277"/>
        <w:gridCol w:w="109"/>
        <w:gridCol w:w="109"/>
        <w:gridCol w:w="109"/>
        <w:gridCol w:w="216"/>
        <w:gridCol w:w="631"/>
        <w:gridCol w:w="277"/>
        <w:gridCol w:w="109"/>
        <w:gridCol w:w="109"/>
        <w:gridCol w:w="109"/>
        <w:gridCol w:w="285"/>
        <w:gridCol w:w="269"/>
        <w:gridCol w:w="626"/>
      </w:tblGrid>
      <w:tr>
        <w:trPr/>
        <w:tc>
          <w:tcPr>
            <w:tcW w:w="54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9.3 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 Percentage changes may not compute directly as shown due to rounding of amounts presented above.</w:t>
            </w:r>
          </w:p>
        </w:tc>
      </w:tr>
    </w:tbl>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 - Second Quarter 2026 vs. Second Quarter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sales of our International segment were $225.9 million in the second quarter of 2026 compared to $213.7 million in the same period of 2025, an increase of $12.2 million, or 5.7%. The increase was due to favorable price realization of approximately 10%, resulting from strategic pricing actions across key markets. The increase was also driven by a favorable impact from foreign currency exchange rates of approximately 4%. The increase was partially offset by volume declines primarily drive by price elasticity across markets of approximately 8%.</w:t>
      </w:r>
    </w:p>
    <w:p>
      <w:pPr>
        <w:pStyle w:val="TextBody"/>
        <w:bidi w:val="0"/>
        <w:spacing w:lineRule="auto" w:line="288" w:before="100" w:after="283"/>
        <w:jc w:val="left"/>
        <w:rPr/>
      </w:pPr>
      <w:r>
        <w:rPr>
          <w:rFonts w:ascii="Times New Roman;serif" w:hAnsi="Times New Roman;serif"/>
          <w:b w:val="false"/>
          <w:color w:val="000000"/>
          <w:sz w:val="20"/>
        </w:rPr>
        <w:t>Our International segment generated a loss</w:t>
      </w:r>
      <w:r>
        <w:rPr>
          <w:color w:val="000000"/>
          <w:shd w:fill="FFFFFF" w:val="clear"/>
        </w:rPr>
        <w:t xml:space="preserve"> </w:t>
      </w:r>
      <w:r>
        <w:rPr>
          <w:rFonts w:ascii="Times New Roman;serif" w:hAnsi="Times New Roman;serif"/>
          <w:b w:val="false"/>
          <w:color w:val="000000"/>
          <w:sz w:val="20"/>
          <w:shd w:fill="FFFFFF" w:val="clear"/>
        </w:rPr>
        <w:t xml:space="preserve">of $5.1 million in the second quarter of 2026 compared to income of $19.8 million in the second quarter of </w:t>
      </w:r>
      <w:r>
        <w:rPr>
          <w:rFonts w:ascii="Times New Roman;serif" w:hAnsi="Times New Roman;serif"/>
          <w:b w:val="false"/>
          <w:color w:val="000000"/>
          <w:sz w:val="20"/>
        </w:rPr>
        <w:t>2025, a decrease of $24.9 million, or 126.0%, driven by higher commodity and manufacturing costs and advertising investment, partially offset by favorable price realization, supply chain productivity, and net savings related to our AAA Initiative.</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 - First Six Months 2026 vs. First Six Months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sales of our International segment were $490.1 million in the first six months of 2026 compared to $441.2 million in the same period of 2025, an increase of $48.9 million, or 11.1%. The increase was driven by a favorable price realization of approximately 11%, primarily due to strategic pricing actions across key markets. The increase was further due to a favorable impact from foreign currency exchange rates of approximately 5%. The increase was partially offset by volume declines of approximately 5% across certain key markets.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International segment generated income of $10.1 million in the first six months of 2026 compared to $48.5 million in the first six months of 2025, a decrease of $38.4 million, or 79.2%, driven by higher supply chain costs, higher commodity and manufacturing costs and unfavorable mix, which more than offset favorable price realization and net savings related to our AAA Initiative.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Unallocated Corporate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 and integration-related costs and (e) other gains or losses that are not integral to segment performance.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unallocated corporate expense totaled $215.1 million, as compared to $181.5 million in the second quarter of 2025, an increase of $33.6 million, or 18.5%. The increase was primarily driven by continued investments in technology and higher acquisition and integration costs, partially offset by lower compensation and benefits costs.</w:t>
      </w:r>
    </w:p>
    <w:p>
      <w:pPr>
        <w:pStyle w:val="TextBody"/>
        <w:bidi w:val="0"/>
        <w:spacing w:lineRule="auto" w:line="288" w:before="100" w:after="283"/>
        <w:jc w:val="left"/>
        <w:rPr/>
      </w:pPr>
      <w:r>
        <w:rPr>
          <w:rFonts w:ascii="Times New Roman;serif" w:hAnsi="Times New Roman;serif"/>
          <w:b w:val="false"/>
          <w:color w:val="000000"/>
          <w:sz w:val="20"/>
        </w:rPr>
        <w:t xml:space="preserve">In the first six months of 2026, unallocated corporate expense totaled $372.8 million, as compared to $342.0 million in the first six months of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an increase</w:t>
      </w:r>
      <w:r>
        <w:rPr>
          <w:color w:val="000000"/>
          <w:shd w:fill="FFFFFF" w:val="clear"/>
        </w:rPr>
        <w:t xml:space="preserve"> </w:t>
      </w:r>
      <w:r>
        <w:rPr>
          <w:rFonts w:ascii="Times New Roman;serif" w:hAnsi="Times New Roman;serif"/>
          <w:b w:val="false"/>
          <w:color w:val="000000"/>
          <w:sz w:val="20"/>
          <w:shd w:fill="FFFFFF" w:val="clear"/>
        </w:rPr>
        <w:t xml:space="preserve">of $30.9 million, or 9.0%. The increase was primarily driven </w:t>
      </w:r>
      <w:r>
        <w:rPr>
          <w:rFonts w:ascii="Times New Roman;serif" w:hAnsi="Times New Roman;serif"/>
          <w:b w:val="false"/>
          <w:color w:val="000000"/>
          <w:sz w:val="20"/>
        </w:rPr>
        <w:t>by continued investments in technology and higher acquisition and integration costs, partially offset by lower compensation and benefits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June 28, 2026, our cash and cash equivalents totaled $791.2 million, a decrease of $134.7 million compared to the 2025 year-end balance. Additional detail regarding the net uses of cash are outlined in the following discussion. Additionally, at June 28, 2026, we had outstanding short- and long-term debt totaling $5.6 billion, of which $504.2 million was classified as the current portion of long-term debt. Of the $504.2 million, $500 million of 2.300% Notes are due upon maturity on August 15, 2026. We believe we can satisfy these debt obligations with cash generated from our operations, issuing new debt, and/or by borrowing on our unsecured credit facility.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substantial majority of our cash and cash equivalents at June 28, 2026 was held by subsidiaries domiciled outside of the United States. A majority of our cash and cash equivalents balance is distributable to the United States without material tax implications, such as withholding tax. We intend to continue to reinvest the remainder of this balance outside of the United States for which there would be a material tax implication to distributing for the foreseeable future and, therefore, have not recognized additional tax expense on these earnings. 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short- and long-term cash flow requirements, including acquisitions and capital expenditures.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48995"/>
                <wp:effectExtent l="0" t="0" r="0" b="0"/>
                <wp:wrapNone/>
                <wp:docPr id="126" name="Frame43"/>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3" descr=""/>
                                                <pic:cNvPicPr>
                                                  <a:picLocks noChangeAspect="1" noChangeArrowheads="1"/>
                                                </pic:cNvPicPr>
                                              </pic:nvPicPr>
                                              <pic:blipFill>
                                                <a:blip r:embed="rId85"/>
                                                <a:stretch>
                                                  <a:fillRect/>
                                                </a:stretch>
                                              </pic:blipFill>
                                              <pic:spPr bwMode="auto">
                                                <a:xfrm>
                                                  <a:off x="0" y="0"/>
                                                  <a:ext cx="219075" cy="190500"/>
                                                </a:xfrm>
                                                <a:prstGeom prst="rect">
                                                  <a:avLst/>
                                                </a:prstGeom>
                                              </pic:spPr>
                                            </pic:pic>
                                          </a:graphicData>
                                        </a:graphic>
                                      </wp:inline>
                                    </w:drawing>
                                  </w:r>
                                  <w:bookmarkStart w:id="83" w:name="i-43"/>
                                  <w:bookmarkEnd w:id="8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6"/>
                                          <a:stretch>
                                            <a:fillRect/>
                                          </a:stretch>
                                        </pic:blipFill>
                                        <pic:spPr bwMode="auto">
                                          <a:xfrm>
                                            <a:off x="0" y="0"/>
                                            <a:ext cx="219075" cy="190500"/>
                                          </a:xfrm>
                                          <a:prstGeom prst="rect">
                                            <a:avLst/>
                                          </a:prstGeom>
                                        </pic:spPr>
                                      </pic:pic>
                                    </a:graphicData>
                                  </a:graphic>
                                </wp:inline>
                              </w:drawing>
                            </w:r>
                            <w:bookmarkStart w:id="84" w:name="i-43"/>
                            <w:bookmarkEnd w:id="8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Cash Flow Summary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is derived from our Consolidated Statements of Cash Flows: </w:t>
      </w:r>
    </w:p>
    <w:tbl>
      <w:tblPr>
        <w:tblW w:w="8420" w:type="dxa"/>
        <w:jc w:val="left"/>
        <w:tblInd w:w="0" w:type="dxa"/>
        <w:tblLayout w:type="fixed"/>
        <w:tblCellMar>
          <w:top w:w="28" w:type="dxa"/>
          <w:left w:w="28" w:type="dxa"/>
          <w:bottom w:w="28" w:type="dxa"/>
          <w:right w:w="28" w:type="dxa"/>
        </w:tblCellMar>
      </w:tblPr>
      <w:tblGrid>
        <w:gridCol w:w="1845"/>
        <w:gridCol w:w="1615"/>
        <w:gridCol w:w="1625"/>
        <w:gridCol w:w="109"/>
        <w:gridCol w:w="109"/>
        <w:gridCol w:w="109"/>
        <w:gridCol w:w="241"/>
        <w:gridCol w:w="790"/>
        <w:gridCol w:w="124"/>
        <w:gridCol w:w="109"/>
        <w:gridCol w:w="109"/>
        <w:gridCol w:w="109"/>
        <w:gridCol w:w="260"/>
        <w:gridCol w:w="760"/>
        <w:gridCol w:w="134"/>
        <w:gridCol w:w="109"/>
        <w:gridCol w:w="109"/>
        <w:gridCol w:w="154"/>
      </w:tblGrid>
      <w:tr>
        <w:trPr/>
        <w:tc>
          <w:tcPr>
            <w:tcW w:w="184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generated cash of $888.1 million from operating activities in the first six months of 2026, an increase of $379.2 million compared to $508.9 million in the same period of 2025. This increase in net cash provided by operating activities was mainly driven by the following factors: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Other assets and liabilities consumed cash of $56.7 million in 2026, compared to $495.8 million in 2025. This $439.1 million fluctuation was primarily driven by the timing of certain prepaid expenses and other current assets.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Net income adjusted for non-cash charges to operations (including depreciation, amortization, stock-based compensation, deferred income taxes, unrealized gains and losses on derivative contracts and other charges) resulted in $230.0 million of higher cash flow in 2026 relative to 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variance in operating cash flows related to income taxes reflects timing differences between actual tax expense and quarterly estimated tax payments. We paid cash of $207.0 million for income taxes during 2026, compared to $65.5 million in the same period of 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increase in cash provided by operating activities was partially offset by the following net cash outflows: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 the aggregate, select net working capital items, specifically, trade accounts receivable, inventory, accounts payable and accrued liabilities, consumed cash of $361.9 million in 2026, compared to consuming cash of $204.3 million in 2025. This $157.6 million fluctuation was mainly driven by an increase in trade accounts receivable, as a result of timing of sales and collections, partially offset by a decrease in accounts payable and accrued liabilities, due to the timing of vendor and supplier payments, and lower inventory levels.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used cash of $199.6 million for investing activities in the first six months of 2026, a decrease of $102.2 million compared to $301.8 million in the same period of 2025. This decrease in net cash used in investing activities was mainly driven by the following factors: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Capital spending</w:t>
      </w:r>
      <w:r>
        <w:rPr>
          <w:rFonts w:ascii="Times New Roman;serif" w:hAnsi="Times New Roman;serif"/>
          <w:b w:val="false"/>
          <w:color w:val="000000"/>
          <w:sz w:val="20"/>
        </w:rPr>
        <w:t>. Capital expenditures, including capitalized software, capacity expansion, innovation and cost savings, were $204.4 million in the first six months of 2026 compared to $230.6 million in the same period of 2025. The decrease in our 2026 capital expenditures is largely driven by the wind down of our key strategic initiatives, as we expect 2026 capital expenditures, including capitalized software, to be in the range of approximately $425 million to $475 million, reflecting a trend towards historical levels. We intend to use our existing cash and internally generated funds to meet our 2026 capital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Investments in partnerships qualifying for tax credits</w:t>
      </w:r>
      <w:r>
        <w:rPr>
          <w:rFonts w:ascii="Times New Roman;serif" w:hAnsi="Times New Roman;serif"/>
          <w:b w:val="false"/>
          <w:color w:val="000000"/>
          <w:sz w:val="20"/>
        </w:rPr>
        <w:t>. We make investments in partnership entities that in turn make equity investments in projects eligible to receive federal historic and renewable energy tax credits. We received payments of approximately $8.5 million in the first six months of 2026, which is consistent with the same period of 2025 of approximately $9.0 million.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Intangible assets</w:t>
      </w:r>
      <w:r>
        <w:rPr>
          <w:rFonts w:ascii="Times New Roman;serif" w:hAnsi="Times New Roman;serif"/>
          <w:b w:val="false"/>
          <w:color w:val="000000"/>
          <w:sz w:val="20"/>
        </w:rPr>
        <w:t>. We had no purchases of intangible assets in 2026. In 2025, we purchased the Fulfil brand in North America for $73.6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48995"/>
                <wp:effectExtent l="0" t="0" r="0" b="0"/>
                <wp:wrapNone/>
                <wp:docPr id="129" name="Frame4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4" descr=""/>
                                                <pic:cNvPicPr>
                                                  <a:picLocks noChangeAspect="1" noChangeArrowheads="1"/>
                                                </pic:cNvPicPr>
                                              </pic:nvPicPr>
                                              <pic:blipFill>
                                                <a:blip r:embed="rId87"/>
                                                <a:stretch>
                                                  <a:fillRect/>
                                                </a:stretch>
                                              </pic:blipFill>
                                              <pic:spPr bwMode="auto">
                                                <a:xfrm>
                                                  <a:off x="0" y="0"/>
                                                  <a:ext cx="219075" cy="190500"/>
                                                </a:xfrm>
                                                <a:prstGeom prst="rect">
                                                  <a:avLst/>
                                                </a:prstGeom>
                                              </pic:spPr>
                                            </pic:pic>
                                          </a:graphicData>
                                        </a:graphic>
                                      </wp:inline>
                                    </w:drawing>
                                  </w:r>
                                  <w:bookmarkStart w:id="85" w:name="i-44"/>
                                  <w:bookmarkEnd w:id="8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4" descr=""/>
                                          <pic:cNvPicPr>
                                            <a:picLocks noChangeAspect="1" noChangeArrowheads="1"/>
                                          </pic:cNvPicPr>
                                        </pic:nvPicPr>
                                        <pic:blipFill>
                                          <a:blip r:embed="rId88"/>
                                          <a:stretch>
                                            <a:fillRect/>
                                          </a:stretch>
                                        </pic:blipFill>
                                        <pic:spPr bwMode="auto">
                                          <a:xfrm>
                                            <a:off x="0" y="0"/>
                                            <a:ext cx="219075" cy="190500"/>
                                          </a:xfrm>
                                          <a:prstGeom prst="rect">
                                            <a:avLst/>
                                          </a:prstGeom>
                                        </pic:spPr>
                                      </pic:pic>
                                    </a:graphicData>
                                  </a:graphic>
                                </wp:inline>
                              </w:drawing>
                            </w:r>
                            <w:bookmarkStart w:id="86" w:name="i-44"/>
                            <w:bookmarkEnd w:id="8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Other investing activities</w:t>
      </w:r>
      <w:r>
        <w:rPr>
          <w:rFonts w:ascii="Times New Roman;serif" w:hAnsi="Times New Roman;serif"/>
          <w:b w:val="false"/>
          <w:color w:val="000000"/>
          <w:sz w:val="20"/>
        </w:rPr>
        <w:t>. In the first six months of 2026 and 2025, our other investing activities were minimal.</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used cash of $828.1 million for financing activities in the first six months of 2026, an increase of $805.6 million compared to $22.5 million in the same period of 2025. This increase in net used in financing activities was mainly driven by the following factors: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 xml:space="preserve">Short-term borrowings, net. </w:t>
      </w:r>
      <w:r>
        <w:rPr>
          <w:rFonts w:ascii="Times New Roman;serif" w:hAnsi="Times New Roman;serif"/>
          <w:b w:val="false"/>
          <w:color w:val="000000"/>
          <w:sz w:val="20"/>
        </w:rPr>
        <w:t xml:space="preserve">In addition to utilizing cash on hand, we use short-term borrowings (commercial paper and bank borrowings) to fund seasonal working capital requirements and ongoing business needs. During the first six months of 2026, we generated cash of $206.1 million predominately through the issuance of short-term commercial paper, partially offset by a decrease in short-term foreign bank borrowings. During the first six months of 2025, we used cash of $1.2 billion predominately to reduce outstanding short-term commercial paper borrowings.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Long-term debt borrowings and repayments</w:t>
      </w:r>
      <w:r>
        <w:rPr>
          <w:rFonts w:ascii="Times New Roman;serif" w:hAnsi="Times New Roman;serif"/>
          <w:b w:val="false"/>
          <w:color w:val="000000"/>
          <w:sz w:val="20"/>
        </w:rPr>
        <w:t xml:space="preserve">. During the first six months of 2026, long-term debt borrowings and repayments were minimal. During the first six months of 2025, we issued $500 million of 4.550% Notes due in February 2028, $500 million of 4.750% Notes due in February 2030, $500 million of 4.950% Notes due in February 2032 and $500 million of 5.100% Notes due in February 2035 (together, the “2025 Notes”). Proceeds from the issuance of the 2025 Notes, net of discounts and issuance costs, totaled $2.0 billion. Additionally, in June 2025, we repaid $300 million of 0.900% Notes due upon maturity.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Dividend payments</w:t>
      </w:r>
      <w:r>
        <w:rPr>
          <w:rFonts w:ascii="Times New Roman;serif" w:hAnsi="Times New Roman;serif"/>
          <w:b w:val="false"/>
          <w:color w:val="000000"/>
          <w:sz w:val="20"/>
        </w:rPr>
        <w:t>. Total dividend payments to holders of our Common Stock and Class B Common Stock were $574.4 million during the first six months of 2026, an increase of $31.6 million compared to $542.8 million in the same period of 2025. Details regarding our 2026 cash dividends paid to stockholders are as follows:</w:t>
      </w:r>
    </w:p>
    <w:tbl>
      <w:tblPr>
        <w:tblW w:w="8183" w:type="dxa"/>
        <w:jc w:val="left"/>
        <w:tblInd w:w="0" w:type="dxa"/>
        <w:tblLayout w:type="fixed"/>
        <w:tblCellMar>
          <w:top w:w="28" w:type="dxa"/>
          <w:left w:w="28" w:type="dxa"/>
          <w:bottom w:w="28" w:type="dxa"/>
          <w:right w:w="28" w:type="dxa"/>
        </w:tblCellMar>
      </w:tblPr>
      <w:tblGrid>
        <w:gridCol w:w="1507"/>
        <w:gridCol w:w="1325"/>
        <w:gridCol w:w="1337"/>
        <w:gridCol w:w="109"/>
        <w:gridCol w:w="109"/>
        <w:gridCol w:w="109"/>
        <w:gridCol w:w="358"/>
        <w:gridCol w:w="1048"/>
        <w:gridCol w:w="184"/>
        <w:gridCol w:w="109"/>
        <w:gridCol w:w="109"/>
        <w:gridCol w:w="109"/>
        <w:gridCol w:w="290"/>
        <w:gridCol w:w="850"/>
        <w:gridCol w:w="149"/>
        <w:gridCol w:w="109"/>
        <w:gridCol w:w="109"/>
        <w:gridCol w:w="109"/>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of dollars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per share –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per share – 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Declaration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Share repurchases</w:t>
      </w:r>
      <w:r>
        <w:rPr>
          <w:rFonts w:ascii="Times New Roman;serif" w:hAnsi="Times New Roman;serif"/>
          <w:b w:val="false"/>
          <w:color w:val="000000"/>
          <w:sz w:val="20"/>
        </w:rPr>
        <w:t>. We repurchase shares of Common Stock to offset the dilutive impact of treasury shares issued under our equity compensation plans. The 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tbl>
      <w:tblPr>
        <w:tblW w:w="10205" w:type="dxa"/>
        <w:jc w:val="left"/>
        <w:tblInd w:w="0" w:type="dxa"/>
        <w:tblLayout w:type="fixed"/>
        <w:tblCellMar>
          <w:top w:w="28" w:type="dxa"/>
          <w:left w:w="28" w:type="dxa"/>
          <w:bottom w:w="28" w:type="dxa"/>
          <w:right w:w="28" w:type="dxa"/>
        </w:tblCellMar>
      </w:tblPr>
      <w:tblGrid>
        <w:gridCol w:w="2674"/>
        <w:gridCol w:w="2333"/>
        <w:gridCol w:w="2364"/>
        <w:gridCol w:w="109"/>
        <w:gridCol w:w="109"/>
        <w:gridCol w:w="109"/>
        <w:gridCol w:w="246"/>
        <w:gridCol w:w="721"/>
        <w:gridCol w:w="127"/>
        <w:gridCol w:w="109"/>
        <w:gridCol w:w="109"/>
        <w:gridCol w:w="109"/>
        <w:gridCol w:w="296"/>
        <w:gridCol w:w="571"/>
        <w:gridCol w:w="219"/>
      </w:tblGrid>
      <w:tr>
        <w:trPr/>
        <w:tc>
          <w:tcPr>
            <w:tcW w:w="267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in the open market under pre-approved share repurchase programs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in the open market to replace Treasury Stock issued for stock options and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total share repurchases (excluding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repurchased under pre-approved share repurchase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48995"/>
                <wp:effectExtent l="0" t="0" r="0" b="0"/>
                <wp:wrapNone/>
                <wp:docPr id="132" name="Frame45"/>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5" descr=""/>
                                                <pic:cNvPicPr>
                                                  <a:picLocks noChangeAspect="1" noChangeArrowheads="1"/>
                                                </pic:cNvPicPr>
                                              </pic:nvPicPr>
                                              <pic:blipFill>
                                                <a:blip r:embed="rId89"/>
                                                <a:stretch>
                                                  <a:fillRect/>
                                                </a:stretch>
                                              </pic:blipFill>
                                              <pic:spPr bwMode="auto">
                                                <a:xfrm>
                                                  <a:off x="0" y="0"/>
                                                  <a:ext cx="219075" cy="190500"/>
                                                </a:xfrm>
                                                <a:prstGeom prst="rect">
                                                  <a:avLst/>
                                                </a:prstGeom>
                                              </pic:spPr>
                                            </pic:pic>
                                          </a:graphicData>
                                        </a:graphic>
                                      </wp:inline>
                                    </w:drawing>
                                  </w:r>
                                  <w:bookmarkStart w:id="87" w:name="i-45"/>
                                  <w:bookmarkEnd w:id="8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44</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 descr=""/>
                                          <pic:cNvPicPr>
                                            <a:picLocks noChangeAspect="1" noChangeArrowheads="1"/>
                                          </pic:cNvPicPr>
                                        </pic:nvPicPr>
                                        <pic:blipFill>
                                          <a:blip r:embed="rId90"/>
                                          <a:stretch>
                                            <a:fillRect/>
                                          </a:stretch>
                                        </pic:blipFill>
                                        <pic:spPr bwMode="auto">
                                          <a:xfrm>
                                            <a:off x="0" y="0"/>
                                            <a:ext cx="219075" cy="190500"/>
                                          </a:xfrm>
                                          <a:prstGeom prst="rect">
                                            <a:avLst/>
                                          </a:prstGeom>
                                        </pic:spPr>
                                      </pic:pic>
                                    </a:graphicData>
                                  </a:graphic>
                                </wp:inline>
                              </w:drawing>
                            </w:r>
                            <w:bookmarkStart w:id="88" w:name="i-45"/>
                            <w:bookmarkEnd w:id="8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In December 2023, our Board of Directors approved a $500 million share repurchase authorization. As a result of the share repurchase authorization, approximately $270 million remains available for repurchases under our December 2023 share repurchase authorization. In June 2026, our Board of Directors approved an additional $500 million share repurchase authorization. This program is to commence after the existing 2023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Proceeds from exercised stock options and employee tax withholding.</w:t>
      </w:r>
      <w:r>
        <w:rPr>
          <w:color w:val="000000"/>
        </w:rPr>
        <w:t xml:space="preserve"> </w:t>
      </w:r>
      <w:r>
        <w:rPr>
          <w:rFonts w:ascii="Times New Roman;serif" w:hAnsi="Times New Roman;serif"/>
          <w:b w:val="false"/>
          <w:color w:val="000000"/>
          <w:sz w:val="20"/>
        </w:rPr>
        <w:t>During the first six months of 2026, we received $16.1 million from employee exercises of stock options and paid $16.7 million of employee taxes withheld from share-based awards. During the first six months of 2025, we received $6.9 million from employee exercises of stock options and paid $16.2 million of employee taxes withheld from share-based awards. Variances are driven primarily by the number of shares exercised and the share price at the date of grant.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Contingent consideration paid.</w:t>
      </w:r>
      <w:r>
        <w:rPr>
          <w:color w:val="000000"/>
        </w:rPr>
        <w:t xml:space="preserve"> </w:t>
      </w:r>
      <w:r>
        <w:rPr>
          <w:rFonts w:ascii="Times New Roman;serif" w:hAnsi="Times New Roman;serif"/>
          <w:b w:val="false"/>
          <w:color w:val="000000"/>
          <w:sz w:val="20"/>
        </w:rPr>
        <w:t>During the first six months of 2026, we paid $16.6 million of contingent consideration related to previous business combination activity. During the first six months of 2025, there was no contingent consideration paid.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00" w:after="283"/>
        <w:jc w:val="left"/>
        <w:rPr/>
      </w:pPr>
      <w:r>
        <w:rPr>
          <w:rFonts w:ascii="Times New Roman;serif" w:hAnsi="Times New Roman;serif"/>
          <w:b w:val="false"/>
          <w:color w:val="000000"/>
          <w:sz w:val="20"/>
        </w:rPr>
        <w:t xml:space="preserve">Information on recently adopted and issued accounting standards is included in </w:t>
      </w:r>
      <w:hyperlink w:anchor="i758a99e56aa5464382aa6843e8af7f88_40">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to the Unaudited Consolidated Financial Statements.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information regarding the Company’s critical accounting estimates, refer to Part II, Item 7, “Management’s Discussion and Analysis of Financial Condition and Results of Operations” of our 2025 Annual Report on Form 10-K. There have been no material changes to the Company’s critical accounting estimates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48995"/>
                <wp:effectExtent l="0" t="0" r="0" b="0"/>
                <wp:wrapNone/>
                <wp:docPr id="135" name="Frame46"/>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6" descr=""/>
                                                <pic:cNvPicPr>
                                                  <a:picLocks noChangeAspect="1" noChangeArrowheads="1"/>
                                                </pic:cNvPicPr>
                                              </pic:nvPicPr>
                                              <pic:blipFill>
                                                <a:blip r:embed="rId91"/>
                                                <a:stretch>
                                                  <a:fillRect/>
                                                </a:stretch>
                                              </pic:blipFill>
                                              <pic:spPr bwMode="auto">
                                                <a:xfrm>
                                                  <a:off x="0" y="0"/>
                                                  <a:ext cx="219075" cy="190500"/>
                                                </a:xfrm>
                                                <a:prstGeom prst="rect">
                                                  <a:avLst/>
                                                </a:prstGeom>
                                              </pic:spPr>
                                            </pic:pic>
                                          </a:graphicData>
                                        </a:graphic>
                                      </wp:inline>
                                    </w:drawing>
                                  </w:r>
                                  <w:bookmarkStart w:id="89" w:name="i-46"/>
                                  <w:bookmarkEnd w:id="8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45</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6" descr=""/>
                                          <pic:cNvPicPr>
                                            <a:picLocks noChangeAspect="1" noChangeArrowheads="1"/>
                                          </pic:cNvPicPr>
                                        </pic:nvPicPr>
                                        <pic:blipFill>
                                          <a:blip r:embed="rId92"/>
                                          <a:stretch>
                                            <a:fillRect/>
                                          </a:stretch>
                                        </pic:blipFill>
                                        <pic:spPr bwMode="auto">
                                          <a:xfrm>
                                            <a:off x="0" y="0"/>
                                            <a:ext cx="219075" cy="190500"/>
                                          </a:xfrm>
                                          <a:prstGeom prst="rect">
                                            <a:avLst/>
                                          </a:prstGeom>
                                        </pic:spPr>
                                      </pic:pic>
                                    </a:graphicData>
                                  </a:graphic>
                                </wp:inline>
                              </w:drawing>
                            </w:r>
                            <w:bookmarkStart w:id="90" w:name="i-46"/>
                            <w:bookmarkEnd w:id="9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u w:val="single"/>
        </w:rPr>
      </w:pPr>
      <w:r>
        <w:rPr>
          <w:rFonts w:ascii="Times New Roman;serif" w:hAnsi="Times New Roman;serif"/>
          <w:b/>
          <w:color w:val="000000"/>
          <w:sz w:val="20"/>
          <w:u w:val="single"/>
        </w:rPr>
        <w:t>Safe Harbor Statement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factors that could cause our actual results to differ materially from the results projected in our forward-looking statements include, but are not limited to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Company’s reputation or brand image might be impacted as a result of issues, concerns or regulatory changes relating to the quality and safety of our products, ingredients or packaging, human and workplace rights, and other environmental, social or governance matters, which in turn could result in litigation or otherwise negatively impact our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to our manufacturing operations or supply chain could impair our ability to produce or deliver finished products, resulting in a negative impact on our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might not be able to hire, engage and retain the talented global human capital we need to drive our growth strategies;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associated with climate change and other environmental impacts, and increased focus and evolving views of our customers, stockholders and other stakeholders on climate change issues, could negatively affect our business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raw material and energy costs along with the availability of adequate supplies of raw materials could continue to affect future financial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Price increases may not be sufficient to offset cost increases and maintain profitability or may result in sales volume declines associated with pricing elasticity;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demand for new and existing products could decline;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marketplace competition could hurt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financial results may be adversely impacted by the failure to successfully execute or integrate acquisitions, divestitures and joint ventures;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international operations may not achieve projected growth objectives, which could adversely impact our overall business and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fully realize the expected cost savings and/or operating efficiencies associated with our strategic initiatives or restructuring programs, which may have an adverse impact on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governmental laws, regulations and policies, including taxes and tariffs, could increase our costs and liabilities or impact demand for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economic and/or financial market conditions, including impacts on our business arising from the ongoing conflict in the Middle East, could negatively impact our financial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48995"/>
                <wp:effectExtent l="0" t="0" r="0" b="0"/>
                <wp:wrapNone/>
                <wp:docPr id="138" name="Frame47"/>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93"/>
                                                <a:stretch>
                                                  <a:fillRect/>
                                                </a:stretch>
                                              </pic:blipFill>
                                              <pic:spPr bwMode="auto">
                                                <a:xfrm>
                                                  <a:off x="0" y="0"/>
                                                  <a:ext cx="219075" cy="190500"/>
                                                </a:xfrm>
                                                <a:prstGeom prst="rect">
                                                  <a:avLst/>
                                                </a:prstGeom>
                                              </pic:spPr>
                                            </pic:pic>
                                          </a:graphicData>
                                        </a:graphic>
                                      </wp:inline>
                                    </w:drawing>
                                  </w:r>
                                  <w:bookmarkStart w:id="91" w:name="i-47"/>
                                  <w:bookmarkEnd w:id="9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46</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 descr=""/>
                                          <pic:cNvPicPr>
                                            <a:picLocks noChangeAspect="1" noChangeArrowheads="1"/>
                                          </pic:cNvPicPr>
                                        </pic:nvPicPr>
                                        <pic:blipFill>
                                          <a:blip r:embed="rId94"/>
                                          <a:stretch>
                                            <a:fillRect/>
                                          </a:stretch>
                                        </pic:blipFill>
                                        <pic:spPr bwMode="auto">
                                          <a:xfrm>
                                            <a:off x="0" y="0"/>
                                            <a:ext cx="219075" cy="190500"/>
                                          </a:xfrm>
                                          <a:prstGeom prst="rect">
                                            <a:avLst/>
                                          </a:prstGeom>
                                        </pic:spPr>
                                      </pic:pic>
                                    </a:graphicData>
                                  </a:graphic>
                                </wp:inline>
                              </w:drawing>
                            </w:r>
                            <w:bookmarkStart w:id="92" w:name="i-47"/>
                            <w:bookmarkEnd w:id="9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failures or security breaches of our information technology infrastructure could have a negative impact on our operations and financial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Complications with the design or implementation of our enterprise resource planning system could adversely impact our business and operations;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Such other matters as discussed in our 2025 Annual Report on Form 10-K and our Quarterly Report on Form 10-Q for the quarter ending March 29, 2026, and this Quarterly Report on Form 10-Q, including Part II, Item 1A, ”Risk Factors.”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undertake no obligation to publicly update or revise any forward-looking statements to reflect actual results, changes in expectations or events or circumstances after the date this Quarterly Report on Form 10-Q is filed.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99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total amount of short-term debt, net of cash, amounted to net cash of $370 million and $707 million, at June 28, 2026 and December 31, 2025, respectively. A hypothetical 100 basis point increase in interest rates applied to this variable-rate short-term debt as of June 28, 2026 would have changed interest expense by approximately $2.7 million for the first six months of 2026 and $5.3 million for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June 28, 2026 and December 31, 2025 by approximately $233 million and $236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Foreign Currency Exchange Rate Risk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The potential decline in fair value of foreign currency forward exchange contracts resulting from a hypothetical near-term adverse change in market rates of 10% was $23.9 million as of June 28, 2026 and $38.7 million as of December 31, 2025, generally offset by a reduction in foreign exchange associated with our transactional activities.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Commodities—Price Risk Management and Derivative Contracts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use futures and options contracts and other commodity derivative instruments in combination with forward purchasing of cocoa products, sugar, corn products, certain dairy products, wheat products, natural gas and diesel fuel primarily to mitigate price volatility and provide visibility to future costs within our supply chain. Significant changes impacting our commodity price risk management since our 2025 Annual Report on Form 10-K are described below.</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Cocoa Products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the average cocoa futures contract price was $1.80 per pound, with a trading range of $1.48 to $2.30 per pound, based on the Intercontinental Exchange futures contract. This average cocoa futures contract price represents a decline of approximately 51% compared to the 2025 annual average of $3.65 per pound.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48995"/>
                <wp:effectExtent l="0" t="0" r="0" b="0"/>
                <wp:wrapNone/>
                <wp:docPr id="141" name="Frame48"/>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8" descr=""/>
                                                <pic:cNvPicPr>
                                                  <a:picLocks noChangeAspect="1" noChangeArrowheads="1"/>
                                                </pic:cNvPicPr>
                                              </pic:nvPicPr>
                                              <pic:blipFill>
                                                <a:blip r:embed="rId95"/>
                                                <a:stretch>
                                                  <a:fillRect/>
                                                </a:stretch>
                                              </pic:blipFill>
                                              <pic:spPr bwMode="auto">
                                                <a:xfrm>
                                                  <a:off x="0" y="0"/>
                                                  <a:ext cx="219075" cy="190500"/>
                                                </a:xfrm>
                                                <a:prstGeom prst="rect">
                                                  <a:avLst/>
                                                </a:prstGeom>
                                              </pic:spPr>
                                            </pic:pic>
                                          </a:graphicData>
                                        </a:graphic>
                                      </wp:inline>
                                    </w:drawing>
                                  </w:r>
                                  <w:bookmarkStart w:id="93" w:name="i-48"/>
                                  <w:bookmarkEnd w:id="9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47</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8" descr=""/>
                                          <pic:cNvPicPr>
                                            <a:picLocks noChangeAspect="1" noChangeArrowheads="1"/>
                                          </pic:cNvPicPr>
                                        </pic:nvPicPr>
                                        <pic:blipFill>
                                          <a:blip r:embed="rId96"/>
                                          <a:stretch>
                                            <a:fillRect/>
                                          </a:stretch>
                                        </pic:blipFill>
                                        <pic:spPr bwMode="auto">
                                          <a:xfrm>
                                            <a:off x="0" y="0"/>
                                            <a:ext cx="219075" cy="190500"/>
                                          </a:xfrm>
                                          <a:prstGeom prst="rect">
                                            <a:avLst/>
                                          </a:prstGeom>
                                        </pic:spPr>
                                      </pic:pic>
                                    </a:graphicData>
                                  </a:graphic>
                                </wp:inline>
                              </w:drawing>
                            </w:r>
                            <w:bookmarkStart w:id="94" w:name="i-48"/>
                            <w:bookmarkEnd w:id="9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cocoa supply-demand outlook has continued to improve substantially in the first six months of 2026. After three years of deficit, the 2024 – 2025 season finished with a supply surplus and the outlook for the 2025 – 2026 season remains positive, with a large surplus predicted by most analysts. Output in all major regions is forecast to grow, including Côte d’Ivoire and Ghana, while demand has been gradually contracting over the last three years. Activity on the two major futures exchanges has also improved during the quarter, with trading volumes approaching more normal levels following considerable declines during the previous two years.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costs for cocoa products will not necessarily reflect market price fluctuations because of our forward purchasing and hedging practices (including amount and duration thereof), premiums and discounts reflective of varying delivery times, and supply and demand for our specific varieties and grades of cocoa liquor, cocoa butter and cocoa powder. We generally hedge commodity price risks for 3- to 24-month periods. As a result, the average market prices are not necessarily indicative of our average costs.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Commodity Sensitivity Analysis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open commodity derivative contracts had a notional value of $504.1 million as of June 28, 2026 and $973.1 million as of December 31, 2025. At the end of the second quarter of 2026, the potential change in fair value of commodity derivative instruments, assuming a 10% decrease in the underlying commodity price, would have decreased our net unrealized losses by $48.2 million, generally offset by a reduction in the cost of the underlying commodity purchases.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our market risks, see Item 7A under Part II of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48995"/>
                <wp:effectExtent l="0" t="0" r="0" b="0"/>
                <wp:wrapNone/>
                <wp:docPr id="144" name="Frame49"/>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9" descr=""/>
                                                <pic:cNvPicPr>
                                                  <a:picLocks noChangeAspect="1" noChangeArrowheads="1"/>
                                                </pic:cNvPicPr>
                                              </pic:nvPicPr>
                                              <pic:blipFill>
                                                <a:blip r:embed="rId97"/>
                                                <a:stretch>
                                                  <a:fillRect/>
                                                </a:stretch>
                                              </pic:blipFill>
                                              <pic:spPr bwMode="auto">
                                                <a:xfrm>
                                                  <a:off x="0" y="0"/>
                                                  <a:ext cx="219075" cy="190500"/>
                                                </a:xfrm>
                                                <a:prstGeom prst="rect">
                                                  <a:avLst/>
                                                </a:prstGeom>
                                              </pic:spPr>
                                            </pic:pic>
                                          </a:graphicData>
                                        </a:graphic>
                                      </wp:inline>
                                    </w:drawing>
                                  </w:r>
                                  <w:bookmarkStart w:id="95" w:name="i-49"/>
                                  <w:bookmarkEnd w:id="9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48</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9" descr=""/>
                                          <pic:cNvPicPr>
                                            <a:picLocks noChangeAspect="1" noChangeArrowheads="1"/>
                                          </pic:cNvPicPr>
                                        </pic:nvPicPr>
                                        <pic:blipFill>
                                          <a:blip r:embed="rId98"/>
                                          <a:stretch>
                                            <a:fillRect/>
                                          </a:stretch>
                                        </pic:blipFill>
                                        <pic:spPr bwMode="auto">
                                          <a:xfrm>
                                            <a:off x="0" y="0"/>
                                            <a:ext cx="219075" cy="190500"/>
                                          </a:xfrm>
                                          <a:prstGeom prst="rect">
                                            <a:avLst/>
                                          </a:prstGeom>
                                        </pic:spPr>
                                      </pic:pic>
                                    </a:graphicData>
                                  </a:graphic>
                                </wp:inline>
                              </w:drawing>
                            </w:r>
                            <w:bookmarkStart w:id="96" w:name="i-49"/>
                            <w:bookmarkEnd w:id="96"/>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990"/>
        <w:jc w:val="left"/>
        <w:rPr>
          <w:rFonts w:ascii="Times New Roman;serif" w:hAnsi="Times New Roman;serif"/>
          <w:b/>
          <w:color w:val="000000"/>
          <w:sz w:val="20"/>
        </w:rPr>
      </w:pPr>
      <w:r>
        <w:rPr>
          <w:rFonts w:ascii="Times New Roman;serif" w:hAnsi="Times New Roman;serif"/>
          <w:b/>
          <w:color w:val="000000"/>
          <w:sz w:val="20"/>
        </w:rPr>
        <w:t>Item 4. CONTROLS AND PROCEDURES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180"/>
        <w:jc w:val="left"/>
        <w:rPr/>
      </w:pPr>
      <w:r>
        <w:rPr>
          <w:rFonts w:ascii="Times New Roman;serif" w:hAnsi="Times New Roman;serif"/>
          <w:b w:val="false"/>
          <w:color w:val="000000"/>
          <w:sz w:val="20"/>
        </w:rPr>
        <w:t xml:space="preserve">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w:t>
      </w:r>
      <w:r>
        <w:rPr>
          <w:rFonts w:ascii="Times New Roman;serif" w:hAnsi="Times New Roman;serif"/>
          <w:b w:val="false"/>
          <w:color w:val="000000"/>
          <w:sz w:val="20"/>
          <w:shd w:fill="FFFFFF" w:val="clear"/>
        </w:rPr>
        <w:t>June 28, 2026</w:t>
      </w:r>
      <w:r>
        <w:rPr>
          <w:rFonts w:ascii="Times New Roman;serif" w:hAnsi="Times New Roman;serif"/>
          <w:b w:val="false"/>
          <w:color w:val="000000"/>
          <w:sz w:val="20"/>
        </w:rPr>
        <w:t xml:space="preserve">. Based on this evaluation, our Chief Executive Officer and Chief Financial Officer concluded that our disclosure controls and procedures were effective as of </w:t>
      </w:r>
      <w:r>
        <w:rPr>
          <w:rFonts w:ascii="Times New Roman;serif" w:hAnsi="Times New Roman;serif"/>
          <w:b w:val="false"/>
          <w:color w:val="000000"/>
          <w:sz w:val="20"/>
          <w:shd w:fill="FFFFFF" w:val="clear"/>
        </w:rPr>
        <w:t>June 28, 2026</w:t>
      </w:r>
      <w:r>
        <w:rPr>
          <w:rFonts w:ascii="Times New Roman;serif" w:hAnsi="Times New Roman;serif"/>
          <w:b w:val="false"/>
          <w:color w:val="000000"/>
          <w:sz w:val="2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to the Company’s internal control over financial reporting during the quarter ended June 28, 2026,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48995"/>
                <wp:effectExtent l="0" t="0" r="0" b="0"/>
                <wp:wrapNone/>
                <wp:docPr id="147" name="Frame50"/>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0" descr=""/>
                                                <pic:cNvPicPr>
                                                  <a:picLocks noChangeAspect="1" noChangeArrowheads="1"/>
                                                </pic:cNvPicPr>
                                              </pic:nvPicPr>
                                              <pic:blipFill>
                                                <a:blip r:embed="rId99"/>
                                                <a:stretch>
                                                  <a:fillRect/>
                                                </a:stretch>
                                              </pic:blipFill>
                                              <pic:spPr bwMode="auto">
                                                <a:xfrm>
                                                  <a:off x="0" y="0"/>
                                                  <a:ext cx="219075" cy="190500"/>
                                                </a:xfrm>
                                                <a:prstGeom prst="rect">
                                                  <a:avLst/>
                                                </a:prstGeom>
                                              </pic:spPr>
                                            </pic:pic>
                                          </a:graphicData>
                                        </a:graphic>
                                      </wp:inline>
                                    </w:drawing>
                                  </w:r>
                                  <w:bookmarkStart w:id="97" w:name="i-50"/>
                                  <w:bookmarkEnd w:id="97"/>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49</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4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0" descr=""/>
                                          <pic:cNvPicPr>
                                            <a:picLocks noChangeAspect="1" noChangeArrowheads="1"/>
                                          </pic:cNvPicPr>
                                        </pic:nvPicPr>
                                        <pic:blipFill>
                                          <a:blip r:embed="rId100"/>
                                          <a:stretch>
                                            <a:fillRect/>
                                          </a:stretch>
                                        </pic:blipFill>
                                        <pic:spPr bwMode="auto">
                                          <a:xfrm>
                                            <a:off x="0" y="0"/>
                                            <a:ext cx="219075" cy="190500"/>
                                          </a:xfrm>
                                          <a:prstGeom prst="rect">
                                            <a:avLst/>
                                          </a:prstGeom>
                                        </pic:spPr>
                                      </pic:pic>
                                    </a:graphicData>
                                  </a:graphic>
                                </wp:inline>
                              </w:drawing>
                            </w:r>
                            <w:bookmarkStart w:id="98" w:name="i-50"/>
                            <w:bookmarkEnd w:id="98"/>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left"/>
        <w:rPr/>
      </w:pPr>
      <w:r>
        <w:rPr>
          <w:rFonts w:ascii="Times New Roman;serif" w:hAnsi="Times New Roman;serif"/>
          <w:b w:val="false"/>
          <w:color w:val="000000"/>
          <w:sz w:val="20"/>
        </w:rPr>
        <w:t xml:space="preserve">Information on legal proceedings is included in </w:t>
      </w:r>
      <w:hyperlink w:anchor="i758a99e56aa5464382aa6843e8af7f88_100">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color w:val="000000"/>
          <w:sz w:val="20"/>
        </w:rPr>
        <w:t>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evaluating an investment in our Common Stock, investors should consider carefully, among other things, the risk factors previously disclosed in Part I, Item 1A, “Risk Factors,” of our 2025 Annual Report on Form 10-K (the "2025 Form 10-K") and the information contained in this Quarterly Report on Form 10-Q and our other reports and registration statements filed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purchases of shares of Common Stock made by or on behalf of Hershey, or any “affiliated purchaser” (as defined in Rule 10b-18(a)(3) under the Securities Exchange Act of 1934, as amended) of Hershey, for each fiscal month in the three months ended June 28, 2026.</w:t>
      </w:r>
    </w:p>
    <w:tbl>
      <w:tblPr>
        <w:tblW w:w="9686" w:type="dxa"/>
        <w:jc w:val="left"/>
        <w:tblInd w:w="0" w:type="dxa"/>
        <w:tblLayout w:type="fixed"/>
        <w:tblCellMar>
          <w:top w:w="28" w:type="dxa"/>
          <w:left w:w="28" w:type="dxa"/>
          <w:bottom w:w="28" w:type="dxa"/>
          <w:right w:w="28" w:type="dxa"/>
        </w:tblCellMar>
      </w:tblPr>
      <w:tblGrid>
        <w:gridCol w:w="835"/>
        <w:gridCol w:w="733"/>
        <w:gridCol w:w="742"/>
        <w:gridCol w:w="109"/>
        <w:gridCol w:w="109"/>
        <w:gridCol w:w="109"/>
        <w:gridCol w:w="488"/>
        <w:gridCol w:w="488"/>
        <w:gridCol w:w="401"/>
        <w:gridCol w:w="109"/>
        <w:gridCol w:w="109"/>
        <w:gridCol w:w="109"/>
        <w:gridCol w:w="567"/>
        <w:gridCol w:w="337"/>
        <w:gridCol w:w="339"/>
        <w:gridCol w:w="109"/>
        <w:gridCol w:w="109"/>
        <w:gridCol w:w="109"/>
        <w:gridCol w:w="514"/>
        <w:gridCol w:w="514"/>
        <w:gridCol w:w="516"/>
        <w:gridCol w:w="109"/>
        <w:gridCol w:w="109"/>
        <w:gridCol w:w="109"/>
        <w:gridCol w:w="847"/>
        <w:gridCol w:w="437"/>
        <w:gridCol w:w="620"/>
      </w:tblGrid>
      <w:tr>
        <w:trPr/>
        <w:tc>
          <w:tcPr>
            <w:tcW w:w="83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w:t>
              <w:br/>
              <w:t>of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w:t>
              <w:br/>
              <w:t>Shares Purchased</w:t>
              <w:br/>
              <w:t xml:space="preserve">as Part of Publicly </w:t>
              <w:br/>
              <w:t>Announced Plans </w:t>
              <w:br/>
              <w:t>or Programs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w:t>
              <w:br/>
              <w:t>Dollar Value of</w:t>
              <w:br/>
              <w:t>Shares that May</w:t>
              <w:br/>
              <w:t>Yet Be Purchased</w:t>
              <w:br/>
              <w:t>Under the Plans or</w:t>
              <w:br/>
              <w:t>Programs (2)</w:t>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of dollars)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through April 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470,073</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27 through May 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1,100,696 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434,628</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25 through June 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845,614 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845,614 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270,073</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1,946,310 </w:t>
            </w:r>
          </w:p>
        </w:tc>
        <w:tc>
          <w:tcPr>
            <w:tcW w:w="4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1,030,614 </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During the three months ended June 28, 2026, 1.9 million shares of Common Stock were purchased in open market transactions in connection with our standing authorization to buy back shares sufficient to offset those issued under incentive compensation plans, which authorization does not have a dollar or share limit and is not included in our share repurchase authorizations described in the following paragraph.</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 In December 2023, our Board of Directors approved a $500 million share repurchase authorization. As a result of the share repurchase authorization, approximately $270 million remains available for repurchases under our December 2023 share repurchase authorization. In June 2026, our Board of Directors approved an additional $500 million share repurchase authorization. This program is to commence after the existing 2023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48995"/>
                <wp:effectExtent l="0" t="0" r="0" b="0"/>
                <wp:wrapNone/>
                <wp:docPr id="150" name="Frame51"/>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50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1" descr=""/>
                                                <pic:cNvPicPr>
                                                  <a:picLocks noChangeAspect="1" noChangeArrowheads="1"/>
                                                </pic:cNvPicPr>
                                              </pic:nvPicPr>
                                              <pic:blipFill>
                                                <a:blip r:embed="rId101"/>
                                                <a:stretch>
                                                  <a:fillRect/>
                                                </a:stretch>
                                              </pic:blipFill>
                                              <pic:spPr bwMode="auto">
                                                <a:xfrm>
                                                  <a:off x="0" y="0"/>
                                                  <a:ext cx="219075" cy="190500"/>
                                                </a:xfrm>
                                                <a:prstGeom prst="rect">
                                                  <a:avLst/>
                                                </a:prstGeom>
                                              </pic:spPr>
                                            </pic:pic>
                                          </a:graphicData>
                                        </a:graphic>
                                      </wp:inline>
                                    </w:drawing>
                                  </w:r>
                                  <w:bookmarkStart w:id="99" w:name="i-51"/>
                                  <w:bookmarkEnd w:id="99"/>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50</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1" descr=""/>
                                          <pic:cNvPicPr>
                                            <a:picLocks noChangeAspect="1" noChangeArrowheads="1"/>
                                          </pic:cNvPicPr>
                                        </pic:nvPicPr>
                                        <pic:blipFill>
                                          <a:blip r:embed="rId102"/>
                                          <a:stretch>
                                            <a:fillRect/>
                                          </a:stretch>
                                        </pic:blipFill>
                                        <pic:spPr bwMode="auto">
                                          <a:xfrm>
                                            <a:off x="0" y="0"/>
                                            <a:ext cx="219075" cy="190500"/>
                                          </a:xfrm>
                                          <a:prstGeom prst="rect">
                                            <a:avLst/>
                                          </a:prstGeom>
                                        </pic:spPr>
                                      </pic:pic>
                                    </a:graphicData>
                                  </a:graphic>
                                </wp:inline>
                              </w:drawing>
                            </w:r>
                            <w:bookmarkStart w:id="100" w:name="i-51"/>
                            <w:bookmarkEnd w:id="100"/>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Director and Executive Officer Trading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portion of our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describes the contracts, instructions or written plans for the purchase or sale of securities adopted by our directors or officers (as defined in Rule 16a-1(f) under the Exchange Act) during the three months ended June 28, 2026, that are intended to satisfy the affirmative defense conditions of Rule 10b5-1(c). No other Rule 10b5-1 trading arrangements or “non-Rule 10b5–1 trading arrangements” (as defined by S-K Item 408(c)) were entered into or terminated by our directors or officers during such period.</w:t>
      </w:r>
    </w:p>
    <w:tbl>
      <w:tblPr>
        <w:tblW w:w="10205" w:type="dxa"/>
        <w:jc w:val="left"/>
        <w:tblInd w:w="0" w:type="dxa"/>
        <w:tblLayout w:type="fixed"/>
        <w:tblCellMar>
          <w:top w:w="28" w:type="dxa"/>
          <w:left w:w="28" w:type="dxa"/>
          <w:bottom w:w="28" w:type="dxa"/>
          <w:right w:w="28" w:type="dxa"/>
        </w:tblCellMar>
      </w:tblPr>
      <w:tblGrid>
        <w:gridCol w:w="1111"/>
        <w:gridCol w:w="786"/>
        <w:gridCol w:w="787"/>
        <w:gridCol w:w="109"/>
        <w:gridCol w:w="109"/>
        <w:gridCol w:w="109"/>
        <w:gridCol w:w="626"/>
        <w:gridCol w:w="626"/>
        <w:gridCol w:w="628"/>
        <w:gridCol w:w="109"/>
        <w:gridCol w:w="109"/>
        <w:gridCol w:w="109"/>
        <w:gridCol w:w="538"/>
        <w:gridCol w:w="538"/>
        <w:gridCol w:w="540"/>
        <w:gridCol w:w="109"/>
        <w:gridCol w:w="109"/>
        <w:gridCol w:w="109"/>
        <w:gridCol w:w="888"/>
        <w:gridCol w:w="888"/>
        <w:gridCol w:w="1268"/>
      </w:tblGrid>
      <w:tr>
        <w:trPr/>
        <w:tc>
          <w:tcPr>
            <w:tcW w:w="11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 of 10b5-1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Duration of 10b5-1 Plan</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Sold or Purchased</w:t>
            </w:r>
          </w:p>
        </w:tc>
      </w:tr>
      <w:tr>
        <w:trPr/>
        <w:tc>
          <w:tcPr>
            <w:tcW w:w="2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Rohit Grover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Sell 5,000 shares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Jennifer L. McCalman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Sell 1,348 shares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R. Reiman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Supply Chain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5/26/2026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1/29/2027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Sell 7,000 shares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Exercise 3,485 stock options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Steven E. Voskuil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Sell 6,650 shares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plan duration is until the date listed in this column or such earlier date upon the completion of all trades under the plan (or the expiration of the orders relating to such trades without execution) or the occurrence of such other termination events as specified in the plan.</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48995"/>
                <wp:effectExtent l="0" t="0" r="0" b="0"/>
                <wp:wrapNone/>
                <wp:docPr id="153" name="Frame52"/>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51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2" descr=""/>
                                                <pic:cNvPicPr>
                                                  <a:picLocks noChangeAspect="1" noChangeArrowheads="1"/>
                                                </pic:cNvPicPr>
                                              </pic:nvPicPr>
                                              <pic:blipFill>
                                                <a:blip r:embed="rId103"/>
                                                <a:stretch>
                                                  <a:fillRect/>
                                                </a:stretch>
                                              </pic:blipFill>
                                              <pic:spPr bwMode="auto">
                                                <a:xfrm>
                                                  <a:off x="0" y="0"/>
                                                  <a:ext cx="219075" cy="190500"/>
                                                </a:xfrm>
                                                <a:prstGeom prst="rect">
                                                  <a:avLst/>
                                                </a:prstGeom>
                                              </pic:spPr>
                                            </pic:pic>
                                          </a:graphicData>
                                        </a:graphic>
                                      </wp:inline>
                                    </w:drawing>
                                  </w:r>
                                  <w:bookmarkStart w:id="101" w:name="i-52"/>
                                  <w:bookmarkEnd w:id="101"/>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51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2" descr=""/>
                                          <pic:cNvPicPr>
                                            <a:picLocks noChangeAspect="1" noChangeArrowheads="1"/>
                                          </pic:cNvPicPr>
                                        </pic:nvPicPr>
                                        <pic:blipFill>
                                          <a:blip r:embed="rId104"/>
                                          <a:stretch>
                                            <a:fillRect/>
                                          </a:stretch>
                                        </pic:blipFill>
                                        <pic:spPr bwMode="auto">
                                          <a:xfrm>
                                            <a:off x="0" y="0"/>
                                            <a:ext cx="219075" cy="190500"/>
                                          </a:xfrm>
                                          <a:prstGeom prst="rect">
                                            <a:avLst/>
                                          </a:prstGeom>
                                        </pic:spPr>
                                      </pic:pic>
                                    </a:graphicData>
                                  </a:graphic>
                                </wp:inline>
                              </w:drawing>
                            </w:r>
                            <w:bookmarkStart w:id="102" w:name="i-52"/>
                            <w:bookmarkEnd w:id="102"/>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00" w:after="1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385"/>
        <w:gridCol w:w="339"/>
        <w:gridCol w:w="341"/>
        <w:gridCol w:w="109"/>
        <w:gridCol w:w="109"/>
        <w:gridCol w:w="109"/>
        <w:gridCol w:w="2624"/>
        <w:gridCol w:w="2556"/>
        <w:gridCol w:w="3633"/>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0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r:id="rId105">
              <w:r>
                <w:rPr>
                  <w:rStyle w:val="InternetLink"/>
                  <w:rFonts w:ascii="Times New Roman;serif" w:hAnsi="Times New Roman;serif"/>
                  <w:b w:val="false"/>
                  <w:color w:val="0000FF"/>
                  <w:sz w:val="18"/>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erif" w:hAnsi="Times New Roman;serif"/>
                  <w:b w:val="false"/>
                  <w:color w:val="000080"/>
                  <w:sz w:val="18"/>
                  <w:u w:val="single"/>
                </w:rPr>
                <w:t>Restated Certificate of Incorporation, as amended by the Company’s Stockholders on May 6, 2025, is incorporated by reference from Exhibit 3.1 to the Company's Quarterly Report on Form 10-Q for the quarter ended June 2</w:t>
              </w:r>
            </w:hyperlink>
            <w:hyperlink r:id="rId107">
              <w:r>
                <w:rPr>
                  <w:rStyle w:val="InternetLink"/>
                  <w:rFonts w:ascii="Times New Roman;serif" w:hAnsi="Times New Roman;serif"/>
                  <w:b w:val="false"/>
                  <w:color w:val="000080"/>
                  <w:sz w:val="18"/>
                  <w:u w:val="single"/>
                </w:rPr>
                <w:t>9</w:t>
              </w:r>
            </w:hyperlink>
            <w:hyperlink r:id="rId108">
              <w:r>
                <w:rPr>
                  <w:rStyle w:val="InternetLink"/>
                  <w:rFonts w:ascii="Times New Roman;serif" w:hAnsi="Times New Roman;serif"/>
                  <w:b w:val="false"/>
                  <w:color w:val="000080"/>
                  <w:sz w:val="18"/>
                  <w:u w:val="single"/>
                </w:rPr>
                <w:t>, 202</w:t>
              </w:r>
            </w:hyperlink>
            <w:hyperlink r:id="rId109">
              <w:r>
                <w:rPr>
                  <w:rStyle w:val="InternetLink"/>
                  <w:rFonts w:ascii="Times New Roman;serif" w:hAnsi="Times New Roman;serif"/>
                  <w:b w:val="false"/>
                  <w:color w:val="000080"/>
                  <w:sz w:val="18"/>
                  <w:u w:val="single"/>
                </w:rPr>
                <w:t>5</w:t>
              </w:r>
            </w:hyperlink>
            <w:hyperlink r:id="rId110">
              <w:r>
                <w:rPr>
                  <w:rStyle w:val="InternetLink"/>
                  <w:rFonts w:ascii="Times New Roman;serif" w:hAnsi="Times New Roman;serif"/>
                  <w:b w:val="false"/>
                  <w:color w:val="000080"/>
                  <w:sz w:val="18"/>
                  <w:u w:val="single"/>
                </w:rPr>
                <w:t>.</w:t>
              </w:r>
            </w:hyperlink>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1">
              <w:r>
                <w:rPr>
                  <w:rStyle w:val="InternetLink"/>
                  <w:rFonts w:ascii="Times New Roman;serif" w:hAnsi="Times New Roman;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2">
              <w:r>
                <w:rPr>
                  <w:rStyle w:val="InternetLink"/>
                  <w:rFonts w:ascii="Times New Roman;serif" w:hAnsi="Times New Roman;serif"/>
                  <w:b w:val="false"/>
                  <w:color w:val="0000FF"/>
                  <w:sz w:val="18"/>
                  <w:u w:val="single"/>
                </w:rPr>
                <w:t>The Company's By-laws, as amended and restated as of December 5, 2025, are incorporated by reference from Exhibit 3.1 to the Company's Current Report on Form 8-K filed December 5, 2025.</w:t>
              </w:r>
            </w:hyperlink>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sy_20260628exhibit311.htm">
              <w:r>
                <w:rPr>
                  <w:rStyle w:val="InternetLink"/>
                  <w:rFonts w:ascii="Times New Roman;serif" w:hAnsi="Times New Roman;serif"/>
                  <w:b w:val="false"/>
                  <w:color w:val="0000FF"/>
                  <w:sz w:val="18"/>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sy_20260628exhibit311.htm">
              <w:r>
                <w:rPr>
                  <w:rStyle w:val="InternetLink"/>
                  <w:rFonts w:ascii="Times New Roman;serif" w:hAnsi="Times New Roman;serif"/>
                  <w:b w:val="false"/>
                  <w:color w:val="0000FF"/>
                  <w:sz w:val="18"/>
                  <w:u w:val="single"/>
                </w:rPr>
                <w:t>Certification of Kirk Tanner, Chief Executive Officer, pursuant to Section 302 of the Sarbanes-Oxley Act of 2002.</w:t>
              </w:r>
            </w:hyperlink>
            <w:r>
              <w:rPr>
                <w:rFonts w:ascii="Times New Roman;serif" w:hAnsi="Times New Roman;serif"/>
                <w:b w:val="false"/>
                <w:color w:val="000000"/>
                <w:sz w:val="18"/>
              </w:rPr>
              <w:t>*</w:t>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hsy_20260628exhibit312.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sy_20260628exhibit312.htm">
              <w:r>
                <w:rPr>
                  <w:rStyle w:val="InternetLink"/>
                  <w:rFonts w:ascii="Times New Roman;serif" w:hAnsi="Times New Roman;serif"/>
                  <w:b w:val="false"/>
                  <w:color w:val="0000FF"/>
                  <w:sz w:val="18"/>
                  <w:u w:val="single"/>
                </w:rPr>
                <w:t>Certification of Steven E. Voskuil, Chief Financial Officer, pursuant to Section 302 of the Sarbanes-Oxley Act of 2002.</w:t>
              </w:r>
            </w:hyperlink>
            <w:r>
              <w:rPr>
                <w:rFonts w:ascii="Times New Roman;serif" w:hAnsi="Times New Roman;serif"/>
                <w:b w:val="false"/>
                <w:color w:val="000000"/>
                <w:sz w:val="18"/>
              </w:rPr>
              <w:t>*</w:t>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sy_20260628exhibit321.htm">
              <w:r>
                <w:rPr>
                  <w:rStyle w:val="InternetLink"/>
                  <w:rFonts w:ascii="Times New Roman;serif" w:hAnsi="Times New Roman;serif"/>
                  <w:b w:val="false"/>
                  <w:color w:val="0000FF"/>
                  <w:sz w:val="18"/>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sy_20260628exhibit321.htm">
              <w:r>
                <w:rPr>
                  <w:rStyle w:val="InternetLink"/>
                  <w:rFonts w:ascii="Times New Roman;serif" w:hAnsi="Times New Roman;serif"/>
                  <w:b w:val="false"/>
                  <w:color w:val="0000FF"/>
                  <w:sz w:val="18"/>
                  <w:u w:val="single"/>
                </w:rPr>
                <w:t>Certification of Kirk Tanner, Chief Executive Officer, and Steven E. Voskuil, Chief Financial Officer, pursuant to Section 906 of the Sarbanes-Oxley Act of 2002.</w:t>
              </w:r>
            </w:hyperlink>
            <w:r>
              <w:rPr>
                <w:rFonts w:ascii="Times New Roman;serif" w:hAnsi="Times New Roman;serif"/>
                <w:b w:val="false"/>
                <w:color w:val="000000"/>
                <w:sz w:val="18"/>
              </w:rPr>
              <w:t>**</w:t>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 </w:t>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cover page from the Company's Quarterly Report on Form 10-Q for the quarterly period ended June 28, 2026, formatted in Inline XBRL and contained in Exhibit 101.</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180"/>
        <w:jc w:val="center"/>
        <w:rPr/>
      </w:pPr>
      <w:r>
        <w:rPr/>
      </w:r>
    </w:p>
    <w:p>
      <w:pPr>
        <w:pStyle w:val="TextBody"/>
        <w:bidi w:val="0"/>
        <w:spacing w:before="18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48995"/>
                <wp:effectExtent l="0" t="0" r="0" b="0"/>
                <wp:wrapNone/>
                <wp:docPr id="156" name="Frame53"/>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left"/>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52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3" descr=""/>
                                                <pic:cNvPicPr>
                                                  <a:picLocks noChangeAspect="1" noChangeArrowheads="1"/>
                                                </pic:cNvPicPr>
                                              </pic:nvPicPr>
                                              <pic:blipFill>
                                                <a:blip r:embed="rId113"/>
                                                <a:stretch>
                                                  <a:fillRect/>
                                                </a:stretch>
                                              </pic:blipFill>
                                              <pic:spPr bwMode="auto">
                                                <a:xfrm>
                                                  <a:off x="0" y="0"/>
                                                  <a:ext cx="219075" cy="190500"/>
                                                </a:xfrm>
                                                <a:prstGeom prst="rect">
                                                  <a:avLst/>
                                                </a:prstGeom>
                                              </pic:spPr>
                                            </pic:pic>
                                          </a:graphicData>
                                        </a:graphic>
                                      </wp:inline>
                                    </w:drawing>
                                  </w:r>
                                  <w:bookmarkStart w:id="103" w:name="i-53"/>
                                  <w:bookmarkEnd w:id="103"/>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left"/>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52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3" descr=""/>
                                          <pic:cNvPicPr>
                                            <a:picLocks noChangeAspect="1" noChangeArrowheads="1"/>
                                          </pic:cNvPicPr>
                                        </pic:nvPicPr>
                                        <pic:blipFill>
                                          <a:blip r:embed="rId114"/>
                                          <a:stretch>
                                            <a:fillRect/>
                                          </a:stretch>
                                        </pic:blipFill>
                                        <pic:spPr bwMode="auto">
                                          <a:xfrm>
                                            <a:off x="0" y="0"/>
                                            <a:ext cx="219075" cy="190500"/>
                                          </a:xfrm>
                                          <a:prstGeom prst="rect">
                                            <a:avLst/>
                                          </a:prstGeom>
                                        </pic:spPr>
                                      </pic:pic>
                                    </a:graphicData>
                                  </a:graphic>
                                </wp:inline>
                              </w:drawing>
                            </w:r>
                            <w:bookmarkStart w:id="104" w:name="i-53"/>
                            <w:bookmarkEnd w:id="104"/>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report to be signed on its behalf by the undersigned thereunto duly authorized.</w:t>
      </w:r>
    </w:p>
    <w:p>
      <w:pPr>
        <w:pStyle w:val="TextBody"/>
        <w:bidi w:val="0"/>
        <w:spacing w:before="0" w:after="0"/>
        <w:jc w:val="left"/>
        <w:rPr/>
      </w:pPr>
      <w:r>
        <w:rPr/>
      </w:r>
    </w:p>
    <w:tbl>
      <w:tblPr>
        <w:tblW w:w="6264"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264"/>
        <w:gridCol w:w="1264"/>
        <w:gridCol w:w="126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color w:val="000000"/>
                <w:sz w:val="20"/>
              </w:rPr>
            </w:pPr>
            <w:r>
              <w:rPr>
                <w:rFonts w:ascii="Times New Roman;serif" w:hAnsi="Times New Roman;serif"/>
                <w:b/>
                <w:color w:val="000000"/>
                <w:sz w:val="20"/>
              </w:rPr>
              <w:t xml:space="preserve">THE HERSHEY COMPANY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erif" w:hAnsi="Times New Roman;serif"/>
                <w:b/>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i/>
                <w:color w:val="000000"/>
                <w:sz w:val="20"/>
              </w:rPr>
            </w:pPr>
            <w:r>
              <w:rPr>
                <w:rFonts w:ascii="Times New Roman;serif" w:hAnsi="Times New Roman;serif"/>
                <w:b w:val="false"/>
                <w:i/>
                <w:color w:val="000000"/>
                <w:sz w:val="20"/>
              </w:rPr>
              <w:t>/s/ Steven E. Voskuil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Steven E. Voskuil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Jennifer L. McCalman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 McCalman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48995"/>
                <wp:effectExtent l="0" t="0" r="0" b="0"/>
                <wp:wrapNone/>
                <wp:docPr id="159" name="Frame54"/>
                <a:graphic xmlns:a="http://schemas.openxmlformats.org/drawingml/2006/main">
                  <a:graphicData uri="http://schemas.microsoft.com/office/word/2010/wordprocessingShape">
                    <wps:wsp>
                      <wps:cNvSpPr txBox="1"/>
                      <wps:spPr>
                        <a:xfrm>
                          <a:off x="0" y="0"/>
                          <a:ext cx="6480175" cy="848995"/>
                        </a:xfrm>
                        <a:prstGeom prst="rect"/>
                        <a:solidFill>
                          <a:srgbClr val="FFFFFF"/>
                        </a:solidFill>
                      </wps:spPr>
                      <wps:txb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53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4" descr=""/>
                                                <pic:cNvPicPr>
                                                  <a:picLocks noChangeAspect="1" noChangeArrowheads="1"/>
                                                </pic:cNvPicPr>
                                              </pic:nvPicPr>
                                              <pic:blipFill>
                                                <a:blip r:embed="rId115"/>
                                                <a:stretch>
                                                  <a:fillRect/>
                                                </a:stretch>
                                              </pic:blipFill>
                                              <pic:spPr bwMode="auto">
                                                <a:xfrm>
                                                  <a:off x="0" y="0"/>
                                                  <a:ext cx="219075" cy="190500"/>
                                                </a:xfrm>
                                                <a:prstGeom prst="rect">
                                                  <a:avLst/>
                                                </a:prstGeom>
                                              </pic:spPr>
                                            </pic:pic>
                                          </a:graphicData>
                                        </a:graphic>
                                      </wp:inline>
                                    </w:drawing>
                                  </w:r>
                                  <w:bookmarkStart w:id="105" w:name="i-54"/>
                                  <w:bookmarkEnd w:id="105"/>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5905" w:type="dxa"/>
                        <w:jc w:val="center"/>
                        <w:tblInd w:w="0" w:type="dxa"/>
                        <w:tblLayout w:type="fixed"/>
                        <w:tblCellMar>
                          <w:top w:w="28" w:type="dxa"/>
                          <w:left w:w="28" w:type="dxa"/>
                          <w:bottom w:w="28" w:type="dxa"/>
                          <w:right w:w="28" w:type="dxa"/>
                        </w:tblCellMar>
                      </w:tblPr>
                      <w:tblGrid>
                        <w:gridCol w:w="500"/>
                        <w:gridCol w:w="439"/>
                        <w:gridCol w:w="441"/>
                        <w:gridCol w:w="1348"/>
                        <w:gridCol w:w="1348"/>
                        <w:gridCol w:w="1353"/>
                        <w:gridCol w:w="139"/>
                        <w:gridCol w:w="139"/>
                        <w:gridCol w:w="198"/>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8a99e56aa5464382aa6843e8af7f88_7">
                              <w:r>
                                <w:rPr>
                                  <w:rStyle w:val="InternetLink"/>
                                  <w:rFonts w:ascii="Times New Roman;serif" w:hAnsi="Times New Roman;serif"/>
                                  <w:b w:val="false"/>
                                  <w:color w:val="0000FF"/>
                                  <w:sz w:val="18"/>
                                  <w:u w:val="single"/>
                                </w:rPr>
                                <w:t>Table of Contents</w:t>
                              </w:r>
                            </w:hyperlink>
                          </w:p>
                        </w:tc>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Page 53</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4" descr=""/>
                                          <pic:cNvPicPr>
                                            <a:picLocks noChangeAspect="1" noChangeArrowheads="1"/>
                                          </pic:cNvPicPr>
                                        </pic:nvPicPr>
                                        <pic:blipFill>
                                          <a:blip r:embed="rId116"/>
                                          <a:stretch>
                                            <a:fillRect/>
                                          </a:stretch>
                                        </pic:blipFill>
                                        <pic:spPr bwMode="auto">
                                          <a:xfrm>
                                            <a:off x="0" y="0"/>
                                            <a:ext cx="219075" cy="190500"/>
                                          </a:xfrm>
                                          <a:prstGeom prst="rect">
                                            <a:avLst/>
                                          </a:prstGeom>
                                        </pic:spPr>
                                      </pic:pic>
                                    </a:graphicData>
                                  </a:graphic>
                                </wp:inline>
                              </w:drawing>
                            </w:r>
                            <w:bookmarkStart w:id="106" w:name="i-54"/>
                            <w:bookmarkEnd w:id="106"/>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ind w:left="0" w:right="0" w:hanging="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 Kirk Tanner,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The Hershey Company;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ind w:left="0" w:right="0" w:hanging="180"/>
        <w:jc w:val="left"/>
        <w:rPr>
          <w:color w:val="000000"/>
        </w:rPr>
      </w:pPr>
      <w:r>
        <w:rPr>
          <w:color w:val="000000"/>
        </w:rPr>
        <w:t> </w:t>
      </w:r>
    </w:p>
    <w:tbl>
      <w:tblPr>
        <w:tblW w:w="2264" w:type="dxa"/>
        <w:jc w:val="left"/>
        <w:tblInd w:w="0" w:type="dxa"/>
        <w:tblLayout w:type="fixed"/>
        <w:tblCellMar>
          <w:top w:w="28" w:type="dxa"/>
          <w:left w:w="28" w:type="dxa"/>
          <w:bottom w:w="28" w:type="dxa"/>
          <w:right w:w="28" w:type="dxa"/>
        </w:tblCellMar>
      </w:tblPr>
      <w:tblGrid>
        <w:gridCol w:w="723"/>
        <w:gridCol w:w="637"/>
        <w:gridCol w:w="904"/>
      </w:tblGrid>
      <w:tr>
        <w:trPr/>
        <w:tc>
          <w:tcPr>
            <w:tcW w:w="72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100" w:after="100"/>
              <w:ind w:left="0" w:right="0" w:hanging="180"/>
              <w:jc w:val="center"/>
              <w:rPr/>
            </w:pPr>
            <w:r>
              <w:rPr/>
            </w:r>
          </w:p>
          <w:p>
            <w:pPr>
              <w:pStyle w:val="TableContents"/>
              <w:bidi w:val="0"/>
              <w:spacing w:before="100" w:after="100"/>
              <w:ind w:left="0" w:right="0" w:hanging="180"/>
              <w:jc w:val="center"/>
              <w:rPr/>
            </w:pPr>
            <w:r>
              <w:rPr/>
            </w:r>
          </w:p>
          <w:p>
            <w:pPr>
              <w:pStyle w:val="TableContents"/>
              <w:bidi w:val="0"/>
              <w:spacing w:lineRule="auto" w:line="240" w:before="100" w:after="100"/>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/s/ KIRK TANNER</w:t>
            </w:r>
          </w:p>
        </w:tc>
      </w:tr>
      <w:tr>
        <w:trPr/>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Kirk Tanner</w:t>
            </w:r>
          </w:p>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Chief Executive Officer</w:t>
            </w:r>
          </w:p>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(Principal Executive Officer)</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30, 2026</w:t>
            </w:r>
          </w:p>
        </w:tc>
      </w:tr>
    </w:tbl>
    <w:p>
      <w:pPr>
        <w:pStyle w:val="TextBody"/>
        <w:bidi w:val="0"/>
        <w:spacing w:before="0" w:after="20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73735"/>
                <wp:effectExtent l="0" t="0" r="0" b="0"/>
                <wp:wrapNone/>
                <wp:docPr id="162" name="Frame55"/>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Exhibit 31.1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5" descr=""/>
                                                <pic:cNvPicPr>
                                                  <a:picLocks noChangeAspect="1" noChangeArrowheads="1"/>
                                                </pic:cNvPicPr>
                                              </pic:nvPicPr>
                                              <pic:blipFill>
                                                <a:blip r:embed="rId117"/>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Exhibit 31.1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6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5" descr=""/>
                                          <pic:cNvPicPr>
                                            <a:picLocks noChangeAspect="1" noChangeArrowheads="1"/>
                                          </pic:cNvPicPr>
                                        </pic:nvPicPr>
                                        <pic:blipFill>
                                          <a:blip r:embed="rId118"/>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hanging="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 Steven E. Voskuil,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The Hershey Company;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ind w:left="0" w:right="0" w:hanging="180"/>
        <w:jc w:val="left"/>
        <w:rPr>
          <w:color w:val="000000"/>
        </w:rPr>
      </w:pPr>
      <w:r>
        <w:rPr>
          <w:color w:val="000000"/>
        </w:rPr>
        <w:t> </w:t>
      </w:r>
    </w:p>
    <w:tbl>
      <w:tblPr>
        <w:tblW w:w="2234" w:type="dxa"/>
        <w:jc w:val="left"/>
        <w:tblInd w:w="0" w:type="dxa"/>
        <w:tblLayout w:type="fixed"/>
        <w:tblCellMar>
          <w:top w:w="28" w:type="dxa"/>
          <w:left w:w="28" w:type="dxa"/>
          <w:bottom w:w="28" w:type="dxa"/>
          <w:right w:w="28" w:type="dxa"/>
        </w:tblCellMar>
      </w:tblPr>
      <w:tblGrid>
        <w:gridCol w:w="716"/>
        <w:gridCol w:w="629"/>
        <w:gridCol w:w="889"/>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/S/ STEVEN E. VOSKUIL</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Steven E. Voskuil</w:t>
            </w:r>
          </w:p>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Chief Financial Officer</w:t>
            </w:r>
          </w:p>
          <w:p>
            <w:pPr>
              <w:pStyle w:val="TableContents"/>
              <w:bidi w:val="0"/>
              <w:spacing w:lineRule="auto" w:line="288"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30, 2026</w:t>
            </w:r>
          </w:p>
        </w:tc>
      </w:tr>
    </w:tbl>
    <w:p>
      <w:pPr>
        <w:pStyle w:val="TextBody"/>
        <w:bidi w:val="0"/>
        <w:spacing w:before="0" w:after="20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73735"/>
                <wp:effectExtent l="0" t="0" r="0" b="0"/>
                <wp:wrapNone/>
                <wp:docPr id="165" name="Frame56"/>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Exhibit 31.2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6" descr=""/>
                                                <pic:cNvPicPr>
                                                  <a:picLocks noChangeAspect="1" noChangeArrowheads="1"/>
                                                </pic:cNvPicPr>
                                              </pic:nvPicPr>
                                              <pic:blipFill>
                                                <a:blip r:embed="rId119"/>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Exhibit 31.2</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6" descr=""/>
                                          <pic:cNvPicPr>
                                            <a:picLocks noChangeAspect="1" noChangeArrowheads="1"/>
                                          </pic:cNvPicPr>
                                        </pic:nvPicPr>
                                        <pic:blipFill>
                                          <a:blip r:embed="rId120"/>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18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officers of The Hershey Company (the “Company”) hereby certify, to the best of their knowledge, that the Company’s Quarterly Report on Form 10-Q for the quarterly period ended September 27, 2026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8" w:before="0" w:after="0"/>
        <w:ind w:left="0" w:right="0" w:hanging="180"/>
        <w:jc w:val="left"/>
        <w:rPr>
          <w:color w:val="000000"/>
        </w:rPr>
      </w:pPr>
      <w:r>
        <w:rPr>
          <w:color w:val="000000"/>
        </w:rPr>
        <w:t> </w:t>
      </w:r>
    </w:p>
    <w:tbl>
      <w:tblPr>
        <w:tblW w:w="4407" w:type="dxa"/>
        <w:jc w:val="left"/>
        <w:tblInd w:w="0" w:type="dxa"/>
        <w:tblLayout w:type="fixed"/>
        <w:tblCellMar>
          <w:top w:w="28" w:type="dxa"/>
          <w:left w:w="28" w:type="dxa"/>
          <w:bottom w:w="28" w:type="dxa"/>
          <w:right w:w="28" w:type="dxa"/>
        </w:tblCellMar>
      </w:tblPr>
      <w:tblGrid>
        <w:gridCol w:w="201"/>
        <w:gridCol w:w="177"/>
        <w:gridCol w:w="177"/>
        <w:gridCol w:w="404"/>
        <w:gridCol w:w="404"/>
        <w:gridCol w:w="407"/>
        <w:gridCol w:w="109"/>
        <w:gridCol w:w="109"/>
        <w:gridCol w:w="109"/>
        <w:gridCol w:w="675"/>
        <w:gridCol w:w="675"/>
        <w:gridCol w:w="960"/>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KIRK TANNER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Kirk Tanner </w:t>
              <w:br/>
              <w:t>Chief Executive Officer</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STEVEN E. VOSKUIL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Steven E. Voskuil</w:t>
              <w:br/>
              <w:t>Chief Financial Officer</w:t>
              <w:br/>
              <w:t>(Principal Financial Officer)</w:t>
            </w:r>
          </w:p>
        </w:tc>
      </w:tr>
    </w:tbl>
    <w:p>
      <w:pPr>
        <w:pStyle w:val="TextBody"/>
        <w:bidi w:val="0"/>
        <w:spacing w:lineRule="auto" w:line="288" w:before="18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w:t>
      </w:r>
    </w:p>
    <w:p>
      <w:pPr>
        <w:pStyle w:val="TextBody"/>
        <w:bidi w:val="0"/>
        <w:spacing w:before="180" w:after="283"/>
        <w:jc w:val="left"/>
        <w:rPr/>
      </w:pPr>
      <w:r>
        <w:rPr/>
      </w:r>
    </w:p>
    <w:p>
      <w:pPr>
        <w:pStyle w:val="TextBody"/>
        <w:bidi w:val="0"/>
        <w:spacing w:before="180" w:after="283"/>
        <w:ind w:left="0" w:right="0" w:firstLine="495"/>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73735"/>
                <wp:effectExtent l="0" t="0" r="0" b="0"/>
                <wp:wrapNone/>
                <wp:docPr id="168" name="Frame57"/>
                <a:graphic xmlns:a="http://schemas.openxmlformats.org/drawingml/2006/main">
                  <a:graphicData uri="http://schemas.microsoft.com/office/word/2010/wordprocessingShape">
                    <wps:wsp>
                      <wps:cNvSpPr txBox="1"/>
                      <wps:spPr>
                        <a:xfrm>
                          <a:off x="0" y="0"/>
                          <a:ext cx="6480175" cy="673735"/>
                        </a:xfrm>
                        <a:prstGeom prst="rect"/>
                        <a:solidFill>
                          <a:srgbClr val="FFFFFF"/>
                        </a:solidFill>
                      </wps:spPr>
                      <wps:txb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Exhibit 32.1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6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7" descr=""/>
                                                <pic:cNvPicPr>
                                                  <a:picLocks noChangeAspect="1" noChangeArrowheads="1"/>
                                                </pic:cNvPicPr>
                                              </pic:nvPicPr>
                                              <pic:blipFill>
                                                <a:blip r:embed="rId121"/>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05pt;mso-wrap-distance-left:0pt;mso-wrap-distance-right:0pt;mso-wrap-distance-top:0pt;mso-wrap-distance-bottom:0pt;margin-top:0pt;mso-position-vertical:top;mso-position-vertical-relative:text;margin-left:0pt;mso-position-horizontal:left;mso-position-horizontal-relative:text">
                <v:textbox>
                  <w:txbxContent>
                    <w:tbl>
                      <w:tblPr>
                        <w:tblW w:w="5167" w:type="dxa"/>
                        <w:jc w:val="center"/>
                        <w:tblInd w:w="0" w:type="dxa"/>
                        <w:tblLayout w:type="fixed"/>
                        <w:tblCellMar>
                          <w:top w:w="28" w:type="dxa"/>
                          <w:left w:w="28" w:type="dxa"/>
                          <w:bottom w:w="28" w:type="dxa"/>
                          <w:right w:w="28" w:type="dxa"/>
                        </w:tblCellMar>
                      </w:tblPr>
                      <w:tblGrid>
                        <w:gridCol w:w="124"/>
                        <w:gridCol w:w="109"/>
                        <w:gridCol w:w="109"/>
                        <w:gridCol w:w="1448"/>
                        <w:gridCol w:w="1448"/>
                        <w:gridCol w:w="1453"/>
                        <w:gridCol w:w="139"/>
                        <w:gridCol w:w="139"/>
                        <w:gridCol w:w="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Hershey Company | Q2 2026 Form 10-Q | Exhibit 32.1</w:t>
                            </w:r>
                          </w:p>
                        </w:tc>
                        <w:tc>
                          <w:tcPr>
                            <w:tcW w:w="4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 cy="190500"/>
                                  <wp:effectExtent l="0" t="0" r="0" b="0"/>
                                  <wp:docPr id="17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7" descr=""/>
                                          <pic:cNvPicPr>
                                            <a:picLocks noChangeAspect="1" noChangeArrowheads="1"/>
                                          </pic:cNvPicPr>
                                        </pic:nvPicPr>
                                        <pic:blipFill>
                                          <a:blip r:embed="rId122"/>
                                          <a:stretch>
                                            <a:fillRect/>
                                          </a:stretch>
                                        </pic:blipFill>
                                        <pic:spPr bwMode="auto">
                                          <a:xfrm>
                                            <a:off x="0" y="0"/>
                                            <a:ext cx="219075" cy="1905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hyperlink" Target="https://www.sec.gov/Archives/edgar/data/47111/000004711125000112/hsy_20250730exhibit31.htm" TargetMode="External"/><Relationship Id="rId106" Type="http://schemas.openxmlformats.org/officeDocument/2006/relationships/hyperlink" Target="https://www.sec.gov/Archives/edgar/data/47111/000004711125000112/hsy_20250730exhibit31.htm" TargetMode="External"/><Relationship Id="rId107" Type="http://schemas.openxmlformats.org/officeDocument/2006/relationships/hyperlink" Target="https://www.sec.gov/Archives/edgar/data/47111/000004711125000112/hsy_20250730exhibit31.htm" TargetMode="External"/><Relationship Id="rId108" Type="http://schemas.openxmlformats.org/officeDocument/2006/relationships/hyperlink" Target="https://www.sec.gov/Archives/edgar/data/47111/000004711125000112/hsy_20250730exhibit31.htm" TargetMode="External"/><Relationship Id="rId109" Type="http://schemas.openxmlformats.org/officeDocument/2006/relationships/hyperlink" Target="https://www.sec.gov/Archives/edgar/data/47111/000004711125000112/hsy_20250730exhibit31.htm" TargetMode="External"/><Relationship Id="rId110" Type="http://schemas.openxmlformats.org/officeDocument/2006/relationships/hyperlink" Target="https://www.sec.gov/Archives/edgar/data/47111/000004711125000112/hsy_20250730exhibit31.htm" TargetMode="External"/><Relationship Id="rId111" Type="http://schemas.openxmlformats.org/officeDocument/2006/relationships/hyperlink" Target="https://www.sec.gov/Archives/edgar/data/47111/000162828025055617/ex31-amendedrestatedbyxlaw.htm" TargetMode="External"/><Relationship Id="rId112" Type="http://schemas.openxmlformats.org/officeDocument/2006/relationships/hyperlink" Target="https://www.sec.gov/Archives/edgar/data/47111/000162828025055617/ex31-amendedrestatedbyxlaw.htm" TargetMode="External"/><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fontTable" Target="fontTable.xml"/><Relationship Id="rId1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24758</Words>
  <Characters>138294</Characters>
  <CharactersWithSpaces>160641</CharactersWithSpaces>
  <Paragraphs>3878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