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2017</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100 Crystal A Drive, Hershey, PA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Common Stock, one dollar par value—151,827,032 shares, as of July 21, 2017.</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Class B Common Stock, one dollar par value—60,619,777 shares, as of July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July 2,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for the Three and Six Months Ended July 2, 2017 and July 3, 2016</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and Six Months Ended July 2, 2017 and July 3, 2016</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July 2, 2017 and December 31, 2016</w:t>
              </w:r>
            </w:hyperlink>
          </w:p>
        </w:tc>
        <w:tc>
          <w:tcPr>
            <w:tcW w:w="576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July 2, 2017 and July 3, 2016</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Six Months Ended July 2,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28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4660" w:type="dxa"/>
            <w:vAlign w:val="bottom"/>
            <w:tcBorders>
              <w:top w:val="single" w:sz="8" w:color="CCEEFF"/>
            </w:tcBorders>
            <w:gridSpan w:val="5"/>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0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2, 2017</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 2016</w:t>
            </w: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2, 2017</w:t>
            </w:r>
          </w:p>
        </w:tc>
        <w:tc>
          <w:tcPr>
            <w:tcW w:w="2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3, 2016</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1,662,991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1,637,671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3,542,669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3,466,483</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899,781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890,273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1,872,899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1,901,709</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763,210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747,398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1,669,770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1,564,774</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Selling, marketing and administrative expense</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445,888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462,531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907,788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934,265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Business realignment costs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45,998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28,238</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315,341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507,272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602,271</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24,126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47,867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42,343</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281,117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233,296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449,478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573,025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78,390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197,237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including noncontrolling interest</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202,727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145,956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300,975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375,788</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Net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attributable to The Hershey Company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203,501</w:t>
            </w: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145,956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328,545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375,788</w:t>
            </w:r>
          </w:p>
        </w:tc>
      </w:tr>
      <w:tr>
        <w:trPr>
          <w:trHeight w:val="31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per share—basic:</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per share—diluted:</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Dividends paid per share:</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0.618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0.562</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0.530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1.060</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July 2, 2017</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July 3, 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July 2, 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July 3, 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(Expense)</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$ 202,727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$145,956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$300,975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$375,788</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$ 18,273</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18,273</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$ 13,586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13,586</w:t>
            </w:r>
          </w:p>
        </w:tc>
        <w:tc>
          <w:tcPr>
            <w:tcW w:w="0" w:type="dxa"/>
            <w:vAlign w:val="bottom"/>
          </w:tcPr>
          <w:p>
            <w:pPr>
              <w:spacing w:after="0"/>
              <w:rPr>
                <w:sz w:val="1"/>
                <w:szCs w:val="1"/>
                <w:color w:val="auto"/>
              </w:rPr>
            </w:pPr>
          </w:p>
        </w:tc>
      </w:tr>
      <w:tr>
        <w:trPr>
          <w:trHeight w:val="157"/>
        </w:trPr>
        <w:tc>
          <w:tcPr>
            <w:tcW w:w="1960" w:type="dxa"/>
            <w:vAlign w:val="bottom"/>
          </w:tcPr>
          <w:p>
            <w:pPr>
              <w:ind w:left="180"/>
              <w:spacing w:after="0" w:line="157" w:lineRule="exact"/>
              <w:rPr>
                <w:sz w:val="20"/>
                <w:szCs w:val="20"/>
                <w:color w:val="auto"/>
              </w:rPr>
            </w:pPr>
            <w:r>
              <w:rPr>
                <w:rFonts w:ascii="Arial" w:cs="Arial" w:eastAsia="Arial" w:hAnsi="Arial"/>
                <w:sz w:val="14"/>
                <w:szCs w:val="14"/>
                <w:color w:val="auto"/>
              </w:rPr>
              <w:t>Pension and post-retirement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benefit plans: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loss and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(29,806)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11,350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(18,456)</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to</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(10,984)</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25,625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(9,781)</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15,844</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14,244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(13,695)</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549</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34,305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(13,360)</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20,945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Losses on cash flow</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hedging derivatives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(21,072)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7,283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(13,789)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(54,981)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19,048</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(35,933)</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2,964</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4,689</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Total other comprehensive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13,085</w:t>
            </w:r>
          </w:p>
        </w:tc>
        <w:tc>
          <w:tcPr>
            <w:tcW w:w="14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w w:val="95"/>
              </w:rPr>
              <w:t>(11,563)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9"/>
              </w:rPr>
              <w:t>(27,700)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w w:val="97"/>
              </w:rPr>
              <w:t>10,544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$ 35,527</w:t>
            </w:r>
          </w:p>
        </w:tc>
        <w:tc>
          <w:tcPr>
            <w:tcW w:w="200" w:type="dxa"/>
            <w:vAlign w:val="bottom"/>
            <w:gridSpan w:val="2"/>
            <w:vMerge w:val="restart"/>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(15,187)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$(48,672)</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21,727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(17,156)</w:t>
            </w:r>
          </w:p>
        </w:tc>
        <w:tc>
          <w:tcPr>
            <w:tcW w:w="7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20,340</w:t>
            </w:r>
          </w:p>
        </w:tc>
        <w:tc>
          <w:tcPr>
            <w:tcW w:w="7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(26,945)</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including noncontrolling</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$ 204,249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$128,800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$321,315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$348,843</w:t>
            </w:r>
          </w:p>
        </w:tc>
        <w:tc>
          <w:tcPr>
            <w:tcW w:w="0" w:type="dxa"/>
            <w:vAlign w:val="bottom"/>
          </w:tcPr>
          <w:p>
            <w:pPr>
              <w:spacing w:after="0"/>
              <w:rPr>
                <w:sz w:val="1"/>
                <w:szCs w:val="1"/>
                <w:color w:val="auto"/>
              </w:rPr>
            </w:pPr>
          </w:p>
        </w:tc>
      </w:tr>
      <w:tr>
        <w:trPr>
          <w:trHeight w:val="137"/>
        </w:trPr>
        <w:tc>
          <w:tcPr>
            <w:tcW w:w="1960" w:type="dxa"/>
            <w:vAlign w:val="bottom"/>
          </w:tcPr>
          <w:p>
            <w:pPr>
              <w:ind w:left="180"/>
              <w:spacing w:after="0" w:line="137" w:lineRule="exact"/>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noncontrolling interest</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(27,154)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$ 204,947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$129,013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$348,469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$350,132</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July 2,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296,967</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417,457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581,381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745,678</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343,573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192,752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1,911,529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1,816,778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2,033,790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2,177,248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812,344</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378,271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492,737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55,590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56,861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5,380,228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471,545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522,536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750,986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632,471</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1,909,443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2,349,756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2,347,455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21,081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39,587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4,510,246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4,696,646</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at July 2, 2017 and December 31, 2016</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w w:val="99"/>
              </w:rPr>
              <w:t>Common stock, shares issued: 299,281,967 at July 2, 2017 and December 31, 2016</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Class B common stock, shares issued: 60,619,777 at July 2, 2017 and December 31, 2016</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904,588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869,857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6,187,409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6,115,961</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3"/>
              </w:rPr>
              <w:t>Treasury—common stock shares, at cost: 147,487,088 at July 2, 2017 and 147,642,009 at</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December 31, 2016</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(6,240,629)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(6,183,975)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(375,888)</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855,305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785,856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869,982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827,687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5,380,228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July 3, 2016</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interests</w:t>
            </w:r>
          </w:p>
        </w:tc>
        <w:tc>
          <w:tcPr>
            <w:tcW w:w="150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300,975</w:t>
            </w:r>
          </w:p>
        </w:tc>
        <w:tc>
          <w:tcPr>
            <w:tcW w:w="120" w:type="dxa"/>
            <w:vAlign w:val="bottom"/>
          </w:tcPr>
          <w:p>
            <w:pPr>
              <w:spacing w:after="0"/>
              <w:rPr>
                <w:sz w:val="22"/>
                <w:szCs w:val="22"/>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375,788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132,079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156,779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24,557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26,208</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15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(44,484)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(5,615)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 7)</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10,263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15,061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settlement of SGM liability (see Note 2)</w:t>
            </w:r>
          </w:p>
        </w:tc>
        <w:tc>
          <w:tcPr>
            <w:tcW w:w="1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(26,650)</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Other</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26,418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32,479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Changes in assets and liabilities, net of business acquisitions: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receivable—trade, net</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163,924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118,932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Inventories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(190,759)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(110,987)</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15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(40,162)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(32,909)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(140,937)</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Accrued income taxes</w:t>
            </w:r>
          </w:p>
        </w:tc>
        <w:tc>
          <w:tcPr>
            <w:tcW w:w="15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(74,638)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(38,301)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Contributions to pension and other benefits plans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(16,544)</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Other assets and liabilities</w:t>
            </w:r>
          </w:p>
        </w:tc>
        <w:tc>
          <w:tcPr>
            <w:tcW w:w="1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12,302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15,406</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5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335,734</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368,710</w:t>
            </w:r>
          </w:p>
        </w:tc>
        <w:tc>
          <w:tcPr>
            <w:tcW w:w="0" w:type="dxa"/>
            <w:vAlign w:val="bottom"/>
          </w:tcPr>
          <w:p>
            <w:pPr>
              <w:spacing w:after="0"/>
              <w:rPr>
                <w:sz w:val="1"/>
                <w:szCs w:val="1"/>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additions (including software)</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(84,687)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(104,109)</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Proceeds from sales of property, plant and equipment</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(16,763)</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15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(285,374)</w:t>
            </w:r>
          </w:p>
        </w:tc>
        <w:tc>
          <w:tcPr>
            <w:tcW w:w="0" w:type="dxa"/>
            <w:vAlign w:val="bottom"/>
          </w:tcPr>
          <w:p>
            <w:pPr>
              <w:spacing w:after="0"/>
              <w:rPr>
                <w:sz w:val="1"/>
                <w:szCs w:val="1"/>
                <w:color w:val="auto"/>
              </w:rPr>
            </w:pPr>
          </w:p>
        </w:tc>
      </w:tr>
      <w:tr>
        <w:trPr>
          <w:trHeight w:val="256"/>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15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(106,237)</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(404,589)</w:t>
            </w:r>
          </w:p>
        </w:tc>
        <w:tc>
          <w:tcPr>
            <w:tcW w:w="0" w:type="dxa"/>
            <w:vAlign w:val="bottom"/>
          </w:tcPr>
          <w:p>
            <w:pPr>
              <w:spacing w:after="0"/>
              <w:rPr>
                <w:sz w:val="1"/>
                <w:szCs w:val="1"/>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short-term debt</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630,121</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15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SGM liability (see Note 2)</w:t>
            </w:r>
          </w:p>
        </w:tc>
        <w:tc>
          <w:tcPr>
            <w:tcW w:w="1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(35,762)</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15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(256,128)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(243,139)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15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(452,580)</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1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54,826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39,147</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1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(315,140)</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(62,213)</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5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2,738</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 cash and cash equivalents</w:t>
            </w:r>
          </w:p>
        </w:tc>
        <w:tc>
          <w:tcPr>
            <w:tcW w:w="15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(82,905)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(96,344)</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1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296,967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346,529</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1500" w:type="dxa"/>
            <w:vAlign w:val="bottom"/>
            <w:tcBorders>
              <w:bottom w:val="single" w:sz="8" w:color="auto"/>
            </w:tcBorders>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214,062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250,185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8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150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49,565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42,005</w:t>
            </w:r>
          </w:p>
        </w:tc>
        <w:tc>
          <w:tcPr>
            <w:tcW w:w="0" w:type="dxa"/>
            <w:vAlign w:val="bottom"/>
          </w:tcPr>
          <w:p>
            <w:pPr>
              <w:spacing w:after="0"/>
              <w:rPr>
                <w:sz w:val="1"/>
                <w:szCs w:val="1"/>
                <w:color w:val="auto"/>
              </w:rPr>
            </w:pPr>
          </w:p>
        </w:tc>
      </w:tr>
      <w:tr>
        <w:trPr>
          <w:trHeight w:val="258"/>
        </w:trPr>
        <w:tc>
          <w:tcPr>
            <w:tcW w:w="6980" w:type="dxa"/>
            <w:vAlign w:val="bottom"/>
          </w:tcPr>
          <w:p>
            <w:pPr>
              <w:spacing w:after="0"/>
              <w:rPr>
                <w:sz w:val="20"/>
                <w:szCs w:val="20"/>
                <w:color w:val="auto"/>
              </w:rPr>
            </w:pPr>
            <w:r>
              <w:rPr>
                <w:rFonts w:ascii="Arial" w:cs="Arial" w:eastAsia="Arial" w:hAnsi="Arial"/>
                <w:sz w:val="14"/>
                <w:szCs w:val="14"/>
                <w:color w:val="auto"/>
              </w:rPr>
              <w:t>Income taxes paid</w:t>
            </w:r>
          </w:p>
        </w:tc>
        <w:tc>
          <w:tcPr>
            <w:tcW w:w="15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265,756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239,501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42" w:lineRule="exact"/>
        <w:rPr>
          <w:sz w:val="20"/>
          <w:szCs w:val="20"/>
          <w:color w:val="auto"/>
        </w:rPr>
      </w:pPr>
    </w:p>
    <w:p>
      <w:pPr>
        <w:ind w:right="540"/>
        <w:spacing w:after="0" w:line="253" w:lineRule="auto"/>
        <w:rPr>
          <w:sz w:val="20"/>
          <w:szCs w:val="20"/>
          <w:color w:val="auto"/>
        </w:rPr>
      </w:pPr>
      <w:r>
        <w:rPr>
          <w:rFonts w:ascii="Arial" w:cs="Arial" w:eastAsia="Arial" w:hAnsi="Arial"/>
          <w:sz w:val="14"/>
          <w:szCs w:val="14"/>
          <w:color w:val="auto"/>
        </w:rPr>
        <w:t>Dividends (including dividend equivalents):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Common Stock, $1.236 per share</w:t>
      </w:r>
    </w:p>
    <w:p>
      <w:pPr>
        <w:spacing w:after="0" w:line="53" w:lineRule="exact"/>
        <w:rPr>
          <w:sz w:val="20"/>
          <w:szCs w:val="20"/>
          <w:color w:val="auto"/>
        </w:rPr>
      </w:pPr>
    </w:p>
    <w:p>
      <w:pPr>
        <w:ind w:left="240"/>
        <w:spacing w:after="0" w:line="253" w:lineRule="auto"/>
        <w:rPr>
          <w:sz w:val="20"/>
          <w:szCs w:val="20"/>
          <w:color w:val="auto"/>
        </w:rPr>
      </w:pPr>
      <w:r>
        <w:rPr>
          <w:rFonts w:ascii="Arial" w:cs="Arial" w:eastAsia="Arial" w:hAnsi="Arial"/>
          <w:sz w:val="14"/>
          <w:szCs w:val="14"/>
          <w:color w:val="auto"/>
          <w:shd w:val="clear" w:color="auto" w:fill="CCEEFF"/>
        </w:rPr>
        <w:t>Class B Common Stock, $1.124 per share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right="600"/>
        <w:spacing w:after="0" w:line="486" w:lineRule="auto"/>
        <w:rPr>
          <w:sz w:val="20"/>
          <w:szCs w:val="20"/>
          <w:color w:val="auto"/>
        </w:rPr>
      </w:pPr>
      <w:r>
        <w:rPr>
          <w:rFonts w:ascii="Arial" w:cs="Arial" w:eastAsia="Arial" w:hAnsi="Arial"/>
          <w:sz w:val="13"/>
          <w:szCs w:val="13"/>
          <w:color w:val="auto"/>
        </w:rPr>
        <w:t xml:space="preserve">Repurchase of common stock </w:t>
      </w:r>
      <w:r>
        <w:rPr>
          <w:rFonts w:ascii="Arial" w:cs="Arial" w:eastAsia="Arial" w:hAnsi="Arial"/>
          <w:sz w:val="13"/>
          <w:szCs w:val="13"/>
          <w:b w:val="1"/>
          <w:bCs w:val="1"/>
          <w:color w:val="auto"/>
        </w:rPr>
        <w:t>Balance, July 2, 2017</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Arial" w:cs="Arial" w:eastAsia="Arial" w:hAnsi="Arial"/>
          <w:sz w:val="18"/>
          <w:szCs w:val="18"/>
          <w:b w:val="1"/>
          <w:bCs w:val="1"/>
          <w:color w:val="auto"/>
        </w:rPr>
        <w:t>THE HERSHEY COMPANY</w:t>
      </w:r>
    </w:p>
    <w:p>
      <w:pPr>
        <w:ind w:left="600"/>
        <w:spacing w:after="0" w:line="203" w:lineRule="auto"/>
        <w:rPr>
          <w:sz w:val="20"/>
          <w:szCs w:val="20"/>
          <w:color w:val="auto"/>
        </w:rPr>
      </w:pPr>
      <w:r>
        <w:rPr>
          <w:rFonts w:ascii="Arial" w:cs="Arial" w:eastAsia="Arial" w:hAnsi="Arial"/>
          <w:sz w:val="18"/>
          <w:szCs w:val="18"/>
          <w:b w:val="1"/>
          <w:bCs w:val="1"/>
          <w:color w:val="auto"/>
        </w:rPr>
        <w:t>CONSOLIDATED STATEMENT OF STOCKHOLDERS’ EQUITY</w:t>
      </w:r>
    </w:p>
    <w:p>
      <w:pPr>
        <w:jc w:val="center"/>
        <w:ind w:right="264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640"/>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Retained</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$ 299,281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60,620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869,857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6,115,961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w w:val="96"/>
              </w:rPr>
              <w:t>$ (6,183,975)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328,545</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300,975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20,340</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(188,961)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(188,961)</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(68,136)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(68,136)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23,243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23,243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43,338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54,826</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(99,992)</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$ 299,281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60,620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904,588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6,187,409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w w:val="96"/>
              </w:rPr>
              <w:t>$ (6,240,629)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(355,964)</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14,677</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869,982</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-1714500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-1371600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-977265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-582295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0" w:lineRule="exact"/>
        <w:rPr>
          <w:sz w:val="20"/>
          <w:szCs w:val="20"/>
          <w:color w:val="auto"/>
        </w:rPr>
      </w:pPr>
    </w:p>
    <w:p>
      <w:pPr>
        <w:jc w:val="center"/>
        <w:ind w:right="264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300" w:space="300"/>
            <w:col w:w="8780"/>
          </w:cols>
          <w:pgMar w:left="28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results for the quarter ended July 2, 2017 may not be indicative of the results that may be expected for the year ending December 31, 2017 because of seasonal effects on our business. These financial statements should be read in conjunction with our Annual Report on Form 10-K for the year ended December 31, 2016 (our “2016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prior period amounts have been reclassified to conform to current year presentation. Specifically, this includes amounts reclassified to conform to the current year presentation in the Consolidated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outlines a single comprehensive model for entities to use in accounting for revenue arising from contracts with customers that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most current revenue recognition guidance. This guidance requires an entity to recognize revenue when it transfers promised goods or services to customers in an amount that reflects the consideration to which the entity expects to be entitled in exchange for those goods or services. The guidance also requires additional financial statement disclosures that will enable users to understand the nature, amount, timing and uncertainty of revenue and cash flows relating to customer contracts. The new standard was originally effective for us on January 1, 2017; however, in July 2015 the FASB decided to defer the effective date by one year. Early application is not permitted, but reporting entities may choose to adopt the standard as of the original effective date. The standard permits the use of either the full retrospective or modified retrospective transition method.</w:t>
      </w:r>
    </w:p>
    <w:p>
      <w:pPr>
        <w:spacing w:after="0" w:line="1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2017, we have substantially completed our assessment of the new standard and we do not expect our adoption of the new standard to have a material impact on our consolidated financial statements. We currently plan to adopt the requirements of the new standard in the first quarter of 2018 utilizing the modified retrospective transition method.</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in the process of developing an inventory of our lease arrangements in order to determine the impact that the adoption of ASU 2016-02 will have on our consolidated financial statements and related disclosures. Based on our assessment to date,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We adopted the provisions of this ASU in the first quarter of 2017. This update principally affects the recognition of excess tax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deficiencies and the cash flow classification of share-based compensation-related transactions. The requirement to recognize excess tax benefits and deficiencies as income tax expense or benefit in the income statement was applied prospectively, with a benefit of $7,228 recognized during the six months ended July 2, 2017. Additionally, within the Consolidated Statement of Cash Flows, the impact of the adoption resulted in a $14,551 increase in net cash flow from operating activities and a corresponding decrease in net cash flow from financing activities for the six months ended July 2, 2017. These classification requirements were adopted retrospectively to the Consolidated Statement of Cash Flows for the six months ended July 3, 2016, resulting in a $21,612 increase in net cash flow from operating activities and a corresponding $21,612 decrease in net cash flow from financing activities.</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will require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ASU 2017-07 is effective for us beginning January 1, 2018, with early adoption permitted as of the beginning of a financial year. We currently plan to adopt the requirements of the new standard in the first quarter of 2018 and expect the adoption to impact only classification within our Consolidated Statement of Income.</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of the acquisitions is allocated to the assets acquired and liabilities assumed.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On April 26,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is largely sold in the United States in take-home resealable packages and is available in the club channel, as well as select natural and conventional grocers. Our consolidated net sales for the year ended December 31, 2016 included approximately $35,600 attributed to </w:t>
      </w:r>
      <w:r>
        <w:rPr>
          <w:rFonts w:ascii="Arial" w:cs="Arial" w:eastAsia="Arial" w:hAnsi="Arial"/>
          <w:sz w:val="18"/>
          <w:szCs w:val="18"/>
          <w:i w:val="1"/>
          <w:iCs w:val="1"/>
          <w:color w:val="auto"/>
        </w:rPr>
        <w:t>barkTHINS</w:t>
      </w:r>
      <w:r>
        <w:rPr>
          <w:rFonts w:ascii="Arial" w:cs="Arial" w:eastAsia="Arial" w:hAnsi="Arial"/>
          <w:sz w:val="18"/>
          <w:szCs w:val="18"/>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57"/>
        </w:trPr>
        <w:tc>
          <w:tcPr>
            <w:tcW w:w="9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 (“SGM”)</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3, 2016, we completed the purchase of the remaining 20% of the outstanding shares of SGM for cash consideration totaling $35,762, pursuant to a new agreement entered into during the fourth quarter of 2015 with the SGM selling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Unaudited Consolidated Statements of Cash Flows.</w:t>
      </w:r>
    </w:p>
    <w:p>
      <w:pPr>
        <w:spacing w:after="0" w:line="2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Unaudited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July 2,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812,344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5,724</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2, 2017</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818,068</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1040"/>
              <w:spacing w:after="0"/>
              <w:rPr>
                <w:sz w:val="20"/>
                <w:szCs w:val="20"/>
                <w:color w:val="auto"/>
              </w:rPr>
            </w:pPr>
            <w:r>
              <w:rPr>
                <w:rFonts w:ascii="Arial" w:cs="Arial" w:eastAsia="Arial" w:hAnsi="Arial"/>
                <w:sz w:val="16"/>
                <w:szCs w:val="16"/>
                <w:b w:val="1"/>
                <w:bCs w:val="1"/>
                <w:color w:val="auto"/>
              </w:rPr>
              <w:t>July 2, 2017</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270,383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317,023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(30,458)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(36,482)</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40,253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378,271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492,737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7, 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$105,992 representing the portion of the impairment loss that was allocated to the distributor relationship and trademark intangible assets that had been recognized in connection with the 2014 SGM 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Total amortization expense for the three months ended July 2, 2017 and July 3, 2016 was $5,407 and $5,964, respectively. Total amortization expense for the six months ended July 2, 2017 and July 3, 2016 was $12,558 and $11,144,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w:t>
      </w:r>
    </w:p>
    <w:p>
      <w:pPr>
        <w:spacing w:after="0" w:line="12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credit agreement contains certain financial and other covenants, customary representations, warranties and events of default. As of July 2, 2017, we were in compliance with all covenants pertaining to the credit agreement, and we had no significant compensating balance agreements that legally restricted these funds. For more information, refer to the Consolidated Financial Statements included in our 2016 Annual Report on Form 10-K.</w:t>
      </w:r>
    </w:p>
    <w:p>
      <w:pPr>
        <w:spacing w:after="0" w:line="1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$142,521 at July 2, 2017 and $158,805 at December 31, 2016. Commitment fees relating to our revolving credit facility and lines of credit are not material.</w:t>
      </w:r>
    </w:p>
    <w:p>
      <w:pPr>
        <w:spacing w:after="0" w:line="1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July 2, 2017, we had outstanding commercial paper totaling $479,444, at a weighted average interest rate of 1.1%. At December 31, 2016, we had outstanding commercial paper totaling $473,666, at a weighted average interest rate of 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2, 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4.125% Notes due 2020</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2.625% Notes due 2023</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2.30% Notes due 2026</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3.375% Notes due 2046</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83,619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2,349,845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2,347,698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Less—current portion</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2,349,756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2,347,455</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30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 2016</w:t>
            </w:r>
          </w:p>
        </w:tc>
        <w:tc>
          <w:tcPr>
            <w:tcW w:w="300" w:type="dxa"/>
            <w:vAlign w:val="bottom"/>
          </w:tcPr>
          <w:p>
            <w:pPr>
              <w:spacing w:after="0"/>
              <w:rPr>
                <w:sz w:val="22"/>
                <w:szCs w:val="22"/>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300" w:type="dxa"/>
            <w:vAlign w:val="bottom"/>
          </w:tcPr>
          <w:p>
            <w:pPr>
              <w:spacing w:after="0"/>
              <w:rPr>
                <w:sz w:val="22"/>
                <w:szCs w:val="22"/>
                <w:color w:val="auto"/>
              </w:rPr>
            </w:pP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July 3, 2016</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46,522</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42,961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47,867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42,343</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and options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$423,345 as of July 2, 2017 and $739,374 as of December 31, 2016.</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11,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and options to hedge these exposures for periods ranging from 3 to 12 months. The contracts are either designated as cash flow hedges or are undesignated. The net notional amount of foreign exchange contracts accounted for as cash flow hedges was $114,870 at July 2, 2017 and $68,263 at December 31, 2016.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July 2, 2017 and December 31, 2016. The change in fair value on these instruments is recorded directly in cost of sales or selling, marketing and administrative expense, depending on the nature of the underlying exposure.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At July 2, 2017 and December 31, 2016, we had interest rate derivative instruments in fair value hedging relationships with a total notional amount of $350,000.</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July 2, 2017 and December 31, 2016 was $23,440 and $22,099, respectively.</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classification of derivative assets and liabilities within the Consolidated Balance Sheets as of July 2, 2017 and December 31,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3040" w:type="dxa"/>
            <w:vAlign w:val="bottom"/>
            <w:gridSpan w:val="5"/>
          </w:tcPr>
          <w:p>
            <w:pPr>
              <w:ind w:left="94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17,037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10,825</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20" w:hanging="330"/>
        <w:spacing w:after="0" w:line="30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July 2, 2017, assets and liabilities include the net of assets of $52,895 and liabilities of $41,337 associated with cash transfers receivable or payable on commodities futures contracts reflecting the change in quoted market prices on the last trading day for the period. The comparable amounts reflected on a net basis in liabilities at December 31, 2016 were assets of $140,885 and liabilities of $150,872. At July 2, 2017 and December 31, 2016, the remaining amount reflected in assets and liabilities relates to the fair value of other non-exchange traded derivative instruments,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July 2, 2017 and July 3, 2016 was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7"/>
              </w:rPr>
              <w:t>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(632)</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3,867</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for the six months ended July 2, 2017 and July 3, 2016 was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7"/>
              </w:rPr>
              <w:t>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(38,055)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(2,206)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645</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(37,461)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11,776</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amount of pretax net losses on derivative instruments, including interest rate swap agreements, foreign currency forward exchange contracts and options, commodities futures and options contracts, and other commodity derivative instruments expected to be reclassified from AOCI into earnings in the next 12 months was approximately $11,017 as of July 2, 2017. This amount is primarily associated with deferred losses relating to interest rate swap agreements.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three months ended July 2, 2017 and July 3, 2016, we recognized a net pretax benefit to interest expense of $732 and $1,137 relating to our fixed-to-floating interest swap arrangements. For the six months ended July 2, 2017 and July 3, 2016, we recognized a net pretax benefit to interest expense of $1,630 and $2,454 relating to our fixed-to-floating interest swap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July 2, 2017 and December 31, 2016:</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July 2, 2017: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14,050</w:t>
            </w: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r>
      <w:tr>
        <w:trPr>
          <w:trHeight w:val="243"/>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2,348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594"/>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8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July 2, 2017 and July 3, 2016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gridSpan w:val="5"/>
          </w:tcPr>
          <w:p>
            <w:pPr>
              <w:ind w:left="130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372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2, 2017</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Pr>
          <w:p>
            <w:pPr>
              <w:spacing w:after="0"/>
              <w:rPr>
                <w:sz w:val="20"/>
                <w:szCs w:val="20"/>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2, 2017</w:t>
            </w:r>
          </w:p>
        </w:tc>
        <w:tc>
          <w:tcPr>
            <w:tcW w:w="220" w:type="dxa"/>
            <w:vAlign w:val="bottom"/>
          </w:tcPr>
          <w:p>
            <w:pPr>
              <w:spacing w:after="0"/>
              <w:rPr>
                <w:sz w:val="20"/>
                <w:szCs w:val="20"/>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2016</w:t>
            </w:r>
          </w:p>
        </w:tc>
      </w:tr>
      <w:tr>
        <w:trPr>
          <w:trHeight w:val="33"/>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2,410,521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2,379,054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2,349,756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2,347,455</w:t>
            </w: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2,410,610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2,379,297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2,349,845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2,347,698</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assets and liabilities that are recorded at fair value on a recurring basis, GAAP requires that, under certain circumstances, we also record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at fair value on a nonrecurring basis. Generally, assets are recorded at fair value on a nonrecurring basis as a result of impairment charges.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7, we recorded impairment charges totaling $105,992 to write-down distributor relationship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during the three and six months ended July 2, 2017 and July 3, 2016 related to these activities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2017</w:t>
            </w: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2016</w:t>
            </w: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2017</w:t>
            </w:r>
          </w:p>
        </w:tc>
        <w:tc>
          <w:tcPr>
            <w:tcW w:w="280" w:type="dxa"/>
            <w:vAlign w:val="bottom"/>
          </w:tcPr>
          <w:p>
            <w:pPr>
              <w:spacing w:after="0"/>
              <w:rPr>
                <w:sz w:val="22"/>
                <w:szCs w:val="22"/>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July 3, 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30,455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33,478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9,408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Pension settlement charge</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12,646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5,401</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business realignment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61,442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76,525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costs and related benefits to be derived from the Margin for Growth Program relate approximately 80% to the North America segment and 20% to the International and Other segment for the three months ended July 2, 2017. The costs and related benefits to be derived from the Margin for Growth Program relate approximately 40% to the North America segment and 60% to the International and Other segment for the six months ended July 2, 2017. The costs and related benefits to be derived from the Operational Optimization Program primarily relate to the North America segment in 2017 and to the International and Other segment in 2016. The costs and related benefits to be derived from the 2015 Productivity Initiative relate primarily to the North American segment. However, segment operating results do not include these business realignment expenses because we evaluate segment performance excluding such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estimates that the “Margin for Growth” program will result in total pre-tax charges of $375,000 to $425,000 over the next three years.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$175,000 to $200,000. At the conclusion of the program in 2019, ongoing annual savings are expected to be approximately $150,000 to $175,000. The Company expects that implementation of the program will reduce its global workforce by approximately 15%, with a majority of the reductions coming from hourly headcount positions outside of the United States.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program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within the long-lived asset impairment charges caption within the Consolidated Statements of Operations.</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three and six months ended July 2, 2017, we recognized estimated employee severance totaling $888 and $30,455, respectively. These charges relate largely to our initiative to improve the cost structure of our China business, as well as our initiative to further streamline our corporate operating model. We also recognized non-cash, asset-related incremental depreciation expense totaling $6,873 for the three and six months ended July 2, 2017 as part of optimizing the North America supply chain. During the three and six months ended July 2, 2017, we also recognized other program costs totaling $6,381 and $11,203, respectively. These charges relate primarily to third-party charges for our initiative of improving global efficiency and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three months ended July 2, 2017, we recognized costs of $312. During the six months ended July 2, 2017, we recognized costs of $12,911 primarily related to employee severance associated with the workforce planning efforts within North America. We currently expect to incur additional cash costs of approximately $9,000 over the next two years to complete this program.</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2017, we reclassified property, plant and equipment and land use rights with a total book value of $20,303 to prepaid and other current assets within the Consolidated Balance Sheets. These represent select China facilities that were taken out of operation in connection with this program and are currently being marketed for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We incurred total costs of $125,031 relating to this program, including pension settlement charges of $12,646 recorded through the six months ended July 3, 2016 relating to lump sum withdrawals by employees retiring or leaving the Company as a result of this program.</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associated with business realignment activities are classified in our Consolidated Statements of Income for the three and six months ended July 2, 2017 and July 3, 2016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 2016</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3, 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14,809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28,238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62,095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61,442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76,525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employee-related costs qualifying as exit and disposal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ind w:right="891"/>
              <w:spacing w:after="0"/>
              <w:rPr>
                <w:sz w:val="20"/>
                <w:szCs w:val="20"/>
                <w:color w:val="auto"/>
              </w:rPr>
            </w:pPr>
            <w:r>
              <w:rPr>
                <w:rFonts w:ascii="Arial" w:cs="Arial" w:eastAsia="Arial" w:hAnsi="Arial"/>
                <w:sz w:val="16"/>
                <w:szCs w:val="16"/>
                <w:b w:val="1"/>
                <w:bCs w:val="1"/>
                <w:color w:val="auto"/>
              </w:rPr>
              <w:t>Total</w:t>
            </w:r>
          </w:p>
        </w:tc>
      </w:tr>
      <w:tr>
        <w:trPr>
          <w:trHeight w:val="33"/>
        </w:trPr>
        <w:tc>
          <w:tcPr>
            <w:tcW w:w="9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2017 business realignment charges (1)</w:t>
            </w:r>
          </w:p>
        </w:tc>
        <w:tc>
          <w:tcPr>
            <w:tcW w:w="54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53,591</w:t>
            </w:r>
          </w:p>
        </w:tc>
      </w:tr>
      <w:tr>
        <w:trPr>
          <w:trHeight w:val="27"/>
        </w:trPr>
        <w:tc>
          <w:tcPr>
            <w:tcW w:w="9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(13,394)</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(171)</w:t>
            </w:r>
          </w:p>
        </w:tc>
      </w:tr>
      <w:tr>
        <w:trPr>
          <w:trHeight w:val="27"/>
        </w:trPr>
        <w:tc>
          <w:tcPr>
            <w:tcW w:w="9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July 2, 2017 (reported within accrued and other long-term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43,751</w:t>
            </w:r>
          </w:p>
        </w:tc>
      </w:tr>
      <w:tr>
        <w:trPr>
          <w:trHeight w:val="20"/>
        </w:trPr>
        <w:tc>
          <w:tcPr>
            <w:tcW w:w="9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540" w:hanging="330"/>
        <w:spacing w:after="0" w:line="264" w:lineRule="auto"/>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costs reflected in the liability roll-forward above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20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majority of our taxable income is generated in the U.S. and taxed at the U.S. statutory rate of 35%. The effective tax rates for the six months ended July 2, 2017 and July 3, 2016 were 33.0% and 34.4%, respectively. Relative to the statutory rate, the 2017 effective tax rate was impacted by favorable foreign rate differential relating to our cocoa procurement operations, investment tax credits and the benefit of ASU 2016-09, which were partially offset by non-benefited costs resulting from the Margin for Growth Program. The 2016 effective rate benefited from investment tax credits and from the impact of non-taxable income related to the settlement of the SGM liability.</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$3,910 within the next 12 months because of the expiration of statutes of limitations and settlements of tax audits.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second quarter were as follows:</w:t>
      </w:r>
    </w:p>
    <w:p>
      <w:pPr>
        <w:spacing w:after="0" w:line="185" w:lineRule="exact"/>
        <w:rPr>
          <w:sz w:val="20"/>
          <w:szCs w:val="20"/>
          <w:color w:val="auto"/>
        </w:rPr>
      </w:pPr>
    </w:p>
    <w:p>
      <w:pPr>
        <w:ind w:left="5240"/>
        <w:spacing w:after="0"/>
        <w:tabs>
          <w:tab w:leader="none" w:pos="898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86"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280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4460"/>
        <w:spacing w:after="0"/>
        <w:tabs>
          <w:tab w:leader="none" w:pos="6300" w:val="left"/>
        </w:tabs>
        <w:rPr>
          <w:sz w:val="20"/>
          <w:szCs w:val="20"/>
          <w:color w:val="auto"/>
        </w:rPr>
      </w:pPr>
      <w:r>
        <w:rPr>
          <w:rFonts w:ascii="Arial" w:cs="Arial" w:eastAsia="Arial" w:hAnsi="Arial"/>
          <w:sz w:val="16"/>
          <w:szCs w:val="16"/>
          <w:b w:val="1"/>
          <w:bCs w:val="1"/>
          <w:color w:val="auto"/>
        </w:rPr>
        <w:t>July 2, 2017</w:t>
      </w:r>
      <w:r>
        <w:rPr>
          <w:sz w:val="20"/>
          <w:szCs w:val="20"/>
          <w:color w:val="auto"/>
        </w:rPr>
        <w:tab/>
      </w:r>
      <w:r>
        <w:rPr>
          <w:rFonts w:ascii="Arial" w:cs="Arial" w:eastAsia="Arial" w:hAnsi="Arial"/>
          <w:sz w:val="14"/>
          <w:szCs w:val="14"/>
          <w:b w:val="1"/>
          <w:bCs w:val="1"/>
          <w:color w:val="auto"/>
        </w:rPr>
        <w:t>July 3, 2016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37465</wp:posOffset>
            </wp:positionV>
            <wp:extent cx="2280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July 2, 2017</w:t>
      </w:r>
      <w:r>
        <w:rPr>
          <w:sz w:val="20"/>
          <w:szCs w:val="20"/>
          <w:color w:val="auto"/>
        </w:rPr>
        <w:tab/>
      </w:r>
      <w:r>
        <w:rPr>
          <w:rFonts w:ascii="Arial" w:cs="Arial" w:eastAsia="Arial" w:hAnsi="Arial"/>
          <w:sz w:val="14"/>
          <w:szCs w:val="14"/>
          <w:b w:val="1"/>
          <w:bCs w:val="1"/>
          <w:color w:val="auto"/>
        </w:rPr>
        <w:t>July 3, 2016</w:t>
      </w:r>
    </w:p>
    <w:p>
      <w:pPr>
        <w:spacing w:after="0" w:line="39" w:lineRule="exact"/>
        <w:rPr>
          <w:sz w:val="20"/>
          <w:szCs w:val="20"/>
          <w:color w:val="auto"/>
        </w:rPr>
      </w:pPr>
    </w:p>
    <w:p>
      <w:pPr>
        <w:sectPr>
          <w:pgSz w:w="11900" w:h="16838" w:orient="portrait"/>
          <w:cols w:equalWidth="0" w:num="2">
            <w:col w:w="7440" w:space="720"/>
            <w:col w:w="32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10,999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2,429</w:t>
            </w:r>
          </w:p>
        </w:tc>
      </w:tr>
      <w:tr>
        <w:trPr>
          <w:trHeight w:val="27"/>
        </w:trPr>
        <w:tc>
          <w:tcPr>
            <w:tcW w:w="4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4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16,938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27,344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r>
      <w:tr>
        <w:trPr>
          <w:trHeight w:val="20"/>
        </w:trPr>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made contributions of $293 and $7,580 to the pension plans and other benefits plans, respectively, during the second quarter of 2017. In the second quarter of 2016, we made contributions of $661 and $7,044 to our pension plans and other benefits plans, respectively. The contributions in 2017 and 2016 also included benefit payments from our non-qualified pension plans and post-retirement benefit plans.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year-to-date periods were as follows:</w:t>
      </w:r>
    </w:p>
    <w:p>
      <w:pPr>
        <w:spacing w:after="0" w:line="185" w:lineRule="exact"/>
        <w:rPr>
          <w:sz w:val="20"/>
          <w:szCs w:val="20"/>
          <w:color w:val="auto"/>
        </w:rPr>
      </w:pPr>
    </w:p>
    <w:p>
      <w:pPr>
        <w:jc w:val="right"/>
        <w:ind w:right="1400"/>
        <w:spacing w:after="0"/>
        <w:tabs>
          <w:tab w:leader="none" w:pos="98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4631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86"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280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4460"/>
        <w:spacing w:after="0"/>
        <w:tabs>
          <w:tab w:leader="none" w:pos="6300" w:val="left"/>
        </w:tabs>
        <w:rPr>
          <w:sz w:val="20"/>
          <w:szCs w:val="20"/>
          <w:color w:val="auto"/>
        </w:rPr>
      </w:pPr>
      <w:r>
        <w:rPr>
          <w:rFonts w:ascii="Arial" w:cs="Arial" w:eastAsia="Arial" w:hAnsi="Arial"/>
          <w:sz w:val="16"/>
          <w:szCs w:val="16"/>
          <w:b w:val="1"/>
          <w:bCs w:val="1"/>
          <w:color w:val="auto"/>
        </w:rPr>
        <w:t>July 2, 2017</w:t>
      </w:r>
      <w:r>
        <w:rPr>
          <w:sz w:val="20"/>
          <w:szCs w:val="20"/>
          <w:color w:val="auto"/>
        </w:rPr>
        <w:tab/>
      </w:r>
      <w:r>
        <w:rPr>
          <w:rFonts w:ascii="Arial" w:cs="Arial" w:eastAsia="Arial" w:hAnsi="Arial"/>
          <w:sz w:val="14"/>
          <w:szCs w:val="14"/>
          <w:b w:val="1"/>
          <w:bCs w:val="1"/>
          <w:color w:val="auto"/>
        </w:rPr>
        <w:t>July 3, 2016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37465</wp:posOffset>
            </wp:positionV>
            <wp:extent cx="2280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July 2, 2017</w:t>
      </w:r>
      <w:r>
        <w:rPr>
          <w:sz w:val="20"/>
          <w:szCs w:val="20"/>
          <w:color w:val="auto"/>
        </w:rPr>
        <w:tab/>
      </w:r>
      <w:r>
        <w:rPr>
          <w:rFonts w:ascii="Arial" w:cs="Arial" w:eastAsia="Arial" w:hAnsi="Arial"/>
          <w:sz w:val="14"/>
          <w:szCs w:val="14"/>
          <w:b w:val="1"/>
          <w:bCs w:val="1"/>
          <w:color w:val="auto"/>
        </w:rPr>
        <w:t>July 3, 2016</w:t>
      </w:r>
    </w:p>
    <w:p>
      <w:pPr>
        <w:spacing w:after="0" w:line="39" w:lineRule="exact"/>
        <w:rPr>
          <w:sz w:val="20"/>
          <w:szCs w:val="20"/>
          <w:color w:val="auto"/>
        </w:rPr>
      </w:pPr>
    </w:p>
    <w:p>
      <w:pPr>
        <w:sectPr>
          <w:pgSz w:w="11900" w:h="16838" w:orient="portrait"/>
          <w:cols w:equalWidth="0" w:num="2">
            <w:col w:w="7440" w:space="720"/>
            <w:col w:w="324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20,499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4,412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4,865</w:t>
            </w:r>
          </w:p>
        </w:tc>
      </w:tr>
      <w:tr>
        <w:trPr>
          <w:trHeight w:val="27"/>
        </w:trPr>
        <w:tc>
          <w:tcPr>
            <w:tcW w:w="4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4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16,938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15,897</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38,067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5,296</w:t>
            </w:r>
          </w:p>
        </w:tc>
      </w:tr>
      <w:tr>
        <w:trPr>
          <w:trHeight w:val="20"/>
        </w:trPr>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made contributions of $4,985 and $14,464 to the pension plans and other benefits plans, respectively, during the first six months of 2017. In the first six months of 2016, we made contributions of $1,836 and $14,708 to our pension plans and other benefits plans, respectively. The contributions in 2017 and 2016 also included benefit payments from our non-qualified pension plans and post-retirement benefit plans.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2017, there are no significant minimum funding requirements for our domestic pension plans and planned voluntary funding of our non-domestic pension plans in 2017 is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 PLANS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2016 Annual Report on Form 10-K.</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11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30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 2016</w:t>
            </w:r>
          </w:p>
        </w:tc>
        <w:tc>
          <w:tcPr>
            <w:tcW w:w="300" w:type="dxa"/>
            <w:vAlign w:val="bottom"/>
          </w:tcPr>
          <w:p>
            <w:pPr>
              <w:spacing w:after="0"/>
              <w:rPr>
                <w:sz w:val="22"/>
                <w:szCs w:val="22"/>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320" w:type="dxa"/>
            <w:vAlign w:val="bottom"/>
          </w:tcPr>
          <w:p>
            <w:pPr>
              <w:spacing w:after="0"/>
              <w:rPr>
                <w:sz w:val="22"/>
                <w:szCs w:val="22"/>
                <w:color w:val="auto"/>
              </w:rPr>
            </w:pPr>
          </w:p>
        </w:tc>
        <w:tc>
          <w:tcPr>
            <w:tcW w:w="1420" w:type="dxa"/>
            <w:vAlign w:val="bottom"/>
          </w:tcPr>
          <w:p>
            <w:pPr>
              <w:jc w:val="right"/>
              <w:ind w:right="416"/>
              <w:spacing w:after="0"/>
              <w:rPr>
                <w:sz w:val="20"/>
                <w:szCs w:val="20"/>
                <w:color w:val="auto"/>
              </w:rPr>
            </w:pPr>
            <w:r>
              <w:rPr>
                <w:rFonts w:ascii="Arial" w:cs="Arial" w:eastAsia="Arial" w:hAnsi="Arial"/>
                <w:sz w:val="14"/>
                <w:szCs w:val="14"/>
                <w:b w:val="1"/>
                <w:bCs w:val="1"/>
                <w:color w:val="auto"/>
              </w:rPr>
              <w:t>July 3, 2016</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26,208</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30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8,780</w:t>
            </w:r>
          </w:p>
        </w:tc>
      </w:tr>
    </w:tbl>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July 2, 2017, total stock-based compensation cost related to non-vested awards not yet recognized was $84,616 and the weighted-average period over which this amount is expected to be recognized was approximately 2.3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July 2,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36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22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6,192,008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82.67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6.2 years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1,086,175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108.05</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(908,712)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70.13</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(186,032)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103.43</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July 2, 2017</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6,183,439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88.35</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6.2 years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150,493</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Options exercisable as of July 2, 2017</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3,870,198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80.60</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4.7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124,202</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weighted-average fair value of options granted was $15.77 and $11.42 per share for the periods ended July 2, 2017 and July 3, 2016, respectively. The fair value was estimated on the date of grant using a Black-Scholes option-pricing model and the following weighted-average assumptions:</w:t>
      </w:r>
    </w:p>
    <w:p>
      <w:pPr>
        <w:spacing w:after="0" w:line="12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9"/>
              </w:rPr>
              <w:t>July 2, 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July 3, 2016</w:t>
            </w: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7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0" w:type="dxa"/>
            <w:vAlign w:val="bottom"/>
          </w:tcPr>
          <w:p>
            <w:pPr>
              <w:jc w:val="right"/>
              <w:ind w:right="94"/>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$36,507 and $49,091 for the periods ended July 2, 2017 and July 3, 2016,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July 2,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828,228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418,369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19,671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(205,327)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(109,328)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July 2, 2017</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951,613</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above includes 6,410 units of PSUs awarded to participants in a prior period for which the measurement (grant) date occurred for accounting purposes in 2017.</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2, 2017</w:t>
            </w:r>
          </w:p>
        </w:tc>
        <w:tc>
          <w:tcPr>
            <w:tcW w:w="580" w:type="dxa"/>
            <w:vAlign w:val="bottom"/>
          </w:tcPr>
          <w:p>
            <w:pPr>
              <w:spacing w:after="0"/>
              <w:rPr>
                <w:sz w:val="22"/>
                <w:szCs w:val="22"/>
                <w:color w:val="auto"/>
              </w:rPr>
            </w:pPr>
          </w:p>
        </w:tc>
        <w:tc>
          <w:tcPr>
            <w:tcW w:w="1420" w:type="dxa"/>
            <w:vAlign w:val="bottom"/>
          </w:tcPr>
          <w:p>
            <w:pPr>
              <w:jc w:val="right"/>
              <w:ind w:right="553"/>
              <w:spacing w:after="0"/>
              <w:rPr>
                <w:sz w:val="20"/>
                <w:szCs w:val="20"/>
                <w:color w:val="auto"/>
              </w:rPr>
            </w:pPr>
            <w:r>
              <w:rPr>
                <w:rFonts w:ascii="Arial" w:cs="Arial" w:eastAsia="Arial" w:hAnsi="Arial"/>
                <w:sz w:val="14"/>
                <w:szCs w:val="14"/>
                <w:b w:val="1"/>
                <w:bCs w:val="1"/>
                <w:color w:val="auto"/>
                <w:w w:val="96"/>
              </w:rPr>
              <w:t>July 3, 2016</w:t>
            </w:r>
          </w:p>
        </w:tc>
        <w:tc>
          <w:tcPr>
            <w:tcW w:w="0" w:type="dxa"/>
            <w:vAlign w:val="bottom"/>
          </w:tcPr>
          <w:p>
            <w:pPr>
              <w:spacing w:after="0"/>
              <w:rPr>
                <w:sz w:val="1"/>
                <w:szCs w:val="1"/>
                <w:color w:val="auto"/>
              </w:rPr>
            </w:pPr>
          </w:p>
        </w:tc>
      </w:tr>
      <w:tr>
        <w:trPr>
          <w:trHeight w:val="250"/>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418,369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514,089</w:t>
            </w: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ind w:right="115"/>
              <w:spacing w:after="0"/>
              <w:rPr>
                <w:sz w:val="20"/>
                <w:szCs w:val="20"/>
                <w:color w:val="auto"/>
              </w:rPr>
            </w:pPr>
            <w:r>
              <w:rPr>
                <w:rFonts w:ascii="Arial" w:cs="Arial" w:eastAsia="Arial" w:hAnsi="Arial"/>
                <w:sz w:val="18"/>
                <w:szCs w:val="18"/>
                <w:color w:val="auto"/>
              </w:rPr>
              <w:t>111.06</w:t>
            </w:r>
          </w:p>
        </w:tc>
        <w:tc>
          <w:tcPr>
            <w:tcW w:w="100" w:type="dxa"/>
            <w:vAlign w:val="bottom"/>
          </w:tcPr>
          <w:p>
            <w:pPr>
              <w:spacing w:after="0"/>
              <w:rPr>
                <w:sz w:val="21"/>
                <w:szCs w:val="21"/>
                <w:color w:val="auto"/>
              </w:rPr>
            </w:pP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ind w:right="113"/>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81"/>
        </w:trPr>
        <w:tc>
          <w:tcPr>
            <w:tcW w:w="72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5"/>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$22,206 and $18,079 for the periods ended July 2, 2017 and July 3, 2016, respectively.</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468,845 units as of July 2, 2017.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95"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Shanghai,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components of our operating income are managed centrally at the corporate level and are excluded from the measure of segment income reviewed by the CODM as well the measure of segment performance used for incentive compensation purposes.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Accounting policies associated with our operating segments are generally the same as those described in Note 1 to the Consolidated Financial Statements included in our 2016 Annual Report on Form 10-K.</w:t>
      </w:r>
    </w:p>
    <w:p>
      <w:pPr>
        <w:spacing w:after="0" w:line="11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derivative gains and losses with the underlying economic exposure being hedged and thereby eliminate the mark-to-market volatility within our reported segment income.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3420" w:type="dxa"/>
            <w:vAlign w:val="bottom"/>
            <w:gridSpan w:val="4"/>
          </w:tcPr>
          <w:p>
            <w:pPr>
              <w:jc w:val="right"/>
              <w:ind w:right="11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 2017</w:t>
            </w:r>
          </w:p>
        </w:tc>
        <w:tc>
          <w:tcPr>
            <w:tcW w:w="30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 2016</w:t>
            </w:r>
          </w:p>
        </w:tc>
        <w:tc>
          <w:tcPr>
            <w:tcW w:w="3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2, 2017</w:t>
            </w:r>
          </w:p>
        </w:tc>
        <w:tc>
          <w:tcPr>
            <w:tcW w:w="300" w:type="dxa"/>
            <w:vAlign w:val="bottom"/>
          </w:tcPr>
          <w:p>
            <w:pPr>
              <w:spacing w:after="0"/>
              <w:rPr>
                <w:sz w:val="20"/>
                <w:szCs w:val="20"/>
                <w:color w:val="auto"/>
              </w:rPr>
            </w:pPr>
          </w:p>
        </w:tc>
        <w:tc>
          <w:tcPr>
            <w:tcW w:w="1500" w:type="dxa"/>
            <w:vAlign w:val="bottom"/>
          </w:tcPr>
          <w:p>
            <w:pPr>
              <w:jc w:val="right"/>
              <w:ind w:right="411"/>
              <w:spacing w:after="0"/>
              <w:rPr>
                <w:sz w:val="20"/>
                <w:szCs w:val="20"/>
                <w:color w:val="auto"/>
              </w:rPr>
            </w:pPr>
            <w:r>
              <w:rPr>
                <w:rFonts w:ascii="Arial" w:cs="Arial" w:eastAsia="Arial" w:hAnsi="Arial"/>
                <w:sz w:val="16"/>
                <w:szCs w:val="16"/>
                <w:b w:val="1"/>
                <w:bCs w:val="1"/>
                <w:color w:val="auto"/>
              </w:rPr>
              <w:t>July 3, 2016</w:t>
            </w:r>
          </w:p>
        </w:tc>
      </w:tr>
      <w:tr>
        <w:trPr>
          <w:trHeight w:val="33"/>
        </w:trPr>
        <w:tc>
          <w:tcPr>
            <w:tcW w:w="3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1,477,014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1,444,841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3,154,160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3,078,312</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192,830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388,509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388,171</w:t>
            </w:r>
          </w:p>
        </w:tc>
      </w:tr>
      <w:tr>
        <w:trPr>
          <w:trHeight w:val="297"/>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1,662,991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1,637,671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3,542,669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3,466,483</w:t>
            </w:r>
          </w:p>
        </w:tc>
      </w:tr>
      <w:tr>
        <w:trPr>
          <w:trHeight w:val="311"/>
        </w:trPr>
        <w:tc>
          <w:tcPr>
            <w:tcW w:w="3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425,723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1,013,520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955,113</w:t>
            </w:r>
          </w:p>
        </w:tc>
      </w:tr>
      <w:tr>
        <w:trPr>
          <w:trHeight w:val="243"/>
        </w:trPr>
        <w:tc>
          <w:tcPr>
            <w:tcW w:w="398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(16,695)</w:t>
            </w:r>
          </w:p>
        </w:tc>
      </w:tr>
      <w:tr>
        <w:trPr>
          <w:trHeight w:val="27"/>
        </w:trPr>
        <w:tc>
          <w:tcPr>
            <w:tcW w:w="3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422,261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1,023,611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938,418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123,173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126,623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242,823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248,794</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(39,886)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208,712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Costs associated with business realignment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76,525</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Non-service related pension expense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14,306</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1,462</w:t>
            </w: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315,341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262,762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507,272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602,271</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42,343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(13,097)</w:t>
            </w:r>
          </w:p>
        </w:tc>
      </w:tr>
      <w:tr>
        <w:trPr>
          <w:trHeight w:val="27"/>
        </w:trPr>
        <w:tc>
          <w:tcPr>
            <w:tcW w:w="3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233,296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449,478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573,025</w:t>
            </w: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32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 2017</w:t>
            </w:r>
          </w:p>
        </w:tc>
        <w:tc>
          <w:tcPr>
            <w:tcW w:w="2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 2016</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 2017</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on mark-to-market valuation of</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positions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5"/>
              </w:rPr>
              <w:t>Net losses on commodity derivative positions allocated</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to segment income</w:t>
            </w:r>
          </w:p>
        </w:tc>
        <w:tc>
          <w:tcPr>
            <w:tcW w:w="28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20,963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on mark-to-market valuation of</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derivative positions remaining in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11,556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derivative losses (gains)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July 2, 2017, the cumulative amount of mark-to-market losses on commodity derivatives that have been recognized in our consolidated cost of sales and not yet allocated to reportable segments was $157,492. Based on our forecasts of the timing of the recognition of the underlying hedged items, we expect to reclassify net pre-tax losses on commodity derivatives of $91,119 to segment operating results in the next twelve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32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 2017</w:t>
            </w:r>
          </w:p>
        </w:tc>
        <w:tc>
          <w:tcPr>
            <w:tcW w:w="2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 2016</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 2017</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 2016</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24,008</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53,985</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67,127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96,866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132,079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156,779</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7.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380" w:type="dxa"/>
            <w:vAlign w:val="bottom"/>
            <w:gridSpan w:val="4"/>
          </w:tcPr>
          <w:p>
            <w:pPr>
              <w:jc w:val="right"/>
              <w:ind w:right="1013"/>
              <w:spacing w:after="0"/>
              <w:rPr>
                <w:sz w:val="20"/>
                <w:szCs w:val="20"/>
                <w:color w:val="auto"/>
              </w:rPr>
            </w:pPr>
            <w:r>
              <w:rPr>
                <w:rFonts w:ascii="Arial" w:cs="Arial" w:eastAsia="Arial" w:hAnsi="Arial"/>
                <w:sz w:val="16"/>
                <w:szCs w:val="16"/>
                <w:b w:val="1"/>
                <w:bCs w:val="1"/>
                <w:color w:val="auto"/>
              </w:rPr>
              <w:t>Six Months Ended July 2, 2017</w:t>
            </w:r>
          </w:p>
        </w:tc>
      </w:tr>
      <w:tr>
        <w:trPr>
          <w:trHeight w:val="33"/>
        </w:trPr>
        <w:tc>
          <w:tcPr>
            <w:tcW w:w="686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260" w:type="dxa"/>
            <w:vAlign w:val="bottom"/>
            <w:gridSpan w:val="2"/>
          </w:tcPr>
          <w:p>
            <w:pPr>
              <w:ind w:left="84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Shares repurchased in the open market under pre-approved share repurchase programs</w:t>
            </w:r>
          </w:p>
        </w:tc>
        <w:tc>
          <w:tcPr>
            <w:tcW w:w="2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6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886,675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99,992</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886,675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(1,041,596)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(43,338)</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56,654</w:t>
            </w:r>
          </w:p>
        </w:tc>
      </w:tr>
      <w:tr>
        <w:trPr>
          <w:trHeight w:val="20"/>
        </w:trPr>
        <w:tc>
          <w:tcPr>
            <w:tcW w:w="6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January 2016, our Board of Directors approved a $500,000 authorization to repurchase shares of our Common Stock. As of July 2, 2017, $100,000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2017 activity relating to the noncontrolling interest follows:</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(27,570)</w:t>
            </w:r>
          </w:p>
        </w:tc>
      </w:tr>
      <w:tr>
        <w:trPr>
          <w:trHeight w:val="27"/>
        </w:trPr>
        <w:tc>
          <w:tcPr>
            <w:tcW w:w="9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July 2, 2017</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14,677</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2017 net loss attributable to the noncontrolling interest reflects the 50% allocation of LSFC-related business realignment and impairment costs (see Note 7). For the six months ended July 3, 2016, the net loss attributable to noncontrolling interests totaled $1,465, which was presented within selling, marketing and administrative expense in the Consolidated Statements of Income since the amount was not considered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With respect to dividend rights, the Common Stock holders are entitled to cash dividends 10% higher than those declared and paid on the Class B common stock.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July 2, 2017</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July 3,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0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32,129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55,370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18,528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149,413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107,143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38,813</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152,466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152,774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0.98</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149,413</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54,088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107,143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38,813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54,088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38,813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203,501</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145,956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38,777</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152,466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152,774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w w:val="96"/>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Performance and restricted stock options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214,640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214,504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earnings per share calculations for the three months ended July 2, 2017 and July 3, 2016 excluded 1,808 and 3,601, respectively, of stock options (in thousands) that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July 2, 2017</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July 3,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0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187,992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64,257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53,180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34,912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241,172</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87,373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276,619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99,169</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152,393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154,283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241,172</w:t>
            </w:r>
          </w:p>
        </w:tc>
        <w:tc>
          <w:tcPr>
            <w:tcW w:w="1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87,373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276,619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99,169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87,373</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99,169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328,545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87,228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98,978</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152,393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154,283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w w:val="96"/>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Performance and restricted stock options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214,585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earnings per share calculations for the six months ended July 2, 2017 and July 3, 2016 excluded 2,067 and 3,680, respectively, of stock options (in thousands)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 2016</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3, 2016</w:t>
            </w: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Write-down of equity investments in partnerships qualifying for tax</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Settlement of SGM liability (see Note 2)</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(26,650)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10,098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9,927</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(13,097)</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320" w:type="dxa"/>
            <w:vAlign w:val="bottom"/>
          </w:tcPr>
          <w:p>
            <w:pPr>
              <w:spacing w:after="0"/>
              <w:rPr>
                <w:sz w:val="16"/>
                <w:szCs w:val="16"/>
                <w:color w:val="auto"/>
              </w:rPr>
            </w:pPr>
          </w:p>
        </w:tc>
        <w:tc>
          <w:tcPr>
            <w:tcW w:w="1680" w:type="dxa"/>
            <w:vAlign w:val="bottom"/>
          </w:tcPr>
          <w:p>
            <w:pPr>
              <w:jc w:val="right"/>
              <w:ind w:right="331"/>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303,553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315,239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Goods in process</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4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691,334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528,587</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at FIFO</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932,316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Adjustment to LIFO</w:t>
            </w:r>
          </w:p>
        </w:tc>
        <w:tc>
          <w:tcPr>
            <w:tcW w:w="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(181,836)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(186,638)</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936,437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745,678</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Land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106,662</w:t>
            </w:r>
          </w:p>
        </w:tc>
        <w:tc>
          <w:tcPr>
            <w:tcW w:w="10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103,865</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1,238,634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2,871,889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3,001,552</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230,987</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Property, plant and equipment, gross</w:t>
            </w:r>
          </w:p>
        </w:tc>
        <w:tc>
          <w:tcPr>
            <w:tcW w:w="4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4,370,445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4,575,038</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(2,336,655)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(2,397,790)</w:t>
            </w:r>
          </w:p>
        </w:tc>
      </w:tr>
      <w:tr>
        <w:trPr>
          <w:trHeight w:val="311"/>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2,033,790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2,177,248</w:t>
            </w:r>
          </w:p>
        </w:tc>
      </w:tr>
      <w:tr>
        <w:trPr>
          <w:trHeight w:val="217"/>
        </w:trPr>
        <w:tc>
          <w:tcPr>
            <w:tcW w:w="7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software, net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95,301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4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1,449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71,615</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182,980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168,365</w:t>
            </w:r>
          </w:p>
        </w:tc>
      </w:tr>
      <w:tr>
        <w:trPr>
          <w:trHeight w:val="217"/>
        </w:trPr>
        <w:tc>
          <w:tcPr>
            <w:tcW w:w="7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compensation and benefits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240,080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4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280,645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358,573</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152,333</w:t>
            </w:r>
          </w:p>
        </w:tc>
      </w:tr>
      <w:tr>
        <w:trPr>
          <w:trHeight w:val="29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accrued liabilities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641,743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750,986</w:t>
            </w:r>
          </w:p>
        </w:tc>
      </w:tr>
      <w:tr>
        <w:trPr>
          <w:trHeight w:val="217"/>
        </w:trPr>
        <w:tc>
          <w:tcPr>
            <w:tcW w:w="7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 liabilities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Pension benefits liabilities</w:t>
            </w:r>
          </w:p>
        </w:tc>
        <w:tc>
          <w:tcPr>
            <w:tcW w:w="4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61,748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65,687</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114,204</w:t>
            </w:r>
          </w:p>
        </w:tc>
      </w:tr>
      <w:tr>
        <w:trPr>
          <w:trHeight w:val="29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long-term liabilities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397,204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400,161</w:t>
            </w:r>
          </w:p>
        </w:tc>
      </w:tr>
      <w:tr>
        <w:trPr>
          <w:trHeight w:val="217"/>
        </w:trPr>
        <w:tc>
          <w:tcPr>
            <w:tcW w:w="7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Pension and post-retirement benefit plans, net of tax</w:t>
            </w:r>
          </w:p>
        </w:tc>
        <w:tc>
          <w:tcPr>
            <w:tcW w:w="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(207,169)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(58,106)</w:t>
            </w:r>
          </w:p>
        </w:tc>
      </w:tr>
      <w:tr>
        <w:trPr>
          <w:trHeight w:val="257"/>
        </w:trPr>
        <w:tc>
          <w:tcPr>
            <w:tcW w:w="720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(375,888)</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1440"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00"/>
          </w:cols>
          <w:pgMar w:left="240" w:top="12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2016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 and Outlook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Overview and Outlook presented below is an executive-level summary highlighting the key trends and measures on which the Company’s management focuses in evaluating its financial condition and operating performance. Certain earnings and performance measures within the Overview and Outlook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second quarter 2017 net sales totaled $1,663.0 million, an increase of 1.5%, versus $1,637.7 million for the comparable period of 2016. Excluding a 0.3% impact from unfavorable foreign exchange rates, our net sales increased 1.8%. Net sales growth was driven by the North America segment, which benefited from innovation and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 Additionally, net sales growth benefited from the timing of new stand-up packaging as well as distributor changes by several retailers resulting in increased retail inventory.</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reported gross margin was 45.9% in the second quarter of 2017, an increase of 30 basis points compared to the second quarter of 2016. Our non-GAAP gross margin increased 160 basis points in the second quarter of 2017, primarily due to lower commodity input costs, supply chain productivity and cost savings initiatives.</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second quarter 2017 reported net income and earnings per share-diluted (EPS) totaled $203.5 million and $0.95, respectively, compared to the second quarter 2016 reported net income and EPS-diluted of $146.0 million and $0.68, respectively. From a non-GAAP perspective, second quarter 2017 adjusted net income was $233.1 million, an increase of 27.7% versus $182.6 million in 2016, primarily driven by the improvement in our non-GAAP gross margin, as well as a lower non-GAAP effective tax rate, due mainly to a favorable foreign tax rate differential, discrete items and the benefit from the adoption of Accounting Standards Update ("ASU") 2016-09 for the accounting of employee share-based payments. Our adjusted EPS-diluted for the second quarter of 2017 was $1.09 compared to $0.85 for the same period of 2016, with this 28.2% increase attributable to the same factors driving the increase in non-GAAP net income.</w:t>
      </w:r>
    </w:p>
    <w:p>
      <w:pPr>
        <w:spacing w:after="0" w:line="13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 xml:space="preserve">Over the remainder of the year, we expect to continue the rollout of </w:t>
      </w:r>
      <w:r>
        <w:rPr>
          <w:rFonts w:ascii="Arial" w:cs="Arial" w:eastAsia="Arial" w:hAnsi="Arial"/>
          <w:sz w:val="16"/>
          <w:szCs w:val="16"/>
          <w:i w:val="1"/>
          <w:iCs w:val="1"/>
          <w:color w:val="auto"/>
        </w:rPr>
        <w:t>Hershey’s Cookie Layer Crunch</w:t>
      </w:r>
      <w:r>
        <w:rPr>
          <w:rFonts w:ascii="Arial" w:cs="Arial" w:eastAsia="Arial" w:hAnsi="Arial"/>
          <w:sz w:val="16"/>
          <w:szCs w:val="16"/>
          <w:color w:val="auto"/>
        </w:rPr>
        <w:t xml:space="preserve"> bars,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Hershey’s Crunchers</w:t>
      </w:r>
      <w:r>
        <w:rPr>
          <w:rFonts w:ascii="Arial" w:cs="Arial" w:eastAsia="Arial" w:hAnsi="Arial"/>
          <w:sz w:val="16"/>
          <w:szCs w:val="16"/>
          <w:color w:val="auto"/>
        </w:rPr>
        <w:t xml:space="preserve"> candies and </w:t>
      </w:r>
      <w:r>
        <w:rPr>
          <w:rFonts w:ascii="Arial" w:cs="Arial" w:eastAsia="Arial" w:hAnsi="Arial"/>
          <w:sz w:val="16"/>
          <w:szCs w:val="16"/>
          <w:i w:val="1"/>
          <w:iCs w:val="1"/>
          <w:color w:val="auto"/>
        </w:rPr>
        <w:t xml:space="preserve">Reese’s </w:t>
      </w:r>
      <w:r>
        <w:rPr>
          <w:rFonts w:ascii="Arial" w:cs="Arial" w:eastAsia="Arial" w:hAnsi="Arial"/>
          <w:sz w:val="16"/>
          <w:szCs w:val="16"/>
          <w:color w:val="auto"/>
        </w:rPr>
        <w:t>Crunchy Cookie Cups. Additionally, we have solid Halloween and Holiday plans, and advertising and related consumer marketing expense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meaningfully higher over the remainder of the year. Despite the inconsistent shopping patterns and behavior that have resulted in a recent slowdown in retail trips, we believe CMG and snacks have inherent advantages such as impulsivity, seasons, and multiple pack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23" w:right="23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color w:val="auto"/>
        </w:rPr>
        <w:t>types, or usage occasions. This facilitates merchandising and display within different parts of the box where there is foot traffic, like the perimeter and at checkout.</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However, we expect that the broader industry challenges at the retail level will persist over the remainder of the year. Therefore, we currently estimate that full-year 2017 net sales growth will be approximately 1%. The impact of foreign currency exchange rates is expected to be minimal. We currently expect full-year 2017 reported EPS-diluted to be in the $3.41 to $3.60 range. From a non-GAAP perspective, we expect 2017 adjusted EPS-diluted to be towards the high end of our outlook of $4.72 to $4.81, an increase of 7% to 9%, primarily due to gross margin expansion from lower input costs, and strong productivity and cost savings initiatives, as well as a lower effective tax rate driven by a favorable foreign rate differential and benefit from tax credits. A reconciliation of reported to adjusted projections for 2017 are reflected in the non-GAAP reconciliations that follow.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costs associated with business realignment activities, costs relating to the integration of acquisitions, non-service related components of our pension expense ("NSRPE"), impairment of long-lived assets, and settlement of the SGM liability in conjunction with the purchase of the remaining 20% of the outstanding shares of SGM.</w:t>
      </w:r>
    </w:p>
    <w:p>
      <w:pPr>
        <w:spacing w:after="0" w:line="21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46"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5360" w:type="dxa"/>
            <w:vAlign w:val="bottom"/>
            <w:gridSpan w:val="7"/>
          </w:tcPr>
          <w:p>
            <w:pPr>
              <w:ind w:left="1140"/>
              <w:spacing w:after="0"/>
              <w:rPr>
                <w:sz w:val="20"/>
                <w:szCs w:val="20"/>
                <w:color w:val="auto"/>
              </w:rPr>
            </w:pPr>
            <w:r>
              <w:rPr>
                <w:rFonts w:ascii="Arial" w:cs="Arial" w:eastAsia="Arial" w:hAnsi="Arial"/>
                <w:sz w:val="16"/>
                <w:szCs w:val="16"/>
                <w:b w:val="1"/>
                <w:bCs w:val="1"/>
                <w:color w:val="auto"/>
                <w:w w:val="98"/>
              </w:rPr>
              <w:t>Reconciliation of Certain Non-GAAP Financial Measures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280" w:type="dxa"/>
            <w:vAlign w:val="bottom"/>
          </w:tcPr>
          <w:p>
            <w:pPr>
              <w:spacing w:after="0"/>
              <w:rPr>
                <w:sz w:val="23"/>
                <w:szCs w:val="23"/>
                <w:color w:val="auto"/>
              </w:rPr>
            </w:pPr>
          </w:p>
        </w:tc>
        <w:tc>
          <w:tcPr>
            <w:tcW w:w="354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3"/>
                <w:szCs w:val="23"/>
                <w:color w:val="auto"/>
              </w:rPr>
            </w:pPr>
          </w:p>
        </w:tc>
        <w:tc>
          <w:tcPr>
            <w:tcW w:w="32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 2016</w:t>
            </w:r>
          </w:p>
        </w:tc>
        <w:tc>
          <w:tcPr>
            <w:tcW w:w="26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 2017</w:t>
            </w:r>
          </w:p>
        </w:tc>
        <w:tc>
          <w:tcPr>
            <w:tcW w:w="260" w:type="dxa"/>
            <w:vAlign w:val="bottom"/>
          </w:tcPr>
          <w:p>
            <w:pPr>
              <w:spacing w:after="0"/>
              <w:rPr>
                <w:sz w:val="20"/>
                <w:szCs w:val="20"/>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July 3, 2016</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1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763,210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747,398</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1,669,770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1,564,774</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11,556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(4,940)</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33,478</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NSRPE</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3,271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6,512</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744,748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1,599,824</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operating profit</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262,762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602,271</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11,556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(4,940)</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62,095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76,525</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1,462</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14,306</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208,712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295,638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689,624</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Reported provision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87,340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197,237</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(15,117)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(1,872)</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10,833</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554</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5,468</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37,974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83,587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212,220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203,501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145,956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375,788</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(3,068)</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54,827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65,687</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908</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8,838</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170,738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shd w:val="clear" w:color="auto" w:fill="CCEEFF"/>
              </w:rPr>
              <w:t>Noncontrolling interest share of business realignment and</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charges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Settlement of SGM liability</w:t>
            </w:r>
          </w:p>
        </w:tc>
        <w:tc>
          <w:tcPr>
            <w:tcW w:w="2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(26,650)</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182,612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421,503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NSRPE</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shd w:val="clear" w:color="auto" w:fill="CCEEFF"/>
              </w:rPr>
              <w:t>Long-lived asset impairment charges</w:t>
            </w: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120" w:type="dxa"/>
            <w:vAlign w:val="bottom"/>
            <w:gridSpan w:val="2"/>
          </w:tcPr>
          <w:p>
            <w:pPr>
              <w:ind w:left="40"/>
              <w:spacing w:after="0"/>
              <w:rPr>
                <w:sz w:val="20"/>
                <w:szCs w:val="20"/>
                <w:color w:val="auto"/>
              </w:rPr>
            </w:pPr>
            <w:r>
              <w:rPr>
                <w:rFonts w:ascii="Arial" w:cs="Arial" w:eastAsia="Arial" w:hAnsi="Arial"/>
                <w:sz w:val="16"/>
                <w:szCs w:val="16"/>
                <w:color w:val="auto"/>
                <w:w w:val="99"/>
              </w:rPr>
              <w:t>Noncontrolling interest share of business realignment and</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impairment charges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1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Non-GAAP EPS - Diluted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0.85</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r>
      <w:tr>
        <w:trPr>
          <w:trHeight w:val="20"/>
        </w:trPr>
        <w:tc>
          <w:tcPr>
            <w:tcW w:w="2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19" w:lineRule="exact"/>
        <w:rPr>
          <w:sz w:val="20"/>
          <w:szCs w:val="20"/>
          <w:color w:val="auto"/>
        </w:rPr>
      </w:pPr>
    </w:p>
    <w:p>
      <w:pPr>
        <w:ind w:left="180" w:right="20" w:hanging="172"/>
        <w:spacing w:after="0" w:line="252"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were no pre-tax impairment charges associated with long-lived assets during the three months ended July 2, 2017. However, the long-lived asset impairment charge in the first quarter of 2017 was not treated as a discrete tax item. Therefore, the tax impact was included in the estimated annual effective tax rate resulting in an EPS-diluted impact for each of the quarters throughout 2017.</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7" w:right="239" w:bottom="1440" w:gutter="0" w:footer="0" w:header="0"/>
          <w:type w:val="continuous"/>
        </w:sectPr>
      </w:pPr>
    </w:p>
    <w:bookmarkStart w:id="31" w:name="page32"/>
    <w:bookmarkEnd w:id="31"/>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140" w:type="dxa"/>
            <w:vAlign w:val="bottom"/>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40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tcBorders>
              <w:bottom w:val="single" w:sz="8" w:color="auto"/>
            </w:tcBorders>
            <w:gridSpan w:val="2"/>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31"/>
        </w:trPr>
        <w:tc>
          <w:tcPr>
            <w:tcW w:w="402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6"/>
                <w:szCs w:val="16"/>
                <w:b w:val="1"/>
                <w:bCs w:val="1"/>
                <w:color w:val="auto"/>
                <w:w w:val="88"/>
              </w:rPr>
              <w:t>July 2,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460"/>
              <w:spacing w:after="0"/>
              <w:rPr>
                <w:sz w:val="20"/>
                <w:szCs w:val="20"/>
                <w:color w:val="auto"/>
              </w:rPr>
            </w:pPr>
            <w:r>
              <w:rPr>
                <w:rFonts w:ascii="Arial" w:cs="Arial" w:eastAsia="Arial" w:hAnsi="Arial"/>
                <w:sz w:val="16"/>
                <w:szCs w:val="16"/>
                <w:b w:val="1"/>
                <w:bCs w:val="1"/>
                <w:color w:val="auto"/>
                <w:w w:val="91"/>
              </w:rPr>
              <w:t>July 3, 2016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460"/>
              <w:spacing w:after="0"/>
              <w:rPr>
                <w:sz w:val="20"/>
                <w:szCs w:val="20"/>
                <w:color w:val="auto"/>
              </w:rPr>
            </w:pPr>
            <w:r>
              <w:rPr>
                <w:rFonts w:ascii="Arial" w:cs="Arial" w:eastAsia="Arial" w:hAnsi="Arial"/>
                <w:sz w:val="16"/>
                <w:szCs w:val="16"/>
                <w:b w:val="1"/>
                <w:bCs w:val="1"/>
                <w:color w:val="auto"/>
              </w:rPr>
              <w:t>July 2, 2017</w:t>
            </w: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July 3, 2016</w:t>
            </w:r>
          </w:p>
        </w:tc>
      </w:tr>
      <w:tr>
        <w:trPr>
          <w:trHeight w:val="33"/>
        </w:trPr>
        <w:tc>
          <w:tcPr>
            <w:tcW w:w="40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45.6%</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460" w:type="dxa"/>
            <w:vAlign w:val="bottom"/>
          </w:tcPr>
          <w:p>
            <w:pPr>
              <w:jc w:val="right"/>
              <w:spacing w:after="0"/>
              <w:rPr>
                <w:sz w:val="20"/>
                <w:szCs w:val="20"/>
                <w:color w:val="auto"/>
              </w:rPr>
            </w:pPr>
            <w:r>
              <w:rPr>
                <w:rFonts w:ascii="Arial" w:cs="Arial" w:eastAsia="Arial" w:hAnsi="Arial"/>
                <w:sz w:val="16"/>
                <w:szCs w:val="16"/>
                <w:color w:val="auto"/>
                <w:w w:val="92"/>
              </w:rPr>
              <w:t>47.1%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8"/>
              </w:rPr>
              <w:t>45.5%</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33"/>
        </w:trPr>
        <w:tc>
          <w:tcPr>
            <w:tcW w:w="4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324"/>
        </w:trPr>
        <w:tc>
          <w:tcPr>
            <w:tcW w:w="40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460" w:type="dxa"/>
            <w:vAlign w:val="bottom"/>
          </w:tcPr>
          <w:p>
            <w:pPr>
              <w:jc w:val="right"/>
              <w:spacing w:after="0"/>
              <w:rPr>
                <w:sz w:val="20"/>
                <w:szCs w:val="20"/>
                <w:color w:val="auto"/>
              </w:rPr>
            </w:pPr>
            <w:r>
              <w:rPr>
                <w:rFonts w:ascii="Arial" w:cs="Arial" w:eastAsia="Arial" w:hAnsi="Arial"/>
                <w:sz w:val="16"/>
                <w:szCs w:val="16"/>
                <w:color w:val="auto"/>
                <w:w w:val="92"/>
              </w:rPr>
              <w:t>19.0%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8"/>
              </w:rPr>
              <w:t>16.0%</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4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18.1%</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324"/>
        </w:trPr>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37.4%</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460" w:type="dxa"/>
            <w:vAlign w:val="bottom"/>
          </w:tcPr>
          <w:p>
            <w:pPr>
              <w:jc w:val="right"/>
              <w:spacing w:after="0"/>
              <w:rPr>
                <w:sz w:val="20"/>
                <w:szCs w:val="20"/>
                <w:color w:val="auto"/>
              </w:rPr>
            </w:pPr>
            <w:r>
              <w:rPr>
                <w:rFonts w:ascii="Arial" w:cs="Arial" w:eastAsia="Arial" w:hAnsi="Arial"/>
                <w:sz w:val="16"/>
                <w:szCs w:val="16"/>
                <w:color w:val="auto"/>
                <w:w w:val="92"/>
              </w:rPr>
              <w:t>25.0%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8"/>
              </w:rPr>
              <w:t>31.4%</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33.5%</w:t>
            </w:r>
          </w:p>
        </w:tc>
      </w:tr>
    </w:tbl>
    <w:p>
      <w:pPr>
        <w:spacing w:after="0" w:line="2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losses (gains) on commodity derivatives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Commensurate with our discontinuance of hedge accounting treatment for commodity derivatives, we are adjusting the mark-to-market losses (gains) on such commodity derivatives, until such time as the related inventory is sold.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July 2, 2017 and July 3, 2016, unallocated mark-to-market adjustment on commodity derivatives totaled pre-tax losses of $11.6 million and gains of $39.9 million, respectively. For the six months ended July 2, 2017 and July 3, 2016, unallocated mark-to-market adjustment on commodity derivatives totaled pre-tax gains of $5.5 million and $4.9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July 2, 2017 and July 3, 2016, we incurred $14.5 million and $62.1 million, respectively, of pre-tax costs related to business realignment activities. For the six months ended July 2, 2017 and July 3, 2016, we incurred $61.4 million and $76.5 million, respectively, of pre-tax costs related to business realignment activities.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integration costs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Costs incurred during the three and six months ended July 2, 2017 and 2016 relate to the integration of the 2016 acquisition of Ripple Brand Collective, LLC as we incorporate this business into our operating practices and information systems.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Non-service related pension expense</w:t>
      </w:r>
    </w:p>
    <w:p>
      <w:pPr>
        <w:spacing w:after="0" w:line="2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NSRPE includes interest costs, the expected return on pension plan assets, the amortization of actuarial gains and losses, and certain curtailment and settlement losses or credits. NSRPE can fluctuate from year to year as a result of changes in market interest rates and market returns on pension plan assets. We believe that the service cost component of our total pension benefit costs closely reflects the operating costs of our business and provides for a better comparison of our operating results from year to year. Therefore, we exclude NSRPE from our internal performance measures. Our most significant defined benefit pension plans have been closed to new participants for a number of years, resulting in ongoing service costs that are stable and predictable. We recorded pre-tax NSRPE of $4.2 million and $9.2 million, respectively, for the three months ended July 2, 2017 and July 3, 2016, respectively. We recorded pre-tax NSRPE of $8.6 million and $14.3 million, respectively, for the six months ended July 2, 2017 and July 3,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six months ended July 2, 2017, we incurred $208.7 million of pre-tax long-lived asset impairment charges related to certain business realignment activities. This includes a write-down of certain intangible assets that had been recognized in connection with the 2014 SGM acquisition and write-down of property, plant and equipment.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loss attributed to the non-controlling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Three Months Ended July 2, 2017</w:t>
            </w:r>
          </w:p>
        </w:tc>
        <w:tc>
          <w:tcPr>
            <w:tcW w:w="244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Percentage Change as Reported</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16.9 %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388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Six Months Ended July 2, 2017</w:t>
            </w:r>
          </w:p>
        </w:tc>
        <w:tc>
          <w:tcPr>
            <w:tcW w:w="2440" w:type="dxa"/>
            <w:vAlign w:val="bottom"/>
          </w:tcPr>
          <w:p>
            <w:pPr>
              <w:spacing w:after="0"/>
              <w:rPr>
                <w:sz w:val="24"/>
                <w:szCs w:val="24"/>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Percentage Change as Reported</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6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14.8 %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388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2017 Outlook</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table provides a reconciliation of projected 2017 EPS-diluted, prepared in accordance with GAAP, to projected non-GAAP EPS-diluted for 2017, prepared on a non-GAAP basis, with adjustments consistent to those discussed previously. The reconciliation of 2016 EPS-diluted, prepared in accordance with GAAP, to 2016 non-GAAP EPS-diluted is provided below for comparison.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160" w:type="dxa"/>
            <w:vAlign w:val="bottom"/>
            <w:gridSpan w:val="3"/>
          </w:tcPr>
          <w:p>
            <w:pPr>
              <w:ind w:left="400"/>
              <w:spacing w:after="0"/>
              <w:rPr>
                <w:sz w:val="20"/>
                <w:szCs w:val="20"/>
                <w:color w:val="auto"/>
              </w:rPr>
            </w:pPr>
            <w:r>
              <w:rPr>
                <w:rFonts w:ascii="Arial" w:cs="Arial" w:eastAsia="Arial" w:hAnsi="Arial"/>
                <w:sz w:val="18"/>
                <w:szCs w:val="18"/>
                <w:b w:val="1"/>
                <w:bCs w:val="1"/>
                <w:color w:val="auto"/>
              </w:rPr>
              <w:t>2017 (Projected)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EPS – Diluted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$3.60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$3.34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Derivative mark-to-market losses</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0.66</w:t>
            </w:r>
          </w:p>
        </w:tc>
      </w:tr>
      <w:tr>
        <w:trPr>
          <w:trHeight w:val="27"/>
        </w:trPr>
        <w:tc>
          <w:tcPr>
            <w:tcW w:w="7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 (including Margin for Growth Program costs)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- 0.40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0.02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related pension expense</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Settlement of SGM liability</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(0.12)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 charges</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0.85</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Adjusted EPS – Diluted</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 $4.81</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$4.41</w:t>
            </w: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2017 projected EPS-diluted, as presented above, does not include the impact of mark-to-market gains and losses on our commodity derivative contracts that will be reflected within corporate unallocated expenses in our segment results until the related inventory is sold, since we are not able to forecast the impact of the market changes.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3300" w:type="dxa"/>
        <w:tblCellMar>
          <w:top w:w="0" w:type="dxa"/>
          <w:left w:w="0" w:type="dxa"/>
          <w:bottom w:w="0" w:type="dxa"/>
          <w:right w:w="0" w:type="dxa"/>
        </w:tblCellMar>
      </w:tblPr>
      <w:tr>
        <w:trPr>
          <w:trHeight w:val="192"/>
        </w:trPr>
        <w:tc>
          <w:tcPr>
            <w:tcW w:w="29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w:t>
            </w:r>
          </w:p>
        </w:tc>
        <w:tc>
          <w:tcPr>
            <w:tcW w:w="28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Percent</w:t>
            </w:r>
          </w:p>
        </w:tc>
      </w:tr>
      <w:tr>
        <w:trPr>
          <w:trHeight w:val="264"/>
        </w:trPr>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July 2, 2017</w:t>
            </w:r>
          </w:p>
        </w:tc>
        <w:tc>
          <w:tcPr>
            <w:tcW w:w="100" w:type="dxa"/>
            <w:vAlign w:val="bottom"/>
          </w:tcPr>
          <w:p>
            <w:pPr>
              <w:spacing w:after="0"/>
              <w:rPr>
                <w:sz w:val="22"/>
                <w:szCs w:val="22"/>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July 3, 2016</w:t>
            </w:r>
          </w:p>
        </w:tc>
        <w:tc>
          <w:tcPr>
            <w:tcW w:w="100" w:type="dxa"/>
            <w:vAlign w:val="bottom"/>
          </w:tcPr>
          <w:p>
            <w:pPr>
              <w:spacing w:after="0"/>
              <w:rPr>
                <w:sz w:val="22"/>
                <w:szCs w:val="22"/>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July 2, 2017</w:t>
            </w:r>
          </w:p>
        </w:tc>
        <w:tc>
          <w:tcPr>
            <w:tcW w:w="100" w:type="dxa"/>
            <w:vAlign w:val="bottom"/>
          </w:tcPr>
          <w:p>
            <w:pPr>
              <w:spacing w:after="0"/>
              <w:rPr>
                <w:sz w:val="22"/>
                <w:szCs w:val="22"/>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July 3, 2016</w:t>
            </w:r>
          </w:p>
        </w:tc>
        <w:tc>
          <w:tcPr>
            <w:tcW w:w="100" w:type="dxa"/>
            <w:vAlign w:val="bottom"/>
          </w:tcPr>
          <w:p>
            <w:pPr>
              <w:spacing w:after="0"/>
              <w:rPr>
                <w:sz w:val="22"/>
                <w:szCs w:val="22"/>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260" w:type="dxa"/>
            <w:vAlign w:val="bottom"/>
          </w:tcPr>
          <w:p>
            <w:pPr>
              <w:spacing w:after="0"/>
              <w:rPr>
                <w:sz w:val="20"/>
                <w:szCs w:val="20"/>
                <w:color w:val="auto"/>
              </w:rPr>
            </w:pPr>
            <w:r>
              <w:rPr>
                <w:rFonts w:ascii="Arial" w:cs="Arial" w:eastAsia="Arial" w:hAnsi="Arial"/>
                <w:sz w:val="16"/>
                <w:szCs w:val="16"/>
                <w:color w:val="auto"/>
              </w:rPr>
              <w:t>Net Sales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1,663.0</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1,637.7</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3,542.7</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3,466.5</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Cost of Sales</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890.3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1.1 %</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1,872.9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1,901.7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6"/>
                <w:szCs w:val="16"/>
                <w:color w:val="auto"/>
              </w:rPr>
              <w:t>Gross Profit</w:t>
            </w: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763.2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747.4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2.1 %</w:t>
            </w:r>
          </w:p>
        </w:tc>
        <w:tc>
          <w:tcPr>
            <w:tcW w:w="4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1,669.8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1,564.8</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160"/>
              <w:spacing w:after="0"/>
              <w:rPr>
                <w:sz w:val="20"/>
                <w:szCs w:val="20"/>
                <w:color w:val="auto"/>
              </w:rPr>
            </w:pPr>
            <w:r>
              <w:rPr>
                <w:rFonts w:ascii="Arial" w:cs="Arial" w:eastAsia="Arial" w:hAnsi="Arial"/>
                <w:sz w:val="16"/>
                <w:szCs w:val="16"/>
                <w:i w:val="1"/>
                <w:iCs w:val="1"/>
                <w:color w:val="auto"/>
              </w:rPr>
              <w:t>Gross Margin</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45.9%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45.6%</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47.1%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45.1%</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SM&amp;A Expense</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445.9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462.5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907.8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934.3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60" w:type="dxa"/>
            <w:vAlign w:val="bottom"/>
          </w:tcPr>
          <w:p>
            <w:pPr>
              <w:ind w:left="160"/>
              <w:spacing w:after="0"/>
              <w:rPr>
                <w:sz w:val="20"/>
                <w:szCs w:val="20"/>
                <w:color w:val="auto"/>
              </w:rPr>
            </w:pPr>
            <w:r>
              <w:rPr>
                <w:rFonts w:ascii="Arial" w:cs="Arial" w:eastAsia="Arial" w:hAnsi="Arial"/>
                <w:sz w:val="16"/>
                <w:szCs w:val="16"/>
                <w:i w:val="1"/>
                <w:iCs w:val="1"/>
                <w:color w:val="auto"/>
              </w:rPr>
              <w:t>SM&amp;A Expense as a percent of net sales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28.2%</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27.0%</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Long-lived Asset Impairment Charges</w:t>
            </w:r>
          </w:p>
        </w:tc>
        <w:tc>
          <w:tcPr>
            <w:tcW w:w="5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Business Realignment Costs</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(91.0)%</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6"/>
                <w:szCs w:val="16"/>
                <w:color w:val="auto"/>
              </w:rPr>
              <w:t>Operating Profit</w:t>
            </w: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262.8</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20.0 %</w:t>
            </w:r>
          </w:p>
        </w:tc>
        <w:tc>
          <w:tcPr>
            <w:tcW w:w="4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602.3</w:t>
            </w:r>
          </w:p>
        </w:tc>
        <w:tc>
          <w:tcPr>
            <w:tcW w:w="0" w:type="dxa"/>
            <w:vAlign w:val="bottom"/>
          </w:tcPr>
          <w:p>
            <w:pPr>
              <w:spacing w:after="0"/>
              <w:rPr>
                <w:sz w:val="1"/>
                <w:szCs w:val="1"/>
                <w:color w:val="auto"/>
              </w:rPr>
            </w:pPr>
          </w:p>
        </w:tc>
      </w:tr>
      <w:tr>
        <w:trPr>
          <w:trHeight w:val="270"/>
        </w:trPr>
        <w:tc>
          <w:tcPr>
            <w:tcW w:w="326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17.4%</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13.1 %</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57"/>
        </w:trPr>
        <w:tc>
          <w:tcPr>
            <w:tcW w:w="3260" w:type="dxa"/>
            <w:vAlign w:val="bottom"/>
            <w:vMerge w:val="restart"/>
          </w:tcPr>
          <w:p>
            <w:pPr>
              <w:spacing w:after="0"/>
              <w:rPr>
                <w:sz w:val="20"/>
                <w:szCs w:val="20"/>
                <w:color w:val="auto"/>
              </w:rPr>
            </w:pPr>
            <w:r>
              <w:rPr>
                <w:rFonts w:ascii="Arial" w:cs="Arial" w:eastAsia="Arial" w:hAnsi="Arial"/>
                <w:sz w:val="16"/>
                <w:szCs w:val="16"/>
                <w:color w:val="auto"/>
              </w:rPr>
              <w:t>Other (Income) Expense, Net</w:t>
            </w:r>
          </w:p>
        </w:tc>
        <w:tc>
          <w:tcPr>
            <w:tcW w:w="500" w:type="dxa"/>
            <w:vAlign w:val="bottom"/>
          </w:tcPr>
          <w:p>
            <w:pPr>
              <w:spacing w:after="0"/>
              <w:rPr>
                <w:sz w:val="22"/>
                <w:szCs w:val="2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8.2</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24.2 %</w:t>
            </w:r>
          </w:p>
        </w:tc>
        <w:tc>
          <w:tcPr>
            <w:tcW w:w="400" w:type="dxa"/>
            <w:vAlign w:val="bottom"/>
          </w:tcPr>
          <w:p>
            <w:pPr>
              <w:spacing w:after="0"/>
              <w:rPr>
                <w:sz w:val="22"/>
                <w:szCs w:val="2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81"/>
        </w:trPr>
        <w:tc>
          <w:tcPr>
            <w:tcW w:w="32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87.3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37.4%</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34.4%</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Net Income Including Noncontrolling Interest</w:t>
            </w: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146.0</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38.9 %</w:t>
            </w:r>
          </w:p>
        </w:tc>
        <w:tc>
          <w:tcPr>
            <w:tcW w:w="4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53"/>
        </w:trPr>
        <w:tc>
          <w:tcPr>
            <w:tcW w:w="3260" w:type="dxa"/>
            <w:vAlign w:val="bottom"/>
          </w:tcPr>
          <w:p>
            <w:pPr>
              <w:spacing w:after="0"/>
              <w:rPr>
                <w:sz w:val="20"/>
                <w:szCs w:val="20"/>
                <w:color w:val="auto"/>
              </w:rPr>
            </w:pPr>
            <w:r>
              <w:rPr>
                <w:rFonts w:ascii="Arial" w:cs="Arial" w:eastAsia="Arial" w:hAnsi="Arial"/>
                <w:sz w:val="16"/>
                <w:szCs w:val="16"/>
                <w:color w:val="auto"/>
              </w:rPr>
              <w:t>Less: Net Loss Attributable to Noncontrolling</w:t>
            </w:r>
          </w:p>
        </w:tc>
        <w:tc>
          <w:tcPr>
            <w:tcW w:w="500" w:type="dxa"/>
            <w:vAlign w:val="bottom"/>
          </w:tcPr>
          <w:p>
            <w:pPr>
              <w:spacing w:after="0"/>
              <w:rPr>
                <w:sz w:val="21"/>
                <w:szCs w:val="21"/>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39"/>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3260" w:type="dxa"/>
            <w:vAlign w:val="bottom"/>
            <w:vMerge w:val="restart"/>
          </w:tcPr>
          <w:p>
            <w:pPr>
              <w:ind w:left="220"/>
              <w:spacing w:after="0"/>
              <w:rPr>
                <w:sz w:val="20"/>
                <w:szCs w:val="20"/>
                <w:color w:val="auto"/>
              </w:rPr>
            </w:pPr>
            <w:r>
              <w:rPr>
                <w:rFonts w:ascii="Arial" w:cs="Arial" w:eastAsia="Arial" w:hAnsi="Arial"/>
                <w:sz w:val="16"/>
                <w:szCs w:val="16"/>
                <w:color w:val="auto"/>
              </w:rPr>
              <w:t>Interest</w:t>
            </w:r>
          </w:p>
        </w:tc>
        <w:tc>
          <w:tcPr>
            <w:tcW w:w="5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260" w:type="dxa"/>
            <w:vAlign w:val="bottom"/>
            <w:vMerge w:val="restart"/>
          </w:tcPr>
          <w:p>
            <w:pPr>
              <w:spacing w:after="0"/>
              <w:rPr>
                <w:sz w:val="20"/>
                <w:szCs w:val="20"/>
                <w:color w:val="auto"/>
              </w:rPr>
            </w:pPr>
            <w:r>
              <w:rPr>
                <w:rFonts w:ascii="Arial" w:cs="Arial" w:eastAsia="Arial" w:hAnsi="Arial"/>
                <w:sz w:val="16"/>
                <w:szCs w:val="16"/>
                <w:color w:val="auto"/>
              </w:rPr>
              <w:t>Net Income Attributable to The Hershey</w:t>
            </w: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50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17"/>
                <w:szCs w:val="17"/>
                <w:color w:val="auto"/>
              </w:rPr>
            </w:pPr>
          </w:p>
        </w:tc>
        <w:tc>
          <w:tcPr>
            <w:tcW w:w="50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146.0</w:t>
            </w:r>
          </w:p>
        </w:tc>
        <w:tc>
          <w:tcPr>
            <w:tcW w:w="1180" w:type="dxa"/>
            <w:vAlign w:val="bottom"/>
          </w:tcPr>
          <w:p>
            <w:pPr>
              <w:spacing w:after="0"/>
              <w:rPr>
                <w:sz w:val="17"/>
                <w:szCs w:val="17"/>
                <w:color w:val="auto"/>
              </w:rPr>
            </w:pP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17"/>
                <w:szCs w:val="17"/>
                <w:color w:val="auto"/>
              </w:rPr>
            </w:pPr>
          </w:p>
        </w:tc>
        <w:tc>
          <w:tcPr>
            <w:tcW w:w="5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24"/>
        </w:trPr>
        <w:tc>
          <w:tcPr>
            <w:tcW w:w="3260" w:type="dxa"/>
            <w:vAlign w:val="bottom"/>
          </w:tcPr>
          <w:p>
            <w:pPr>
              <w:ind w:left="220"/>
              <w:spacing w:after="0"/>
              <w:rPr>
                <w:sz w:val="20"/>
                <w:szCs w:val="20"/>
                <w:color w:val="auto"/>
              </w:rPr>
            </w:pPr>
            <w:r>
              <w:rPr>
                <w:rFonts w:ascii="Arial" w:cs="Arial" w:eastAsia="Arial" w:hAnsi="Arial"/>
                <w:sz w:val="16"/>
                <w:szCs w:val="16"/>
                <w:color w:val="auto"/>
              </w:rPr>
              <w:t>Company</w:t>
            </w:r>
          </w:p>
        </w:tc>
        <w:tc>
          <w:tcPr>
            <w:tcW w:w="5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39.4 %</w:t>
            </w:r>
          </w:p>
        </w:tc>
        <w:tc>
          <w:tcPr>
            <w:tcW w:w="4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60" w:type="dxa"/>
            <w:vAlign w:val="bottom"/>
          </w:tcPr>
          <w:p>
            <w:pPr>
              <w:spacing w:after="0"/>
              <w:rPr>
                <w:sz w:val="20"/>
                <w:szCs w:val="20"/>
                <w:color w:val="auto"/>
              </w:rPr>
            </w:pPr>
            <w:r>
              <w:rPr>
                <w:rFonts w:ascii="Arial" w:cs="Arial" w:eastAsia="Arial" w:hAnsi="Arial"/>
                <w:sz w:val="16"/>
                <w:szCs w:val="16"/>
                <w:color w:val="auto"/>
              </w:rPr>
              <w:t>Net Income Per Share—Diluted</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0.68</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39.7 %</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-2383155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-1697355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2017 vs. Second Quarter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2.2 %</w:t>
      </w:r>
    </w:p>
    <w:p>
      <w:pPr>
        <w:spacing w:after="0" w:line="9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6.7 %</w:t>
      </w:r>
    </w:p>
    <w:p>
      <w:pPr>
        <w:spacing w:after="0" w:line="36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(2.8)%</w:t>
      </w: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5"/>
          <w:szCs w:val="15"/>
          <w:color w:val="auto"/>
        </w:rPr>
        <w:t>62.9 %</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(15.8)%</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5"/>
          <w:szCs w:val="15"/>
          <w:color w:val="auto"/>
        </w:rPr>
        <w:t>13.0 %</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(24.7)%</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(19.9)%</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6"/>
          <w:szCs w:val="16"/>
          <w:color w:val="auto"/>
        </w:rPr>
        <w:t>NM</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(12.6)%</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(12.1)%</w:t>
      </w:r>
    </w:p>
    <w:p>
      <w:pPr>
        <w:spacing w:after="0" w:line="1821" w:lineRule="exact"/>
        <w:rPr>
          <w:sz w:val="20"/>
          <w:szCs w:val="20"/>
          <w:color w:val="auto"/>
        </w:rPr>
      </w:pPr>
    </w:p>
    <w:p>
      <w:pPr>
        <w:sectPr>
          <w:pgSz w:w="11900" w:h="16838" w:orient="portrait"/>
          <w:cols w:equalWidth="0" w:num="2">
            <w:col w:w="10340" w:space="520"/>
            <w:col w:w="560"/>
          </w:cols>
          <w:pgMar w:left="240" w:top="823" w:right="239" w:bottom="1440" w:gutter="0" w:footer="0" w:header="0"/>
          <w:type w:val="continuous"/>
        </w:sectPr>
      </w:pPr>
    </w:p>
    <w:p>
      <w:pPr>
        <w:ind w:right="80"/>
        <w:spacing w:after="0" w:line="272" w:lineRule="auto"/>
        <w:rPr>
          <w:sz w:val="20"/>
          <w:szCs w:val="20"/>
          <w:color w:val="auto"/>
        </w:rPr>
      </w:pPr>
      <w:r>
        <w:rPr>
          <w:rFonts w:ascii="Arial" w:cs="Arial" w:eastAsia="Arial" w:hAnsi="Arial"/>
          <w:sz w:val="17"/>
          <w:szCs w:val="17"/>
          <w:color w:val="auto"/>
        </w:rPr>
        <w:t xml:space="preserve">Net sales increased 1.5% in the second quarter of 2017 compared to the same period of 2016, reflecting volume increases of 1.2%, favorable price realization of 0.1% and a 0.5% benefit from acquisitions, partially offset by an unfavorable impact from foreign currency exchange rates of 0.3%. Excluding foreign currency, our net sales increased 1.8% in the second quarter of 2017. Consolidated volumes increased as a result of higher sales volume in the United States, which benefited from innovation and the </w:t>
      </w:r>
      <w:r>
        <w:rPr>
          <w:rFonts w:ascii="Arial" w:cs="Arial" w:eastAsia="Arial" w:hAnsi="Arial"/>
          <w:sz w:val="17"/>
          <w:szCs w:val="17"/>
          <w:i w:val="1"/>
          <w:iCs w:val="1"/>
          <w:color w:val="auto"/>
        </w:rPr>
        <w:t>barkTHINS</w:t>
      </w:r>
      <w:r>
        <w:rPr>
          <w:rFonts w:ascii="Arial" w:cs="Arial" w:eastAsia="Arial" w:hAnsi="Arial"/>
          <w:sz w:val="17"/>
          <w:szCs w:val="17"/>
          <w:color w:val="auto"/>
        </w:rPr>
        <w:t xml:space="preserve"> brand acquisition. Additionally, net sales growth benefited from the timing of new stand-up packaging as well as distributor changes by several retailers resulting in increased retail inventory. These volume increases were partially offset by volume declines in our International and Other segment primarily due to macroeconomic challenges in China. Favorable net price realization was attributed to lower levels of trade promotional spending in the North America segment versus the prior year.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CMG Marketplace Metrics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12 week period ended</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July 8, 2017</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July 9, 2016</w:t>
            </w:r>
          </w:p>
        </w:tc>
      </w:tr>
      <w:tr>
        <w:trPr>
          <w:trHeight w:val="23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Hershey's Consumer Takeaway Increase (Decrease)</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w w:val="93"/>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w w:val="97"/>
              </w:rPr>
              <w:t>(1.1)%</w:t>
            </w: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Hershey's Market Share Increase (Decrease)</w:t>
            </w:r>
          </w:p>
        </w:tc>
        <w:tc>
          <w:tcPr>
            <w:tcW w:w="1960" w:type="dxa"/>
            <w:vAlign w:val="bottom"/>
          </w:tcPr>
          <w:p>
            <w:pPr>
              <w:ind w:left="160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20" w:type="dxa"/>
            <w:vAlign w:val="bottom"/>
          </w:tcPr>
          <w:p>
            <w:pPr>
              <w:ind w:left="1540"/>
              <w:spacing w:after="0"/>
              <w:rPr>
                <w:sz w:val="20"/>
                <w:szCs w:val="20"/>
                <w:color w:val="auto"/>
              </w:rPr>
            </w:pPr>
            <w:r>
              <w:rPr>
                <w:rFonts w:ascii="Arial" w:cs="Arial" w:eastAsia="Arial" w:hAnsi="Arial"/>
                <w:sz w:val="16"/>
                <w:szCs w:val="16"/>
                <w:color w:val="auto"/>
              </w:rPr>
              <w:t>(0.7)</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type w:val="continuous"/>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t>The consumer takeaway and market share information provided for the twelve week period above are for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Nielsen and provide a means to assess our retail takeaway and market position relative to the overall category. In 2017, takeaway improved relative to the prior year mainly driven by our core brands at Easter. The amounts presented above are solely for the U.S. CMG category which does not include revenue from our snack mixes and grocery items.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Cost of sales increased 1.1% in the second quarter of 2017 compared to the same period of 2016. The increase was driven by higher sales volume and an incremental $51 million unfavorable impact from marking-to-market our commodity derivative instruments intended to economically hedge future years' commodity purchases, offset in part by supply chain productivity and costs savings initiatives as well as a $28.2 million decrease in business realignment costs.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margin increased by 30 basis points in the second quarter of 2017 compared to the same period of 2016. Lower business realignment costs and supply chain productivity contributed to the improvement in gross margin. However, higher commodity costs, driven by the unfavorable mark-to-market impact from commodity derivative instruments, and higher supply chain costs partially offset the increase in gross margin.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Selling, marketing and administrative (“SM&amp;A”) expenses decreased $16.6 million or 3.6% in the second quarter of 2017. Advertising and related consumer marketing expense decreased 0.2% during this period. Excluding these advertising and related consumer marketing costs, selling and administrative expenses for 2017 decreased by 5.2% as compared to 2016. SM&amp;A benefited from lower business realignment costs as well as costs savings and efficiency initiatives, partially offset by higher investments in go-to-market capabilities.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second quarter of 2017 and 2016, we recorded business realignment costs of $2.0 million and $22.1 million, respectively. The 2017 costs related primarily to severance and other program costs associated with the Margin for Growth Program that commenced in the first quarter of 2017. The 2016 costs related primarily to the Operational Optimization Program, as described in Note 7 to the Unaudited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Operating profit increased 20.0% in the second quarter of 2017 compared to the same period of 2016 due primarily to the higher gross margin, lower business realignment costs and lower SM&amp;A expenses, as discussed above. Operating profit margin increased to 19.0% in 2017 from 16.0% in 2016 driven by these same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interest expense was $2.8 million higher in the second quarter of 2017 compared to the same period of 2016. The increase was due to higher levels of long-term debt as well as higher interest rates on commercial paper during the second quarter of 2017 as compared to the 2016 quarter.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net totaled $10.1 million in the second quarter of 2017 compared to $8.2 million for the same period of 2016, driven in both periods by the write-down on equity investments qualifying for federal historic and energy tax credits.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effective income tax rate was 27.9% for the second quarter of 2017 compared to 37.4% for the same period of 2016. Relative to the statutory rate, the 2017 effective tax rate was impacted by a favorable foreign rate differential relating to our cocoa procurement operations, investment tax credits, and the benefit of ASU 2016-09, which were partially offset by non-benefited costs resulting from the Margin for Growth Program. The higher 2016 effective rate reflected the SGM valuation allowance impact.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income increased $57.5 million, or 39.4%, while EPS-diluted increased $0.27, or 39.7%, in the second quarter of 2017 compared to the same period of 2016. The increases in both net income and EPS-diluted were driven by the higher gross margin, lower business realignment costs and lower SM&amp;A expenses, as discussed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2017 vs. First Six Months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Net sales increased 2.2% in the first six months of 2017 compared to the same period of 2016, reflecting favorable price realization of 1.1%, volume increases of 0.5% and a 0.7% benefit from acquisitions, partially offset by an unfavorable impact from foreign currency exchange rates of 0.1%. Excluding foreign currency, our net sales increased 2.3% in first six months of 2017. The favorable net price realization was attributed to lower levels of trade promotional spending in both the North America and International and Other segments versus the prior year. Consolidated volumes increased as a result of higher sales volume in North America, driven by a stronger Easter season, as well as benefits from innovation and the </w:t>
      </w:r>
      <w:r>
        <w:rPr>
          <w:rFonts w:ascii="Arial" w:cs="Arial" w:eastAsia="Arial" w:hAnsi="Arial"/>
          <w:sz w:val="16"/>
          <w:szCs w:val="16"/>
          <w:i w:val="1"/>
          <w:iCs w:val="1"/>
          <w:color w:val="auto"/>
        </w:rPr>
        <w:t>barkTHINS</w:t>
      </w:r>
      <w:r>
        <w:rPr>
          <w:rFonts w:ascii="Arial" w:cs="Arial" w:eastAsia="Arial" w:hAnsi="Arial"/>
          <w:sz w:val="16"/>
          <w:szCs w:val="16"/>
          <w:color w:val="auto"/>
        </w:rPr>
        <w:t xml:space="preserve"> brand acquisition. Additionally, net sales growth benefited from the timing of new stand-up packaging as well as distributor changes by several retailers resulting in increased retail inventory. These volume increases were partially offset by volume declines in our International and Other segment primarily due to macroeconomic challenges in China.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sales decreased 1.5% in the first six months of 2017 compared to the same period of 2016. The improvement was driven by favorable commodity costs, a $27.2 million year-over-year decrease in business realignment costs, and supply chain productivity. These benefits were offset in part by unfavorable manufacturing variances and higher freight and warehousing costs.</w:t>
      </w:r>
    </w:p>
    <w:p>
      <w:pPr>
        <w:spacing w:after="0" w:line="12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Gross margin increased by 200 basis points in the first six months of 2017 compared to the same period of 2016, driven by lower trade promotional spending, lower commodity and business realignment costs and supply chain productivity, partially offset by higher supply chain costs.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Selling, marketing and administrative (“SM&amp;A”) expenses decreased $26.5 million or 2.8% in the first six months of 2017. Advertising and related consumer marketing expense decreased 0.3% during this period. Excluding these advertising and related consumer marketing costs, selling and administrative expenses for 2017 decreased by 4.1% as compared to 2016. SM&amp;A benefited from lower business realignment costs as well as costs savings and efficiency initiatives, partially offset by higher investments in go-to-market capabilities.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first six months of 2017, we recorded long-lived asset impairment charges of $208.7 million. This relates to a first quarter write-down of certain intangible assets that had been recognized in connection with the 2014 SGM acquisition and write-down of property, plant and equipment. See Note 7 to the Unaudited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the first six months of 2017 and 2016, we recorded business realignment costs of $46.0 million and $28.2 million, respectively. The 2017 costs related primarily to severance and other program costs associated with the Margin for Growth Program that commenced in the first quarter of 2017. The 2016 costs related primarily to the Operational Optimization Program, as described in Note 7 to the Unaudited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Operating profit decreased 15.8% in the first six months of 2017 compared to the same period of 2016 due primarily to the long-lived asset impairment charges and higher business realignment costs, partially offset by higher gross margin and lower SM&amp;A expenses, as discussed above. Operating profit margin decreased to 14.3% in 2017 from 17.4% in 2016 driven by these same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Net interest expense was $5.5 million higher in the first six months of 2017 compared to the same period of 2016. The increase was due to higher levels of long-term debt as well as higher interest rates on commercial paper during the second six months of 2017 as compared to the 2016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totaled expense of $9.9 million during the first six months of 2017 versus income of $13.1 million for the same period of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2016 income included an extinguishment gain of $26.7 million related to the settlement of the SGM liability. Additionally, in 2016, we recognized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 million write-down on equity investments qualifying for federal historic and energy tax credits, compared to a $10.3 million write-down in the first six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of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effective income tax rate was 33.0% for the first six months of 2017 compared with 34.4% for the same period of 2016. Relative to the statutory rate, the 2017 effective tax rate was impacted by a favorable foreign rate differential relating to our cocoa procurement operations, investment tax credits and the benefit of ASU 2016-09, which were partially offset by non-benefited costs resulting from the Margin for Growth Program. The 2016 effective rate benefited from the impact of non-taxable income related to the settlement of the SGM liability and investment tax credits.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income decreased $47.2 million, or 12.6%, while EPS-diluted decreased $0.21, or 12.1%, in the first six months of 2017 compared to the same period of 2016. The decreases in both net income and EPS-diluted were driven by the long-lived asset impairment charges and higher business realignment costs, as noted above.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742"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and NSRPE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24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 2016</w:t>
            </w:r>
          </w:p>
        </w:tc>
        <w:tc>
          <w:tcPr>
            <w:tcW w:w="2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 2017</w:t>
            </w:r>
          </w:p>
        </w:tc>
        <w:tc>
          <w:tcPr>
            <w:tcW w:w="280" w:type="dxa"/>
            <w:vAlign w:val="bottom"/>
          </w:tcPr>
          <w:p>
            <w:pPr>
              <w:spacing w:after="0"/>
              <w:rPr>
                <w:sz w:val="20"/>
                <w:szCs w:val="20"/>
                <w:color w:val="auto"/>
              </w:rPr>
            </w:pPr>
          </w:p>
        </w:tc>
        <w:tc>
          <w:tcPr>
            <w:tcW w:w="1420" w:type="dxa"/>
            <w:vAlign w:val="bottom"/>
          </w:tcPr>
          <w:p>
            <w:pPr>
              <w:jc w:val="right"/>
              <w:ind w:right="351"/>
              <w:spacing w:after="0"/>
              <w:rPr>
                <w:sz w:val="20"/>
                <w:szCs w:val="20"/>
                <w:color w:val="auto"/>
              </w:rPr>
            </w:pPr>
            <w:r>
              <w:rPr>
                <w:rFonts w:ascii="Arial" w:cs="Arial" w:eastAsia="Arial" w:hAnsi="Arial"/>
                <w:sz w:val="16"/>
                <w:szCs w:val="16"/>
                <w:b w:val="1"/>
                <w:bCs w:val="1"/>
                <w:color w:val="auto"/>
              </w:rPr>
              <w:t>July 3, 2016</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1,477,014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1,444,841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3,154,160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3,078,312</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185,977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388,171</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1,662,991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1,637,671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3,542,669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3,466,483</w:t>
            </w:r>
          </w:p>
        </w:tc>
      </w:tr>
      <w:tr>
        <w:trPr>
          <w:trHeight w:val="311"/>
        </w:trPr>
        <w:tc>
          <w:tcPr>
            <w:tcW w:w="4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460,382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955,113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(16,695)</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468,750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1,023,611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938,418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123,173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126,623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242,823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248,794</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(2)</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30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208,712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Costs associated with business realignment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76,525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Non-service related pension expense</w:t>
            </w:r>
          </w:p>
        </w:tc>
        <w:tc>
          <w:tcPr>
            <w:tcW w:w="30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14,306</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315,341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262,762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507,272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602,271</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(13,097)</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281,117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449,478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573,025</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6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gains and losses on commodity derivative instruments that are excluded from segment income until the related inventory is sold. See Note 11 to the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88.8% and 88.2% of our net sales for the three months ended July 2, 2017 and July 3, 2016, respectively. North America results for the three and six months ended July 2, 2017 and July 3, 2016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w:t>
            </w:r>
          </w:p>
        </w:tc>
      </w:tr>
      <w:tr>
        <w:trPr>
          <w:trHeight w:val="263"/>
        </w:trPr>
        <w:tc>
          <w:tcPr>
            <w:tcW w:w="2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 2016</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2017</w:t>
            </w: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2016</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1,477.0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3,154.2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3,078.3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1,013.5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955.1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2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2017 vs. Second Quarter 2016</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Net sales of our North America segment increased $32.2 million or 2.2% in 2017 compared to 2016, driven by increased volume of 1.7% due to benefits from innovation and 0.6% from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 Additionally, net sales growth benefited from the timing of new stand-up packaging as well as distributor changes by several retailers resulting in increased retail inventory. Net price realization increased by 0.2% due to decreased levels of trade promotional spending. Excluding a 0.3% unfavorable impact of foreign currency exchange rates, the net sales of our North America segment increased by approximately 2.5%.</w:t>
      </w:r>
    </w:p>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Our North America segment income increased $34.7 million or 8.1% in 2017 compared to 2016, driven by higher gross profit, partially offset by investments in greater levels of selling expense and go-to-market capabilities and increased depreciation and amortization resulting from the recent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2017 vs. First Six Months 2016</w:t>
      </w:r>
    </w:p>
    <w:p>
      <w:pPr>
        <w:spacing w:after="0" w:line="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Net sales of our North America segment increased $75.9 million or 2.5% in 2017 compared to 2016, driven by increased volume of 0.9% due to a strong Easter season, as well as benefits from innovation and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 Additionally, net sales growth benefited from the timing of new stand-up packaging as well as distributor changes by several retailers resulting in increased retail inventory. Net price realization increased by 0.8% due to decreased levels of trade promotional spending.</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Our North America segment income increased $58.4 million or 6.1% in 2017 compared to 2016, driven by higher gross profit, partially offset by investments in greater levels of selling expense and go-to-market capabilities and increased depreciation and amortization resulting from the recent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Shanghai, Niagara Falls (Ontario), Dubai and Singapore, as well as operations associated with licensing the use of certain trademarks and products to third parties around the world. International and Other accounted for 11.2% and 11.8% of our net sales for the three months ended July 2, 2017 and July 3, 2016, respectively. International and Other results for the three and six months ended July 2, 2017 and July 3, 2016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Percent</w:t>
            </w:r>
          </w:p>
        </w:tc>
      </w:tr>
      <w:tr>
        <w:trPr>
          <w:trHeight w:val="263"/>
        </w:trPr>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2016</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2017</w:t>
            </w:r>
          </w:p>
        </w:tc>
        <w:tc>
          <w:tcPr>
            <w:tcW w:w="26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2016</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4"/>
              </w:rPr>
              <w:t>(3.6)%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24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NM</w:t>
            </w: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2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2017 vs. Second Quarter 2016</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sales of our International and Other segment decreased $6.8 million or 3.6% in 2017 compared to 2016, reflecting volume declines of 2.1%, unfavorable price realization of 1.4% and an unfavorable impact from foreign currency exchange rates of 0.1%. Excluding the unfavorable impact of foreign currency exchange rates, the net sales of our International and Other segment decreased by approximately 3.5%.</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volume decrease primarily related to continued softness in the China chocolate category due to macroeconomic challenges, partially offset by net sales increases in Latin America and select export markets. Constant currency net sales in Mexico and Brazil increased by 16.9% and 2.8%, respectively, driven by solid chocolate marketplace performance. India also experienced constant currency net sales growth of 1.7%. The unfavorable net price realization was mainly driven by increased levels of returns, discounts and allowances in China compared to the prior year.</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International and Other segment generated income of $8.4 million in 2017 compared to a loss of $3.5 million in 2016. Combined income in Latin America and export markets improved versus the prior year and lower operating expenses in China as a result of our Margin for Growth Program contributed to the positive segment income.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2017 vs. First Six Months 2016</w:t>
      </w:r>
    </w:p>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Net sales of our International and Other segment increased $0.3 million or 0.1% in 2017 compared to 2016, reflecting favorable price realization of 3.6%, partially offset by volume declines of 3.2% and an unfavorable impact from foreign currency exchange rates of 0.3%. Excluding the unfavorable impact of foreign currency exchange rates, the net sales of our International and Other segment increased by approximately 0.4%.</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favorable net price realization was driven by decreased levels of trade promotional spending, which declined significantly compared to the prior year. The volume decrease primarily related to continued softness in the China chocolate category due to macroeconomic challenges, partially offset by net sales increases in Latin America and select export markets. Constant currency net sales in Mexico and Brazil increased by 14.8% and 10.9%, respectively, driven by solid chocolate marketplace performance. India also experienced constant currency net sales growth of 8.7%.</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International and Other segment generated income of $10.1 million in 2017 compared to a loss of $16.7 million in 2016. Combined income in Latin America and export markets improved versus the prior year and lower operating expenses in China as a result of our Margin for Growth Program contributed to the positive segment income.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second quarter of 2017, unallocated corporate expense totaled $123.2 million, as compared to $126.6 million in the same period of 2016, primarily due to savings realized in 2017 from our productivity and cost savings initiatives. In the first six months of 2017, unallocated corporate expense totaled $242.8 million, as compared to $248.8 million in the same period of 2016, primarily due to savings realized in 2017 from our productivity and cost savings initiatives.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July 2, 2017, our cash and cash equivalents totaled $214.1 million. At December 31, 2016, our cash and cash equivalents totaled $297.0 million. Our cash and cash equivalents during the first six months of 2017 declined $82.9 million compared to the 2016 year-end balance as a result of the net uses of cash outlined in the following discussion.</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Approximately two-thirds of the balance of our cash and cash equivalents at July 2, 2017 was held by subsidiaries domiciled outside of the United States. If these amounts held outside of the United States were to be repatriated, under current law they would be subject to U.S. federal income taxes, less applicable foreign tax credits. However,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23495</wp:posOffset>
            </wp:positionV>
            <wp:extent cx="2624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2017</w:t>
            </w:r>
          </w:p>
        </w:tc>
        <w:tc>
          <w:tcPr>
            <w:tcW w:w="44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July 3, 2016</w:t>
            </w:r>
          </w:p>
        </w:tc>
      </w:tr>
      <w:tr>
        <w:trPr>
          <w:trHeight w:val="513"/>
        </w:trPr>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4"/>
                <w:szCs w:val="24"/>
                <w:color w:val="auto"/>
              </w:rPr>
            </w:pP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368.7</w:t>
            </w:r>
          </w:p>
        </w:tc>
      </w:tr>
      <w:tr>
        <w:trPr>
          <w:trHeight w:val="284"/>
        </w:trPr>
        <w:tc>
          <w:tcPr>
            <w:tcW w:w="4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70"/>
        </w:trPr>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84"/>
        </w:trPr>
        <w:tc>
          <w:tcPr>
            <w:tcW w:w="440" w:type="dxa"/>
            <w:vAlign w:val="bottom"/>
          </w:tcPr>
          <w:p>
            <w:pPr>
              <w:spacing w:after="0"/>
              <w:rPr>
                <w:sz w:val="24"/>
                <w:szCs w:val="24"/>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41"/>
        </w:trPr>
        <w:tc>
          <w:tcPr>
            <w:tcW w:w="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4140"/>
          </w:cols>
          <w:pgMar w:left="240" w:top="82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generated net cash from operating activities of $335.7 million in the first six months of 2017, a decrease of $33.0 million compared to $368.7 million in the same period of 2016. This decrease in net cash from operating activities was mainly driven by the following factors:</w:t>
      </w:r>
    </w:p>
    <w:p>
      <w:pPr>
        <w:spacing w:after="0" w:line="116" w:lineRule="exact"/>
        <w:rPr>
          <w:sz w:val="20"/>
          <w:szCs w:val="20"/>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Working capital (comprised of trade accounts receivable, inventory, accounts payable and accrued liabilities) used cash of $200.8 million in the 2017 period compared to $133.0 million during the same period of 2016. This $67.8 million fluctuation was mainly driven by:</w:t>
      </w:r>
    </w:p>
    <w:p>
      <w:pPr>
        <w:spacing w:after="0" w:line="92"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$45.0 million increase in cash generated by accounts receivable, primarily attributed to higher net sales during the first six months of 2017 versus 2016.</w:t>
      </w:r>
    </w:p>
    <w:p>
      <w:pPr>
        <w:spacing w:after="0" w:line="116" w:lineRule="exact"/>
        <w:rPr>
          <w:rFonts w:ascii="Arial" w:cs="Arial" w:eastAsia="Arial" w:hAnsi="Arial"/>
          <w:sz w:val="18"/>
          <w:szCs w:val="18"/>
          <w:color w:val="auto"/>
        </w:rPr>
      </w:pPr>
    </w:p>
    <w:p>
      <w:pPr>
        <w:ind w:left="1300" w:right="1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$79.8 million increase in cash used by inventories, due to a higher year-over-year build up of U.S. inventories to satisfy seasonal core and variety product requirements, coupled with a higher investment in inventory in Brazil, driven by volume and pricing growth in that market.</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$33.1 million increase in cash used by accounts payable and accrued liabilities, mainly due to the timing of payments for trade-related and other accounts payables.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used by accrued income taxes increased $36.3 million, mainly due to the timing of estimated tax payments in the 2017 period compared to the same period of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24" w:right="239" w:bottom="1440" w:gutter="0" w:footer="0" w:header="0"/>
          <w:type w:val="continuous"/>
        </w:sectPr>
      </w:pPr>
    </w:p>
    <w:bookmarkStart w:id="44" w:name="page45"/>
    <w:bookmarkEnd w:id="44"/>
    <w:p>
      <w:pPr>
        <w:ind w:left="660" w:right="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net uses of cash noted above were offset in part by higher net income adjusted for non-cash charges to operations (including depreciation, amortization, stock-based compensation, deferred income taxes, long-lived asset impairment charges, write-down of equity investments, the gain on settlement of the SGM liability and other charges). Our incremental net income adjusted for non-cash charges increased by $84.5 million in the 2017 period relative to the same period of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used net cash for investing activities of $106.2 million in the first six months of 2017, a decrease of $298.3 million compared to $404.5 million in the same period of 2016. This decrease in net cash used in investing activities was mainly driven by the following factors:</w:t>
      </w:r>
    </w:p>
    <w:p>
      <w:pPr>
        <w:spacing w:after="0" w:line="116" w:lineRule="exact"/>
        <w:rPr>
          <w:sz w:val="20"/>
          <w:szCs w:val="20"/>
          <w:color w:val="auto"/>
        </w:rPr>
      </w:pPr>
    </w:p>
    <w:p>
      <w:pPr>
        <w:ind w:left="660" w:right="12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We spent $19.4 million less for property, plant and equipment, including capitalized software, during the first six months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2016. For the full year 2017, we expect capital expenditures, including capitalized software, to approximate $270 million to $290 million.</w:t>
      </w:r>
    </w:p>
    <w:p>
      <w:pPr>
        <w:spacing w:after="0" w:line="127" w:lineRule="exact"/>
        <w:rPr>
          <w:rFonts w:ascii="Arial" w:cs="Arial" w:eastAsia="Arial" w:hAnsi="Arial"/>
          <w:sz w:val="18"/>
          <w:szCs w:val="18"/>
          <w:i w:val="1"/>
          <w:iCs w:val="1"/>
          <w:color w:val="auto"/>
        </w:rPr>
      </w:pPr>
    </w:p>
    <w:p>
      <w:pPr>
        <w:jc w:val="both"/>
        <w:ind w:left="660" w:right="16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$5.7 million more in projects qualifying for tax credits during the first six months of 2017 compared to the same period of 2016.</w:t>
      </w:r>
    </w:p>
    <w:p>
      <w:pPr>
        <w:spacing w:after="0" w:line="127"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April 2016, we acquired Ripple Brand Collective, LLC for $285 million. Further details regarding our business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are provided in Note 2 to the Unaudited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used net cash for financing activities of $315.1 million in the first six months of 2017, an increase of $252.9 million compared to $62.2 million in the same period of 2016. This increase in net cash used in financing activities was mainly driven by the following factors:</w:t>
      </w:r>
    </w:p>
    <w:p>
      <w:pPr>
        <w:spacing w:after="0" w:line="116" w:lineRule="exact"/>
        <w:rPr>
          <w:sz w:val="20"/>
          <w:szCs w:val="20"/>
          <w:color w:val="auto"/>
        </w:rPr>
      </w:pPr>
    </w:p>
    <w:p>
      <w:pPr>
        <w:ind w:left="660" w:hanging="328"/>
        <w:spacing w:after="0" w:line="25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six months of 2017, we had a net reduction in short-term borrowings of $14 million primarily due to repayments on short-term foreign bank borrowings. During the first six months of 2016, we generated cash flow of $742 million from proceeds on short-term commercial paper issuances, partially offset by a $112 million reduction in short-term foreign bank borrowings.</w:t>
      </w:r>
    </w:p>
    <w:p>
      <w:pPr>
        <w:spacing w:after="0" w:line="134" w:lineRule="exact"/>
        <w:rPr>
          <w:rFonts w:ascii="Arial" w:cs="Arial" w:eastAsia="Arial" w:hAnsi="Arial"/>
          <w:sz w:val="18"/>
          <w:szCs w:val="18"/>
          <w:i w:val="1"/>
          <w:iCs w:val="1"/>
          <w:color w:val="auto"/>
        </w:rPr>
      </w:pPr>
    </w:p>
    <w:p>
      <w:pPr>
        <w:ind w:left="660" w:right="20" w:hanging="328"/>
        <w:spacing w:after="0" w:line="286" w:lineRule="auto"/>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used cash for total share repurchases of $100 million during the first six months of 2017 pursuant to our practice of</w:t>
      </w:r>
      <w:r>
        <w:rPr>
          <w:rFonts w:ascii="Arial" w:cs="Arial" w:eastAsia="Arial" w:hAnsi="Arial"/>
          <w:sz w:val="17"/>
          <w:szCs w:val="17"/>
          <w:i w:val="1"/>
          <w:iCs w:val="1"/>
          <w:color w:val="auto"/>
        </w:rPr>
        <w:t xml:space="preserve"> </w:t>
      </w:r>
      <w:r>
        <w:rPr>
          <w:rFonts w:ascii="Arial" w:cs="Arial" w:eastAsia="Arial" w:hAnsi="Arial"/>
          <w:sz w:val="17"/>
          <w:szCs w:val="17"/>
          <w:color w:val="auto"/>
        </w:rPr>
        <w:t>replenishing shares issued for stock options and incentive compensation. We used cash for total share repurchases of $453 million during the first six months of 2016, which also included shares repurchased in the open market under pre-approved share repurchase programs.</w:t>
      </w:r>
    </w:p>
    <w:p>
      <w:pPr>
        <w:spacing w:after="0" w:line="111" w:lineRule="exact"/>
        <w:rPr>
          <w:rFonts w:ascii="Arial" w:cs="Arial" w:eastAsia="Arial" w:hAnsi="Arial"/>
          <w:sz w:val="17"/>
          <w:szCs w:val="17"/>
          <w:i w:val="1"/>
          <w:iCs w:val="1"/>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$256.1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2017, an increase of $13.0 million compared to $243.1 million in the same period of 2016.</w:t>
      </w:r>
    </w:p>
    <w:p>
      <w:pPr>
        <w:spacing w:after="0" w:line="116"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w:t>
      </w:r>
      <w:r>
        <w:rPr>
          <w:rFonts w:ascii="Arial" w:cs="Arial" w:eastAsia="Arial" w:hAnsi="Arial"/>
          <w:sz w:val="18"/>
          <w:szCs w:val="18"/>
          <w:color w:val="auto"/>
        </w:rPr>
        <w:t>We received $54.8 million from employee exercises of stock options, net of payments of employee taxes</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from share-based awards, during the first six months of 2017, an increase of $15.7 million compared to $39.1 million in the same period of 2016.</w:t>
      </w:r>
    </w:p>
    <w:p>
      <w:pPr>
        <w:spacing w:after="0" w:line="127"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February 2016, we used $35.8 million to purchase the remaining 20% of the outstanding shares of SGM.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46"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0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38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 and</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other matters as discussed in our 2016 Annual Report on Form 10-K.</w:t>
      </w:r>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823"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notional amount of interest rate swaps outstanding was $350 million at July 2, 2017 and December 31, 2016. The notional amount relates to fixed-to-floating interest rate swaps which convert a comparable amount of fixed-rate debt to variable rate debt at July 2, 2017 and December 31, 2016. A hypothetical 100 basis point increase in interest rates applied to this now variable rate debt as of July 2, 2017 would have increased interest expense by approximately $1.8 million for the first six months of 2017 and $3.6 million for the full year 2016.</w:t>
      </w:r>
    </w:p>
    <w:p>
      <w:pPr>
        <w:spacing w:after="0" w:line="13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July 2, 2017 and December 31, 2016 by approximately $140 million and $142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$14.7 million as of July 2, 2017 and $9.6 million as of December 31, 2016. Our open commodity contracts had a notional value of $423.3 million as of July 2, 2017 and $739.4 million as of December 31, 2016. At the end of the second quarter of 2017, the potential change in fair value of commodity derivative instruments, assuming a 10% decrease in the underlying commodity price, would have increased our net unrealized losses by $42.3 million, generally offset by a reduction in the cost of the underlying commodity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2016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July 2, 2017. Based on this evaluation, our Chief Executive Officer and Chief Financial Officer concluded that our disclosure controls and procedures were effective as of July 2, 2017.</w:t>
      </w:r>
    </w:p>
    <w:p>
      <w:pPr>
        <w:spacing w:after="0" w:line="2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July 2, 2017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23"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14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When evaluating an investment in our Common Stock, investors should consider carefully, among other things, the risk factors previously disclosed in Part I, Item 1A, “Risk Factors,” of our 2016 Annual Report on Form 10-K, as well as the information contained in this Quarterly Report on Form 10-Q and our other reports and registration statements filed with the SEC. There have been no material changes in our risk factors since the filing of our 2016 Annual Report on Form 10-K, other than to include the following risk factor related to our implementation of a new enterprise resource planning system.</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Complications with the design or implementation of our new enterprise resource planning system could adversely impact our business and operations.</w:t>
      </w:r>
    </w:p>
    <w:p>
      <w:pPr>
        <w:spacing w:after="0" w:line="2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he following table shows the purchases of shares of Common Stock made by or on behalf of Hershey, or any “affiliated purchaser” (as defined in Rule 10b-18(a)(3) under the Securities Exchange Act of 1934, as amended) of Hershey, for each fiscal month in the three months ended July 2, 2017:</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19"/>
              <w:spacing w:after="0"/>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Average Price</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Paid</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per Share</w:t>
            </w:r>
          </w:p>
        </w:tc>
        <w:tc>
          <w:tcPr>
            <w:tcW w:w="168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3"/>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jc w:val="right"/>
              <w:ind w:right="277"/>
              <w:spacing w:after="0"/>
              <w:rPr>
                <w:sz w:val="20"/>
                <w:szCs w:val="20"/>
                <w:color w:val="auto"/>
              </w:rPr>
            </w:pPr>
            <w:r>
              <w:rPr>
                <w:rFonts w:ascii="Arial" w:cs="Arial" w:eastAsia="Arial" w:hAnsi="Arial"/>
                <w:sz w:val="14"/>
                <w:szCs w:val="14"/>
                <w:b w:val="1"/>
                <w:bCs w:val="1"/>
                <w:color w:val="auto"/>
                <w:w w:val="94"/>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3 through April 30</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May 1 through May 28</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600,000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111.99</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100,000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29 through July 2</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286,675</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114.42</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886,675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112.77</w:t>
            </w:r>
          </w:p>
        </w:tc>
        <w:tc>
          <w:tcPr>
            <w:tcW w:w="12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July 2, 2017, 886,675 shares of Common Stock were purchased in connection with our practice of buying back shares sufficient to offset those issued under incentive compensation plans. All of the shares of Common Stock purchased during the period were purchased in open market transactions.</w:t>
      </w:r>
    </w:p>
    <w:p>
      <w:pPr>
        <w:spacing w:after="0" w:line="19" w:lineRule="exact"/>
        <w:rPr>
          <w:rFonts w:ascii="Arial" w:cs="Arial" w:eastAsia="Arial" w:hAnsi="Arial"/>
          <w:sz w:val="18"/>
          <w:szCs w:val="18"/>
          <w:color w:val="auto"/>
        </w:rPr>
      </w:pPr>
    </w:p>
    <w:p>
      <w:pPr>
        <w:ind w:right="360" w:firstLine="8"/>
        <w:spacing w:after="0" w:line="342"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January 2016, our Board of Directors approved an additional $500 million share repurchase authorization. As of July 2, 2017, approximately $100 million remained available for repurchases of our Common Stock under this program. The share repurchase program does not have an expiration date.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40" w:type="dxa"/>
            <w:vAlign w:val="bottom"/>
            <w:gridSpan w:val="4"/>
          </w:tcPr>
          <w:p>
            <w:pPr>
              <w:ind w:left="12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440" w:type="dxa"/>
            <w:vAlign w:val="bottom"/>
            <w:gridSpan w:val="3"/>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EE"/>
                <w:w w:val="89"/>
              </w:rPr>
            </w:pPr>
            <w:hyperlink r:id="rId37">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tcBorders>
              <w:right w:val="single" w:sz="8" w:color="CCEEFF"/>
            </w:tcBorders>
            <w:gridSpan w:val="13"/>
            <w:shd w:val="clear" w:color="auto" w:fill="CCEEFF"/>
          </w:tcPr>
          <w:p>
            <w:pPr>
              <w:spacing w:after="0" w:line="183" w:lineRule="exact"/>
              <w:rPr>
                <w:rFonts w:ascii="Arial" w:cs="Arial" w:eastAsia="Arial" w:hAnsi="Arial"/>
                <w:sz w:val="16"/>
                <w:szCs w:val="16"/>
                <w:color w:val="0000EE"/>
                <w:w w:val="93"/>
              </w:rPr>
            </w:pPr>
            <w:hyperlink r:id="rId37">
              <w:r>
                <w:rPr>
                  <w:rFonts w:ascii="Arial" w:cs="Arial" w:eastAsia="Arial" w:hAnsi="Arial"/>
                  <w:sz w:val="16"/>
                  <w:szCs w:val="16"/>
                  <w:color w:val="0000EE"/>
                  <w:w w:val="93"/>
                </w:rPr>
                <w:t>Form of Notice of Special Award of Performance Stock Units is incorporate by reference from Exhibit 10.1 to the Company’s Current Report on Form 8-K</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tcBorders>
              <w:right w:val="single" w:sz="8" w:color="CCEEFF"/>
            </w:tcBorders>
            <w:gridSpan w:val="13"/>
            <w:shd w:val="clear" w:color="auto" w:fill="CCEEFF"/>
          </w:tcPr>
          <w:p>
            <w:pPr>
              <w:spacing w:after="0" w:line="183" w:lineRule="exact"/>
              <w:rPr>
                <w:rFonts w:ascii="Arial" w:cs="Arial" w:eastAsia="Arial" w:hAnsi="Arial"/>
                <w:sz w:val="16"/>
                <w:szCs w:val="16"/>
                <w:color w:val="0000EE"/>
              </w:rPr>
            </w:pPr>
            <w:hyperlink r:id="rId37">
              <w:r>
                <w:rPr>
                  <w:rFonts w:ascii="Arial" w:cs="Arial" w:eastAsia="Arial" w:hAnsi="Arial"/>
                  <w:sz w:val="16"/>
                  <w:szCs w:val="16"/>
                  <w:color w:val="0000EE"/>
                </w:rPr>
                <w:t>filed May 5, 2017</w:t>
              </w:r>
              <w:r>
                <w:rPr>
                  <w:rFonts w:ascii="Arial" w:cs="Arial" w:eastAsia="Arial" w:hAnsi="Arial"/>
                  <w:sz w:val="16"/>
                  <w:szCs w:val="16"/>
                  <w:color w:val="000000"/>
                </w:rPr>
                <w:t>+</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12.</w:t>
              </w:r>
              <w:r>
                <w:rPr>
                  <w:rFonts w:ascii="Arial" w:cs="Arial" w:eastAsia="Arial" w:hAnsi="Arial"/>
                  <w:sz w:val="16"/>
                  <w:szCs w:val="16"/>
                  <w:u w:val="single" w:color="auto"/>
                  <w:color w:val="0000EE"/>
                  <w:w w:val="89"/>
                </w:rPr>
                <w:t>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3"/>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Computation of Ratio of Earnings to Fixed Charges.</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4"/>
            <w:shd w:val="clear" w:color="auto" w:fill="CCEEFF"/>
          </w:tcPr>
          <w:p>
            <w:pPr>
              <w:jc w:val="center"/>
              <w:ind w:left="359"/>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tcBorders>
              <w:right w:val="single" w:sz="8" w:color="CCEEFF"/>
            </w:tcBorders>
            <w:gridSpan w:val="13"/>
            <w:shd w:val="clear" w:color="auto" w:fill="CCEEFF"/>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2</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3"/>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jc w:val="cente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tcBorders>
              <w:right w:val="single" w:sz="8" w:color="CCEEFF"/>
            </w:tcBorders>
            <w:gridSpan w:val="13"/>
            <w:shd w:val="clear" w:color="auto" w:fill="CCEEFF"/>
          </w:tcPr>
          <w:p>
            <w:pPr>
              <w:spacing w:after="0"/>
              <w:rPr>
                <w:rFonts w:ascii="Arial" w:cs="Arial" w:eastAsia="Arial" w:hAnsi="Arial"/>
                <w:sz w:val="16"/>
                <w:szCs w:val="16"/>
                <w:color w:val="0000EE"/>
                <w:w w:val="95"/>
              </w:rPr>
            </w:pPr>
            <w:hyperlink w:anchor="page54">
              <w:r>
                <w:rPr>
                  <w:rFonts w:ascii="Arial" w:cs="Arial" w:eastAsia="Arial" w:hAnsi="Arial"/>
                  <w:sz w:val="16"/>
                  <w:szCs w:val="16"/>
                  <w:color w:val="0000EE"/>
                  <w:w w:val="95"/>
                </w:rPr>
                <w:t>Certification of Michele G. Buck, Chief Executive Officer, and Patricia A. Little, Chief Financial Officer, pursuant to Section 906 of the Sarbanes-Oxley</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tcBorders>
              <w:right w:val="single" w:sz="8" w:color="CCEEFF"/>
            </w:tcBorders>
            <w:gridSpan w:val="13"/>
            <w:shd w:val="clear" w:color="auto" w:fill="CCEEFF"/>
          </w:tcPr>
          <w:p>
            <w:pPr>
              <w:spacing w:after="0" w:line="183" w:lineRule="exact"/>
              <w:rPr>
                <w:rFonts w:ascii="Arial" w:cs="Arial" w:eastAsia="Arial" w:hAnsi="Arial"/>
                <w:sz w:val="16"/>
                <w:szCs w:val="16"/>
                <w:color w:val="0000EE"/>
              </w:rPr>
            </w:pPr>
            <w:hyperlink w:anchor="page54">
              <w:r>
                <w:rPr>
                  <w:rFonts w:ascii="Arial" w:cs="Arial" w:eastAsia="Arial" w:hAnsi="Arial"/>
                  <w:sz w:val="16"/>
                  <w:szCs w:val="16"/>
                  <w:color w:val="0000EE"/>
                </w:rPr>
                <w:t>Act of 2002.</w:t>
              </w:r>
              <w:r>
                <w:rPr>
                  <w:rFonts w:ascii="Arial" w:cs="Arial" w:eastAsia="Arial" w:hAnsi="Arial"/>
                  <w:sz w:val="16"/>
                  <w:szCs w:val="16"/>
                  <w:color w:val="000000"/>
                </w:rPr>
                <w:t>**</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color w:val="0000EE"/>
                <w:w w:val="96"/>
              </w:rPr>
              <w:t>101.</w:t>
            </w:r>
            <w:r>
              <w:rPr>
                <w:rFonts w:ascii="Arial" w:cs="Arial" w:eastAsia="Arial" w:hAnsi="Arial"/>
                <w:sz w:val="16"/>
                <w:szCs w:val="16"/>
                <w:u w:val="single" w:color="auto"/>
                <w:color w:val="0000EE"/>
                <w:w w:val="96"/>
              </w:rPr>
              <w:t>INS</w:t>
            </w:r>
          </w:p>
        </w:tc>
        <w:tc>
          <w:tcPr>
            <w:tcW w:w="10120" w:type="dxa"/>
            <w:vAlign w:val="bottom"/>
            <w:gridSpan w:val="13"/>
          </w:tcPr>
          <w:p>
            <w:pPr>
              <w:spacing w:after="0"/>
              <w:rPr>
                <w:sz w:val="20"/>
                <w:szCs w:val="20"/>
                <w:color w:val="auto"/>
              </w:rPr>
            </w:pPr>
            <w:r>
              <w:rPr>
                <w:rFonts w:ascii="Arial" w:cs="Arial" w:eastAsia="Arial" w:hAnsi="Arial"/>
                <w:sz w:val="16"/>
                <w:szCs w:val="16"/>
                <w:color w:val="0000EE"/>
              </w:rPr>
              <w:t>XBRL Instance Document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EE"/>
                <w:w w:val="92"/>
              </w:rPr>
              <w:t>101.</w:t>
            </w:r>
            <w:r>
              <w:rPr>
                <w:rFonts w:ascii="Arial" w:cs="Arial" w:eastAsia="Arial" w:hAnsi="Arial"/>
                <w:sz w:val="16"/>
                <w:szCs w:val="16"/>
                <w:u w:val="single" w:color="auto"/>
                <w:color w:val="0000EE"/>
                <w:w w:val="92"/>
              </w:rPr>
              <w:t>SCH</w:t>
            </w:r>
          </w:p>
        </w:tc>
        <w:tc>
          <w:tcPr>
            <w:tcW w:w="1012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0000EE"/>
              </w:rPr>
              <w:t>XBRL Taxonomy Extension Schema</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20"/>
              <w:spacing w:after="0"/>
              <w:rPr>
                <w:sz w:val="20"/>
                <w:szCs w:val="20"/>
                <w:color w:val="auto"/>
              </w:rPr>
            </w:pPr>
            <w:r>
              <w:rPr>
                <w:rFonts w:ascii="Arial" w:cs="Arial" w:eastAsia="Arial" w:hAnsi="Arial"/>
                <w:sz w:val="16"/>
                <w:szCs w:val="16"/>
                <w:color w:val="0000EE"/>
                <w:w w:val="96"/>
              </w:rPr>
              <w:t>101.</w:t>
            </w:r>
            <w:r>
              <w:rPr>
                <w:rFonts w:ascii="Arial" w:cs="Arial" w:eastAsia="Arial" w:hAnsi="Arial"/>
                <w:sz w:val="16"/>
                <w:szCs w:val="16"/>
                <w:u w:val="single" w:color="auto"/>
                <w:color w:val="0000EE"/>
                <w:w w:val="96"/>
              </w:rPr>
              <w:t>CAL</w:t>
            </w:r>
          </w:p>
        </w:tc>
        <w:tc>
          <w:tcPr>
            <w:tcW w:w="10120" w:type="dxa"/>
            <w:vAlign w:val="bottom"/>
            <w:gridSpan w:val="13"/>
          </w:tcPr>
          <w:p>
            <w:pPr>
              <w:spacing w:after="0"/>
              <w:rPr>
                <w:sz w:val="20"/>
                <w:szCs w:val="20"/>
                <w:color w:val="auto"/>
              </w:rPr>
            </w:pPr>
            <w:r>
              <w:rPr>
                <w:rFonts w:ascii="Arial" w:cs="Arial" w:eastAsia="Arial" w:hAnsi="Arial"/>
                <w:sz w:val="16"/>
                <w:szCs w:val="16"/>
                <w:color w:val="0000EE"/>
              </w:rPr>
              <w:t>XBRL Taxonomy Extension Calculation Linkbase</w:t>
            </w:r>
          </w:p>
        </w:tc>
      </w:tr>
      <w:tr>
        <w:trPr>
          <w:trHeight w:val="61"/>
        </w:trPr>
        <w:tc>
          <w:tcPr>
            <w:tcW w:w="28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EE"/>
                <w:w w:val="97"/>
              </w:rPr>
              <w:t>101.</w:t>
            </w:r>
            <w:r>
              <w:rPr>
                <w:rFonts w:ascii="Arial" w:cs="Arial" w:eastAsia="Arial" w:hAnsi="Arial"/>
                <w:sz w:val="16"/>
                <w:szCs w:val="16"/>
                <w:u w:val="single" w:color="auto"/>
                <w:color w:val="0000EE"/>
                <w:w w:val="97"/>
              </w:rPr>
              <w:t>LAB</w:t>
            </w:r>
          </w:p>
        </w:tc>
        <w:tc>
          <w:tcPr>
            <w:tcW w:w="1012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0000EE"/>
              </w:rPr>
              <w:t>XBRL Taxonomy Extension Label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00"/>
              <w:spacing w:after="0"/>
              <w:rPr>
                <w:sz w:val="20"/>
                <w:szCs w:val="20"/>
                <w:color w:val="auto"/>
              </w:rPr>
            </w:pPr>
            <w:r>
              <w:rPr>
                <w:rFonts w:ascii="Arial" w:cs="Arial" w:eastAsia="Arial" w:hAnsi="Arial"/>
                <w:sz w:val="16"/>
                <w:szCs w:val="16"/>
                <w:color w:val="0000EE"/>
                <w:w w:val="90"/>
              </w:rPr>
              <w:t>101.</w:t>
            </w:r>
            <w:r>
              <w:rPr>
                <w:rFonts w:ascii="Arial" w:cs="Arial" w:eastAsia="Arial" w:hAnsi="Arial"/>
                <w:sz w:val="16"/>
                <w:szCs w:val="16"/>
                <w:u w:val="single" w:color="auto"/>
                <w:color w:val="0000EE"/>
                <w:w w:val="90"/>
              </w:rPr>
              <w:t>PRE</w:t>
            </w:r>
          </w:p>
        </w:tc>
        <w:tc>
          <w:tcPr>
            <w:tcW w:w="10120" w:type="dxa"/>
            <w:vAlign w:val="bottom"/>
            <w:gridSpan w:val="13"/>
          </w:tcPr>
          <w:p>
            <w:pPr>
              <w:spacing w:after="0"/>
              <w:rPr>
                <w:sz w:val="20"/>
                <w:szCs w:val="20"/>
                <w:color w:val="auto"/>
              </w:rPr>
            </w:pPr>
            <w:r>
              <w:rPr>
                <w:rFonts w:ascii="Arial" w:cs="Arial" w:eastAsia="Arial" w:hAnsi="Arial"/>
                <w:sz w:val="16"/>
                <w:szCs w:val="16"/>
                <w:color w:val="0000EE"/>
              </w:rPr>
              <w:t>XBRL Taxonomy Extension Presentation Linkbase</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EE"/>
                <w:w w:val="94"/>
              </w:rPr>
              <w:t>101.</w:t>
            </w:r>
            <w:r>
              <w:rPr>
                <w:rFonts w:ascii="Arial" w:cs="Arial" w:eastAsia="Arial" w:hAnsi="Arial"/>
                <w:sz w:val="16"/>
                <w:szCs w:val="16"/>
                <w:u w:val="single" w:color="auto"/>
                <w:color w:val="0000EE"/>
                <w:w w:val="94"/>
              </w:rPr>
              <w:t>DEF</w:t>
            </w:r>
          </w:p>
        </w:tc>
        <w:tc>
          <w:tcPr>
            <w:tcW w:w="1012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0000EE"/>
              </w:rPr>
              <w:t>XBRL Taxonomy Extension Definition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right w:val="single" w:sz="8" w:color="CCEEFF"/>
            </w:tcBorders>
            <w:shd w:val="clear" w:color="auto" w:fill="CCEEFF"/>
          </w:tcPr>
          <w:p>
            <w:pPr>
              <w:spacing w:after="0"/>
              <w:rPr>
                <w:sz w:val="5"/>
                <w:szCs w:val="5"/>
                <w:color w:val="auto"/>
              </w:rPr>
            </w:pPr>
          </w:p>
        </w:tc>
      </w:tr>
    </w:tbl>
    <w:p>
      <w:pPr>
        <w:spacing w:after="0" w:line="341" w:lineRule="exact"/>
        <w:rPr>
          <w:sz w:val="20"/>
          <w:szCs w:val="20"/>
          <w:color w:val="auto"/>
        </w:rPr>
      </w:pPr>
    </w:p>
    <w:p>
      <w:pPr>
        <w:ind w:left="1300" w:hanging="759"/>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300" w:hanging="76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49" w:name="page50"/>
    <w:bookmarkEnd w:id="49"/>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76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140" w:type="dxa"/>
            <w:vAlign w:val="bottom"/>
          </w:tcPr>
          <w:p>
            <w:pPr>
              <w:spacing w:after="0"/>
              <w:rPr>
                <w:sz w:val="23"/>
                <w:szCs w:val="23"/>
                <w:color w:val="auto"/>
              </w:rPr>
            </w:pPr>
          </w:p>
        </w:tc>
        <w:tc>
          <w:tcPr>
            <w:tcW w:w="5760" w:type="dxa"/>
            <w:vAlign w:val="bottom"/>
          </w:tcPr>
          <w:p>
            <w:pPr>
              <w:ind w:left="16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140" w:type="dxa"/>
            <w:vAlign w:val="bottom"/>
          </w:tcPr>
          <w:p>
            <w:pPr>
              <w:spacing w:after="0"/>
              <w:rPr>
                <w:sz w:val="20"/>
                <w:szCs w:val="20"/>
                <w:color w:val="auto"/>
              </w:rPr>
            </w:pPr>
            <w:r>
              <w:rPr>
                <w:rFonts w:ascii="Arial" w:cs="Arial" w:eastAsia="Arial" w:hAnsi="Arial"/>
                <w:sz w:val="18"/>
                <w:szCs w:val="18"/>
                <w:color w:val="auto"/>
              </w:rPr>
              <w:t>Date: July 28, 2017</w:t>
            </w:r>
          </w:p>
        </w:tc>
        <w:tc>
          <w:tcPr>
            <w:tcW w:w="576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14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Patricia A. Little</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140" w:type="dxa"/>
            <w:vAlign w:val="bottom"/>
          </w:tcPr>
          <w:p>
            <w:pPr>
              <w:spacing w:after="0"/>
              <w:rPr>
                <w:sz w:val="20"/>
                <w:szCs w:val="20"/>
                <w:color w:val="auto"/>
              </w:rPr>
            </w:pPr>
            <w:r>
              <w:rPr>
                <w:rFonts w:ascii="Arial" w:cs="Arial" w:eastAsia="Arial" w:hAnsi="Arial"/>
                <w:sz w:val="18"/>
                <w:szCs w:val="18"/>
                <w:color w:val="auto"/>
              </w:rPr>
              <w:t>Date: July 28, 2017</w:t>
            </w:r>
          </w:p>
        </w:tc>
        <w:tc>
          <w:tcPr>
            <w:tcW w:w="576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14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Javier H. Idrovo</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Chief Accounting Officer</w:t>
            </w:r>
          </w:p>
        </w:tc>
      </w:tr>
      <w:tr>
        <w:trPr>
          <w:trHeight w:val="270"/>
        </w:trPr>
        <w:tc>
          <w:tcPr>
            <w:tcW w:w="2140" w:type="dxa"/>
            <w:vAlign w:val="bottom"/>
          </w:tcPr>
          <w:p>
            <w:pPr>
              <w:spacing w:after="0"/>
              <w:rPr>
                <w:sz w:val="23"/>
                <w:szCs w:val="23"/>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2140" w:type="dxa"/>
            <w:vAlign w:val="bottom"/>
          </w:tcPr>
          <w:p>
            <w:pPr>
              <w:spacing w:after="0"/>
              <w:rPr>
                <w:sz w:val="24"/>
                <w:szCs w:val="24"/>
                <w:color w:val="auto"/>
              </w:rPr>
            </w:pPr>
          </w:p>
        </w:tc>
        <w:tc>
          <w:tcPr>
            <w:tcW w:w="5760" w:type="dxa"/>
            <w:vAlign w:val="bottom"/>
          </w:tcPr>
          <w:p>
            <w:pPr>
              <w:ind w:left="25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240"/>
          </w:cols>
          <w:pgMar w:left="240" w:top="580" w:right="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2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July 2, 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jc w:val="right"/>
              <w:ind w:right="631"/>
              <w:spacing w:after="0"/>
              <w:rPr>
                <w:sz w:val="20"/>
                <w:szCs w:val="20"/>
                <w:color w:val="auto"/>
              </w:rPr>
            </w:pPr>
            <w:r>
              <w:rPr>
                <w:rFonts w:ascii="Arial" w:cs="Arial" w:eastAsia="Arial" w:hAnsi="Arial"/>
                <w:sz w:val="16"/>
                <w:szCs w:val="16"/>
                <w:b w:val="1"/>
                <w:bCs w:val="1"/>
                <w:color w:val="auto"/>
                <w:w w:val="97"/>
              </w:rPr>
              <w:t>July 3, 2016</w:t>
            </w:r>
          </w:p>
        </w:tc>
      </w:tr>
      <w:tr>
        <w:trPr>
          <w:trHeight w:val="33"/>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449,478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573,025</w:t>
            </w:r>
          </w:p>
        </w:tc>
      </w:tr>
      <w:tr>
        <w:trPr>
          <w:trHeight w:val="230"/>
        </w:trPr>
        <w:tc>
          <w:tcPr>
            <w:tcW w:w="6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15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1,343</w:t>
            </w:r>
          </w:p>
        </w:tc>
      </w:tr>
      <w:tr>
        <w:trPr>
          <w:trHeight w:val="27"/>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4"/>
              </w:rPr>
              <w:t>Adjustment to exclude noncontrolling interests in subsidiaries and income from equity</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investee</w:t>
            </w:r>
          </w:p>
        </w:tc>
        <w:tc>
          <w:tcPr>
            <w:tcW w:w="15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7"/>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Earnings as adjusted</w:t>
            </w:r>
          </w:p>
        </w:tc>
        <w:tc>
          <w:tcPr>
            <w:tcW w:w="1580" w:type="dxa"/>
            <w:vAlign w:val="bottom"/>
            <w:tcBorders>
              <w:bottom w:val="single" w:sz="8" w:color="auto"/>
            </w:tcBorders>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504,567</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621,437</w:t>
            </w:r>
          </w:p>
        </w:tc>
      </w:tr>
      <w:tr>
        <w:trPr>
          <w:trHeight w:val="217"/>
        </w:trPr>
        <w:tc>
          <w:tcPr>
            <w:tcW w:w="6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1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expensed and capitalized</w:t>
            </w:r>
          </w:p>
        </w:tc>
        <w:tc>
          <w:tcPr>
            <w:tcW w:w="1580" w:type="dxa"/>
            <w:vAlign w:val="bottom"/>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50,253</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46,522</w:t>
            </w:r>
          </w:p>
        </w:tc>
      </w:tr>
      <w:tr>
        <w:trPr>
          <w:trHeight w:val="27"/>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15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4,771</w:t>
            </w:r>
          </w:p>
        </w:tc>
      </w:tr>
      <w:tr>
        <w:trPr>
          <w:trHeight w:val="27"/>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fixed charges</w:t>
            </w:r>
          </w:p>
        </w:tc>
        <w:tc>
          <w:tcPr>
            <w:tcW w:w="1580" w:type="dxa"/>
            <w:vAlign w:val="bottom"/>
            <w:tcBorders>
              <w:bottom w:val="single" w:sz="8" w:color="auto"/>
            </w:tcBorders>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56,475</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52,094</w:t>
            </w:r>
          </w:p>
        </w:tc>
      </w:tr>
      <w:tr>
        <w:trPr>
          <w:trHeight w:val="217"/>
        </w:trPr>
        <w:tc>
          <w:tcPr>
            <w:tcW w:w="6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5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11.93</w:t>
            </w: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28, 2017</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28, 2017</w:t>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July 2, 2017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July 28, 2017</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July 28, 2017</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2)"/>
      <w:numFmt w:val="decimal"/>
      <w:start w:val="1"/>
    </w:lvl>
  </w:abstractNum>
  <w:abstractNum w:abstractNumId="7">
    <w:nsid w:val="25E45D32"/>
    <w:multiLevelType w:val="hybridMultilevel"/>
    <w:lvl w:ilvl="0">
      <w:lvlJc w:val="left"/>
      <w:lvlText w:val="%1."/>
      <w:numFmt w:val="decimal"/>
      <w:start w:val="8"/>
    </w:lvl>
    <w:lvl w:ilvl="1">
      <w:lvlJc w:val="left"/>
      <w:lvlText w:val="%2"/>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7" Type="http://schemas.openxmlformats.org/officeDocument/2006/relationships/hyperlink" Target="http://www.sec.gov/Archives/edgar/data/47111/000004711117000024/exhibit101noticeofspecia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2019-12-29T05:22:41Z</dcterms:created>
  <dcterms:modified xsi:type="dcterms:W3CDTF">2019-12-29T05:22:41Z</dcterms:modified>
</cp:coreProperties>
</file>